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10.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style4.xml" ContentType="application/vnd.ms-office.chartstyle+xml"/>
  <Override PartName="/word/charts/colors4.xml" ContentType="application/vnd.ms-office.chartcolorstyle+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32897" w14:textId="77777777" w:rsidR="00A75E40" w:rsidRPr="00995C95" w:rsidRDefault="00D57677" w:rsidP="00EA0987">
      <w:pPr>
        <w:pStyle w:val="Obsah"/>
        <w:rPr>
          <w:lang w:val="en-GB" w:eastAsia="ar-SA"/>
        </w:rPr>
        <w:sectPr w:rsidR="00A75E40" w:rsidRPr="00995C95" w:rsidSect="0085114D">
          <w:headerReference w:type="even" r:id="rId11"/>
          <w:headerReference w:type="default" r:id="rId12"/>
          <w:footerReference w:type="even" r:id="rId13"/>
          <w:footerReference w:type="default" r:id="rId14"/>
          <w:pgSz w:w="11906" w:h="16838" w:code="9"/>
          <w:pgMar w:top="1134" w:right="1134" w:bottom="1418" w:left="1134" w:header="709" w:footer="709" w:gutter="0"/>
          <w:pgNumType w:start="1"/>
          <w:cols w:space="708"/>
          <w:docGrid w:linePitch="360"/>
        </w:sectPr>
      </w:pPr>
      <w:r w:rsidRPr="00995C95">
        <w:rPr>
          <w:noProof/>
          <w:lang w:val="en-GB"/>
        </w:rPr>
        <mc:AlternateContent>
          <mc:Choice Requires="wpg">
            <w:drawing>
              <wp:anchor distT="0" distB="0" distL="114300" distR="114300" simplePos="0" relativeHeight="251658244" behindDoc="0" locked="1" layoutInCell="1" allowOverlap="1" wp14:anchorId="21432970" wp14:editId="21432971">
                <wp:simplePos x="0" y="0"/>
                <wp:positionH relativeFrom="page">
                  <wp:posOffset>571500</wp:posOffset>
                </wp:positionH>
                <wp:positionV relativeFrom="page">
                  <wp:posOffset>466725</wp:posOffset>
                </wp:positionV>
                <wp:extent cx="2249805" cy="554355"/>
                <wp:effectExtent l="0" t="0" r="0" b="0"/>
                <wp:wrapSquare wrapText="bothSides"/>
                <wp:docPr id="5" name="Group 2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249805" cy="554355"/>
                          <a:chOff x="567" y="851"/>
                          <a:chExt cx="2714" cy="667"/>
                        </a:xfrm>
                      </wpg:grpSpPr>
                      <wps:wsp>
                        <wps:cNvPr id="6" name="Rectangle 9"/>
                        <wps:cNvSpPr>
                          <a:spLocks noChangeAspect="1" noChangeArrowheads="1"/>
                        </wps:cNvSpPr>
                        <wps:spPr bwMode="auto">
                          <a:xfrm>
                            <a:off x="1215" y="901"/>
                            <a:ext cx="676" cy="154"/>
                          </a:xfrm>
                          <a:prstGeom prst="rect">
                            <a:avLst/>
                          </a:prstGeom>
                          <a:solidFill>
                            <a:srgbClr val="0071B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10"/>
                        <wps:cNvSpPr>
                          <a:spLocks noChangeAspect="1" noChangeArrowheads="1"/>
                        </wps:cNvSpPr>
                        <wps:spPr bwMode="auto">
                          <a:xfrm>
                            <a:off x="567" y="1131"/>
                            <a:ext cx="1324" cy="154"/>
                          </a:xfrm>
                          <a:prstGeom prst="rect">
                            <a:avLst/>
                          </a:prstGeom>
                          <a:solidFill>
                            <a:srgbClr val="0071B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1"/>
                        <wps:cNvSpPr>
                          <a:spLocks noChangeAspect="1" noChangeArrowheads="1"/>
                        </wps:cNvSpPr>
                        <wps:spPr bwMode="auto">
                          <a:xfrm>
                            <a:off x="1288" y="1361"/>
                            <a:ext cx="603" cy="153"/>
                          </a:xfrm>
                          <a:prstGeom prst="rect">
                            <a:avLst/>
                          </a:prstGeom>
                          <a:solidFill>
                            <a:srgbClr val="0071B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w="9525">
                                <a:solidFill>
                                  <a:srgbClr val="000000"/>
                                </a:solidFill>
                                <a:miter lim="800000"/>
                                <a:headEnd/>
                                <a:tailEnd/>
                              </a14:hiddenLine>
                            </a:ext>
                          </a:extLst>
                        </wps:spPr>
                        <wps:bodyPr rot="0" vert="horz" wrap="square" lIns="91440" tIns="45720" rIns="91440" bIns="45720" anchor="t" anchorCtr="0" upright="1">
                          <a:noAutofit/>
                        </wps:bodyPr>
                      </wps:wsp>
                      <wps:wsp>
                        <wps:cNvPr id="9" name="Freeform 12"/>
                        <wps:cNvSpPr>
                          <a:spLocks noChangeAspect="1" noEditPoints="1"/>
                        </wps:cNvSpPr>
                        <wps:spPr bwMode="auto">
                          <a:xfrm>
                            <a:off x="1969" y="1311"/>
                            <a:ext cx="600" cy="207"/>
                          </a:xfrm>
                          <a:custGeom>
                            <a:avLst/>
                            <a:gdLst>
                              <a:gd name="T0" fmla="*/ 520 w 1200"/>
                              <a:gd name="T1" fmla="*/ 84 h 415"/>
                              <a:gd name="T2" fmla="*/ 537 w 1200"/>
                              <a:gd name="T3" fmla="*/ 88 h 415"/>
                              <a:gd name="T4" fmla="*/ 550 w 1200"/>
                              <a:gd name="T5" fmla="*/ 100 h 415"/>
                              <a:gd name="T6" fmla="*/ 557 w 1200"/>
                              <a:gd name="T7" fmla="*/ 114 h 415"/>
                              <a:gd name="T8" fmla="*/ 559 w 1200"/>
                              <a:gd name="T9" fmla="*/ 131 h 415"/>
                              <a:gd name="T10" fmla="*/ 554 w 1200"/>
                              <a:gd name="T11" fmla="*/ 147 h 415"/>
                              <a:gd name="T12" fmla="*/ 544 w 1200"/>
                              <a:gd name="T13" fmla="*/ 160 h 415"/>
                              <a:gd name="T14" fmla="*/ 530 w 1200"/>
                              <a:gd name="T15" fmla="*/ 168 h 415"/>
                              <a:gd name="T16" fmla="*/ 506 w 1200"/>
                              <a:gd name="T17" fmla="*/ 170 h 415"/>
                              <a:gd name="T18" fmla="*/ 540 w 1200"/>
                              <a:gd name="T19" fmla="*/ 202 h 415"/>
                              <a:gd name="T20" fmla="*/ 567 w 1200"/>
                              <a:gd name="T21" fmla="*/ 190 h 415"/>
                              <a:gd name="T22" fmla="*/ 587 w 1200"/>
                              <a:gd name="T23" fmla="*/ 169 h 415"/>
                              <a:gd name="T24" fmla="*/ 599 w 1200"/>
                              <a:gd name="T25" fmla="*/ 142 h 415"/>
                              <a:gd name="T26" fmla="*/ 599 w 1200"/>
                              <a:gd name="T27" fmla="*/ 111 h 415"/>
                              <a:gd name="T28" fmla="*/ 587 w 1200"/>
                              <a:gd name="T29" fmla="*/ 84 h 415"/>
                              <a:gd name="T30" fmla="*/ 567 w 1200"/>
                              <a:gd name="T31" fmla="*/ 63 h 415"/>
                              <a:gd name="T32" fmla="*/ 540 w 1200"/>
                              <a:gd name="T33" fmla="*/ 51 h 415"/>
                              <a:gd name="T34" fmla="*/ 466 w 1200"/>
                              <a:gd name="T35" fmla="*/ 204 h 415"/>
                              <a:gd name="T36" fmla="*/ 388 w 1200"/>
                              <a:gd name="T37" fmla="*/ 146 h 415"/>
                              <a:gd name="T38" fmla="*/ 393 w 1200"/>
                              <a:gd name="T39" fmla="*/ 50 h 415"/>
                              <a:gd name="T40" fmla="*/ 343 w 1200"/>
                              <a:gd name="T41" fmla="*/ 177 h 415"/>
                              <a:gd name="T42" fmla="*/ 257 w 1200"/>
                              <a:gd name="T43" fmla="*/ 18 h 415"/>
                              <a:gd name="T44" fmla="*/ 174 w 1200"/>
                              <a:gd name="T45" fmla="*/ 18 h 415"/>
                              <a:gd name="T46" fmla="*/ 216 w 1200"/>
                              <a:gd name="T47" fmla="*/ 81 h 415"/>
                              <a:gd name="T48" fmla="*/ 231 w 1200"/>
                              <a:gd name="T49" fmla="*/ 88 h 415"/>
                              <a:gd name="T50" fmla="*/ 235 w 1200"/>
                              <a:gd name="T51" fmla="*/ 104 h 415"/>
                              <a:gd name="T52" fmla="*/ 225 w 1200"/>
                              <a:gd name="T53" fmla="*/ 116 h 415"/>
                              <a:gd name="T54" fmla="*/ 204 w 1200"/>
                              <a:gd name="T55" fmla="*/ 119 h 415"/>
                              <a:gd name="T56" fmla="*/ 258 w 1200"/>
                              <a:gd name="T57" fmla="*/ 135 h 415"/>
                              <a:gd name="T58" fmla="*/ 271 w 1200"/>
                              <a:gd name="T59" fmla="*/ 121 h 415"/>
                              <a:gd name="T60" fmla="*/ 276 w 1200"/>
                              <a:gd name="T61" fmla="*/ 102 h 415"/>
                              <a:gd name="T62" fmla="*/ 275 w 1200"/>
                              <a:gd name="T63" fmla="*/ 83 h 415"/>
                              <a:gd name="T64" fmla="*/ 266 w 1200"/>
                              <a:gd name="T65" fmla="*/ 67 h 415"/>
                              <a:gd name="T66" fmla="*/ 252 w 1200"/>
                              <a:gd name="T67" fmla="*/ 55 h 415"/>
                              <a:gd name="T68" fmla="*/ 232 w 1200"/>
                              <a:gd name="T69" fmla="*/ 50 h 415"/>
                              <a:gd name="T70" fmla="*/ 204 w 1200"/>
                              <a:gd name="T71" fmla="*/ 204 h 415"/>
                              <a:gd name="T72" fmla="*/ 243 w 1200"/>
                              <a:gd name="T73" fmla="*/ 141 h 415"/>
                              <a:gd name="T74" fmla="*/ 67 w 1200"/>
                              <a:gd name="T75" fmla="*/ 42 h 415"/>
                              <a:gd name="T76" fmla="*/ 0 w 1200"/>
                              <a:gd name="T77" fmla="*/ 139 h 415"/>
                              <a:gd name="T78" fmla="*/ 3 w 1200"/>
                              <a:gd name="T79" fmla="*/ 166 h 415"/>
                              <a:gd name="T80" fmla="*/ 12 w 1200"/>
                              <a:gd name="T81" fmla="*/ 184 h 415"/>
                              <a:gd name="T82" fmla="*/ 34 w 1200"/>
                              <a:gd name="T83" fmla="*/ 201 h 415"/>
                              <a:gd name="T84" fmla="*/ 67 w 1200"/>
                              <a:gd name="T85" fmla="*/ 207 h 415"/>
                              <a:gd name="T86" fmla="*/ 96 w 1200"/>
                              <a:gd name="T87" fmla="*/ 202 h 415"/>
                              <a:gd name="T88" fmla="*/ 119 w 1200"/>
                              <a:gd name="T89" fmla="*/ 186 h 415"/>
                              <a:gd name="T90" fmla="*/ 131 w 1200"/>
                              <a:gd name="T91" fmla="*/ 166 h 415"/>
                              <a:gd name="T92" fmla="*/ 134 w 1200"/>
                              <a:gd name="T93" fmla="*/ 139 h 415"/>
                              <a:gd name="T94" fmla="*/ 95 w 1200"/>
                              <a:gd name="T95" fmla="*/ 143 h 415"/>
                              <a:gd name="T96" fmla="*/ 89 w 1200"/>
                              <a:gd name="T97" fmla="*/ 163 h 415"/>
                              <a:gd name="T98" fmla="*/ 78 w 1200"/>
                              <a:gd name="T99" fmla="*/ 170 h 415"/>
                              <a:gd name="T100" fmla="*/ 63 w 1200"/>
                              <a:gd name="T101" fmla="*/ 172 h 415"/>
                              <a:gd name="T102" fmla="*/ 52 w 1200"/>
                              <a:gd name="T103" fmla="*/ 168 h 415"/>
                              <a:gd name="T104" fmla="*/ 42 w 1200"/>
                              <a:gd name="T105" fmla="*/ 156 h 415"/>
                              <a:gd name="T106" fmla="*/ 40 w 1200"/>
                              <a:gd name="T107" fmla="*/ 50 h 415"/>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1200" h="415">
                                <a:moveTo>
                                  <a:pt x="1011" y="341"/>
                                </a:moveTo>
                                <a:lnTo>
                                  <a:pt x="1011" y="167"/>
                                </a:lnTo>
                                <a:lnTo>
                                  <a:pt x="1030" y="167"/>
                                </a:lnTo>
                                <a:lnTo>
                                  <a:pt x="1040" y="169"/>
                                </a:lnTo>
                                <a:lnTo>
                                  <a:pt x="1049" y="170"/>
                                </a:lnTo>
                                <a:lnTo>
                                  <a:pt x="1059" y="171"/>
                                </a:lnTo>
                                <a:lnTo>
                                  <a:pt x="1067" y="174"/>
                                </a:lnTo>
                                <a:lnTo>
                                  <a:pt x="1074" y="177"/>
                                </a:lnTo>
                                <a:lnTo>
                                  <a:pt x="1082" y="182"/>
                                </a:lnTo>
                                <a:lnTo>
                                  <a:pt x="1088" y="187"/>
                                </a:lnTo>
                                <a:lnTo>
                                  <a:pt x="1094" y="194"/>
                                </a:lnTo>
                                <a:lnTo>
                                  <a:pt x="1099" y="200"/>
                                </a:lnTo>
                                <a:lnTo>
                                  <a:pt x="1104" y="206"/>
                                </a:lnTo>
                                <a:lnTo>
                                  <a:pt x="1108" y="213"/>
                                </a:lnTo>
                                <a:lnTo>
                                  <a:pt x="1112" y="221"/>
                                </a:lnTo>
                                <a:lnTo>
                                  <a:pt x="1114" y="228"/>
                                </a:lnTo>
                                <a:lnTo>
                                  <a:pt x="1116" y="237"/>
                                </a:lnTo>
                                <a:lnTo>
                                  <a:pt x="1117" y="245"/>
                                </a:lnTo>
                                <a:lnTo>
                                  <a:pt x="1117" y="253"/>
                                </a:lnTo>
                                <a:lnTo>
                                  <a:pt x="1117" y="262"/>
                                </a:lnTo>
                                <a:lnTo>
                                  <a:pt x="1116" y="271"/>
                                </a:lnTo>
                                <a:lnTo>
                                  <a:pt x="1114" y="278"/>
                                </a:lnTo>
                                <a:lnTo>
                                  <a:pt x="1112" y="287"/>
                                </a:lnTo>
                                <a:lnTo>
                                  <a:pt x="1108" y="294"/>
                                </a:lnTo>
                                <a:lnTo>
                                  <a:pt x="1104" y="301"/>
                                </a:lnTo>
                                <a:lnTo>
                                  <a:pt x="1099" y="308"/>
                                </a:lnTo>
                                <a:lnTo>
                                  <a:pt x="1094" y="314"/>
                                </a:lnTo>
                                <a:lnTo>
                                  <a:pt x="1088" y="321"/>
                                </a:lnTo>
                                <a:lnTo>
                                  <a:pt x="1082" y="326"/>
                                </a:lnTo>
                                <a:lnTo>
                                  <a:pt x="1074" y="331"/>
                                </a:lnTo>
                                <a:lnTo>
                                  <a:pt x="1067" y="334"/>
                                </a:lnTo>
                                <a:lnTo>
                                  <a:pt x="1059" y="337"/>
                                </a:lnTo>
                                <a:lnTo>
                                  <a:pt x="1049" y="338"/>
                                </a:lnTo>
                                <a:lnTo>
                                  <a:pt x="1040" y="339"/>
                                </a:lnTo>
                                <a:lnTo>
                                  <a:pt x="1030" y="341"/>
                                </a:lnTo>
                                <a:lnTo>
                                  <a:pt x="1011" y="341"/>
                                </a:lnTo>
                                <a:close/>
                                <a:moveTo>
                                  <a:pt x="931" y="408"/>
                                </a:moveTo>
                                <a:lnTo>
                                  <a:pt x="1049" y="408"/>
                                </a:lnTo>
                                <a:lnTo>
                                  <a:pt x="1064" y="407"/>
                                </a:lnTo>
                                <a:lnTo>
                                  <a:pt x="1079" y="404"/>
                                </a:lnTo>
                                <a:lnTo>
                                  <a:pt x="1093" y="400"/>
                                </a:lnTo>
                                <a:lnTo>
                                  <a:pt x="1107" y="395"/>
                                </a:lnTo>
                                <a:lnTo>
                                  <a:pt x="1121" y="389"/>
                                </a:lnTo>
                                <a:lnTo>
                                  <a:pt x="1133" y="380"/>
                                </a:lnTo>
                                <a:lnTo>
                                  <a:pt x="1144" y="372"/>
                                </a:lnTo>
                                <a:lnTo>
                                  <a:pt x="1155" y="362"/>
                                </a:lnTo>
                                <a:lnTo>
                                  <a:pt x="1165" y="351"/>
                                </a:lnTo>
                                <a:lnTo>
                                  <a:pt x="1174" y="339"/>
                                </a:lnTo>
                                <a:lnTo>
                                  <a:pt x="1182" y="326"/>
                                </a:lnTo>
                                <a:lnTo>
                                  <a:pt x="1188" y="313"/>
                                </a:lnTo>
                                <a:lnTo>
                                  <a:pt x="1194" y="298"/>
                                </a:lnTo>
                                <a:lnTo>
                                  <a:pt x="1198" y="284"/>
                                </a:lnTo>
                                <a:lnTo>
                                  <a:pt x="1200" y="270"/>
                                </a:lnTo>
                                <a:lnTo>
                                  <a:pt x="1200" y="253"/>
                                </a:lnTo>
                                <a:lnTo>
                                  <a:pt x="1200" y="238"/>
                                </a:lnTo>
                                <a:lnTo>
                                  <a:pt x="1198" y="223"/>
                                </a:lnTo>
                                <a:lnTo>
                                  <a:pt x="1194" y="208"/>
                                </a:lnTo>
                                <a:lnTo>
                                  <a:pt x="1188" y="195"/>
                                </a:lnTo>
                                <a:lnTo>
                                  <a:pt x="1182" y="181"/>
                                </a:lnTo>
                                <a:lnTo>
                                  <a:pt x="1174" y="169"/>
                                </a:lnTo>
                                <a:lnTo>
                                  <a:pt x="1165" y="157"/>
                                </a:lnTo>
                                <a:lnTo>
                                  <a:pt x="1155" y="146"/>
                                </a:lnTo>
                                <a:lnTo>
                                  <a:pt x="1144" y="136"/>
                                </a:lnTo>
                                <a:lnTo>
                                  <a:pt x="1133" y="126"/>
                                </a:lnTo>
                                <a:lnTo>
                                  <a:pt x="1121" y="119"/>
                                </a:lnTo>
                                <a:lnTo>
                                  <a:pt x="1107" y="113"/>
                                </a:lnTo>
                                <a:lnTo>
                                  <a:pt x="1093" y="108"/>
                                </a:lnTo>
                                <a:lnTo>
                                  <a:pt x="1079" y="103"/>
                                </a:lnTo>
                                <a:lnTo>
                                  <a:pt x="1064" y="101"/>
                                </a:lnTo>
                                <a:lnTo>
                                  <a:pt x="1049" y="100"/>
                                </a:lnTo>
                                <a:lnTo>
                                  <a:pt x="931" y="100"/>
                                </a:lnTo>
                                <a:lnTo>
                                  <a:pt x="931" y="408"/>
                                </a:lnTo>
                                <a:close/>
                                <a:moveTo>
                                  <a:pt x="775" y="293"/>
                                </a:moveTo>
                                <a:lnTo>
                                  <a:pt x="708" y="293"/>
                                </a:lnTo>
                                <a:lnTo>
                                  <a:pt x="742" y="195"/>
                                </a:lnTo>
                                <a:lnTo>
                                  <a:pt x="775" y="293"/>
                                </a:lnTo>
                                <a:close/>
                                <a:moveTo>
                                  <a:pt x="797" y="354"/>
                                </a:moveTo>
                                <a:lnTo>
                                  <a:pt x="817" y="408"/>
                                </a:lnTo>
                                <a:lnTo>
                                  <a:pt x="901" y="408"/>
                                </a:lnTo>
                                <a:lnTo>
                                  <a:pt x="785" y="100"/>
                                </a:lnTo>
                                <a:lnTo>
                                  <a:pt x="698" y="100"/>
                                </a:lnTo>
                                <a:lnTo>
                                  <a:pt x="581" y="408"/>
                                </a:lnTo>
                                <a:lnTo>
                                  <a:pt x="665" y="408"/>
                                </a:lnTo>
                                <a:lnTo>
                                  <a:pt x="686" y="354"/>
                                </a:lnTo>
                                <a:lnTo>
                                  <a:pt x="797" y="354"/>
                                </a:lnTo>
                                <a:close/>
                                <a:moveTo>
                                  <a:pt x="347" y="37"/>
                                </a:moveTo>
                                <a:lnTo>
                                  <a:pt x="430" y="83"/>
                                </a:lnTo>
                                <a:lnTo>
                                  <a:pt x="513" y="37"/>
                                </a:lnTo>
                                <a:lnTo>
                                  <a:pt x="491" y="3"/>
                                </a:lnTo>
                                <a:lnTo>
                                  <a:pt x="430" y="34"/>
                                </a:lnTo>
                                <a:lnTo>
                                  <a:pt x="369" y="3"/>
                                </a:lnTo>
                                <a:lnTo>
                                  <a:pt x="347" y="37"/>
                                </a:lnTo>
                                <a:close/>
                                <a:moveTo>
                                  <a:pt x="407" y="238"/>
                                </a:moveTo>
                                <a:lnTo>
                                  <a:pt x="407" y="161"/>
                                </a:lnTo>
                                <a:lnTo>
                                  <a:pt x="422" y="161"/>
                                </a:lnTo>
                                <a:lnTo>
                                  <a:pt x="432" y="162"/>
                                </a:lnTo>
                                <a:lnTo>
                                  <a:pt x="442" y="164"/>
                                </a:lnTo>
                                <a:lnTo>
                                  <a:pt x="449" y="166"/>
                                </a:lnTo>
                                <a:lnTo>
                                  <a:pt x="455" y="170"/>
                                </a:lnTo>
                                <a:lnTo>
                                  <a:pt x="461" y="176"/>
                                </a:lnTo>
                                <a:lnTo>
                                  <a:pt x="466" y="182"/>
                                </a:lnTo>
                                <a:lnTo>
                                  <a:pt x="469" y="191"/>
                                </a:lnTo>
                                <a:lnTo>
                                  <a:pt x="470" y="200"/>
                                </a:lnTo>
                                <a:lnTo>
                                  <a:pt x="469" y="208"/>
                                </a:lnTo>
                                <a:lnTo>
                                  <a:pt x="466" y="216"/>
                                </a:lnTo>
                                <a:lnTo>
                                  <a:pt x="461" y="223"/>
                                </a:lnTo>
                                <a:lnTo>
                                  <a:pt x="455" y="230"/>
                                </a:lnTo>
                                <a:lnTo>
                                  <a:pt x="449" y="233"/>
                                </a:lnTo>
                                <a:lnTo>
                                  <a:pt x="442" y="236"/>
                                </a:lnTo>
                                <a:lnTo>
                                  <a:pt x="432" y="237"/>
                                </a:lnTo>
                                <a:lnTo>
                                  <a:pt x="422" y="238"/>
                                </a:lnTo>
                                <a:lnTo>
                                  <a:pt x="407" y="238"/>
                                </a:lnTo>
                                <a:close/>
                                <a:moveTo>
                                  <a:pt x="485" y="282"/>
                                </a:moveTo>
                                <a:lnTo>
                                  <a:pt x="498" y="278"/>
                                </a:lnTo>
                                <a:lnTo>
                                  <a:pt x="508" y="275"/>
                                </a:lnTo>
                                <a:lnTo>
                                  <a:pt x="516" y="270"/>
                                </a:lnTo>
                                <a:lnTo>
                                  <a:pt x="525" y="263"/>
                                </a:lnTo>
                                <a:lnTo>
                                  <a:pt x="531" y="257"/>
                                </a:lnTo>
                                <a:lnTo>
                                  <a:pt x="536" y="250"/>
                                </a:lnTo>
                                <a:lnTo>
                                  <a:pt x="541" y="242"/>
                                </a:lnTo>
                                <a:lnTo>
                                  <a:pt x="545" y="233"/>
                                </a:lnTo>
                                <a:lnTo>
                                  <a:pt x="549" y="225"/>
                                </a:lnTo>
                                <a:lnTo>
                                  <a:pt x="551" y="215"/>
                                </a:lnTo>
                                <a:lnTo>
                                  <a:pt x="552" y="205"/>
                                </a:lnTo>
                                <a:lnTo>
                                  <a:pt x="552" y="195"/>
                                </a:lnTo>
                                <a:lnTo>
                                  <a:pt x="552" y="186"/>
                                </a:lnTo>
                                <a:lnTo>
                                  <a:pt x="551" y="176"/>
                                </a:lnTo>
                                <a:lnTo>
                                  <a:pt x="549" y="167"/>
                                </a:lnTo>
                                <a:lnTo>
                                  <a:pt x="546" y="159"/>
                                </a:lnTo>
                                <a:lnTo>
                                  <a:pt x="542" y="150"/>
                                </a:lnTo>
                                <a:lnTo>
                                  <a:pt x="537" y="141"/>
                                </a:lnTo>
                                <a:lnTo>
                                  <a:pt x="532" y="134"/>
                                </a:lnTo>
                                <a:lnTo>
                                  <a:pt x="526" y="128"/>
                                </a:lnTo>
                                <a:lnTo>
                                  <a:pt x="519" y="120"/>
                                </a:lnTo>
                                <a:lnTo>
                                  <a:pt x="511" y="115"/>
                                </a:lnTo>
                                <a:lnTo>
                                  <a:pt x="504" y="110"/>
                                </a:lnTo>
                                <a:lnTo>
                                  <a:pt x="495" y="106"/>
                                </a:lnTo>
                                <a:lnTo>
                                  <a:pt x="485" y="104"/>
                                </a:lnTo>
                                <a:lnTo>
                                  <a:pt x="475" y="101"/>
                                </a:lnTo>
                                <a:lnTo>
                                  <a:pt x="463" y="100"/>
                                </a:lnTo>
                                <a:lnTo>
                                  <a:pt x="450" y="100"/>
                                </a:lnTo>
                                <a:lnTo>
                                  <a:pt x="327" y="100"/>
                                </a:lnTo>
                                <a:lnTo>
                                  <a:pt x="327" y="408"/>
                                </a:lnTo>
                                <a:lnTo>
                                  <a:pt x="407" y="408"/>
                                </a:lnTo>
                                <a:lnTo>
                                  <a:pt x="407" y="289"/>
                                </a:lnTo>
                                <a:lnTo>
                                  <a:pt x="483" y="408"/>
                                </a:lnTo>
                                <a:lnTo>
                                  <a:pt x="582" y="408"/>
                                </a:lnTo>
                                <a:lnTo>
                                  <a:pt x="485" y="282"/>
                                </a:lnTo>
                                <a:close/>
                                <a:moveTo>
                                  <a:pt x="210" y="35"/>
                                </a:moveTo>
                                <a:lnTo>
                                  <a:pt x="171" y="0"/>
                                </a:lnTo>
                                <a:lnTo>
                                  <a:pt x="105" y="56"/>
                                </a:lnTo>
                                <a:lnTo>
                                  <a:pt x="133" y="85"/>
                                </a:lnTo>
                                <a:lnTo>
                                  <a:pt x="210" y="35"/>
                                </a:lnTo>
                                <a:close/>
                                <a:moveTo>
                                  <a:pt x="80" y="100"/>
                                </a:moveTo>
                                <a:lnTo>
                                  <a:pt x="0" y="100"/>
                                </a:lnTo>
                                <a:lnTo>
                                  <a:pt x="0" y="278"/>
                                </a:lnTo>
                                <a:lnTo>
                                  <a:pt x="0" y="293"/>
                                </a:lnTo>
                                <a:lnTo>
                                  <a:pt x="2" y="308"/>
                                </a:lnTo>
                                <a:lnTo>
                                  <a:pt x="3" y="321"/>
                                </a:lnTo>
                                <a:lnTo>
                                  <a:pt x="5" y="333"/>
                                </a:lnTo>
                                <a:lnTo>
                                  <a:pt x="9" y="343"/>
                                </a:lnTo>
                                <a:lnTo>
                                  <a:pt x="13" y="353"/>
                                </a:lnTo>
                                <a:lnTo>
                                  <a:pt x="17" y="362"/>
                                </a:lnTo>
                                <a:lnTo>
                                  <a:pt x="23" y="369"/>
                                </a:lnTo>
                                <a:lnTo>
                                  <a:pt x="32" y="379"/>
                                </a:lnTo>
                                <a:lnTo>
                                  <a:pt x="43" y="389"/>
                                </a:lnTo>
                                <a:lnTo>
                                  <a:pt x="54" y="397"/>
                                </a:lnTo>
                                <a:lnTo>
                                  <a:pt x="68" y="403"/>
                                </a:lnTo>
                                <a:lnTo>
                                  <a:pt x="83" y="409"/>
                                </a:lnTo>
                                <a:lnTo>
                                  <a:pt x="99" y="413"/>
                                </a:lnTo>
                                <a:lnTo>
                                  <a:pt x="115" y="415"/>
                                </a:lnTo>
                                <a:lnTo>
                                  <a:pt x="133" y="415"/>
                                </a:lnTo>
                                <a:lnTo>
                                  <a:pt x="149" y="415"/>
                                </a:lnTo>
                                <a:lnTo>
                                  <a:pt x="165" y="413"/>
                                </a:lnTo>
                                <a:lnTo>
                                  <a:pt x="179" y="409"/>
                                </a:lnTo>
                                <a:lnTo>
                                  <a:pt x="192" y="404"/>
                                </a:lnTo>
                                <a:lnTo>
                                  <a:pt x="206" y="399"/>
                                </a:lnTo>
                                <a:lnTo>
                                  <a:pt x="217" y="392"/>
                                </a:lnTo>
                                <a:lnTo>
                                  <a:pt x="228" y="383"/>
                                </a:lnTo>
                                <a:lnTo>
                                  <a:pt x="238" y="372"/>
                                </a:lnTo>
                                <a:lnTo>
                                  <a:pt x="246" y="363"/>
                                </a:lnTo>
                                <a:lnTo>
                                  <a:pt x="253" y="353"/>
                                </a:lnTo>
                                <a:lnTo>
                                  <a:pt x="258" y="343"/>
                                </a:lnTo>
                                <a:lnTo>
                                  <a:pt x="262" y="333"/>
                                </a:lnTo>
                                <a:lnTo>
                                  <a:pt x="265" y="321"/>
                                </a:lnTo>
                                <a:lnTo>
                                  <a:pt x="267" y="308"/>
                                </a:lnTo>
                                <a:lnTo>
                                  <a:pt x="268" y="293"/>
                                </a:lnTo>
                                <a:lnTo>
                                  <a:pt x="268" y="278"/>
                                </a:lnTo>
                                <a:lnTo>
                                  <a:pt x="268" y="100"/>
                                </a:lnTo>
                                <a:lnTo>
                                  <a:pt x="189" y="100"/>
                                </a:lnTo>
                                <a:lnTo>
                                  <a:pt x="189" y="267"/>
                                </a:lnTo>
                                <a:lnTo>
                                  <a:pt x="189" y="287"/>
                                </a:lnTo>
                                <a:lnTo>
                                  <a:pt x="187" y="301"/>
                                </a:lnTo>
                                <a:lnTo>
                                  <a:pt x="185" y="311"/>
                                </a:lnTo>
                                <a:lnTo>
                                  <a:pt x="181" y="321"/>
                                </a:lnTo>
                                <a:lnTo>
                                  <a:pt x="177" y="326"/>
                                </a:lnTo>
                                <a:lnTo>
                                  <a:pt x="172" y="331"/>
                                </a:lnTo>
                                <a:lnTo>
                                  <a:pt x="167" y="334"/>
                                </a:lnTo>
                                <a:lnTo>
                                  <a:pt x="161" y="338"/>
                                </a:lnTo>
                                <a:lnTo>
                                  <a:pt x="155" y="341"/>
                                </a:lnTo>
                                <a:lnTo>
                                  <a:pt x="149" y="343"/>
                                </a:lnTo>
                                <a:lnTo>
                                  <a:pt x="141" y="344"/>
                                </a:lnTo>
                                <a:lnTo>
                                  <a:pt x="134" y="346"/>
                                </a:lnTo>
                                <a:lnTo>
                                  <a:pt x="126" y="344"/>
                                </a:lnTo>
                                <a:lnTo>
                                  <a:pt x="120" y="343"/>
                                </a:lnTo>
                                <a:lnTo>
                                  <a:pt x="114" y="342"/>
                                </a:lnTo>
                                <a:lnTo>
                                  <a:pt x="108" y="339"/>
                                </a:lnTo>
                                <a:lnTo>
                                  <a:pt x="103" y="336"/>
                                </a:lnTo>
                                <a:lnTo>
                                  <a:pt x="98" y="332"/>
                                </a:lnTo>
                                <a:lnTo>
                                  <a:pt x="93" y="327"/>
                                </a:lnTo>
                                <a:lnTo>
                                  <a:pt x="89" y="322"/>
                                </a:lnTo>
                                <a:lnTo>
                                  <a:pt x="84" y="312"/>
                                </a:lnTo>
                                <a:lnTo>
                                  <a:pt x="81" y="302"/>
                                </a:lnTo>
                                <a:lnTo>
                                  <a:pt x="80" y="288"/>
                                </a:lnTo>
                                <a:lnTo>
                                  <a:pt x="80" y="267"/>
                                </a:lnTo>
                                <a:lnTo>
                                  <a:pt x="80" y="100"/>
                                </a:lnTo>
                                <a:close/>
                              </a:path>
                            </a:pathLst>
                          </a:custGeom>
                          <a:solidFill>
                            <a:srgbClr val="BD1B2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ChangeAspect="1" noEditPoints="1"/>
                        </wps:cNvSpPr>
                        <wps:spPr bwMode="auto">
                          <a:xfrm>
                            <a:off x="1962" y="1081"/>
                            <a:ext cx="1319" cy="208"/>
                          </a:xfrm>
                          <a:custGeom>
                            <a:avLst/>
                            <a:gdLst>
                              <a:gd name="T0" fmla="*/ 1221 w 2637"/>
                              <a:gd name="T1" fmla="*/ 204 h 416"/>
                              <a:gd name="T2" fmla="*/ 1166 w 2637"/>
                              <a:gd name="T3" fmla="*/ 50 h 416"/>
                              <a:gd name="T4" fmla="*/ 1072 w 2637"/>
                              <a:gd name="T5" fmla="*/ 137 h 416"/>
                              <a:gd name="T6" fmla="*/ 1004 w 2637"/>
                              <a:gd name="T7" fmla="*/ 54 h 416"/>
                              <a:gd name="T8" fmla="*/ 943 w 2637"/>
                              <a:gd name="T9" fmla="*/ 51 h 416"/>
                              <a:gd name="T10" fmla="*/ 900 w 2637"/>
                              <a:gd name="T11" fmla="*/ 82 h 416"/>
                              <a:gd name="T12" fmla="*/ 887 w 2637"/>
                              <a:gd name="T13" fmla="*/ 136 h 416"/>
                              <a:gd name="T14" fmla="*/ 907 w 2637"/>
                              <a:gd name="T15" fmla="*/ 181 h 416"/>
                              <a:gd name="T16" fmla="*/ 959 w 2637"/>
                              <a:gd name="T17" fmla="*/ 208 h 416"/>
                              <a:gd name="T18" fmla="*/ 1000 w 2637"/>
                              <a:gd name="T19" fmla="*/ 157 h 416"/>
                              <a:gd name="T20" fmla="*/ 969 w 2637"/>
                              <a:gd name="T21" fmla="*/ 169 h 416"/>
                              <a:gd name="T22" fmla="*/ 945 w 2637"/>
                              <a:gd name="T23" fmla="*/ 161 h 416"/>
                              <a:gd name="T24" fmla="*/ 929 w 2637"/>
                              <a:gd name="T25" fmla="*/ 137 h 416"/>
                              <a:gd name="T26" fmla="*/ 933 w 2637"/>
                              <a:gd name="T27" fmla="*/ 107 h 416"/>
                              <a:gd name="T28" fmla="*/ 953 w 2637"/>
                              <a:gd name="T29" fmla="*/ 89 h 416"/>
                              <a:gd name="T30" fmla="*/ 984 w 2637"/>
                              <a:gd name="T31" fmla="*/ 88 h 416"/>
                              <a:gd name="T32" fmla="*/ 864 w 2637"/>
                              <a:gd name="T33" fmla="*/ 50 h 416"/>
                              <a:gd name="T34" fmla="*/ 802 w 2637"/>
                              <a:gd name="T35" fmla="*/ 50 h 416"/>
                              <a:gd name="T36" fmla="*/ 680 w 2637"/>
                              <a:gd name="T37" fmla="*/ 59 h 416"/>
                              <a:gd name="T38" fmla="*/ 638 w 2637"/>
                              <a:gd name="T39" fmla="*/ 46 h 416"/>
                              <a:gd name="T40" fmla="*/ 602 w 2637"/>
                              <a:gd name="T41" fmla="*/ 54 h 416"/>
                              <a:gd name="T42" fmla="*/ 581 w 2637"/>
                              <a:gd name="T43" fmla="*/ 82 h 416"/>
                              <a:gd name="T44" fmla="*/ 583 w 2637"/>
                              <a:gd name="T45" fmla="*/ 116 h 416"/>
                              <a:gd name="T46" fmla="*/ 610 w 2637"/>
                              <a:gd name="T47" fmla="*/ 138 h 416"/>
                              <a:gd name="T48" fmla="*/ 644 w 2637"/>
                              <a:gd name="T49" fmla="*/ 153 h 416"/>
                              <a:gd name="T50" fmla="*/ 637 w 2637"/>
                              <a:gd name="T51" fmla="*/ 171 h 416"/>
                              <a:gd name="T52" fmla="*/ 608 w 2637"/>
                              <a:gd name="T53" fmla="*/ 170 h 416"/>
                              <a:gd name="T54" fmla="*/ 586 w 2637"/>
                              <a:gd name="T55" fmla="*/ 198 h 416"/>
                              <a:gd name="T56" fmla="*/ 633 w 2637"/>
                              <a:gd name="T57" fmla="*/ 208 h 416"/>
                              <a:gd name="T58" fmla="*/ 671 w 2637"/>
                              <a:gd name="T59" fmla="*/ 193 h 416"/>
                              <a:gd name="T60" fmla="*/ 687 w 2637"/>
                              <a:gd name="T61" fmla="*/ 160 h 416"/>
                              <a:gd name="T62" fmla="*/ 678 w 2637"/>
                              <a:gd name="T63" fmla="*/ 126 h 416"/>
                              <a:gd name="T64" fmla="*/ 638 w 2637"/>
                              <a:gd name="T65" fmla="*/ 107 h 416"/>
                              <a:gd name="T66" fmla="*/ 621 w 2637"/>
                              <a:gd name="T67" fmla="*/ 93 h 416"/>
                              <a:gd name="T68" fmla="*/ 635 w 2637"/>
                              <a:gd name="T69" fmla="*/ 80 h 416"/>
                              <a:gd name="T70" fmla="*/ 665 w 2637"/>
                              <a:gd name="T71" fmla="*/ 90 h 416"/>
                              <a:gd name="T72" fmla="*/ 452 w 2637"/>
                              <a:gd name="T73" fmla="*/ 84 h 416"/>
                              <a:gd name="T74" fmla="*/ 452 w 2637"/>
                              <a:gd name="T75" fmla="*/ 204 h 416"/>
                              <a:gd name="T76" fmla="*/ 343 w 2637"/>
                              <a:gd name="T77" fmla="*/ 204 h 416"/>
                              <a:gd name="T78" fmla="*/ 333 w 2637"/>
                              <a:gd name="T79" fmla="*/ 177 h 416"/>
                              <a:gd name="T80" fmla="*/ 158 w 2637"/>
                              <a:gd name="T81" fmla="*/ 204 h 416"/>
                              <a:gd name="T82" fmla="*/ 84 w 2637"/>
                              <a:gd name="T83" fmla="*/ 49 h 416"/>
                              <a:gd name="T84" fmla="*/ 42 w 2637"/>
                              <a:gd name="T85" fmla="*/ 48 h 416"/>
                              <a:gd name="T86" fmla="*/ 14 w 2637"/>
                              <a:gd name="T87" fmla="*/ 68 h 416"/>
                              <a:gd name="T88" fmla="*/ 6 w 2637"/>
                              <a:gd name="T89" fmla="*/ 103 h 416"/>
                              <a:gd name="T90" fmla="*/ 19 w 2637"/>
                              <a:gd name="T91" fmla="*/ 128 h 416"/>
                              <a:gd name="T92" fmla="*/ 64 w 2637"/>
                              <a:gd name="T93" fmla="*/ 147 h 416"/>
                              <a:gd name="T94" fmla="*/ 71 w 2637"/>
                              <a:gd name="T95" fmla="*/ 165 h 416"/>
                              <a:gd name="T96" fmla="*/ 48 w 2637"/>
                              <a:gd name="T97" fmla="*/ 174 h 416"/>
                              <a:gd name="T98" fmla="*/ 17 w 2637"/>
                              <a:gd name="T99" fmla="*/ 158 h 416"/>
                              <a:gd name="T100" fmla="*/ 40 w 2637"/>
                              <a:gd name="T101" fmla="*/ 207 h 416"/>
                              <a:gd name="T102" fmla="*/ 84 w 2637"/>
                              <a:gd name="T103" fmla="*/ 202 h 416"/>
                              <a:gd name="T104" fmla="*/ 110 w 2637"/>
                              <a:gd name="T105" fmla="*/ 176 h 416"/>
                              <a:gd name="T106" fmla="*/ 110 w 2637"/>
                              <a:gd name="T107" fmla="*/ 135 h 416"/>
                              <a:gd name="T108" fmla="*/ 93 w 2637"/>
                              <a:gd name="T109" fmla="*/ 117 h 416"/>
                              <a:gd name="T110" fmla="*/ 50 w 2637"/>
                              <a:gd name="T111" fmla="*/ 99 h 416"/>
                              <a:gd name="T112" fmla="*/ 53 w 2637"/>
                              <a:gd name="T113" fmla="*/ 84 h 416"/>
                              <a:gd name="T114" fmla="*/ 76 w 2637"/>
                              <a:gd name="T115" fmla="*/ 81 h 41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2637" h="416">
                                <a:moveTo>
                                  <a:pt x="2561" y="35"/>
                                </a:moveTo>
                                <a:lnTo>
                                  <a:pt x="2524" y="0"/>
                                </a:lnTo>
                                <a:lnTo>
                                  <a:pt x="2458" y="56"/>
                                </a:lnTo>
                                <a:lnTo>
                                  <a:pt x="2485" y="84"/>
                                </a:lnTo>
                                <a:lnTo>
                                  <a:pt x="2561" y="35"/>
                                </a:lnTo>
                                <a:close/>
                                <a:moveTo>
                                  <a:pt x="2442" y="260"/>
                                </a:moveTo>
                                <a:lnTo>
                                  <a:pt x="2442" y="407"/>
                                </a:lnTo>
                                <a:lnTo>
                                  <a:pt x="2521" y="407"/>
                                </a:lnTo>
                                <a:lnTo>
                                  <a:pt x="2521" y="260"/>
                                </a:lnTo>
                                <a:lnTo>
                                  <a:pt x="2637" y="99"/>
                                </a:lnTo>
                                <a:lnTo>
                                  <a:pt x="2540" y="99"/>
                                </a:lnTo>
                                <a:lnTo>
                                  <a:pt x="2484" y="183"/>
                                </a:lnTo>
                                <a:lnTo>
                                  <a:pt x="2427" y="99"/>
                                </a:lnTo>
                                <a:lnTo>
                                  <a:pt x="2331" y="99"/>
                                </a:lnTo>
                                <a:lnTo>
                                  <a:pt x="2442" y="260"/>
                                </a:lnTo>
                                <a:close/>
                                <a:moveTo>
                                  <a:pt x="2143" y="226"/>
                                </a:moveTo>
                                <a:lnTo>
                                  <a:pt x="2143" y="99"/>
                                </a:lnTo>
                                <a:lnTo>
                                  <a:pt x="2063" y="99"/>
                                </a:lnTo>
                                <a:lnTo>
                                  <a:pt x="2063" y="407"/>
                                </a:lnTo>
                                <a:lnTo>
                                  <a:pt x="2143" y="407"/>
                                </a:lnTo>
                                <a:lnTo>
                                  <a:pt x="2143" y="274"/>
                                </a:lnTo>
                                <a:lnTo>
                                  <a:pt x="2247" y="407"/>
                                </a:lnTo>
                                <a:lnTo>
                                  <a:pt x="2351" y="407"/>
                                </a:lnTo>
                                <a:lnTo>
                                  <a:pt x="2217" y="245"/>
                                </a:lnTo>
                                <a:lnTo>
                                  <a:pt x="2340" y="99"/>
                                </a:lnTo>
                                <a:lnTo>
                                  <a:pt x="2240" y="99"/>
                                </a:lnTo>
                                <a:lnTo>
                                  <a:pt x="2143" y="226"/>
                                </a:lnTo>
                                <a:close/>
                                <a:moveTo>
                                  <a:pt x="2008" y="108"/>
                                </a:moveTo>
                                <a:lnTo>
                                  <a:pt x="1987" y="102"/>
                                </a:lnTo>
                                <a:lnTo>
                                  <a:pt x="1969" y="97"/>
                                </a:lnTo>
                                <a:lnTo>
                                  <a:pt x="1952" y="93"/>
                                </a:lnTo>
                                <a:lnTo>
                                  <a:pt x="1936" y="93"/>
                                </a:lnTo>
                                <a:lnTo>
                                  <a:pt x="1918" y="93"/>
                                </a:lnTo>
                                <a:lnTo>
                                  <a:pt x="1902" y="96"/>
                                </a:lnTo>
                                <a:lnTo>
                                  <a:pt x="1886" y="101"/>
                                </a:lnTo>
                                <a:lnTo>
                                  <a:pt x="1871" y="106"/>
                                </a:lnTo>
                                <a:lnTo>
                                  <a:pt x="1857" y="112"/>
                                </a:lnTo>
                                <a:lnTo>
                                  <a:pt x="1844" y="121"/>
                                </a:lnTo>
                                <a:lnTo>
                                  <a:pt x="1831" y="129"/>
                                </a:lnTo>
                                <a:lnTo>
                                  <a:pt x="1820" y="140"/>
                                </a:lnTo>
                                <a:lnTo>
                                  <a:pt x="1809" y="152"/>
                                </a:lnTo>
                                <a:lnTo>
                                  <a:pt x="1800" y="164"/>
                                </a:lnTo>
                                <a:lnTo>
                                  <a:pt x="1791" y="178"/>
                                </a:lnTo>
                                <a:lnTo>
                                  <a:pt x="1785" y="192"/>
                                </a:lnTo>
                                <a:lnTo>
                                  <a:pt x="1780" y="207"/>
                                </a:lnTo>
                                <a:lnTo>
                                  <a:pt x="1775" y="223"/>
                                </a:lnTo>
                                <a:lnTo>
                                  <a:pt x="1773" y="239"/>
                                </a:lnTo>
                                <a:lnTo>
                                  <a:pt x="1773" y="256"/>
                                </a:lnTo>
                                <a:lnTo>
                                  <a:pt x="1773" y="271"/>
                                </a:lnTo>
                                <a:lnTo>
                                  <a:pt x="1775" y="286"/>
                                </a:lnTo>
                                <a:lnTo>
                                  <a:pt x="1778" y="300"/>
                                </a:lnTo>
                                <a:lnTo>
                                  <a:pt x="1783" y="314"/>
                                </a:lnTo>
                                <a:lnTo>
                                  <a:pt x="1789" y="327"/>
                                </a:lnTo>
                                <a:lnTo>
                                  <a:pt x="1795" y="340"/>
                                </a:lnTo>
                                <a:lnTo>
                                  <a:pt x="1804" y="351"/>
                                </a:lnTo>
                                <a:lnTo>
                                  <a:pt x="1813" y="362"/>
                                </a:lnTo>
                                <a:lnTo>
                                  <a:pt x="1825" y="373"/>
                                </a:lnTo>
                                <a:lnTo>
                                  <a:pt x="1839" y="385"/>
                                </a:lnTo>
                                <a:lnTo>
                                  <a:pt x="1854" y="393"/>
                                </a:lnTo>
                                <a:lnTo>
                                  <a:pt x="1869" y="401"/>
                                </a:lnTo>
                                <a:lnTo>
                                  <a:pt x="1885" y="407"/>
                                </a:lnTo>
                                <a:lnTo>
                                  <a:pt x="1902" y="412"/>
                                </a:lnTo>
                                <a:lnTo>
                                  <a:pt x="1918" y="415"/>
                                </a:lnTo>
                                <a:lnTo>
                                  <a:pt x="1936" y="416"/>
                                </a:lnTo>
                                <a:lnTo>
                                  <a:pt x="1951" y="415"/>
                                </a:lnTo>
                                <a:lnTo>
                                  <a:pt x="1966" y="413"/>
                                </a:lnTo>
                                <a:lnTo>
                                  <a:pt x="1983" y="408"/>
                                </a:lnTo>
                                <a:lnTo>
                                  <a:pt x="2008" y="401"/>
                                </a:lnTo>
                                <a:lnTo>
                                  <a:pt x="2008" y="306"/>
                                </a:lnTo>
                                <a:lnTo>
                                  <a:pt x="1999" y="314"/>
                                </a:lnTo>
                                <a:lnTo>
                                  <a:pt x="1992" y="320"/>
                                </a:lnTo>
                                <a:lnTo>
                                  <a:pt x="1983" y="326"/>
                                </a:lnTo>
                                <a:lnTo>
                                  <a:pt x="1976" y="330"/>
                                </a:lnTo>
                                <a:lnTo>
                                  <a:pt x="1967" y="334"/>
                                </a:lnTo>
                                <a:lnTo>
                                  <a:pt x="1957" y="336"/>
                                </a:lnTo>
                                <a:lnTo>
                                  <a:pt x="1948" y="337"/>
                                </a:lnTo>
                                <a:lnTo>
                                  <a:pt x="1938" y="337"/>
                                </a:lnTo>
                                <a:lnTo>
                                  <a:pt x="1931" y="337"/>
                                </a:lnTo>
                                <a:lnTo>
                                  <a:pt x="1923" y="336"/>
                                </a:lnTo>
                                <a:lnTo>
                                  <a:pt x="1916" y="335"/>
                                </a:lnTo>
                                <a:lnTo>
                                  <a:pt x="1908" y="332"/>
                                </a:lnTo>
                                <a:lnTo>
                                  <a:pt x="1902" y="330"/>
                                </a:lnTo>
                                <a:lnTo>
                                  <a:pt x="1896" y="326"/>
                                </a:lnTo>
                                <a:lnTo>
                                  <a:pt x="1889" y="322"/>
                                </a:lnTo>
                                <a:lnTo>
                                  <a:pt x="1884" y="317"/>
                                </a:lnTo>
                                <a:lnTo>
                                  <a:pt x="1876" y="311"/>
                                </a:lnTo>
                                <a:lnTo>
                                  <a:pt x="1871" y="305"/>
                                </a:lnTo>
                                <a:lnTo>
                                  <a:pt x="1866" y="299"/>
                                </a:lnTo>
                                <a:lnTo>
                                  <a:pt x="1862" y="291"/>
                                </a:lnTo>
                                <a:lnTo>
                                  <a:pt x="1860" y="283"/>
                                </a:lnTo>
                                <a:lnTo>
                                  <a:pt x="1857" y="274"/>
                                </a:lnTo>
                                <a:lnTo>
                                  <a:pt x="1856" y="265"/>
                                </a:lnTo>
                                <a:lnTo>
                                  <a:pt x="1856" y="255"/>
                                </a:lnTo>
                                <a:lnTo>
                                  <a:pt x="1856" y="246"/>
                                </a:lnTo>
                                <a:lnTo>
                                  <a:pt x="1857" y="238"/>
                                </a:lnTo>
                                <a:lnTo>
                                  <a:pt x="1860" y="229"/>
                                </a:lnTo>
                                <a:lnTo>
                                  <a:pt x="1862" y="221"/>
                                </a:lnTo>
                                <a:lnTo>
                                  <a:pt x="1865" y="214"/>
                                </a:lnTo>
                                <a:lnTo>
                                  <a:pt x="1870" y="207"/>
                                </a:lnTo>
                                <a:lnTo>
                                  <a:pt x="1874" y="200"/>
                                </a:lnTo>
                                <a:lnTo>
                                  <a:pt x="1879" y="194"/>
                                </a:lnTo>
                                <a:lnTo>
                                  <a:pt x="1885" y="189"/>
                                </a:lnTo>
                                <a:lnTo>
                                  <a:pt x="1891" y="184"/>
                                </a:lnTo>
                                <a:lnTo>
                                  <a:pt x="1898" y="180"/>
                                </a:lnTo>
                                <a:lnTo>
                                  <a:pt x="1905" y="177"/>
                                </a:lnTo>
                                <a:lnTo>
                                  <a:pt x="1913" y="174"/>
                                </a:lnTo>
                                <a:lnTo>
                                  <a:pt x="1921" y="172"/>
                                </a:lnTo>
                                <a:lnTo>
                                  <a:pt x="1930" y="170"/>
                                </a:lnTo>
                                <a:lnTo>
                                  <a:pt x="1938" y="170"/>
                                </a:lnTo>
                                <a:lnTo>
                                  <a:pt x="1948" y="170"/>
                                </a:lnTo>
                                <a:lnTo>
                                  <a:pt x="1958" y="173"/>
                                </a:lnTo>
                                <a:lnTo>
                                  <a:pt x="1967" y="175"/>
                                </a:lnTo>
                                <a:lnTo>
                                  <a:pt x="1977" y="179"/>
                                </a:lnTo>
                                <a:lnTo>
                                  <a:pt x="1984" y="184"/>
                                </a:lnTo>
                                <a:lnTo>
                                  <a:pt x="1993" y="189"/>
                                </a:lnTo>
                                <a:lnTo>
                                  <a:pt x="2001" y="197"/>
                                </a:lnTo>
                                <a:lnTo>
                                  <a:pt x="2008" y="204"/>
                                </a:lnTo>
                                <a:lnTo>
                                  <a:pt x="2008" y="108"/>
                                </a:lnTo>
                                <a:close/>
                                <a:moveTo>
                                  <a:pt x="1727" y="99"/>
                                </a:moveTo>
                                <a:lnTo>
                                  <a:pt x="1647" y="99"/>
                                </a:lnTo>
                                <a:lnTo>
                                  <a:pt x="1647" y="407"/>
                                </a:lnTo>
                                <a:lnTo>
                                  <a:pt x="1727" y="407"/>
                                </a:lnTo>
                                <a:lnTo>
                                  <a:pt x="1727" y="99"/>
                                </a:lnTo>
                                <a:close/>
                                <a:moveTo>
                                  <a:pt x="1538" y="167"/>
                                </a:moveTo>
                                <a:lnTo>
                                  <a:pt x="1604" y="167"/>
                                </a:lnTo>
                                <a:lnTo>
                                  <a:pt x="1604" y="99"/>
                                </a:lnTo>
                                <a:lnTo>
                                  <a:pt x="1394" y="99"/>
                                </a:lnTo>
                                <a:lnTo>
                                  <a:pt x="1394" y="167"/>
                                </a:lnTo>
                                <a:lnTo>
                                  <a:pt x="1459" y="167"/>
                                </a:lnTo>
                                <a:lnTo>
                                  <a:pt x="1459" y="407"/>
                                </a:lnTo>
                                <a:lnTo>
                                  <a:pt x="1538" y="407"/>
                                </a:lnTo>
                                <a:lnTo>
                                  <a:pt x="1538" y="167"/>
                                </a:lnTo>
                                <a:close/>
                                <a:moveTo>
                                  <a:pt x="1360" y="117"/>
                                </a:moveTo>
                                <a:lnTo>
                                  <a:pt x="1349" y="111"/>
                                </a:lnTo>
                                <a:lnTo>
                                  <a:pt x="1337" y="106"/>
                                </a:lnTo>
                                <a:lnTo>
                                  <a:pt x="1324" y="102"/>
                                </a:lnTo>
                                <a:lnTo>
                                  <a:pt x="1313" y="98"/>
                                </a:lnTo>
                                <a:lnTo>
                                  <a:pt x="1300" y="96"/>
                                </a:lnTo>
                                <a:lnTo>
                                  <a:pt x="1288" y="93"/>
                                </a:lnTo>
                                <a:lnTo>
                                  <a:pt x="1276" y="92"/>
                                </a:lnTo>
                                <a:lnTo>
                                  <a:pt x="1263" y="92"/>
                                </a:lnTo>
                                <a:lnTo>
                                  <a:pt x="1252" y="92"/>
                                </a:lnTo>
                                <a:lnTo>
                                  <a:pt x="1241" y="94"/>
                                </a:lnTo>
                                <a:lnTo>
                                  <a:pt x="1231" y="96"/>
                                </a:lnTo>
                                <a:lnTo>
                                  <a:pt x="1221" y="99"/>
                                </a:lnTo>
                                <a:lnTo>
                                  <a:pt x="1211" y="103"/>
                                </a:lnTo>
                                <a:lnTo>
                                  <a:pt x="1203" y="108"/>
                                </a:lnTo>
                                <a:lnTo>
                                  <a:pt x="1195" y="114"/>
                                </a:lnTo>
                                <a:lnTo>
                                  <a:pt x="1187" y="121"/>
                                </a:lnTo>
                                <a:lnTo>
                                  <a:pt x="1181" y="128"/>
                                </a:lnTo>
                                <a:lnTo>
                                  <a:pt x="1175" y="136"/>
                                </a:lnTo>
                                <a:lnTo>
                                  <a:pt x="1170" y="144"/>
                                </a:lnTo>
                                <a:lnTo>
                                  <a:pt x="1166" y="153"/>
                                </a:lnTo>
                                <a:lnTo>
                                  <a:pt x="1162" y="163"/>
                                </a:lnTo>
                                <a:lnTo>
                                  <a:pt x="1161" y="174"/>
                                </a:lnTo>
                                <a:lnTo>
                                  <a:pt x="1158" y="184"/>
                                </a:lnTo>
                                <a:lnTo>
                                  <a:pt x="1158" y="195"/>
                                </a:lnTo>
                                <a:lnTo>
                                  <a:pt x="1158" y="205"/>
                                </a:lnTo>
                                <a:lnTo>
                                  <a:pt x="1160" y="215"/>
                                </a:lnTo>
                                <a:lnTo>
                                  <a:pt x="1162" y="224"/>
                                </a:lnTo>
                                <a:lnTo>
                                  <a:pt x="1165" y="231"/>
                                </a:lnTo>
                                <a:lnTo>
                                  <a:pt x="1168" y="239"/>
                                </a:lnTo>
                                <a:lnTo>
                                  <a:pt x="1172" y="245"/>
                                </a:lnTo>
                                <a:lnTo>
                                  <a:pt x="1177" y="251"/>
                                </a:lnTo>
                                <a:lnTo>
                                  <a:pt x="1183" y="256"/>
                                </a:lnTo>
                                <a:lnTo>
                                  <a:pt x="1192" y="263"/>
                                </a:lnTo>
                                <a:lnTo>
                                  <a:pt x="1203" y="269"/>
                                </a:lnTo>
                                <a:lnTo>
                                  <a:pt x="1219" y="275"/>
                                </a:lnTo>
                                <a:lnTo>
                                  <a:pt x="1242" y="281"/>
                                </a:lnTo>
                                <a:lnTo>
                                  <a:pt x="1254" y="286"/>
                                </a:lnTo>
                                <a:lnTo>
                                  <a:pt x="1264" y="290"/>
                                </a:lnTo>
                                <a:lnTo>
                                  <a:pt x="1273" y="294"/>
                                </a:lnTo>
                                <a:lnTo>
                                  <a:pt x="1279" y="297"/>
                                </a:lnTo>
                                <a:lnTo>
                                  <a:pt x="1284" y="301"/>
                                </a:lnTo>
                                <a:lnTo>
                                  <a:pt x="1287" y="306"/>
                                </a:lnTo>
                                <a:lnTo>
                                  <a:pt x="1289" y="311"/>
                                </a:lnTo>
                                <a:lnTo>
                                  <a:pt x="1289" y="317"/>
                                </a:lnTo>
                                <a:lnTo>
                                  <a:pt x="1289" y="324"/>
                                </a:lnTo>
                                <a:lnTo>
                                  <a:pt x="1287" y="330"/>
                                </a:lnTo>
                                <a:lnTo>
                                  <a:pt x="1283" y="335"/>
                                </a:lnTo>
                                <a:lnTo>
                                  <a:pt x="1279" y="339"/>
                                </a:lnTo>
                                <a:lnTo>
                                  <a:pt x="1273" y="342"/>
                                </a:lnTo>
                                <a:lnTo>
                                  <a:pt x="1267" y="345"/>
                                </a:lnTo>
                                <a:lnTo>
                                  <a:pt x="1259" y="346"/>
                                </a:lnTo>
                                <a:lnTo>
                                  <a:pt x="1251" y="347"/>
                                </a:lnTo>
                                <a:lnTo>
                                  <a:pt x="1242" y="347"/>
                                </a:lnTo>
                                <a:lnTo>
                                  <a:pt x="1233" y="345"/>
                                </a:lnTo>
                                <a:lnTo>
                                  <a:pt x="1224" y="344"/>
                                </a:lnTo>
                                <a:lnTo>
                                  <a:pt x="1216" y="340"/>
                                </a:lnTo>
                                <a:lnTo>
                                  <a:pt x="1207" y="335"/>
                                </a:lnTo>
                                <a:lnTo>
                                  <a:pt x="1198" y="330"/>
                                </a:lnTo>
                                <a:lnTo>
                                  <a:pt x="1190" y="324"/>
                                </a:lnTo>
                                <a:lnTo>
                                  <a:pt x="1180" y="316"/>
                                </a:lnTo>
                                <a:lnTo>
                                  <a:pt x="1146" y="381"/>
                                </a:lnTo>
                                <a:lnTo>
                                  <a:pt x="1158" y="388"/>
                                </a:lnTo>
                                <a:lnTo>
                                  <a:pt x="1171" y="396"/>
                                </a:lnTo>
                                <a:lnTo>
                                  <a:pt x="1185" y="401"/>
                                </a:lnTo>
                                <a:lnTo>
                                  <a:pt x="1198" y="406"/>
                                </a:lnTo>
                                <a:lnTo>
                                  <a:pt x="1212" y="410"/>
                                </a:lnTo>
                                <a:lnTo>
                                  <a:pt x="1226" y="413"/>
                                </a:lnTo>
                                <a:lnTo>
                                  <a:pt x="1239" y="415"/>
                                </a:lnTo>
                                <a:lnTo>
                                  <a:pt x="1253" y="415"/>
                                </a:lnTo>
                                <a:lnTo>
                                  <a:pt x="1266" y="415"/>
                                </a:lnTo>
                                <a:lnTo>
                                  <a:pt x="1278" y="413"/>
                                </a:lnTo>
                                <a:lnTo>
                                  <a:pt x="1290" y="411"/>
                                </a:lnTo>
                                <a:lnTo>
                                  <a:pt x="1302" y="407"/>
                                </a:lnTo>
                                <a:lnTo>
                                  <a:pt x="1313" y="403"/>
                                </a:lnTo>
                                <a:lnTo>
                                  <a:pt x="1323" y="398"/>
                                </a:lnTo>
                                <a:lnTo>
                                  <a:pt x="1333" y="392"/>
                                </a:lnTo>
                                <a:lnTo>
                                  <a:pt x="1342" y="386"/>
                                </a:lnTo>
                                <a:lnTo>
                                  <a:pt x="1349" y="378"/>
                                </a:lnTo>
                                <a:lnTo>
                                  <a:pt x="1355" y="371"/>
                                </a:lnTo>
                                <a:lnTo>
                                  <a:pt x="1360" y="362"/>
                                </a:lnTo>
                                <a:lnTo>
                                  <a:pt x="1365" y="352"/>
                                </a:lnTo>
                                <a:lnTo>
                                  <a:pt x="1369" y="342"/>
                                </a:lnTo>
                                <a:lnTo>
                                  <a:pt x="1371" y="331"/>
                                </a:lnTo>
                                <a:lnTo>
                                  <a:pt x="1373" y="319"/>
                                </a:lnTo>
                                <a:lnTo>
                                  <a:pt x="1373" y="306"/>
                                </a:lnTo>
                                <a:lnTo>
                                  <a:pt x="1371" y="290"/>
                                </a:lnTo>
                                <a:lnTo>
                                  <a:pt x="1369" y="275"/>
                                </a:lnTo>
                                <a:lnTo>
                                  <a:pt x="1366" y="269"/>
                                </a:lnTo>
                                <a:lnTo>
                                  <a:pt x="1363" y="263"/>
                                </a:lnTo>
                                <a:lnTo>
                                  <a:pt x="1359" y="258"/>
                                </a:lnTo>
                                <a:lnTo>
                                  <a:pt x="1355" y="251"/>
                                </a:lnTo>
                                <a:lnTo>
                                  <a:pt x="1350" y="246"/>
                                </a:lnTo>
                                <a:lnTo>
                                  <a:pt x="1345" y="241"/>
                                </a:lnTo>
                                <a:lnTo>
                                  <a:pt x="1339" y="238"/>
                                </a:lnTo>
                                <a:lnTo>
                                  <a:pt x="1332" y="234"/>
                                </a:lnTo>
                                <a:lnTo>
                                  <a:pt x="1315" y="226"/>
                                </a:lnTo>
                                <a:lnTo>
                                  <a:pt x="1298" y="220"/>
                                </a:lnTo>
                                <a:lnTo>
                                  <a:pt x="1276" y="213"/>
                                </a:lnTo>
                                <a:lnTo>
                                  <a:pt x="1263" y="209"/>
                                </a:lnTo>
                                <a:lnTo>
                                  <a:pt x="1256" y="205"/>
                                </a:lnTo>
                                <a:lnTo>
                                  <a:pt x="1249" y="200"/>
                                </a:lnTo>
                                <a:lnTo>
                                  <a:pt x="1247" y="198"/>
                                </a:lnTo>
                                <a:lnTo>
                                  <a:pt x="1244" y="194"/>
                                </a:lnTo>
                                <a:lnTo>
                                  <a:pt x="1242" y="189"/>
                                </a:lnTo>
                                <a:lnTo>
                                  <a:pt x="1242" y="185"/>
                                </a:lnTo>
                                <a:lnTo>
                                  <a:pt x="1243" y="179"/>
                                </a:lnTo>
                                <a:lnTo>
                                  <a:pt x="1244" y="174"/>
                                </a:lnTo>
                                <a:lnTo>
                                  <a:pt x="1248" y="170"/>
                                </a:lnTo>
                                <a:lnTo>
                                  <a:pt x="1252" y="167"/>
                                </a:lnTo>
                                <a:lnTo>
                                  <a:pt x="1257" y="163"/>
                                </a:lnTo>
                                <a:lnTo>
                                  <a:pt x="1263" y="160"/>
                                </a:lnTo>
                                <a:lnTo>
                                  <a:pt x="1269" y="159"/>
                                </a:lnTo>
                                <a:lnTo>
                                  <a:pt x="1277" y="158"/>
                                </a:lnTo>
                                <a:lnTo>
                                  <a:pt x="1283" y="159"/>
                                </a:lnTo>
                                <a:lnTo>
                                  <a:pt x="1289" y="159"/>
                                </a:lnTo>
                                <a:lnTo>
                                  <a:pt x="1297" y="162"/>
                                </a:lnTo>
                                <a:lnTo>
                                  <a:pt x="1303" y="163"/>
                                </a:lnTo>
                                <a:lnTo>
                                  <a:pt x="1315" y="170"/>
                                </a:lnTo>
                                <a:lnTo>
                                  <a:pt x="1329" y="179"/>
                                </a:lnTo>
                                <a:lnTo>
                                  <a:pt x="1360" y="117"/>
                                </a:lnTo>
                                <a:close/>
                                <a:moveTo>
                                  <a:pt x="1091" y="99"/>
                                </a:moveTo>
                                <a:lnTo>
                                  <a:pt x="1011" y="99"/>
                                </a:lnTo>
                                <a:lnTo>
                                  <a:pt x="1011" y="407"/>
                                </a:lnTo>
                                <a:lnTo>
                                  <a:pt x="1091" y="407"/>
                                </a:lnTo>
                                <a:lnTo>
                                  <a:pt x="1091" y="99"/>
                                </a:lnTo>
                                <a:close/>
                                <a:moveTo>
                                  <a:pt x="904" y="167"/>
                                </a:moveTo>
                                <a:lnTo>
                                  <a:pt x="970" y="167"/>
                                </a:lnTo>
                                <a:lnTo>
                                  <a:pt x="970" y="99"/>
                                </a:lnTo>
                                <a:lnTo>
                                  <a:pt x="758" y="99"/>
                                </a:lnTo>
                                <a:lnTo>
                                  <a:pt x="758" y="167"/>
                                </a:lnTo>
                                <a:lnTo>
                                  <a:pt x="825" y="167"/>
                                </a:lnTo>
                                <a:lnTo>
                                  <a:pt x="825" y="407"/>
                                </a:lnTo>
                                <a:lnTo>
                                  <a:pt x="904" y="407"/>
                                </a:lnTo>
                                <a:lnTo>
                                  <a:pt x="904" y="167"/>
                                </a:lnTo>
                                <a:close/>
                                <a:moveTo>
                                  <a:pt x="644" y="292"/>
                                </a:moveTo>
                                <a:lnTo>
                                  <a:pt x="578" y="292"/>
                                </a:lnTo>
                                <a:lnTo>
                                  <a:pt x="611" y="194"/>
                                </a:lnTo>
                                <a:lnTo>
                                  <a:pt x="644" y="292"/>
                                </a:lnTo>
                                <a:close/>
                                <a:moveTo>
                                  <a:pt x="666" y="354"/>
                                </a:moveTo>
                                <a:lnTo>
                                  <a:pt x="686" y="407"/>
                                </a:lnTo>
                                <a:lnTo>
                                  <a:pt x="771" y="407"/>
                                </a:lnTo>
                                <a:lnTo>
                                  <a:pt x="655" y="99"/>
                                </a:lnTo>
                                <a:lnTo>
                                  <a:pt x="568" y="99"/>
                                </a:lnTo>
                                <a:lnTo>
                                  <a:pt x="450" y="407"/>
                                </a:lnTo>
                                <a:lnTo>
                                  <a:pt x="534" y="407"/>
                                </a:lnTo>
                                <a:lnTo>
                                  <a:pt x="555" y="354"/>
                                </a:lnTo>
                                <a:lnTo>
                                  <a:pt x="666" y="354"/>
                                </a:lnTo>
                                <a:close/>
                                <a:moveTo>
                                  <a:pt x="395" y="167"/>
                                </a:moveTo>
                                <a:lnTo>
                                  <a:pt x="461" y="167"/>
                                </a:lnTo>
                                <a:lnTo>
                                  <a:pt x="461" y="99"/>
                                </a:lnTo>
                                <a:lnTo>
                                  <a:pt x="249" y="99"/>
                                </a:lnTo>
                                <a:lnTo>
                                  <a:pt x="249" y="167"/>
                                </a:lnTo>
                                <a:lnTo>
                                  <a:pt x="315" y="167"/>
                                </a:lnTo>
                                <a:lnTo>
                                  <a:pt x="315" y="407"/>
                                </a:lnTo>
                                <a:lnTo>
                                  <a:pt x="395" y="407"/>
                                </a:lnTo>
                                <a:lnTo>
                                  <a:pt x="395" y="167"/>
                                </a:lnTo>
                                <a:close/>
                                <a:moveTo>
                                  <a:pt x="214" y="117"/>
                                </a:moveTo>
                                <a:lnTo>
                                  <a:pt x="203" y="111"/>
                                </a:lnTo>
                                <a:lnTo>
                                  <a:pt x="190" y="106"/>
                                </a:lnTo>
                                <a:lnTo>
                                  <a:pt x="178" y="102"/>
                                </a:lnTo>
                                <a:lnTo>
                                  <a:pt x="167" y="98"/>
                                </a:lnTo>
                                <a:lnTo>
                                  <a:pt x="154" y="96"/>
                                </a:lnTo>
                                <a:lnTo>
                                  <a:pt x="142" y="93"/>
                                </a:lnTo>
                                <a:lnTo>
                                  <a:pt x="129" y="92"/>
                                </a:lnTo>
                                <a:lnTo>
                                  <a:pt x="117" y="92"/>
                                </a:lnTo>
                                <a:lnTo>
                                  <a:pt x="106" y="92"/>
                                </a:lnTo>
                                <a:lnTo>
                                  <a:pt x="94" y="94"/>
                                </a:lnTo>
                                <a:lnTo>
                                  <a:pt x="84" y="96"/>
                                </a:lnTo>
                                <a:lnTo>
                                  <a:pt x="75" y="99"/>
                                </a:lnTo>
                                <a:lnTo>
                                  <a:pt x="65" y="103"/>
                                </a:lnTo>
                                <a:lnTo>
                                  <a:pt x="56" y="108"/>
                                </a:lnTo>
                                <a:lnTo>
                                  <a:pt x="48" y="114"/>
                                </a:lnTo>
                                <a:lnTo>
                                  <a:pt x="41" y="121"/>
                                </a:lnTo>
                                <a:lnTo>
                                  <a:pt x="35" y="128"/>
                                </a:lnTo>
                                <a:lnTo>
                                  <a:pt x="28" y="136"/>
                                </a:lnTo>
                                <a:lnTo>
                                  <a:pt x="23" y="144"/>
                                </a:lnTo>
                                <a:lnTo>
                                  <a:pt x="20" y="153"/>
                                </a:lnTo>
                                <a:lnTo>
                                  <a:pt x="16" y="163"/>
                                </a:lnTo>
                                <a:lnTo>
                                  <a:pt x="15" y="174"/>
                                </a:lnTo>
                                <a:lnTo>
                                  <a:pt x="12" y="184"/>
                                </a:lnTo>
                                <a:lnTo>
                                  <a:pt x="12" y="195"/>
                                </a:lnTo>
                                <a:lnTo>
                                  <a:pt x="12" y="205"/>
                                </a:lnTo>
                                <a:lnTo>
                                  <a:pt x="13" y="215"/>
                                </a:lnTo>
                                <a:lnTo>
                                  <a:pt x="16" y="224"/>
                                </a:lnTo>
                                <a:lnTo>
                                  <a:pt x="18" y="231"/>
                                </a:lnTo>
                                <a:lnTo>
                                  <a:pt x="22" y="239"/>
                                </a:lnTo>
                                <a:lnTo>
                                  <a:pt x="26" y="245"/>
                                </a:lnTo>
                                <a:lnTo>
                                  <a:pt x="31" y="251"/>
                                </a:lnTo>
                                <a:lnTo>
                                  <a:pt x="37" y="256"/>
                                </a:lnTo>
                                <a:lnTo>
                                  <a:pt x="46" y="263"/>
                                </a:lnTo>
                                <a:lnTo>
                                  <a:pt x="57" y="269"/>
                                </a:lnTo>
                                <a:lnTo>
                                  <a:pt x="73" y="275"/>
                                </a:lnTo>
                                <a:lnTo>
                                  <a:pt x="96" y="281"/>
                                </a:lnTo>
                                <a:lnTo>
                                  <a:pt x="108" y="286"/>
                                </a:lnTo>
                                <a:lnTo>
                                  <a:pt x="118" y="290"/>
                                </a:lnTo>
                                <a:lnTo>
                                  <a:pt x="127" y="294"/>
                                </a:lnTo>
                                <a:lnTo>
                                  <a:pt x="133" y="297"/>
                                </a:lnTo>
                                <a:lnTo>
                                  <a:pt x="138" y="301"/>
                                </a:lnTo>
                                <a:lnTo>
                                  <a:pt x="141" y="306"/>
                                </a:lnTo>
                                <a:lnTo>
                                  <a:pt x="143" y="311"/>
                                </a:lnTo>
                                <a:lnTo>
                                  <a:pt x="143" y="317"/>
                                </a:lnTo>
                                <a:lnTo>
                                  <a:pt x="143" y="324"/>
                                </a:lnTo>
                                <a:lnTo>
                                  <a:pt x="141" y="330"/>
                                </a:lnTo>
                                <a:lnTo>
                                  <a:pt x="137" y="335"/>
                                </a:lnTo>
                                <a:lnTo>
                                  <a:pt x="133" y="339"/>
                                </a:lnTo>
                                <a:lnTo>
                                  <a:pt x="127" y="342"/>
                                </a:lnTo>
                                <a:lnTo>
                                  <a:pt x="121" y="345"/>
                                </a:lnTo>
                                <a:lnTo>
                                  <a:pt x="113" y="346"/>
                                </a:lnTo>
                                <a:lnTo>
                                  <a:pt x="104" y="347"/>
                                </a:lnTo>
                                <a:lnTo>
                                  <a:pt x="96" y="347"/>
                                </a:lnTo>
                                <a:lnTo>
                                  <a:pt x="87" y="345"/>
                                </a:lnTo>
                                <a:lnTo>
                                  <a:pt x="78" y="344"/>
                                </a:lnTo>
                                <a:lnTo>
                                  <a:pt x="70" y="340"/>
                                </a:lnTo>
                                <a:lnTo>
                                  <a:pt x="61" y="335"/>
                                </a:lnTo>
                                <a:lnTo>
                                  <a:pt x="52" y="330"/>
                                </a:lnTo>
                                <a:lnTo>
                                  <a:pt x="43" y="324"/>
                                </a:lnTo>
                                <a:lnTo>
                                  <a:pt x="33" y="316"/>
                                </a:lnTo>
                                <a:lnTo>
                                  <a:pt x="0" y="381"/>
                                </a:lnTo>
                                <a:lnTo>
                                  <a:pt x="12" y="388"/>
                                </a:lnTo>
                                <a:lnTo>
                                  <a:pt x="25" y="396"/>
                                </a:lnTo>
                                <a:lnTo>
                                  <a:pt x="38" y="401"/>
                                </a:lnTo>
                                <a:lnTo>
                                  <a:pt x="52" y="406"/>
                                </a:lnTo>
                                <a:lnTo>
                                  <a:pt x="66" y="410"/>
                                </a:lnTo>
                                <a:lnTo>
                                  <a:pt x="79" y="413"/>
                                </a:lnTo>
                                <a:lnTo>
                                  <a:pt x="93" y="415"/>
                                </a:lnTo>
                                <a:lnTo>
                                  <a:pt x="107" y="415"/>
                                </a:lnTo>
                                <a:lnTo>
                                  <a:pt x="119" y="415"/>
                                </a:lnTo>
                                <a:lnTo>
                                  <a:pt x="132" y="413"/>
                                </a:lnTo>
                                <a:lnTo>
                                  <a:pt x="144" y="411"/>
                                </a:lnTo>
                                <a:lnTo>
                                  <a:pt x="155" y="407"/>
                                </a:lnTo>
                                <a:lnTo>
                                  <a:pt x="167" y="403"/>
                                </a:lnTo>
                                <a:lnTo>
                                  <a:pt x="177" y="398"/>
                                </a:lnTo>
                                <a:lnTo>
                                  <a:pt x="187" y="392"/>
                                </a:lnTo>
                                <a:lnTo>
                                  <a:pt x="195" y="386"/>
                                </a:lnTo>
                                <a:lnTo>
                                  <a:pt x="203" y="378"/>
                                </a:lnTo>
                                <a:lnTo>
                                  <a:pt x="209" y="371"/>
                                </a:lnTo>
                                <a:lnTo>
                                  <a:pt x="214" y="362"/>
                                </a:lnTo>
                                <a:lnTo>
                                  <a:pt x="219" y="352"/>
                                </a:lnTo>
                                <a:lnTo>
                                  <a:pt x="223" y="342"/>
                                </a:lnTo>
                                <a:lnTo>
                                  <a:pt x="225" y="331"/>
                                </a:lnTo>
                                <a:lnTo>
                                  <a:pt x="227" y="319"/>
                                </a:lnTo>
                                <a:lnTo>
                                  <a:pt x="227" y="306"/>
                                </a:lnTo>
                                <a:lnTo>
                                  <a:pt x="225" y="290"/>
                                </a:lnTo>
                                <a:lnTo>
                                  <a:pt x="223" y="275"/>
                                </a:lnTo>
                                <a:lnTo>
                                  <a:pt x="220" y="269"/>
                                </a:lnTo>
                                <a:lnTo>
                                  <a:pt x="217" y="263"/>
                                </a:lnTo>
                                <a:lnTo>
                                  <a:pt x="213" y="258"/>
                                </a:lnTo>
                                <a:lnTo>
                                  <a:pt x="209" y="251"/>
                                </a:lnTo>
                                <a:lnTo>
                                  <a:pt x="204" y="246"/>
                                </a:lnTo>
                                <a:lnTo>
                                  <a:pt x="199" y="241"/>
                                </a:lnTo>
                                <a:lnTo>
                                  <a:pt x="193" y="238"/>
                                </a:lnTo>
                                <a:lnTo>
                                  <a:pt x="185" y="234"/>
                                </a:lnTo>
                                <a:lnTo>
                                  <a:pt x="169" y="226"/>
                                </a:lnTo>
                                <a:lnTo>
                                  <a:pt x="151" y="220"/>
                                </a:lnTo>
                                <a:lnTo>
                                  <a:pt x="129" y="213"/>
                                </a:lnTo>
                                <a:lnTo>
                                  <a:pt x="117" y="209"/>
                                </a:lnTo>
                                <a:lnTo>
                                  <a:pt x="109" y="205"/>
                                </a:lnTo>
                                <a:lnTo>
                                  <a:pt x="103" y="200"/>
                                </a:lnTo>
                                <a:lnTo>
                                  <a:pt x="99" y="198"/>
                                </a:lnTo>
                                <a:lnTo>
                                  <a:pt x="98" y="194"/>
                                </a:lnTo>
                                <a:lnTo>
                                  <a:pt x="96" y="189"/>
                                </a:lnTo>
                                <a:lnTo>
                                  <a:pt x="96" y="185"/>
                                </a:lnTo>
                                <a:lnTo>
                                  <a:pt x="97" y="179"/>
                                </a:lnTo>
                                <a:lnTo>
                                  <a:pt x="98" y="174"/>
                                </a:lnTo>
                                <a:lnTo>
                                  <a:pt x="102" y="170"/>
                                </a:lnTo>
                                <a:lnTo>
                                  <a:pt x="106" y="167"/>
                                </a:lnTo>
                                <a:lnTo>
                                  <a:pt x="111" y="163"/>
                                </a:lnTo>
                                <a:lnTo>
                                  <a:pt x="117" y="160"/>
                                </a:lnTo>
                                <a:lnTo>
                                  <a:pt x="123" y="159"/>
                                </a:lnTo>
                                <a:lnTo>
                                  <a:pt x="129" y="158"/>
                                </a:lnTo>
                                <a:lnTo>
                                  <a:pt x="137" y="159"/>
                                </a:lnTo>
                                <a:lnTo>
                                  <a:pt x="143" y="159"/>
                                </a:lnTo>
                                <a:lnTo>
                                  <a:pt x="151" y="162"/>
                                </a:lnTo>
                                <a:lnTo>
                                  <a:pt x="157" y="163"/>
                                </a:lnTo>
                                <a:lnTo>
                                  <a:pt x="169" y="170"/>
                                </a:lnTo>
                                <a:lnTo>
                                  <a:pt x="183" y="179"/>
                                </a:lnTo>
                                <a:lnTo>
                                  <a:pt x="214" y="117"/>
                                </a:lnTo>
                                <a:close/>
                              </a:path>
                            </a:pathLst>
                          </a:custGeom>
                          <a:solidFill>
                            <a:srgbClr val="BD1B2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ChangeAspect="1" noEditPoints="1"/>
                        </wps:cNvSpPr>
                        <wps:spPr bwMode="auto">
                          <a:xfrm>
                            <a:off x="1962" y="851"/>
                            <a:ext cx="679" cy="208"/>
                          </a:xfrm>
                          <a:custGeom>
                            <a:avLst/>
                            <a:gdLst>
                              <a:gd name="T0" fmla="*/ 641 w 1358"/>
                              <a:gd name="T1" fmla="*/ 18 h 416"/>
                              <a:gd name="T2" fmla="*/ 679 w 1358"/>
                              <a:gd name="T3" fmla="*/ 50 h 416"/>
                              <a:gd name="T4" fmla="*/ 581 w 1358"/>
                              <a:gd name="T5" fmla="*/ 130 h 416"/>
                              <a:gd name="T6" fmla="*/ 432 w 1358"/>
                              <a:gd name="T7" fmla="*/ 204 h 416"/>
                              <a:gd name="T8" fmla="*/ 530 w 1358"/>
                              <a:gd name="T9" fmla="*/ 50 h 416"/>
                              <a:gd name="T10" fmla="*/ 349 w 1358"/>
                              <a:gd name="T11" fmla="*/ 54 h 416"/>
                              <a:gd name="T12" fmla="*/ 318 w 1358"/>
                              <a:gd name="T13" fmla="*/ 46 h 416"/>
                              <a:gd name="T14" fmla="*/ 290 w 1358"/>
                              <a:gd name="T15" fmla="*/ 50 h 416"/>
                              <a:gd name="T16" fmla="*/ 271 w 1358"/>
                              <a:gd name="T17" fmla="*/ 64 h 416"/>
                              <a:gd name="T18" fmla="*/ 261 w 1358"/>
                              <a:gd name="T19" fmla="*/ 87 h 416"/>
                              <a:gd name="T20" fmla="*/ 261 w 1358"/>
                              <a:gd name="T21" fmla="*/ 112 h 416"/>
                              <a:gd name="T22" fmla="*/ 272 w 1358"/>
                              <a:gd name="T23" fmla="*/ 129 h 416"/>
                              <a:gd name="T24" fmla="*/ 307 w 1358"/>
                              <a:gd name="T25" fmla="*/ 144 h 416"/>
                              <a:gd name="T26" fmla="*/ 324 w 1358"/>
                              <a:gd name="T27" fmla="*/ 153 h 416"/>
                              <a:gd name="T28" fmla="*/ 322 w 1358"/>
                              <a:gd name="T29" fmla="*/ 168 h 416"/>
                              <a:gd name="T30" fmla="*/ 306 w 1358"/>
                              <a:gd name="T31" fmla="*/ 174 h 416"/>
                              <a:gd name="T32" fmla="*/ 284 w 1358"/>
                              <a:gd name="T33" fmla="*/ 168 h 416"/>
                              <a:gd name="T34" fmla="*/ 260 w 1358"/>
                              <a:gd name="T35" fmla="*/ 195 h 416"/>
                              <a:gd name="T36" fmla="*/ 293 w 1358"/>
                              <a:gd name="T37" fmla="*/ 207 h 416"/>
                              <a:gd name="T38" fmla="*/ 326 w 1358"/>
                              <a:gd name="T39" fmla="*/ 206 h 416"/>
                              <a:gd name="T40" fmla="*/ 351 w 1358"/>
                              <a:gd name="T41" fmla="*/ 193 h 416"/>
                              <a:gd name="T42" fmla="*/ 365 w 1358"/>
                              <a:gd name="T43" fmla="*/ 172 h 416"/>
                              <a:gd name="T44" fmla="*/ 365 w 1358"/>
                              <a:gd name="T45" fmla="*/ 138 h 416"/>
                              <a:gd name="T46" fmla="*/ 356 w 1358"/>
                              <a:gd name="T47" fmla="*/ 124 h 416"/>
                              <a:gd name="T48" fmla="*/ 329 w 1358"/>
                              <a:gd name="T49" fmla="*/ 111 h 416"/>
                              <a:gd name="T50" fmla="*/ 304 w 1358"/>
                              <a:gd name="T51" fmla="*/ 99 h 416"/>
                              <a:gd name="T52" fmla="*/ 303 w 1358"/>
                              <a:gd name="T53" fmla="*/ 87 h 416"/>
                              <a:gd name="T54" fmla="*/ 315 w 1358"/>
                              <a:gd name="T55" fmla="*/ 80 h 416"/>
                              <a:gd name="T56" fmla="*/ 332 w 1358"/>
                              <a:gd name="T57" fmla="*/ 82 h 416"/>
                              <a:gd name="T58" fmla="*/ 232 w 1358"/>
                              <a:gd name="T59" fmla="*/ 50 h 416"/>
                              <a:gd name="T60" fmla="*/ 185 w 1358"/>
                              <a:gd name="T61" fmla="*/ 170 h 416"/>
                              <a:gd name="T62" fmla="*/ 185 w 1358"/>
                              <a:gd name="T63" fmla="*/ 84 h 416"/>
                              <a:gd name="T64" fmla="*/ 105 w 1358"/>
                              <a:gd name="T65" fmla="*/ 1 h 416"/>
                              <a:gd name="T66" fmla="*/ 108 w 1358"/>
                              <a:gd name="T67" fmla="*/ 51 h 416"/>
                              <a:gd name="T68" fmla="*/ 65 w 1358"/>
                              <a:gd name="T69" fmla="*/ 48 h 416"/>
                              <a:gd name="T70" fmla="*/ 29 w 1358"/>
                              <a:gd name="T71" fmla="*/ 65 h 416"/>
                              <a:gd name="T72" fmla="*/ 6 w 1358"/>
                              <a:gd name="T73" fmla="*/ 96 h 416"/>
                              <a:gd name="T74" fmla="*/ 0 w 1358"/>
                              <a:gd name="T75" fmla="*/ 136 h 416"/>
                              <a:gd name="T76" fmla="*/ 11 w 1358"/>
                              <a:gd name="T77" fmla="*/ 170 h 416"/>
                              <a:gd name="T78" fmla="*/ 41 w 1358"/>
                              <a:gd name="T79" fmla="*/ 197 h 416"/>
                              <a:gd name="T80" fmla="*/ 82 w 1358"/>
                              <a:gd name="T81" fmla="*/ 208 h 416"/>
                              <a:gd name="T82" fmla="*/ 118 w 1358"/>
                              <a:gd name="T83" fmla="*/ 153 h 416"/>
                              <a:gd name="T84" fmla="*/ 97 w 1358"/>
                              <a:gd name="T85" fmla="*/ 167 h 416"/>
                              <a:gd name="T86" fmla="*/ 76 w 1358"/>
                              <a:gd name="T87" fmla="*/ 168 h 416"/>
                              <a:gd name="T88" fmla="*/ 59 w 1358"/>
                              <a:gd name="T89" fmla="*/ 162 h 416"/>
                              <a:gd name="T90" fmla="*/ 45 w 1358"/>
                              <a:gd name="T91" fmla="*/ 146 h 416"/>
                              <a:gd name="T92" fmla="*/ 42 w 1358"/>
                              <a:gd name="T93" fmla="*/ 124 h 416"/>
                              <a:gd name="T94" fmla="*/ 49 w 1358"/>
                              <a:gd name="T95" fmla="*/ 104 h 416"/>
                              <a:gd name="T96" fmla="*/ 63 w 1358"/>
                              <a:gd name="T97" fmla="*/ 91 h 416"/>
                              <a:gd name="T98" fmla="*/ 83 w 1358"/>
                              <a:gd name="T99" fmla="*/ 86 h 416"/>
                              <a:gd name="T100" fmla="*/ 107 w 1358"/>
                              <a:gd name="T101" fmla="*/ 92 h 41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1358" h="416">
                                <a:moveTo>
                                  <a:pt x="1282" y="36"/>
                                </a:moveTo>
                                <a:lnTo>
                                  <a:pt x="1243" y="0"/>
                                </a:lnTo>
                                <a:lnTo>
                                  <a:pt x="1178" y="56"/>
                                </a:lnTo>
                                <a:lnTo>
                                  <a:pt x="1205" y="85"/>
                                </a:lnTo>
                                <a:lnTo>
                                  <a:pt x="1282" y="36"/>
                                </a:lnTo>
                                <a:close/>
                                <a:moveTo>
                                  <a:pt x="1162" y="260"/>
                                </a:moveTo>
                                <a:lnTo>
                                  <a:pt x="1162" y="407"/>
                                </a:lnTo>
                                <a:lnTo>
                                  <a:pt x="1242" y="407"/>
                                </a:lnTo>
                                <a:lnTo>
                                  <a:pt x="1242" y="260"/>
                                </a:lnTo>
                                <a:lnTo>
                                  <a:pt x="1358" y="100"/>
                                </a:lnTo>
                                <a:lnTo>
                                  <a:pt x="1261" y="100"/>
                                </a:lnTo>
                                <a:lnTo>
                                  <a:pt x="1205" y="183"/>
                                </a:lnTo>
                                <a:lnTo>
                                  <a:pt x="1146" y="100"/>
                                </a:lnTo>
                                <a:lnTo>
                                  <a:pt x="1051" y="100"/>
                                </a:lnTo>
                                <a:lnTo>
                                  <a:pt x="1162" y="260"/>
                                </a:lnTo>
                                <a:close/>
                                <a:moveTo>
                                  <a:pt x="863" y="227"/>
                                </a:moveTo>
                                <a:lnTo>
                                  <a:pt x="863" y="100"/>
                                </a:lnTo>
                                <a:lnTo>
                                  <a:pt x="783" y="100"/>
                                </a:lnTo>
                                <a:lnTo>
                                  <a:pt x="783" y="407"/>
                                </a:lnTo>
                                <a:lnTo>
                                  <a:pt x="863" y="407"/>
                                </a:lnTo>
                                <a:lnTo>
                                  <a:pt x="863" y="274"/>
                                </a:lnTo>
                                <a:lnTo>
                                  <a:pt x="967" y="407"/>
                                </a:lnTo>
                                <a:lnTo>
                                  <a:pt x="1071" y="407"/>
                                </a:lnTo>
                                <a:lnTo>
                                  <a:pt x="938" y="245"/>
                                </a:lnTo>
                                <a:lnTo>
                                  <a:pt x="1059" y="100"/>
                                </a:lnTo>
                                <a:lnTo>
                                  <a:pt x="960" y="100"/>
                                </a:lnTo>
                                <a:lnTo>
                                  <a:pt x="863" y="227"/>
                                </a:lnTo>
                                <a:close/>
                                <a:moveTo>
                                  <a:pt x="721" y="117"/>
                                </a:moveTo>
                                <a:lnTo>
                                  <a:pt x="709" y="112"/>
                                </a:lnTo>
                                <a:lnTo>
                                  <a:pt x="697" y="107"/>
                                </a:lnTo>
                                <a:lnTo>
                                  <a:pt x="685" y="102"/>
                                </a:lnTo>
                                <a:lnTo>
                                  <a:pt x="673" y="98"/>
                                </a:lnTo>
                                <a:lnTo>
                                  <a:pt x="660" y="96"/>
                                </a:lnTo>
                                <a:lnTo>
                                  <a:pt x="648" y="93"/>
                                </a:lnTo>
                                <a:lnTo>
                                  <a:pt x="635" y="92"/>
                                </a:lnTo>
                                <a:lnTo>
                                  <a:pt x="624" y="92"/>
                                </a:lnTo>
                                <a:lnTo>
                                  <a:pt x="611" y="92"/>
                                </a:lnTo>
                                <a:lnTo>
                                  <a:pt x="602" y="95"/>
                                </a:lnTo>
                                <a:lnTo>
                                  <a:pt x="590" y="97"/>
                                </a:lnTo>
                                <a:lnTo>
                                  <a:pt x="580" y="100"/>
                                </a:lnTo>
                                <a:lnTo>
                                  <a:pt x="572" y="103"/>
                                </a:lnTo>
                                <a:lnTo>
                                  <a:pt x="563" y="108"/>
                                </a:lnTo>
                                <a:lnTo>
                                  <a:pt x="555" y="115"/>
                                </a:lnTo>
                                <a:lnTo>
                                  <a:pt x="548" y="121"/>
                                </a:lnTo>
                                <a:lnTo>
                                  <a:pt x="542" y="128"/>
                                </a:lnTo>
                                <a:lnTo>
                                  <a:pt x="535" y="136"/>
                                </a:lnTo>
                                <a:lnTo>
                                  <a:pt x="531" y="145"/>
                                </a:lnTo>
                                <a:lnTo>
                                  <a:pt x="527" y="153"/>
                                </a:lnTo>
                                <a:lnTo>
                                  <a:pt x="523" y="163"/>
                                </a:lnTo>
                                <a:lnTo>
                                  <a:pt x="521" y="174"/>
                                </a:lnTo>
                                <a:lnTo>
                                  <a:pt x="519" y="184"/>
                                </a:lnTo>
                                <a:lnTo>
                                  <a:pt x="519" y="196"/>
                                </a:lnTo>
                                <a:lnTo>
                                  <a:pt x="519" y="206"/>
                                </a:lnTo>
                                <a:lnTo>
                                  <a:pt x="521" y="216"/>
                                </a:lnTo>
                                <a:lnTo>
                                  <a:pt x="522" y="224"/>
                                </a:lnTo>
                                <a:lnTo>
                                  <a:pt x="524" y="232"/>
                                </a:lnTo>
                                <a:lnTo>
                                  <a:pt x="528" y="239"/>
                                </a:lnTo>
                                <a:lnTo>
                                  <a:pt x="533" y="245"/>
                                </a:lnTo>
                                <a:lnTo>
                                  <a:pt x="538" y="252"/>
                                </a:lnTo>
                                <a:lnTo>
                                  <a:pt x="543" y="257"/>
                                </a:lnTo>
                                <a:lnTo>
                                  <a:pt x="552" y="263"/>
                                </a:lnTo>
                                <a:lnTo>
                                  <a:pt x="564" y="269"/>
                                </a:lnTo>
                                <a:lnTo>
                                  <a:pt x="580" y="275"/>
                                </a:lnTo>
                                <a:lnTo>
                                  <a:pt x="602" y="282"/>
                                </a:lnTo>
                                <a:lnTo>
                                  <a:pt x="614" y="287"/>
                                </a:lnTo>
                                <a:lnTo>
                                  <a:pt x="625" y="290"/>
                                </a:lnTo>
                                <a:lnTo>
                                  <a:pt x="634" y="294"/>
                                </a:lnTo>
                                <a:lnTo>
                                  <a:pt x="640" y="298"/>
                                </a:lnTo>
                                <a:lnTo>
                                  <a:pt x="644" y="301"/>
                                </a:lnTo>
                                <a:lnTo>
                                  <a:pt x="648" y="306"/>
                                </a:lnTo>
                                <a:lnTo>
                                  <a:pt x="649" y="311"/>
                                </a:lnTo>
                                <a:lnTo>
                                  <a:pt x="650" y="318"/>
                                </a:lnTo>
                                <a:lnTo>
                                  <a:pt x="649" y="324"/>
                                </a:lnTo>
                                <a:lnTo>
                                  <a:pt x="648" y="330"/>
                                </a:lnTo>
                                <a:lnTo>
                                  <a:pt x="644" y="335"/>
                                </a:lnTo>
                                <a:lnTo>
                                  <a:pt x="639" y="339"/>
                                </a:lnTo>
                                <a:lnTo>
                                  <a:pt x="634" y="343"/>
                                </a:lnTo>
                                <a:lnTo>
                                  <a:pt x="626" y="345"/>
                                </a:lnTo>
                                <a:lnTo>
                                  <a:pt x="619" y="348"/>
                                </a:lnTo>
                                <a:lnTo>
                                  <a:pt x="611" y="348"/>
                                </a:lnTo>
                                <a:lnTo>
                                  <a:pt x="603" y="348"/>
                                </a:lnTo>
                                <a:lnTo>
                                  <a:pt x="594" y="345"/>
                                </a:lnTo>
                                <a:lnTo>
                                  <a:pt x="585" y="344"/>
                                </a:lnTo>
                                <a:lnTo>
                                  <a:pt x="577" y="340"/>
                                </a:lnTo>
                                <a:lnTo>
                                  <a:pt x="568" y="335"/>
                                </a:lnTo>
                                <a:lnTo>
                                  <a:pt x="559" y="330"/>
                                </a:lnTo>
                                <a:lnTo>
                                  <a:pt x="549" y="324"/>
                                </a:lnTo>
                                <a:lnTo>
                                  <a:pt x="540" y="316"/>
                                </a:lnTo>
                                <a:lnTo>
                                  <a:pt x="507" y="381"/>
                                </a:lnTo>
                                <a:lnTo>
                                  <a:pt x="519" y="389"/>
                                </a:lnTo>
                                <a:lnTo>
                                  <a:pt x="532" y="396"/>
                                </a:lnTo>
                                <a:lnTo>
                                  <a:pt x="544" y="401"/>
                                </a:lnTo>
                                <a:lnTo>
                                  <a:pt x="558" y="406"/>
                                </a:lnTo>
                                <a:lnTo>
                                  <a:pt x="572" y="410"/>
                                </a:lnTo>
                                <a:lnTo>
                                  <a:pt x="585" y="414"/>
                                </a:lnTo>
                                <a:lnTo>
                                  <a:pt x="599" y="415"/>
                                </a:lnTo>
                                <a:lnTo>
                                  <a:pt x="613" y="415"/>
                                </a:lnTo>
                                <a:lnTo>
                                  <a:pt x="626" y="415"/>
                                </a:lnTo>
                                <a:lnTo>
                                  <a:pt x="639" y="414"/>
                                </a:lnTo>
                                <a:lnTo>
                                  <a:pt x="651" y="411"/>
                                </a:lnTo>
                                <a:lnTo>
                                  <a:pt x="663" y="407"/>
                                </a:lnTo>
                                <a:lnTo>
                                  <a:pt x="674" y="404"/>
                                </a:lnTo>
                                <a:lnTo>
                                  <a:pt x="684" y="399"/>
                                </a:lnTo>
                                <a:lnTo>
                                  <a:pt x="694" y="392"/>
                                </a:lnTo>
                                <a:lnTo>
                                  <a:pt x="702" y="386"/>
                                </a:lnTo>
                                <a:lnTo>
                                  <a:pt x="709" y="379"/>
                                </a:lnTo>
                                <a:lnTo>
                                  <a:pt x="716" y="371"/>
                                </a:lnTo>
                                <a:lnTo>
                                  <a:pt x="721" y="363"/>
                                </a:lnTo>
                                <a:lnTo>
                                  <a:pt x="725" y="353"/>
                                </a:lnTo>
                                <a:lnTo>
                                  <a:pt x="729" y="343"/>
                                </a:lnTo>
                                <a:lnTo>
                                  <a:pt x="731" y="331"/>
                                </a:lnTo>
                                <a:lnTo>
                                  <a:pt x="732" y="319"/>
                                </a:lnTo>
                                <a:lnTo>
                                  <a:pt x="734" y="306"/>
                                </a:lnTo>
                                <a:lnTo>
                                  <a:pt x="732" y="290"/>
                                </a:lnTo>
                                <a:lnTo>
                                  <a:pt x="729" y="275"/>
                                </a:lnTo>
                                <a:lnTo>
                                  <a:pt x="726" y="269"/>
                                </a:lnTo>
                                <a:lnTo>
                                  <a:pt x="724" y="263"/>
                                </a:lnTo>
                                <a:lnTo>
                                  <a:pt x="720" y="258"/>
                                </a:lnTo>
                                <a:lnTo>
                                  <a:pt x="716" y="252"/>
                                </a:lnTo>
                                <a:lnTo>
                                  <a:pt x="711" y="247"/>
                                </a:lnTo>
                                <a:lnTo>
                                  <a:pt x="705" y="243"/>
                                </a:lnTo>
                                <a:lnTo>
                                  <a:pt x="699" y="238"/>
                                </a:lnTo>
                                <a:lnTo>
                                  <a:pt x="692" y="234"/>
                                </a:lnTo>
                                <a:lnTo>
                                  <a:pt x="676" y="227"/>
                                </a:lnTo>
                                <a:lnTo>
                                  <a:pt x="658" y="221"/>
                                </a:lnTo>
                                <a:lnTo>
                                  <a:pt x="636" y="214"/>
                                </a:lnTo>
                                <a:lnTo>
                                  <a:pt x="624" y="209"/>
                                </a:lnTo>
                                <a:lnTo>
                                  <a:pt x="615" y="206"/>
                                </a:lnTo>
                                <a:lnTo>
                                  <a:pt x="610" y="201"/>
                                </a:lnTo>
                                <a:lnTo>
                                  <a:pt x="607" y="198"/>
                                </a:lnTo>
                                <a:lnTo>
                                  <a:pt x="604" y="194"/>
                                </a:lnTo>
                                <a:lnTo>
                                  <a:pt x="603" y="189"/>
                                </a:lnTo>
                                <a:lnTo>
                                  <a:pt x="603" y="186"/>
                                </a:lnTo>
                                <a:lnTo>
                                  <a:pt x="603" y="181"/>
                                </a:lnTo>
                                <a:lnTo>
                                  <a:pt x="605" y="174"/>
                                </a:lnTo>
                                <a:lnTo>
                                  <a:pt x="608" y="171"/>
                                </a:lnTo>
                                <a:lnTo>
                                  <a:pt x="611" y="167"/>
                                </a:lnTo>
                                <a:lnTo>
                                  <a:pt x="618" y="163"/>
                                </a:lnTo>
                                <a:lnTo>
                                  <a:pt x="623" y="161"/>
                                </a:lnTo>
                                <a:lnTo>
                                  <a:pt x="629" y="159"/>
                                </a:lnTo>
                                <a:lnTo>
                                  <a:pt x="636" y="158"/>
                                </a:lnTo>
                                <a:lnTo>
                                  <a:pt x="643" y="159"/>
                                </a:lnTo>
                                <a:lnTo>
                                  <a:pt x="650" y="159"/>
                                </a:lnTo>
                                <a:lnTo>
                                  <a:pt x="656" y="162"/>
                                </a:lnTo>
                                <a:lnTo>
                                  <a:pt x="663" y="163"/>
                                </a:lnTo>
                                <a:lnTo>
                                  <a:pt x="676" y="171"/>
                                </a:lnTo>
                                <a:lnTo>
                                  <a:pt x="689" y="179"/>
                                </a:lnTo>
                                <a:lnTo>
                                  <a:pt x="721" y="117"/>
                                </a:lnTo>
                                <a:close/>
                                <a:moveTo>
                                  <a:pt x="463" y="167"/>
                                </a:moveTo>
                                <a:lnTo>
                                  <a:pt x="463" y="100"/>
                                </a:lnTo>
                                <a:lnTo>
                                  <a:pt x="289" y="100"/>
                                </a:lnTo>
                                <a:lnTo>
                                  <a:pt x="289" y="407"/>
                                </a:lnTo>
                                <a:lnTo>
                                  <a:pt x="463" y="407"/>
                                </a:lnTo>
                                <a:lnTo>
                                  <a:pt x="463" y="340"/>
                                </a:lnTo>
                                <a:lnTo>
                                  <a:pt x="369" y="340"/>
                                </a:lnTo>
                                <a:lnTo>
                                  <a:pt x="369" y="287"/>
                                </a:lnTo>
                                <a:lnTo>
                                  <a:pt x="458" y="287"/>
                                </a:lnTo>
                                <a:lnTo>
                                  <a:pt x="458" y="219"/>
                                </a:lnTo>
                                <a:lnTo>
                                  <a:pt x="369" y="219"/>
                                </a:lnTo>
                                <a:lnTo>
                                  <a:pt x="369" y="167"/>
                                </a:lnTo>
                                <a:lnTo>
                                  <a:pt x="463" y="167"/>
                                </a:lnTo>
                                <a:close/>
                                <a:moveTo>
                                  <a:pt x="66" y="36"/>
                                </a:moveTo>
                                <a:lnTo>
                                  <a:pt x="148" y="82"/>
                                </a:lnTo>
                                <a:lnTo>
                                  <a:pt x="231" y="36"/>
                                </a:lnTo>
                                <a:lnTo>
                                  <a:pt x="210" y="2"/>
                                </a:lnTo>
                                <a:lnTo>
                                  <a:pt x="148" y="34"/>
                                </a:lnTo>
                                <a:lnTo>
                                  <a:pt x="87" y="2"/>
                                </a:lnTo>
                                <a:lnTo>
                                  <a:pt x="66" y="36"/>
                                </a:lnTo>
                                <a:close/>
                                <a:moveTo>
                                  <a:pt x="235" y="108"/>
                                </a:moveTo>
                                <a:lnTo>
                                  <a:pt x="215" y="102"/>
                                </a:lnTo>
                                <a:lnTo>
                                  <a:pt x="197" y="97"/>
                                </a:lnTo>
                                <a:lnTo>
                                  <a:pt x="180" y="95"/>
                                </a:lnTo>
                                <a:lnTo>
                                  <a:pt x="163" y="93"/>
                                </a:lnTo>
                                <a:lnTo>
                                  <a:pt x="146" y="95"/>
                                </a:lnTo>
                                <a:lnTo>
                                  <a:pt x="129" y="96"/>
                                </a:lnTo>
                                <a:lnTo>
                                  <a:pt x="114" y="101"/>
                                </a:lnTo>
                                <a:lnTo>
                                  <a:pt x="99" y="106"/>
                                </a:lnTo>
                                <a:lnTo>
                                  <a:pt x="84" y="112"/>
                                </a:lnTo>
                                <a:lnTo>
                                  <a:pt x="71" y="121"/>
                                </a:lnTo>
                                <a:lnTo>
                                  <a:pt x="58" y="130"/>
                                </a:lnTo>
                                <a:lnTo>
                                  <a:pt x="47" y="141"/>
                                </a:lnTo>
                                <a:lnTo>
                                  <a:pt x="37" y="152"/>
                                </a:lnTo>
                                <a:lnTo>
                                  <a:pt x="27" y="164"/>
                                </a:lnTo>
                                <a:lnTo>
                                  <a:pt x="20" y="178"/>
                                </a:lnTo>
                                <a:lnTo>
                                  <a:pt x="12" y="192"/>
                                </a:lnTo>
                                <a:lnTo>
                                  <a:pt x="7" y="207"/>
                                </a:lnTo>
                                <a:lnTo>
                                  <a:pt x="3" y="223"/>
                                </a:lnTo>
                                <a:lnTo>
                                  <a:pt x="1" y="239"/>
                                </a:lnTo>
                                <a:lnTo>
                                  <a:pt x="0" y="257"/>
                                </a:lnTo>
                                <a:lnTo>
                                  <a:pt x="0" y="272"/>
                                </a:lnTo>
                                <a:lnTo>
                                  <a:pt x="2" y="287"/>
                                </a:lnTo>
                                <a:lnTo>
                                  <a:pt x="6" y="300"/>
                                </a:lnTo>
                                <a:lnTo>
                                  <a:pt x="10" y="314"/>
                                </a:lnTo>
                                <a:lnTo>
                                  <a:pt x="16" y="328"/>
                                </a:lnTo>
                                <a:lnTo>
                                  <a:pt x="22" y="340"/>
                                </a:lnTo>
                                <a:lnTo>
                                  <a:pt x="31" y="351"/>
                                </a:lnTo>
                                <a:lnTo>
                                  <a:pt x="41" y="363"/>
                                </a:lnTo>
                                <a:lnTo>
                                  <a:pt x="53" y="374"/>
                                </a:lnTo>
                                <a:lnTo>
                                  <a:pt x="66" y="385"/>
                                </a:lnTo>
                                <a:lnTo>
                                  <a:pt x="81" y="394"/>
                                </a:lnTo>
                                <a:lnTo>
                                  <a:pt x="97" y="401"/>
                                </a:lnTo>
                                <a:lnTo>
                                  <a:pt x="113" y="407"/>
                                </a:lnTo>
                                <a:lnTo>
                                  <a:pt x="129" y="412"/>
                                </a:lnTo>
                                <a:lnTo>
                                  <a:pt x="147" y="415"/>
                                </a:lnTo>
                                <a:lnTo>
                                  <a:pt x="163" y="416"/>
                                </a:lnTo>
                                <a:lnTo>
                                  <a:pt x="179" y="415"/>
                                </a:lnTo>
                                <a:lnTo>
                                  <a:pt x="193" y="414"/>
                                </a:lnTo>
                                <a:lnTo>
                                  <a:pt x="212" y="409"/>
                                </a:lnTo>
                                <a:lnTo>
                                  <a:pt x="235" y="401"/>
                                </a:lnTo>
                                <a:lnTo>
                                  <a:pt x="235" y="306"/>
                                </a:lnTo>
                                <a:lnTo>
                                  <a:pt x="228" y="314"/>
                                </a:lnTo>
                                <a:lnTo>
                                  <a:pt x="219" y="320"/>
                                </a:lnTo>
                                <a:lnTo>
                                  <a:pt x="212" y="326"/>
                                </a:lnTo>
                                <a:lnTo>
                                  <a:pt x="203" y="330"/>
                                </a:lnTo>
                                <a:lnTo>
                                  <a:pt x="194" y="334"/>
                                </a:lnTo>
                                <a:lnTo>
                                  <a:pt x="185" y="336"/>
                                </a:lnTo>
                                <a:lnTo>
                                  <a:pt x="175" y="338"/>
                                </a:lnTo>
                                <a:lnTo>
                                  <a:pt x="165" y="339"/>
                                </a:lnTo>
                                <a:lnTo>
                                  <a:pt x="158" y="338"/>
                                </a:lnTo>
                                <a:lnTo>
                                  <a:pt x="151" y="336"/>
                                </a:lnTo>
                                <a:lnTo>
                                  <a:pt x="143" y="335"/>
                                </a:lnTo>
                                <a:lnTo>
                                  <a:pt x="137" y="333"/>
                                </a:lnTo>
                                <a:lnTo>
                                  <a:pt x="129" y="330"/>
                                </a:lnTo>
                                <a:lnTo>
                                  <a:pt x="123" y="326"/>
                                </a:lnTo>
                                <a:lnTo>
                                  <a:pt x="117" y="323"/>
                                </a:lnTo>
                                <a:lnTo>
                                  <a:pt x="111" y="318"/>
                                </a:lnTo>
                                <a:lnTo>
                                  <a:pt x="104" y="311"/>
                                </a:lnTo>
                                <a:lnTo>
                                  <a:pt x="98" y="305"/>
                                </a:lnTo>
                                <a:lnTo>
                                  <a:pt x="93" y="299"/>
                                </a:lnTo>
                                <a:lnTo>
                                  <a:pt x="89" y="292"/>
                                </a:lnTo>
                                <a:lnTo>
                                  <a:pt x="87" y="283"/>
                                </a:lnTo>
                                <a:lnTo>
                                  <a:pt x="84" y="274"/>
                                </a:lnTo>
                                <a:lnTo>
                                  <a:pt x="83" y="265"/>
                                </a:lnTo>
                                <a:lnTo>
                                  <a:pt x="83" y="255"/>
                                </a:lnTo>
                                <a:lnTo>
                                  <a:pt x="83" y="247"/>
                                </a:lnTo>
                                <a:lnTo>
                                  <a:pt x="84" y="238"/>
                                </a:lnTo>
                                <a:lnTo>
                                  <a:pt x="87" y="229"/>
                                </a:lnTo>
                                <a:lnTo>
                                  <a:pt x="89" y="222"/>
                                </a:lnTo>
                                <a:lnTo>
                                  <a:pt x="93" y="214"/>
                                </a:lnTo>
                                <a:lnTo>
                                  <a:pt x="97" y="207"/>
                                </a:lnTo>
                                <a:lnTo>
                                  <a:pt x="102" y="201"/>
                                </a:lnTo>
                                <a:lnTo>
                                  <a:pt x="107" y="194"/>
                                </a:lnTo>
                                <a:lnTo>
                                  <a:pt x="112" y="189"/>
                                </a:lnTo>
                                <a:lnTo>
                                  <a:pt x="118" y="184"/>
                                </a:lnTo>
                                <a:lnTo>
                                  <a:pt x="126" y="181"/>
                                </a:lnTo>
                                <a:lnTo>
                                  <a:pt x="133" y="177"/>
                                </a:lnTo>
                                <a:lnTo>
                                  <a:pt x="141" y="174"/>
                                </a:lnTo>
                                <a:lnTo>
                                  <a:pt x="148" y="172"/>
                                </a:lnTo>
                                <a:lnTo>
                                  <a:pt x="157" y="171"/>
                                </a:lnTo>
                                <a:lnTo>
                                  <a:pt x="165" y="171"/>
                                </a:lnTo>
                                <a:lnTo>
                                  <a:pt x="175" y="171"/>
                                </a:lnTo>
                                <a:lnTo>
                                  <a:pt x="185" y="173"/>
                                </a:lnTo>
                                <a:lnTo>
                                  <a:pt x="195" y="176"/>
                                </a:lnTo>
                                <a:lnTo>
                                  <a:pt x="204" y="179"/>
                                </a:lnTo>
                                <a:lnTo>
                                  <a:pt x="213" y="184"/>
                                </a:lnTo>
                                <a:lnTo>
                                  <a:pt x="220" y="189"/>
                                </a:lnTo>
                                <a:lnTo>
                                  <a:pt x="228" y="197"/>
                                </a:lnTo>
                                <a:lnTo>
                                  <a:pt x="235" y="204"/>
                                </a:lnTo>
                                <a:lnTo>
                                  <a:pt x="235" y="108"/>
                                </a:lnTo>
                                <a:close/>
                              </a:path>
                            </a:pathLst>
                          </a:custGeom>
                          <a:solidFill>
                            <a:srgbClr val="BD1B2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E3D30D" id="Group 24" o:spid="_x0000_s1026" style="position:absolute;margin-left:45pt;margin-top:36.75pt;width:177.15pt;height:43.65pt;z-index:251657728;mso-position-horizontal-relative:page;mso-position-vertical-relative:page" coordorigin="567,851" coordsize="2714,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">
                <o:lock v:ext="edit" aspectratio="t"/>
                <v:rect id="Rectangle 9" o:spid="_x0000_s1027" style="position:absolute;left:1215;top:901;width:676;height: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" fillcolor="#0071bc" stroked="f">
                  <o:lock v:ext="edit" aspectratio="t"/>
                </v:rect>
                <v:rect id="Rectangle 10" o:spid="_x0000_s1028" style="position:absolute;left:567;top:1131;width:1324;height: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" fillcolor="#0071bc" stroked="f">
                  <o:lock v:ext="edit" aspectratio="t"/>
                </v:rect>
                <v:rect id="Rectangle 11" o:spid="_x0000_s1029" style="position:absolute;left:1288;top:1361;width:603;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" fillcolor="#0071bc" stroked="f">
                  <o:lock v:ext="edit" aspectratio="t"/>
                </v:rect>
                <v:shape id="Freeform 12" o:spid="_x0000_s1030" style="position:absolute;left:1969;top:1311;width:600;height:207;visibility:visible;mso-wrap-style:square;v-text-anchor:top" coordsize="1200,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" path="m1011,341r,-174l1030,167r10,2l1049,170r10,1l1067,174r7,3l1082,182r6,5l1094,194r5,6l1104,206r4,7l1112,221r2,7l1116,237r1,8l1117,253r,9l1116,271r-2,7l1112,287r-4,7l1104,301r-5,7l1094,314r-6,7l1082,326r-8,5l1067,334r-8,3l1049,338r-9,1l1030,341r-19,xm931,408r118,l1064,407r15,-3l1093,400r14,-5l1121,389r12,-9l1144,372r11,-10l1165,351r9,-12l1182,326r6,-13l1194,298r4,-14l1200,270r,-17l1200,238r-2,-15l1194,208r-6,-13l1182,181r-8,-12l1165,157r-10,-11l1144,136r-11,-10l1121,119r-14,-6l1093,108r-14,-5l1064,101r-15,-1l931,100r,308xm775,293r-67,l742,195r33,98xm797,354r20,54l901,408,785,100r-87,l581,408r84,l686,354r111,xm347,37r83,46l513,37,491,3,430,34,369,3,347,37xm407,238r,-77l422,161r10,1l442,164r7,2l455,170r6,6l466,182r3,9l470,200r-1,8l466,216r-5,7l455,230r-6,3l442,236r-10,1l422,238r-15,xm485,282r13,-4l508,275r8,-5l525,263r6,-6l536,250r5,-8l545,233r4,-8l551,215r1,-10l552,195r,-9l551,176r-2,-9l546,159r-4,-9l537,141r-5,-7l526,128r-7,-8l511,115r-7,-5l495,106r-10,-2l475,101r-12,-1l450,100r-123,l327,408r80,l407,289r76,119l582,408,485,282xm210,35l171,,105,56r28,29l210,35xm80,100l,100,,278r,15l2,308r1,13l5,333r4,10l13,353r4,9l23,369r9,10l43,389r11,8l68,403r15,6l99,413r16,2l133,415r16,l165,413r14,-4l192,404r14,-5l217,392r11,-9l238,372r8,-9l253,353r5,-10l262,333r3,-12l267,308r1,-15l268,278r,-178l189,100r,167l189,287r-2,14l185,311r-4,10l177,326r-5,5l167,334r-6,4l155,341r-6,2l141,344r-7,2l126,344r-6,-1l114,342r-6,-3l103,336r-5,-4l93,327r-4,-5l84,312,81,302,80,288r,-21l80,100xe" fillcolor="#bd1b21" stroked="f">
                  <v:path arrowok="t" o:connecttype="custom" o:connectlocs="260,42;269,44;275,50;279,57;280,65;277,73;272,80;265,84;253,85;270,101;284,95;294,84;300,71;300,55;294,42;284,31;270,25;233,102;194,73;197,25;172,88;129,9;87,9;108,40;116,44;118,52;113,58;102,59;129,67;136,60;138,51;138,41;133,33;126,27;116,25;102,102;122,70;34,21;0,69;2,83;6,92;17,100;34,103;48,101;60,93;66,83;67,69;48,71;45,81;39,85;32,86;26,84;21,78;20,25" o:connectangles="0,0,0,0,0,0,0,0,0,0,0,0,0,0,0,0,0,0,0,0,0,0,0,0,0,0,0,0,0,0,0,0,0,0,0,0,0,0,0,0,0,0,0,0,0,0,0,0,0,0,0,0,0,0"/>
                  <o:lock v:ext="edit" aspectratio="t" verticies="t"/>
                </v:shape>
                <v:shape id="Freeform 13" o:spid="_x0000_s1031" style="position:absolute;left:1962;top:1081;width:1319;height:208;visibility:visible;mso-wrap-style:square;v-text-anchor:top" coordsize="2637,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" path="m2561,35l2524,r-66,56l2485,84r76,-49xm2442,260r,147l2521,407r,-147l2637,99r-97,l2484,183,2427,99r-96,l2442,260xm2143,226r,-127l2063,99r,308l2143,407r,-133l2247,407r104,l2217,245,2340,99r-100,l2143,226xm2008,108r-21,-6l1969,97r-17,-4l1936,93r-18,l1902,96r-16,5l1871,106r-14,6l1844,121r-13,8l1820,140r-11,12l1800,164r-9,14l1785,192r-5,15l1775,223r-2,16l1773,256r,15l1775,286r3,14l1783,314r6,13l1795,340r9,11l1813,362r12,11l1839,385r15,8l1869,401r16,6l1902,412r16,3l1936,416r15,-1l1966,413r17,-5l2008,401r,-95l1999,314r-7,6l1983,326r-7,4l1967,334r-10,2l1948,337r-10,l1931,337r-8,-1l1916,335r-8,-3l1902,330r-6,-4l1889,322r-5,-5l1876,311r-5,-6l1866,299r-4,-8l1860,283r-3,-9l1856,265r,-10l1856,246r1,-8l1860,229r2,-8l1865,214r5,-7l1874,200r5,-6l1885,189r6,-5l1898,180r7,-3l1913,174r8,-2l1930,170r8,l1948,170r10,3l1967,175r10,4l1984,184r9,5l2001,197r7,7l2008,108xm1727,99r-80,l1647,407r80,l1727,99xm1538,167r66,l1604,99r-210,l1394,167r65,l1459,407r79,l1538,167xm1360,117r-11,-6l1337,106r-13,-4l1313,98r-13,-2l1288,93r-12,-1l1263,92r-11,l1241,94r-10,2l1221,99r-10,4l1203,108r-8,6l1187,121r-6,7l1175,136r-5,8l1166,153r-4,10l1161,174r-3,10l1158,195r,10l1160,215r2,9l1165,231r3,8l1172,245r5,6l1183,256r9,7l1203,269r16,6l1242,281r12,5l1264,290r9,4l1279,297r5,4l1287,306r2,5l1289,317r,7l1287,330r-4,5l1279,339r-6,3l1267,345r-8,1l1251,347r-9,l1233,345r-9,-1l1216,340r-9,-5l1198,330r-8,-6l1180,316r-34,65l1158,388r13,8l1185,401r13,5l1212,410r14,3l1239,415r14,l1266,415r12,-2l1290,411r12,-4l1313,403r10,-5l1333,392r9,-6l1349,378r6,-7l1360,362r5,-10l1369,342r2,-11l1373,319r,-13l1371,290r-2,-15l1366,269r-3,-6l1359,258r-4,-7l1350,246r-5,-5l1339,238r-7,-4l1315,226r-17,-6l1276,213r-13,-4l1256,205r-7,-5l1247,198r-3,-4l1242,189r,-4l1243,179r1,-5l1248,170r4,-3l1257,163r6,-3l1269,159r8,-1l1283,159r6,l1297,162r6,1l1315,170r14,9l1360,117xm1091,99r-80,l1011,407r80,l1091,99xm904,167r66,l970,99r-212,l758,167r67,l825,407r79,l904,167xm644,292r-66,l611,194r33,98xm666,354r20,53l771,407,655,99r-87,l450,407r84,l555,354r111,xm395,167r66,l461,99r-212,l249,167r66,l315,407r80,l395,167xm214,117r-11,-6l190,106r-12,-4l167,98,154,96,142,93,129,92r-12,l106,92,94,94,84,96r-9,3l65,103r-9,5l48,114r-7,7l35,128r-7,8l23,144r-3,9l16,163r-1,11l12,184r,11l12,205r1,10l16,224r2,7l22,239r4,6l31,251r6,5l46,263r11,6l73,275r23,6l108,286r10,4l127,294r6,3l138,301r3,5l143,311r,6l143,324r-2,6l137,335r-4,4l127,342r-6,3l113,346r-9,1l96,347r-9,-2l78,344r-8,-4l61,335r-9,-5l43,324,33,316,,381r12,7l25,396r13,5l52,406r14,4l79,413r14,2l107,415r12,l132,413r12,-2l155,407r12,-4l177,398r10,-6l195,386r8,-8l209,371r5,-9l219,352r4,-10l225,331r2,-12l227,306r-2,-16l223,275r-3,-6l217,263r-4,-5l209,251r-5,-5l199,241r-6,-3l185,234r-16,-8l151,220r-22,-7l117,209r-8,-4l103,200r-4,-2l98,194r-2,-5l96,185r1,-6l98,174r4,-4l106,167r5,-4l117,160r6,-1l129,158r8,1l143,159r8,3l157,163r12,7l183,179r31,-62xe" fillcolor="#bd1b21" stroked="f">
                  <v:path arrowok="t" o:connecttype="custom" o:connectlocs="611,102;583,25;536,69;502,27;472,26;450,41;444,68;454,91;480,104;500,79;485,85;473,81;465,69;467,54;477,45;492,44;432,25;401,25;340,30;319,23;301,27;291,41;292,58;305,69;322,77;319,86;304,85;293,99;317,104;336,97;344,80;339,63;319,54;311,47;318,40;333,45;226,42;226,102;172,102;167,89;79,102;42,25;21,24;7,34;3,52;10,64;32,74;36,83;24,87;9,79;20,104;42,101;55,88;55,68;47,59;25,50;27,42;38,41" o:connectangles="0,0,0,0,0,0,0,0,0,0,0,0,0,0,0,0,0,0,0,0,0,0,0,0,0,0,0,0,0,0,0,0,0,0,0,0,0,0,0,0,0,0,0,0,0,0,0,0,0,0,0,0,0,0,0,0,0,0"/>
                  <o:lock v:ext="edit" aspectratio="t" verticies="t"/>
                </v:shape>
                <v:shape id="Freeform 14" o:spid="_x0000_s1032" style="position:absolute;left:1962;top:851;width:679;height:208;visibility:visible;mso-wrap-style:square;v-text-anchor:top" coordsize="1358,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" path="m1282,36l1243,r-65,56l1205,85r77,-49xm1162,260r,147l1242,407r,-147l1358,100r-97,l1205,183r-59,-83l1051,100r111,160xm863,227r,-127l783,100r,307l863,407r,-133l967,407r104,l938,245,1059,100r-99,l863,227xm721,117r-12,-5l697,107r-12,-5l673,98,660,96,648,93,635,92r-11,l611,92r-9,3l590,97r-10,3l572,103r-9,5l555,115r-7,6l542,128r-7,8l531,145r-4,8l523,163r-2,11l519,184r,12l519,206r2,10l522,224r2,8l528,239r5,6l538,252r5,5l552,263r12,6l580,275r22,7l614,287r11,3l634,294r6,4l644,301r4,5l649,311r1,7l649,324r-1,6l644,335r-5,4l634,343r-8,2l619,348r-8,l603,348r-9,-3l585,344r-8,-4l568,335r-9,-5l549,324r-9,-8l507,381r12,8l532,396r12,5l558,406r14,4l585,414r14,1l613,415r13,l639,414r12,-3l663,407r11,-3l684,399r10,-7l702,386r7,-7l716,371r5,-8l725,353r4,-10l731,331r1,-12l734,306r-2,-16l729,275r-3,-6l724,263r-4,-5l716,252r-5,-5l705,243r-6,-5l692,234r-16,-7l658,221r-22,-7l624,209r-9,-3l610,201r-3,-3l604,194r-1,-5l603,186r,-5l605,174r3,-3l611,167r7,-4l623,161r6,-2l636,158r7,1l650,159r6,3l663,163r13,8l689,179r32,-62xm463,167r,-67l289,100r,307l463,407r,-67l369,340r,-53l458,287r,-68l369,219r,-52l463,167xm66,36r82,46l231,36,210,2,148,34,87,2,66,36xm235,108r-20,-6l197,97,180,95,163,93r-17,2l129,96r-15,5l99,106r-15,6l71,121r-13,9l47,141,37,152,27,164r-7,14l12,192,7,207,3,223,1,239,,257r,15l2,287r4,13l10,314r6,14l22,340r9,11l41,363r12,11l66,385r15,9l97,401r16,6l129,412r18,3l163,416r16,-1l193,414r19,-5l235,401r,-95l228,314r-9,6l212,326r-9,4l194,334r-9,2l175,338r-10,1l158,338r-7,-2l143,335r-6,-2l129,330r-6,-4l117,323r-6,-5l104,311r-6,-6l93,299r-4,-7l87,283r-3,-9l83,265r,-10l83,247r1,-9l87,229r2,-7l93,214r4,-7l102,201r5,-7l112,189r6,-5l126,181r7,-4l141,174r7,-2l157,171r8,l175,171r10,2l195,176r9,3l213,184r7,5l228,197r7,7l235,108xe" fillcolor="#bd1b21" stroked="f">
                  <v:path arrowok="t" o:connecttype="custom" o:connectlocs="321,9;340,25;291,65;216,102;265,25;175,27;159,23;145,25;136,32;131,44;131,56;136,65;154,72;162,77;161,84;153,87;142,84;130,98;147,104;163,103;176,97;183,86;183,69;178,62;165,56;152,50;152,44;158,40;166,41;116,25;93,85;93,42;53,1;54,26;33,24;15,33;3,48;0,68;6,85;21,99;41,104;59,77;49,84;38,84;30,81;23,73;21,62;25,52;32,46;42,43;54,46" o:connectangles="0,0,0,0,0,0,0,0,0,0,0,0,0,0,0,0,0,0,0,0,0,0,0,0,0,0,0,0,0,0,0,0,0,0,0,0,0,0,0,0,0,0,0,0,0,0,0,0,0,0,0"/>
                  <o:lock v:ext="edit" aspectratio="t" verticies="t"/>
                </v:shape>
                <w10:wrap type="square" anchorx="page" anchory="page"/>
                <w10:anchorlock/>
              </v:group>
            </w:pict>
          </mc:Fallback>
        </mc:AlternateContent>
      </w:r>
      <w:r w:rsidRPr="00995C95">
        <w:rPr>
          <w:noProof/>
          <w:lang w:val="en-GB"/>
        </w:rPr>
        <mc:AlternateContent>
          <mc:Choice Requires="wps">
            <w:drawing>
              <wp:anchor distT="0" distB="0" distL="114300" distR="114300" simplePos="0" relativeHeight="251658243" behindDoc="0" locked="1" layoutInCell="1" allowOverlap="1" wp14:anchorId="21432972" wp14:editId="21432973">
                <wp:simplePos x="0" y="0"/>
                <wp:positionH relativeFrom="page">
                  <wp:posOffset>1705610</wp:posOffset>
                </wp:positionH>
                <wp:positionV relativeFrom="page">
                  <wp:posOffset>8173085</wp:posOffset>
                </wp:positionV>
                <wp:extent cx="5130165" cy="925195"/>
                <wp:effectExtent l="3810" t="0" r="0" b="0"/>
                <wp:wrapNone/>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165" cy="92519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w="9525">
                              <a:solidFill>
                                <a:srgbClr val="000000"/>
                              </a:solidFill>
                              <a:miter lim="800000"/>
                              <a:headEnd/>
                              <a:tailEnd/>
                            </a14:hiddenLine>
                          </a:ext>
                        </a:extLst>
                      </wps:spPr>
                      <wps:txbx>
                        <w:txbxContent>
                          <w:p w14:paraId="2143298E" w14:textId="7326D082" w:rsidR="004C456F" w:rsidRPr="00995C95" w:rsidRDefault="00D6320C" w:rsidP="004924DC">
                            <w:r w:rsidRPr="00995C95">
                              <w:t>Prepared by</w:t>
                            </w:r>
                            <w:r w:rsidR="004C456F" w:rsidRPr="00995C95">
                              <w:t xml:space="preserve">: </w:t>
                            </w:r>
                            <w:r w:rsidR="00347F45" w:rsidRPr="00995C95">
                              <w:t xml:space="preserve">Office of the President of </w:t>
                            </w:r>
                            <w:r w:rsidR="00E5114C" w:rsidRPr="00995C95">
                              <w:t>the CZSO</w:t>
                            </w:r>
                            <w:r w:rsidR="004C456F" w:rsidRPr="00995C95">
                              <w:t xml:space="preserve"> </w:t>
                            </w:r>
                          </w:p>
                          <w:p w14:paraId="2143298F" w14:textId="2F84134B" w:rsidR="004C456F" w:rsidRPr="00995C95" w:rsidRDefault="004D7F47" w:rsidP="004924DC">
                            <w:r w:rsidRPr="00995C95">
                              <w:t>Director</w:t>
                            </w:r>
                            <w:r w:rsidR="004C456F" w:rsidRPr="00995C95">
                              <w:t>: Egor Sidorov, Ph.D.</w:t>
                            </w:r>
                          </w:p>
                          <w:p w14:paraId="21432990" w14:textId="5D637B9C" w:rsidR="004C456F" w:rsidRPr="00995C95" w:rsidRDefault="002B518C" w:rsidP="004924DC">
                            <w:r w:rsidRPr="00995C95">
                              <w:t>Contact person</w:t>
                            </w:r>
                            <w:r w:rsidR="004C456F" w:rsidRPr="00995C95">
                              <w:t>: Karolína Zábojníková, e-mail: karolina.zabojnikova@csu.gov.cz</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432972" id="_x0000_t202" coordsize="21600,21600" o:spt="202" path="m,l,21600r21600,l21600,xe">
                <v:stroke joinstyle="miter"/>
                <v:path gradientshapeok="t" o:connecttype="rect"/>
              </v:shapetype>
              <v:shape id="Textové pole 2" o:spid="_x0000_s1026" type="#_x0000_t202" style="position:absolute;margin-left:134.3pt;margin-top:643.55pt;width:403.95pt;height:72.8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" filled="f" stroked="f">
                <v:textbox inset="0,0,0,0">
                  <w:txbxContent>
                    <w:p w14:paraId="2143298E" w14:textId="7326D082" w:rsidR="004C456F" w:rsidRPr="00995C95" w:rsidRDefault="00D6320C" w:rsidP="004924DC">
                      <w:r w:rsidRPr="00995C95">
                        <w:t>Prepared by</w:t>
                      </w:r>
                      <w:r w:rsidR="004C456F" w:rsidRPr="00995C95">
                        <w:t xml:space="preserve">: </w:t>
                      </w:r>
                      <w:r w:rsidR="00347F45" w:rsidRPr="00995C95">
                        <w:t xml:space="preserve">Office of the President of </w:t>
                      </w:r>
                      <w:r w:rsidR="00E5114C" w:rsidRPr="00995C95">
                        <w:t>the CZSO</w:t>
                      </w:r>
                      <w:r w:rsidR="004C456F" w:rsidRPr="00995C95">
                        <w:t xml:space="preserve"> </w:t>
                      </w:r>
                    </w:p>
                    <w:p w14:paraId="2143298F" w14:textId="2F84134B" w:rsidR="004C456F" w:rsidRPr="00995C95" w:rsidRDefault="004D7F47" w:rsidP="004924DC">
                      <w:r w:rsidRPr="00995C95">
                        <w:t>Director</w:t>
                      </w:r>
                      <w:r w:rsidR="004C456F" w:rsidRPr="00995C95">
                        <w:t>: Egor Sidorov, Ph.D.</w:t>
                      </w:r>
                    </w:p>
                    <w:p w14:paraId="21432990" w14:textId="5D637B9C" w:rsidR="004C456F" w:rsidRPr="00995C95" w:rsidRDefault="002B518C" w:rsidP="004924DC">
                      <w:r w:rsidRPr="00995C95">
                        <w:t>Contact person</w:t>
                      </w:r>
                      <w:r w:rsidR="004C456F" w:rsidRPr="00995C95">
                        <w:t>: Karolína Zábojníková, e-mail: karolina.zabojnikova@csu.gov.cz</w:t>
                      </w:r>
                    </w:p>
                  </w:txbxContent>
                </v:textbox>
                <w10:wrap anchorx="page" anchory="page"/>
                <w10:anchorlock/>
              </v:shape>
            </w:pict>
          </mc:Fallback>
        </mc:AlternateContent>
      </w:r>
      <w:r w:rsidRPr="00995C95">
        <w:rPr>
          <w:noProof/>
          <w:lang w:val="en-GB"/>
        </w:rPr>
        <mc:AlternateContent>
          <mc:Choice Requires="wps">
            <w:drawing>
              <wp:anchor distT="0" distB="0" distL="114300" distR="114300" simplePos="0" relativeHeight="251658242" behindDoc="0" locked="1" layoutInCell="1" allowOverlap="1" wp14:anchorId="21432974" wp14:editId="21432975">
                <wp:simplePos x="0" y="0"/>
                <wp:positionH relativeFrom="page">
                  <wp:posOffset>1710055</wp:posOffset>
                </wp:positionH>
                <wp:positionV relativeFrom="page">
                  <wp:posOffset>4680585</wp:posOffset>
                </wp:positionV>
                <wp:extent cx="5129530" cy="1686560"/>
                <wp:effectExtent l="0" t="0" r="1270" b="15240"/>
                <wp:wrapNone/>
                <wp:docPr id="3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9530" cy="16865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w="9525">
                              <a:solidFill>
                                <a:srgbClr val="000000"/>
                              </a:solidFill>
                              <a:miter lim="800000"/>
                              <a:headEnd/>
                              <a:tailEnd/>
                            </a14:hiddenLine>
                          </a:ext>
                        </a:extLst>
                      </wps:spPr>
                      <wps:txbx>
                        <w:txbxContent>
                          <w:p w14:paraId="79046422" w14:textId="5EF3B50E" w:rsidR="004C456F" w:rsidRPr="00995C95" w:rsidRDefault="004C456F" w:rsidP="004924DC">
                            <w:pPr>
                              <w:pStyle w:val="TLIdentifikace-sted"/>
                              <w:rPr>
                                <w:lang w:val="en-GB"/>
                              </w:rPr>
                            </w:pPr>
                            <w:r w:rsidRPr="00995C95">
                              <w:rPr>
                                <w:lang w:val="en-GB"/>
                              </w:rPr>
                              <w:t>S</w:t>
                            </w:r>
                            <w:r w:rsidR="007C398F" w:rsidRPr="00995C95">
                              <w:rPr>
                                <w:lang w:val="en-GB"/>
                              </w:rPr>
                              <w:t xml:space="preserve">ummary Data </w:t>
                            </w:r>
                            <w:r w:rsidR="00781D13" w:rsidRPr="00995C95">
                              <w:rPr>
                                <w:lang w:val="en-GB"/>
                              </w:rPr>
                              <w:t>on the Czech Republic</w:t>
                            </w:r>
                          </w:p>
                          <w:p w14:paraId="21432992" w14:textId="070399B4" w:rsidR="004C456F" w:rsidRPr="00995C95" w:rsidRDefault="004C456F" w:rsidP="004924DC">
                            <w:pPr>
                              <w:pStyle w:val="TLIdentifikace-sted"/>
                              <w:rPr>
                                <w:lang w:val="en-GB"/>
                              </w:rPr>
                            </w:pPr>
                            <w:r w:rsidRPr="00995C95">
                              <w:rPr>
                                <w:lang w:val="en-GB"/>
                              </w:rPr>
                              <w:t>Pra</w:t>
                            </w:r>
                            <w:r w:rsidR="00826D39" w:rsidRPr="00995C95">
                              <w:rPr>
                                <w:lang w:val="en-GB"/>
                              </w:rPr>
                              <w:t>gue</w:t>
                            </w:r>
                            <w:r w:rsidRPr="00995C95">
                              <w:rPr>
                                <w:lang w:val="en-GB"/>
                              </w:rPr>
                              <w:t xml:space="preserve">, </w:t>
                            </w:r>
                            <w:r w:rsidR="008F7E77">
                              <w:rPr>
                                <w:lang w:val="en-GB"/>
                              </w:rPr>
                              <w:t>17</w:t>
                            </w:r>
                            <w:r w:rsidR="008F7E77" w:rsidRPr="008F7E77">
                              <w:rPr>
                                <w:vertAlign w:val="superscript"/>
                                <w:lang w:val="en-GB"/>
                              </w:rPr>
                              <w:t>th</w:t>
                            </w:r>
                            <w:r w:rsidR="00D2296F" w:rsidRPr="00995C95">
                              <w:rPr>
                                <w:lang w:val="en-GB"/>
                              </w:rPr>
                              <w:t xml:space="preserve"> </w:t>
                            </w:r>
                            <w:r w:rsidR="008F7E77">
                              <w:rPr>
                                <w:lang w:val="en-GB"/>
                              </w:rPr>
                              <w:t>April</w:t>
                            </w:r>
                            <w:r w:rsidR="004C2A08" w:rsidRPr="00995C95">
                              <w:rPr>
                                <w:lang w:val="en-GB"/>
                              </w:rPr>
                              <w:t xml:space="preserve"> </w:t>
                            </w:r>
                            <w:r w:rsidRPr="00995C95">
                              <w:rPr>
                                <w:lang w:val="en-GB"/>
                              </w:rPr>
                              <w:t>202</w:t>
                            </w:r>
                            <w:r w:rsidR="00011F39" w:rsidRPr="00995C95">
                              <w:rPr>
                                <w:lang w:val="en-GB"/>
                              </w:rPr>
                              <w:t>6</w:t>
                            </w:r>
                          </w:p>
                          <w:p w14:paraId="21432993" w14:textId="2B7AA3BF" w:rsidR="004C456F" w:rsidRPr="00995C95" w:rsidRDefault="008F63C8" w:rsidP="004924DC">
                            <w:pPr>
                              <w:pStyle w:val="TLIdentifikace-sted"/>
                              <w:rPr>
                                <w:lang w:val="en-GB"/>
                              </w:rPr>
                            </w:pPr>
                            <w:r w:rsidRPr="00995C95">
                              <w:rPr>
                                <w:lang w:val="en-GB"/>
                              </w:rPr>
                              <w:t>Publication Code</w:t>
                            </w:r>
                            <w:r w:rsidR="004C456F" w:rsidRPr="00995C95">
                              <w:rPr>
                                <w:lang w:val="en-GB"/>
                              </w:rPr>
                              <w:t>: 32019</w:t>
                            </w:r>
                            <w:r w:rsidR="008F7E77">
                              <w:rPr>
                                <w:lang w:val="en-GB"/>
                              </w:rPr>
                              <w:t>4</w:t>
                            </w:r>
                            <w:r w:rsidR="004C456F" w:rsidRPr="00995C95">
                              <w:rPr>
                                <w:lang w:val="en-GB"/>
                              </w:rPr>
                              <w:t>-25</w:t>
                            </w:r>
                          </w:p>
                          <w:p w14:paraId="21432994" w14:textId="699E2B2F" w:rsidR="004C456F" w:rsidRPr="00995C95" w:rsidRDefault="00DC048E" w:rsidP="004924DC">
                            <w:pPr>
                              <w:pStyle w:val="TLIdentifikace-sted"/>
                              <w:rPr>
                                <w:lang w:val="en-GB"/>
                              </w:rPr>
                            </w:pPr>
                            <w:r w:rsidRPr="00995C95">
                              <w:rPr>
                                <w:lang w:val="en-GB"/>
                              </w:rPr>
                              <w:t>Yearly Publication Code</w:t>
                            </w:r>
                            <w:r w:rsidR="004C456F" w:rsidRPr="00995C95">
                              <w:rPr>
                                <w:lang w:val="en-GB"/>
                              </w:rPr>
                              <w:t xml:space="preserve">: </w:t>
                            </w:r>
                            <w:r w:rsidR="008F7E77">
                              <w:rPr>
                                <w:lang w:val="en-GB"/>
                              </w:rPr>
                              <w:t>2</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1432974" id="_x0000_s1027" type="#_x0000_t202" style="position:absolute;margin-left:134.65pt;margin-top:368.55pt;width:403.9pt;height:132.8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" filled="f" stroked="f">
                <v:textbox style="mso-fit-shape-to-text:t" inset="0,0,0,0">
                  <w:txbxContent>
                    <w:p w14:paraId="79046422" w14:textId="5EF3B50E" w:rsidR="004C456F" w:rsidRPr="00995C95" w:rsidRDefault="004C456F" w:rsidP="004924DC">
                      <w:pPr>
                        <w:pStyle w:val="TLIdentifikace-sted"/>
                        <w:rPr>
                          <w:lang w:val="en-GB"/>
                        </w:rPr>
                      </w:pPr>
                      <w:r w:rsidRPr="00995C95">
                        <w:rPr>
                          <w:lang w:val="en-GB"/>
                        </w:rPr>
                        <w:t>S</w:t>
                      </w:r>
                      <w:r w:rsidR="007C398F" w:rsidRPr="00995C95">
                        <w:rPr>
                          <w:lang w:val="en-GB"/>
                        </w:rPr>
                        <w:t xml:space="preserve">ummary Data </w:t>
                      </w:r>
                      <w:r w:rsidR="00781D13" w:rsidRPr="00995C95">
                        <w:rPr>
                          <w:lang w:val="en-GB"/>
                        </w:rPr>
                        <w:t>on the Czech Republic</w:t>
                      </w:r>
                    </w:p>
                    <w:p w14:paraId="21432992" w14:textId="070399B4" w:rsidR="004C456F" w:rsidRPr="00995C95" w:rsidRDefault="004C456F" w:rsidP="004924DC">
                      <w:pPr>
                        <w:pStyle w:val="TLIdentifikace-sted"/>
                        <w:rPr>
                          <w:lang w:val="en-GB"/>
                        </w:rPr>
                      </w:pPr>
                      <w:r w:rsidRPr="00995C95">
                        <w:rPr>
                          <w:lang w:val="en-GB"/>
                        </w:rPr>
                        <w:t>Pra</w:t>
                      </w:r>
                      <w:r w:rsidR="00826D39" w:rsidRPr="00995C95">
                        <w:rPr>
                          <w:lang w:val="en-GB"/>
                        </w:rPr>
                        <w:t>gue</w:t>
                      </w:r>
                      <w:r w:rsidRPr="00995C95">
                        <w:rPr>
                          <w:lang w:val="en-GB"/>
                        </w:rPr>
                        <w:t xml:space="preserve">, </w:t>
                      </w:r>
                      <w:r w:rsidR="008F7E77">
                        <w:rPr>
                          <w:lang w:val="en-GB"/>
                        </w:rPr>
                        <w:t>17</w:t>
                      </w:r>
                      <w:r w:rsidR="008F7E77" w:rsidRPr="008F7E77">
                        <w:rPr>
                          <w:vertAlign w:val="superscript"/>
                          <w:lang w:val="en-GB"/>
                        </w:rPr>
                        <w:t>th</w:t>
                      </w:r>
                      <w:r w:rsidR="00D2296F" w:rsidRPr="00995C95">
                        <w:rPr>
                          <w:lang w:val="en-GB"/>
                        </w:rPr>
                        <w:t xml:space="preserve"> </w:t>
                      </w:r>
                      <w:r w:rsidR="008F7E77">
                        <w:rPr>
                          <w:lang w:val="en-GB"/>
                        </w:rPr>
                        <w:t>April</w:t>
                      </w:r>
                      <w:r w:rsidR="004C2A08" w:rsidRPr="00995C95">
                        <w:rPr>
                          <w:lang w:val="en-GB"/>
                        </w:rPr>
                        <w:t xml:space="preserve"> </w:t>
                      </w:r>
                      <w:r w:rsidRPr="00995C95">
                        <w:rPr>
                          <w:lang w:val="en-GB"/>
                        </w:rPr>
                        <w:t>202</w:t>
                      </w:r>
                      <w:r w:rsidR="00011F39" w:rsidRPr="00995C95">
                        <w:rPr>
                          <w:lang w:val="en-GB"/>
                        </w:rPr>
                        <w:t>6</w:t>
                      </w:r>
                    </w:p>
                    <w:p w14:paraId="21432993" w14:textId="2B7AA3BF" w:rsidR="004C456F" w:rsidRPr="00995C95" w:rsidRDefault="008F63C8" w:rsidP="004924DC">
                      <w:pPr>
                        <w:pStyle w:val="TLIdentifikace-sted"/>
                        <w:rPr>
                          <w:lang w:val="en-GB"/>
                        </w:rPr>
                      </w:pPr>
                      <w:r w:rsidRPr="00995C95">
                        <w:rPr>
                          <w:lang w:val="en-GB"/>
                        </w:rPr>
                        <w:t>Publication Code</w:t>
                      </w:r>
                      <w:r w:rsidR="004C456F" w:rsidRPr="00995C95">
                        <w:rPr>
                          <w:lang w:val="en-GB"/>
                        </w:rPr>
                        <w:t>: 32019</w:t>
                      </w:r>
                      <w:r w:rsidR="008F7E77">
                        <w:rPr>
                          <w:lang w:val="en-GB"/>
                        </w:rPr>
                        <w:t>4</w:t>
                      </w:r>
                      <w:r w:rsidR="004C456F" w:rsidRPr="00995C95">
                        <w:rPr>
                          <w:lang w:val="en-GB"/>
                        </w:rPr>
                        <w:t>-25</w:t>
                      </w:r>
                    </w:p>
                    <w:p w14:paraId="21432994" w14:textId="699E2B2F" w:rsidR="004C456F" w:rsidRPr="00995C95" w:rsidRDefault="00DC048E" w:rsidP="004924DC">
                      <w:pPr>
                        <w:pStyle w:val="TLIdentifikace-sted"/>
                        <w:rPr>
                          <w:lang w:val="en-GB"/>
                        </w:rPr>
                      </w:pPr>
                      <w:r w:rsidRPr="00995C95">
                        <w:rPr>
                          <w:lang w:val="en-GB"/>
                        </w:rPr>
                        <w:t>Yearly Publication Code</w:t>
                      </w:r>
                      <w:r w:rsidR="004C456F" w:rsidRPr="00995C95">
                        <w:rPr>
                          <w:lang w:val="en-GB"/>
                        </w:rPr>
                        <w:t xml:space="preserve">: </w:t>
                      </w:r>
                      <w:r w:rsidR="008F7E77">
                        <w:rPr>
                          <w:lang w:val="en-GB"/>
                        </w:rPr>
                        <w:t>2</w:t>
                      </w:r>
                    </w:p>
                  </w:txbxContent>
                </v:textbox>
                <w10:wrap anchorx="page" anchory="page"/>
                <w10:anchorlock/>
              </v:shape>
            </w:pict>
          </mc:Fallback>
        </mc:AlternateContent>
      </w:r>
      <w:r w:rsidRPr="00995C95">
        <w:rPr>
          <w:noProof/>
          <w:lang w:val="en-GB"/>
        </w:rPr>
        <mc:AlternateContent>
          <mc:Choice Requires="wps">
            <w:drawing>
              <wp:anchor distT="0" distB="0" distL="114300" distR="114300" simplePos="0" relativeHeight="251658241" behindDoc="0" locked="1" layoutInCell="1" allowOverlap="1" wp14:anchorId="21432976" wp14:editId="21432977">
                <wp:simplePos x="0" y="0"/>
                <wp:positionH relativeFrom="page">
                  <wp:posOffset>1710055</wp:posOffset>
                </wp:positionH>
                <wp:positionV relativeFrom="page">
                  <wp:posOffset>1476375</wp:posOffset>
                </wp:positionV>
                <wp:extent cx="5129530" cy="2207895"/>
                <wp:effectExtent l="0" t="0" r="1270" b="1905"/>
                <wp:wrapNone/>
                <wp:docPr id="2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9530" cy="220789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w="9525">
                              <a:solidFill>
                                <a:srgbClr val="000000"/>
                              </a:solidFill>
                              <a:miter lim="800000"/>
                              <a:headEnd/>
                              <a:tailEnd/>
                            </a14:hiddenLine>
                          </a:ext>
                        </a:extLst>
                      </wps:spPr>
                      <wps:txbx>
                        <w:txbxContent>
                          <w:p w14:paraId="1570B5D3" w14:textId="7B1F20FB" w:rsidR="004C456F" w:rsidRPr="00995C95" w:rsidRDefault="00245617" w:rsidP="007342AC">
                            <w:pPr>
                              <w:pStyle w:val="Podnadpis"/>
                              <w:rPr>
                                <w:rFonts w:cs="Times New Roman"/>
                                <w:bCs/>
                                <w:caps/>
                                <w:kern w:val="28"/>
                                <w:sz w:val="56"/>
                                <w:szCs w:val="32"/>
                                <w:lang w:val="en-GB"/>
                              </w:rPr>
                            </w:pPr>
                            <w:r w:rsidRPr="00995C95">
                              <w:rPr>
                                <w:rFonts w:cs="Times New Roman"/>
                                <w:bCs/>
                                <w:caps/>
                                <w:kern w:val="28"/>
                                <w:sz w:val="56"/>
                                <w:szCs w:val="32"/>
                                <w:lang w:val="en-GB"/>
                              </w:rPr>
                              <w:t>THE CZECH ECONOMY DEVELOPMENT</w:t>
                            </w:r>
                          </w:p>
                          <w:p w14:paraId="21432997" w14:textId="11B2F2A8" w:rsidR="004C456F" w:rsidRPr="00995C95" w:rsidRDefault="008A1483" w:rsidP="007342AC">
                            <w:pPr>
                              <w:pStyle w:val="Podnadpis"/>
                              <w:rPr>
                                <w:lang w:val="en-GB"/>
                              </w:rPr>
                            </w:pPr>
                            <w:r w:rsidRPr="00995C95">
                              <w:rPr>
                                <w:lang w:val="en-GB"/>
                              </w:rPr>
                              <w:t>Year</w:t>
                            </w:r>
                            <w:r w:rsidR="004C456F" w:rsidRPr="00995C95">
                              <w:rPr>
                                <w:lang w:val="en-GB"/>
                              </w:rPr>
                              <w:t xml:space="preserve"> 2025</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1432976" id="_x0000_s1028" type="#_x0000_t202" style="position:absolute;margin-left:134.65pt;margin-top:116.25pt;width:403.9pt;height:173.8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" filled="f" stroked="f">
                <v:textbox style="mso-fit-shape-to-text:t" inset="0,0,0,0">
                  <w:txbxContent>
                    <w:p w14:paraId="1570B5D3" w14:textId="7B1F20FB" w:rsidR="004C456F" w:rsidRPr="00995C95" w:rsidRDefault="00245617" w:rsidP="007342AC">
                      <w:pPr>
                        <w:pStyle w:val="Podnadpis"/>
                        <w:rPr>
                          <w:rFonts w:cs="Times New Roman"/>
                          <w:bCs/>
                          <w:caps/>
                          <w:kern w:val="28"/>
                          <w:sz w:val="56"/>
                          <w:szCs w:val="32"/>
                          <w:lang w:val="en-GB"/>
                        </w:rPr>
                      </w:pPr>
                      <w:r w:rsidRPr="00995C95">
                        <w:rPr>
                          <w:rFonts w:cs="Times New Roman"/>
                          <w:bCs/>
                          <w:caps/>
                          <w:kern w:val="28"/>
                          <w:sz w:val="56"/>
                          <w:szCs w:val="32"/>
                          <w:lang w:val="en-GB"/>
                        </w:rPr>
                        <w:t>THE CZECH ECONOMY DEVELOPMENT</w:t>
                      </w:r>
                    </w:p>
                    <w:p w14:paraId="21432997" w14:textId="11B2F2A8" w:rsidR="004C456F" w:rsidRPr="00995C95" w:rsidRDefault="008A1483" w:rsidP="007342AC">
                      <w:pPr>
                        <w:pStyle w:val="Podnadpis"/>
                        <w:rPr>
                          <w:lang w:val="en-GB"/>
                        </w:rPr>
                      </w:pPr>
                      <w:r w:rsidRPr="00995C95">
                        <w:rPr>
                          <w:lang w:val="en-GB"/>
                        </w:rPr>
                        <w:t>Year</w:t>
                      </w:r>
                      <w:r w:rsidR="004C456F" w:rsidRPr="00995C95">
                        <w:rPr>
                          <w:lang w:val="en-GB"/>
                        </w:rPr>
                        <w:t xml:space="preserve"> 2025</w:t>
                      </w:r>
                    </w:p>
                  </w:txbxContent>
                </v:textbox>
                <w10:wrap anchorx="page" anchory="page"/>
                <w10:anchorlock/>
              </v:shape>
            </w:pict>
          </mc:Fallback>
        </mc:AlternateContent>
      </w:r>
      <w:r w:rsidRPr="00995C95">
        <w:rPr>
          <w:noProof/>
          <w:lang w:val="en-GB"/>
        </w:rPr>
        <mc:AlternateContent>
          <mc:Choice Requires="wps">
            <w:drawing>
              <wp:anchor distT="0" distB="0" distL="114300" distR="114300" simplePos="0" relativeHeight="251658245" behindDoc="0" locked="1" layoutInCell="1" allowOverlap="1" wp14:anchorId="21432978" wp14:editId="5BD8AB08">
                <wp:simplePos x="0" y="0"/>
                <wp:positionH relativeFrom="page">
                  <wp:posOffset>1700530</wp:posOffset>
                </wp:positionH>
                <wp:positionV relativeFrom="page">
                  <wp:posOffset>9649460</wp:posOffset>
                </wp:positionV>
                <wp:extent cx="5130165" cy="179705"/>
                <wp:effectExtent l="0" t="0" r="13335" b="10795"/>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165" cy="17970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w="9525">
                              <a:solidFill>
                                <a:srgbClr val="000000"/>
                              </a:solidFill>
                              <a:miter lim="800000"/>
                              <a:headEnd/>
                              <a:tailEnd/>
                            </a14:hiddenLine>
                          </a:ext>
                        </a:extLst>
                      </wps:spPr>
                      <wps:txbx>
                        <w:txbxContent>
                          <w:p w14:paraId="21432999" w14:textId="16627289" w:rsidR="004C456F" w:rsidRPr="00995C95" w:rsidRDefault="004C456F" w:rsidP="004924DC">
                            <w:r w:rsidRPr="00995C95">
                              <w:t xml:space="preserve">© </w:t>
                            </w:r>
                            <w:r w:rsidR="00B27A6B" w:rsidRPr="00995C95">
                              <w:t>Czech Statistical Office</w:t>
                            </w:r>
                            <w:r w:rsidRPr="00995C95">
                              <w:t>, Pra</w:t>
                            </w:r>
                            <w:r w:rsidR="00B27A6B" w:rsidRPr="00995C95">
                              <w:t>gue</w:t>
                            </w:r>
                            <w:r w:rsidRPr="00995C95">
                              <w:t>, 202</w:t>
                            </w:r>
                            <w:r w:rsidR="00011F39" w:rsidRPr="00995C95">
                              <w:t>6</w:t>
                            </w:r>
                          </w:p>
                          <w:p w14:paraId="2143299A" w14:textId="77777777" w:rsidR="004C456F" w:rsidRPr="00995C95" w:rsidRDefault="004C456F" w:rsidP="00665BA4"/>
                          <w:p w14:paraId="2143299B" w14:textId="77777777" w:rsidR="004C456F" w:rsidRPr="00995C95" w:rsidRDefault="004C456F" w:rsidP="00FC684B"/>
                          <w:p w14:paraId="2143299C" w14:textId="77777777" w:rsidR="004C456F" w:rsidRPr="00995C95" w:rsidRDefault="004C456F"/>
                          <w:p w14:paraId="2143299D" w14:textId="77777777" w:rsidR="004C456F" w:rsidRPr="00995C95" w:rsidRDefault="004C456F" w:rsidP="00665BA4">
                            <w:r w:rsidRPr="00995C95">
                              <w:t xml:space="preserve">© </w:t>
                            </w:r>
                            <w:proofErr w:type="spellStart"/>
                            <w:r w:rsidRPr="00995C95">
                              <w:t>Český</w:t>
                            </w:r>
                            <w:proofErr w:type="spellEnd"/>
                            <w:r w:rsidRPr="00995C95">
                              <w:t xml:space="preserve"> </w:t>
                            </w:r>
                            <w:proofErr w:type="spellStart"/>
                            <w:r w:rsidRPr="00995C95">
                              <w:t>statistický</w:t>
                            </w:r>
                            <w:proofErr w:type="spellEnd"/>
                            <w:r w:rsidRPr="00995C95">
                              <w:t xml:space="preserve"> </w:t>
                            </w:r>
                            <w:proofErr w:type="spellStart"/>
                            <w:r w:rsidRPr="00995C95">
                              <w:t>úřad</w:t>
                            </w:r>
                            <w:proofErr w:type="spellEnd"/>
                            <w:r w:rsidRPr="00995C95">
                              <w:t xml:space="preserve"> / </w:t>
                            </w:r>
                            <w:r w:rsidRPr="00995C95">
                              <w:rPr>
                                <w:i/>
                              </w:rPr>
                              <w:t xml:space="preserve">Czech </w:t>
                            </w:r>
                            <w:r w:rsidRPr="00995C95">
                              <w:rPr>
                                <w:rFonts w:cs="Arial"/>
                                <w:i/>
                                <w:szCs w:val="20"/>
                              </w:rPr>
                              <w:t>Statistical Office</w:t>
                            </w:r>
                            <w:r w:rsidRPr="00995C95">
                              <w:t xml:space="preserve">, </w:t>
                            </w:r>
                            <w:proofErr w:type="spellStart"/>
                            <w:r w:rsidRPr="00995C95">
                              <w:t>místo</w:t>
                            </w:r>
                            <w:proofErr w:type="spellEnd"/>
                            <w:r w:rsidRPr="00995C95">
                              <w:t xml:space="preserve">, </w:t>
                            </w:r>
                            <w:proofErr w:type="spellStart"/>
                            <w:r w:rsidRPr="00995C95">
                              <w:t>rok</w:t>
                            </w:r>
                            <w:proofErr w:type="spellEnd"/>
                            <w:r w:rsidRPr="00995C95">
                              <w:t xml:space="preserve"> </w:t>
                            </w:r>
                            <w:proofErr w:type="spellStart"/>
                            <w:r w:rsidRPr="00995C95">
                              <w:t>vydání</w:t>
                            </w:r>
                            <w:proofErr w:type="spellEnd"/>
                          </w:p>
                          <w:p w14:paraId="2143299E" w14:textId="77777777" w:rsidR="004C456F" w:rsidRPr="00995C95" w:rsidRDefault="004C456F" w:rsidP="00665BA4"/>
                          <w:p w14:paraId="2143299F" w14:textId="77777777" w:rsidR="004C456F" w:rsidRPr="00995C95" w:rsidRDefault="004C456F" w:rsidP="00FC684B"/>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432978" id="_x0000_s1029" type="#_x0000_t202" style="position:absolute;margin-left:133.9pt;margin-top:759.8pt;width:403.95pt;height:14.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" filled="f" stroked="f">
                <v:textbox inset="0,0,0,0">
                  <w:txbxContent>
                    <w:p w14:paraId="21432999" w14:textId="16627289" w:rsidR="004C456F" w:rsidRPr="00995C95" w:rsidRDefault="004C456F" w:rsidP="004924DC">
                      <w:r w:rsidRPr="00995C95">
                        <w:t xml:space="preserve">© </w:t>
                      </w:r>
                      <w:r w:rsidR="00B27A6B" w:rsidRPr="00995C95">
                        <w:t>Czech Statistical Office</w:t>
                      </w:r>
                      <w:r w:rsidRPr="00995C95">
                        <w:t>, Pra</w:t>
                      </w:r>
                      <w:r w:rsidR="00B27A6B" w:rsidRPr="00995C95">
                        <w:t>gue</w:t>
                      </w:r>
                      <w:r w:rsidRPr="00995C95">
                        <w:t>, 202</w:t>
                      </w:r>
                      <w:r w:rsidR="00011F39" w:rsidRPr="00995C95">
                        <w:t>6</w:t>
                      </w:r>
                    </w:p>
                    <w:p w14:paraId="2143299A" w14:textId="77777777" w:rsidR="004C456F" w:rsidRPr="00995C95" w:rsidRDefault="004C456F" w:rsidP="00665BA4"/>
                    <w:p w14:paraId="2143299B" w14:textId="77777777" w:rsidR="004C456F" w:rsidRPr="00995C95" w:rsidRDefault="004C456F" w:rsidP="00FC684B"/>
                    <w:p w14:paraId="2143299C" w14:textId="77777777" w:rsidR="004C456F" w:rsidRPr="00995C95" w:rsidRDefault="004C456F"/>
                    <w:p w14:paraId="2143299D" w14:textId="77777777" w:rsidR="004C456F" w:rsidRPr="00995C95" w:rsidRDefault="004C456F" w:rsidP="00665BA4">
                      <w:r w:rsidRPr="00995C95">
                        <w:t xml:space="preserve">© </w:t>
                      </w:r>
                      <w:proofErr w:type="spellStart"/>
                      <w:r w:rsidRPr="00995C95">
                        <w:t>Český</w:t>
                      </w:r>
                      <w:proofErr w:type="spellEnd"/>
                      <w:r w:rsidRPr="00995C95">
                        <w:t xml:space="preserve"> </w:t>
                      </w:r>
                      <w:proofErr w:type="spellStart"/>
                      <w:r w:rsidRPr="00995C95">
                        <w:t>statistický</w:t>
                      </w:r>
                      <w:proofErr w:type="spellEnd"/>
                      <w:r w:rsidRPr="00995C95">
                        <w:t xml:space="preserve"> </w:t>
                      </w:r>
                      <w:proofErr w:type="spellStart"/>
                      <w:r w:rsidRPr="00995C95">
                        <w:t>úřad</w:t>
                      </w:r>
                      <w:proofErr w:type="spellEnd"/>
                      <w:r w:rsidRPr="00995C95">
                        <w:t xml:space="preserve"> / </w:t>
                      </w:r>
                      <w:r w:rsidRPr="00995C95">
                        <w:rPr>
                          <w:i/>
                        </w:rPr>
                        <w:t xml:space="preserve">Czech </w:t>
                      </w:r>
                      <w:r w:rsidRPr="00995C95">
                        <w:rPr>
                          <w:rFonts w:cs="Arial"/>
                          <w:i/>
                          <w:szCs w:val="20"/>
                        </w:rPr>
                        <w:t>Statistical Office</w:t>
                      </w:r>
                      <w:r w:rsidRPr="00995C95">
                        <w:t xml:space="preserve">, </w:t>
                      </w:r>
                      <w:proofErr w:type="spellStart"/>
                      <w:r w:rsidRPr="00995C95">
                        <w:t>místo</w:t>
                      </w:r>
                      <w:proofErr w:type="spellEnd"/>
                      <w:r w:rsidRPr="00995C95">
                        <w:t xml:space="preserve">, </w:t>
                      </w:r>
                      <w:proofErr w:type="spellStart"/>
                      <w:r w:rsidRPr="00995C95">
                        <w:t>rok</w:t>
                      </w:r>
                      <w:proofErr w:type="spellEnd"/>
                      <w:r w:rsidRPr="00995C95">
                        <w:t xml:space="preserve"> </w:t>
                      </w:r>
                      <w:proofErr w:type="spellStart"/>
                      <w:r w:rsidRPr="00995C95">
                        <w:t>vydání</w:t>
                      </w:r>
                      <w:proofErr w:type="spellEnd"/>
                    </w:p>
                    <w:p w14:paraId="2143299E" w14:textId="77777777" w:rsidR="004C456F" w:rsidRPr="00995C95" w:rsidRDefault="004C456F" w:rsidP="00665BA4"/>
                    <w:p w14:paraId="2143299F" w14:textId="77777777" w:rsidR="004C456F" w:rsidRPr="00995C95" w:rsidRDefault="004C456F" w:rsidP="00FC684B"/>
                  </w:txbxContent>
                </v:textbox>
                <w10:wrap anchorx="page" anchory="page"/>
                <w10:anchorlock/>
              </v:shape>
            </w:pict>
          </mc:Fallback>
        </mc:AlternateContent>
      </w:r>
      <w:r w:rsidRPr="00995C95">
        <w:rPr>
          <w:noProof/>
          <w:lang w:val="en-GB"/>
        </w:rPr>
        <mc:AlternateContent>
          <mc:Choice Requires="wps">
            <w:drawing>
              <wp:anchor distT="4294967294" distB="4294967294" distL="114300" distR="114300" simplePos="0" relativeHeight="251658240" behindDoc="0" locked="1" layoutInCell="0" allowOverlap="1" wp14:anchorId="2143297A" wp14:editId="2143297B">
                <wp:simplePos x="0" y="0"/>
                <wp:positionH relativeFrom="page">
                  <wp:posOffset>1710055</wp:posOffset>
                </wp:positionH>
                <wp:positionV relativeFrom="page">
                  <wp:posOffset>9361169</wp:posOffset>
                </wp:positionV>
                <wp:extent cx="5130165" cy="0"/>
                <wp:effectExtent l="0" t="0" r="26035" b="25400"/>
                <wp:wrapNone/>
                <wp:docPr id="33" name="Přímá spojnic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3016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DBE502D" id="Přímá spojnice 33" o:spid="_x0000_s1026" style="position:absolute;z-index:25165363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134.65pt,737.1pt" to="538.6pt,7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" o:allowincell="f" strokecolor="windowText" strokeweight="1pt">
                <o:lock v:ext="edit" shapetype="f"/>
                <w10:wrap anchorx="page" anchory="page"/>
                <w10:anchorlock/>
              </v:line>
            </w:pict>
          </mc:Fallback>
        </mc:AlternateContent>
      </w:r>
      <w:r w:rsidR="00F63FB7" w:rsidRPr="00995C95">
        <w:rPr>
          <w:lang w:val="en-GB"/>
        </w:rPr>
        <w:br w:type="page"/>
      </w:r>
      <w:r w:rsidRPr="00995C95">
        <w:rPr>
          <w:lang w:val="en-GB"/>
        </w:rPr>
        <w:lastRenderedPageBreak/>
        <w:br w:type="page"/>
      </w:r>
      <w:r w:rsidRPr="00995C95">
        <w:rPr>
          <w:noProof/>
          <w:lang w:val="en-GB"/>
        </w:rPr>
        <mc:AlternateContent>
          <mc:Choice Requires="wps">
            <w:drawing>
              <wp:anchor distT="0" distB="0" distL="114300" distR="114300" simplePos="0" relativeHeight="251658246" behindDoc="0" locked="1" layoutInCell="1" allowOverlap="1" wp14:anchorId="2143297C" wp14:editId="2143297D">
                <wp:simplePos x="0" y="0"/>
                <wp:positionH relativeFrom="page">
                  <wp:posOffset>723900</wp:posOffset>
                </wp:positionH>
                <wp:positionV relativeFrom="page">
                  <wp:posOffset>1440180</wp:posOffset>
                </wp:positionV>
                <wp:extent cx="6119495" cy="7673340"/>
                <wp:effectExtent l="0" t="5080" r="1905" b="63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767334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w="9525">
                              <a:solidFill>
                                <a:srgbClr val="000000"/>
                              </a:solidFill>
                              <a:miter lim="800000"/>
                              <a:headEnd/>
                              <a:tailEnd/>
                            </a14:hiddenLine>
                          </a:ext>
                        </a:extLst>
                      </wps:spPr>
                      <wps:txbx>
                        <w:txbxContent>
                          <w:p w14:paraId="214329A0" w14:textId="3ACD87D9" w:rsidR="004C456F" w:rsidRPr="00995C95" w:rsidRDefault="006B7F88" w:rsidP="00040D10">
                            <w:pPr>
                              <w:pStyle w:val="TLKontaktyerven"/>
                            </w:pPr>
                            <w:r w:rsidRPr="00995C95">
                              <w:t>CONTACTS IN THE HEADQUARTERS</w:t>
                            </w:r>
                          </w:p>
                          <w:p w14:paraId="214329A1" w14:textId="55D77010" w:rsidR="004C456F" w:rsidRPr="00995C95" w:rsidRDefault="00A82A8A" w:rsidP="00040D10">
                            <w:pPr>
                              <w:pStyle w:val="TLKontakty"/>
                              <w:spacing w:after="80" w:line="240" w:lineRule="auto"/>
                              <w:contextualSpacing w:val="0"/>
                              <w:rPr>
                                <w:b w:val="0"/>
                                <w:color w:val="auto"/>
                                <w:lang w:val="en-GB"/>
                              </w:rPr>
                            </w:pPr>
                            <w:r w:rsidRPr="00995C95">
                              <w:rPr>
                                <w:lang w:val="en-GB"/>
                              </w:rPr>
                              <w:t>Czech Statistical Office</w:t>
                            </w:r>
                            <w:r w:rsidR="004C456F" w:rsidRPr="00995C95">
                              <w:rPr>
                                <w:b w:val="0"/>
                                <w:lang w:val="en-GB"/>
                              </w:rPr>
                              <w:t xml:space="preserve"> </w:t>
                            </w:r>
                            <w:r w:rsidR="004C456F" w:rsidRPr="00995C95">
                              <w:rPr>
                                <w:b w:val="0"/>
                                <w:color w:val="auto"/>
                                <w:lang w:val="en-GB"/>
                              </w:rPr>
                              <w:t xml:space="preserve">| Na </w:t>
                            </w:r>
                            <w:proofErr w:type="spellStart"/>
                            <w:r w:rsidR="004C456F" w:rsidRPr="00995C95">
                              <w:rPr>
                                <w:b w:val="0"/>
                                <w:color w:val="auto"/>
                                <w:lang w:val="en-GB"/>
                              </w:rPr>
                              <w:t>padesátém</w:t>
                            </w:r>
                            <w:proofErr w:type="spellEnd"/>
                            <w:r w:rsidR="004C456F" w:rsidRPr="00995C95">
                              <w:rPr>
                                <w:b w:val="0"/>
                                <w:color w:val="auto"/>
                                <w:lang w:val="en-GB"/>
                              </w:rPr>
                              <w:t xml:space="preserve"> 81, 100 82 Praha 10, </w:t>
                            </w:r>
                            <w:r w:rsidRPr="00995C95">
                              <w:rPr>
                                <w:b w:val="0"/>
                                <w:color w:val="auto"/>
                                <w:lang w:val="en-GB"/>
                              </w:rPr>
                              <w:t>ph</w:t>
                            </w:r>
                            <w:r w:rsidR="004C456F" w:rsidRPr="00995C95">
                              <w:rPr>
                                <w:b w:val="0"/>
                                <w:color w:val="auto"/>
                                <w:lang w:val="en-GB"/>
                              </w:rPr>
                              <w:t xml:space="preserve">.: 274 051 111 | </w:t>
                            </w:r>
                            <w:r w:rsidR="004C456F" w:rsidRPr="00995C95">
                              <w:rPr>
                                <w:color w:val="auto"/>
                                <w:lang w:val="en-GB"/>
                              </w:rPr>
                              <w:t>www.csu.gov.cz</w:t>
                            </w:r>
                          </w:p>
                          <w:p w14:paraId="214329A2" w14:textId="4A7C8E1A" w:rsidR="004C456F" w:rsidRPr="00995C95" w:rsidRDefault="00141374" w:rsidP="00040D10">
                            <w:pPr>
                              <w:pStyle w:val="TLKontakty"/>
                              <w:spacing w:after="80" w:line="240" w:lineRule="auto"/>
                              <w:contextualSpacing w:val="0"/>
                              <w:rPr>
                                <w:b w:val="0"/>
                                <w:color w:val="auto"/>
                                <w:lang w:val="en-GB"/>
                              </w:rPr>
                            </w:pPr>
                            <w:r w:rsidRPr="00995C95">
                              <w:rPr>
                                <w:color w:val="auto"/>
                                <w:lang w:val="en-GB"/>
                              </w:rPr>
                              <w:t>Information Services</w:t>
                            </w:r>
                            <w:r w:rsidR="004C456F" w:rsidRPr="00995C95">
                              <w:rPr>
                                <w:b w:val="0"/>
                                <w:color w:val="auto"/>
                                <w:lang w:val="en-GB"/>
                              </w:rPr>
                              <w:t xml:space="preserve"> | </w:t>
                            </w:r>
                            <w:r w:rsidR="00E01F0A" w:rsidRPr="00995C95">
                              <w:rPr>
                                <w:b w:val="0"/>
                                <w:color w:val="auto"/>
                                <w:lang w:val="en-GB"/>
                              </w:rPr>
                              <w:t>ph</w:t>
                            </w:r>
                            <w:r w:rsidR="004C456F" w:rsidRPr="00995C95">
                              <w:rPr>
                                <w:b w:val="0"/>
                                <w:color w:val="auto"/>
                                <w:lang w:val="en-GB"/>
                              </w:rPr>
                              <w:t>.: 274 056 789 | e-mail: infoservis@csu.gov.cz</w:t>
                            </w:r>
                          </w:p>
                          <w:p w14:paraId="214329A3" w14:textId="2251A43A" w:rsidR="004C456F" w:rsidRPr="00995C95" w:rsidRDefault="00C945BC" w:rsidP="00040D10">
                            <w:pPr>
                              <w:pStyle w:val="TLKontakty"/>
                              <w:spacing w:after="80" w:line="240" w:lineRule="auto"/>
                              <w:contextualSpacing w:val="0"/>
                              <w:rPr>
                                <w:b w:val="0"/>
                                <w:color w:val="auto"/>
                                <w:lang w:val="en-GB"/>
                              </w:rPr>
                            </w:pPr>
                            <w:r w:rsidRPr="00995C95">
                              <w:rPr>
                                <w:color w:val="auto"/>
                                <w:lang w:val="en-GB"/>
                              </w:rPr>
                              <w:t>CZSO Publication Shop</w:t>
                            </w:r>
                            <w:r w:rsidR="004C456F" w:rsidRPr="00995C95">
                              <w:rPr>
                                <w:b w:val="0"/>
                                <w:color w:val="auto"/>
                                <w:lang w:val="en-GB"/>
                              </w:rPr>
                              <w:t xml:space="preserve"> | </w:t>
                            </w:r>
                            <w:r w:rsidR="00143E21" w:rsidRPr="00995C95">
                              <w:rPr>
                                <w:b w:val="0"/>
                                <w:color w:val="auto"/>
                                <w:lang w:val="en-GB"/>
                              </w:rPr>
                              <w:t>ph</w:t>
                            </w:r>
                            <w:r w:rsidR="004C456F" w:rsidRPr="00995C95">
                              <w:rPr>
                                <w:b w:val="0"/>
                                <w:color w:val="auto"/>
                                <w:lang w:val="en-GB"/>
                              </w:rPr>
                              <w:t>.: 274 052 361 | e-mail: prodejna@csu.gov.cz</w:t>
                            </w:r>
                          </w:p>
                          <w:p w14:paraId="214329A4" w14:textId="28D1D35A" w:rsidR="004C456F" w:rsidRPr="00995C95" w:rsidRDefault="004C456F" w:rsidP="00040D10">
                            <w:pPr>
                              <w:pStyle w:val="TLKontakty"/>
                              <w:spacing w:after="80" w:line="240" w:lineRule="auto"/>
                              <w:contextualSpacing w:val="0"/>
                              <w:rPr>
                                <w:b w:val="0"/>
                                <w:color w:val="auto"/>
                                <w:lang w:val="en-GB"/>
                              </w:rPr>
                            </w:pPr>
                            <w:r w:rsidRPr="00995C95">
                              <w:rPr>
                                <w:color w:val="auto"/>
                                <w:lang w:val="en-GB"/>
                              </w:rPr>
                              <w:t>E</w:t>
                            </w:r>
                            <w:r w:rsidR="004609D9" w:rsidRPr="00995C95">
                              <w:rPr>
                                <w:color w:val="auto"/>
                                <w:lang w:val="en-GB"/>
                              </w:rPr>
                              <w:t xml:space="preserve">uropean Data </w:t>
                            </w:r>
                            <w:r w:rsidRPr="00995C95">
                              <w:rPr>
                                <w:color w:val="auto"/>
                                <w:lang w:val="en-GB"/>
                              </w:rPr>
                              <w:t xml:space="preserve">(ESDS), </w:t>
                            </w:r>
                            <w:r w:rsidR="00990102" w:rsidRPr="00995C95">
                              <w:rPr>
                                <w:color w:val="auto"/>
                                <w:lang w:val="en-GB"/>
                              </w:rPr>
                              <w:t>international comparison</w:t>
                            </w:r>
                            <w:r w:rsidRPr="00995C95">
                              <w:rPr>
                                <w:b w:val="0"/>
                                <w:color w:val="auto"/>
                                <w:lang w:val="en-GB"/>
                              </w:rPr>
                              <w:t xml:space="preserve"> | </w:t>
                            </w:r>
                            <w:r w:rsidR="00990102" w:rsidRPr="00995C95">
                              <w:rPr>
                                <w:b w:val="0"/>
                                <w:color w:val="auto"/>
                                <w:lang w:val="en-GB"/>
                              </w:rPr>
                              <w:t>ph</w:t>
                            </w:r>
                            <w:r w:rsidRPr="00995C95">
                              <w:rPr>
                                <w:b w:val="0"/>
                                <w:color w:val="auto"/>
                                <w:lang w:val="en-GB"/>
                              </w:rPr>
                              <w:t>.: 274 052 732 | e-mail: esds@csu.gov.cz</w:t>
                            </w:r>
                          </w:p>
                          <w:p w14:paraId="214329A5" w14:textId="3F3EB9E5" w:rsidR="004C456F" w:rsidRPr="00995C95" w:rsidRDefault="002A5287" w:rsidP="00040D10">
                            <w:pPr>
                              <w:pStyle w:val="TLKontakty"/>
                              <w:spacing w:after="80" w:line="240" w:lineRule="auto"/>
                              <w:contextualSpacing w:val="0"/>
                              <w:rPr>
                                <w:b w:val="0"/>
                                <w:color w:val="auto"/>
                                <w:lang w:val="en-GB"/>
                              </w:rPr>
                            </w:pPr>
                            <w:r w:rsidRPr="00995C95">
                              <w:rPr>
                                <w:color w:val="auto"/>
                                <w:lang w:val="en-GB"/>
                              </w:rPr>
                              <w:t xml:space="preserve">Central </w:t>
                            </w:r>
                            <w:r w:rsidR="007579AE" w:rsidRPr="00995C95">
                              <w:rPr>
                                <w:color w:val="auto"/>
                                <w:lang w:val="en-GB"/>
                              </w:rPr>
                              <w:t xml:space="preserve">Statistical Library </w:t>
                            </w:r>
                            <w:r w:rsidR="004C456F" w:rsidRPr="00995C95">
                              <w:rPr>
                                <w:b w:val="0"/>
                                <w:color w:val="auto"/>
                                <w:lang w:val="en-GB"/>
                              </w:rPr>
                              <w:t xml:space="preserve">| </w:t>
                            </w:r>
                            <w:r w:rsidR="007579AE" w:rsidRPr="00995C95">
                              <w:rPr>
                                <w:b w:val="0"/>
                                <w:color w:val="auto"/>
                                <w:lang w:val="en-GB"/>
                              </w:rPr>
                              <w:t>ph</w:t>
                            </w:r>
                            <w:r w:rsidR="004C456F" w:rsidRPr="00995C95">
                              <w:rPr>
                                <w:b w:val="0"/>
                                <w:color w:val="auto"/>
                                <w:lang w:val="en-GB"/>
                              </w:rPr>
                              <w:t>.: 274 052 361 | e-mail: knihovna@csu.gov.cz</w:t>
                            </w:r>
                          </w:p>
                          <w:p w14:paraId="214329A6" w14:textId="77777777" w:rsidR="004C456F" w:rsidRPr="00995C95" w:rsidRDefault="004C456F" w:rsidP="00040D10">
                            <w:pPr>
                              <w:pStyle w:val="TLKontakty"/>
                              <w:spacing w:after="80" w:line="240" w:lineRule="auto"/>
                              <w:contextualSpacing w:val="0"/>
                              <w:rPr>
                                <w:color w:val="auto"/>
                                <w:lang w:val="en-GB"/>
                              </w:rPr>
                            </w:pPr>
                          </w:p>
                          <w:p w14:paraId="40288679" w14:textId="5E7F9643" w:rsidR="004C456F" w:rsidRPr="00995C95" w:rsidRDefault="00BB0E67" w:rsidP="00AB535B">
                            <w:pPr>
                              <w:pStyle w:val="TLKontaktyerven"/>
                            </w:pPr>
                            <w:r w:rsidRPr="00995C95">
                              <w:t>INFORMATION SERVICES IN THE REGIONS</w:t>
                            </w:r>
                          </w:p>
                          <w:p w14:paraId="6DBBA526" w14:textId="27DB5B39" w:rsidR="004C456F" w:rsidRPr="00995C95" w:rsidRDefault="008E3D12" w:rsidP="00AB535B">
                            <w:pPr>
                              <w:pStyle w:val="TLKontakty"/>
                              <w:spacing w:after="80" w:line="240" w:lineRule="auto"/>
                              <w:rPr>
                                <w:b w:val="0"/>
                                <w:color w:val="auto"/>
                                <w:lang w:val="en-GB"/>
                              </w:rPr>
                            </w:pPr>
                            <w:r w:rsidRPr="00995C95">
                              <w:rPr>
                                <w:lang w:val="en-GB"/>
                              </w:rPr>
                              <w:t>Capital City Prague</w:t>
                            </w:r>
                            <w:r w:rsidR="004C456F" w:rsidRPr="00995C95">
                              <w:rPr>
                                <w:b w:val="0"/>
                                <w:lang w:val="en-GB"/>
                              </w:rPr>
                              <w:t xml:space="preserve"> </w:t>
                            </w:r>
                            <w:r w:rsidR="004C456F" w:rsidRPr="00995C95">
                              <w:rPr>
                                <w:b w:val="0"/>
                                <w:color w:val="auto"/>
                                <w:lang w:val="en-GB"/>
                              </w:rPr>
                              <w:t xml:space="preserve">| Na </w:t>
                            </w:r>
                            <w:proofErr w:type="spellStart"/>
                            <w:r w:rsidR="004C456F" w:rsidRPr="00995C95">
                              <w:rPr>
                                <w:b w:val="0"/>
                                <w:color w:val="auto"/>
                                <w:lang w:val="en-GB"/>
                              </w:rPr>
                              <w:t>padesátém</w:t>
                            </w:r>
                            <w:proofErr w:type="spellEnd"/>
                            <w:r w:rsidR="004C456F" w:rsidRPr="00995C95">
                              <w:rPr>
                                <w:b w:val="0"/>
                                <w:color w:val="auto"/>
                                <w:lang w:val="en-GB"/>
                              </w:rPr>
                              <w:t xml:space="preserve"> 81, 100 82 Praha 10, </w:t>
                            </w:r>
                            <w:r w:rsidR="00BC7396" w:rsidRPr="00995C95">
                              <w:rPr>
                                <w:b w:val="0"/>
                                <w:color w:val="auto"/>
                                <w:lang w:val="en-GB"/>
                              </w:rPr>
                              <w:t>ph</w:t>
                            </w:r>
                            <w:r w:rsidR="004C456F" w:rsidRPr="00995C95">
                              <w:rPr>
                                <w:b w:val="0"/>
                                <w:color w:val="auto"/>
                                <w:lang w:val="en-GB"/>
                              </w:rPr>
                              <w:t>.: 274 052 673</w:t>
                            </w:r>
                          </w:p>
                          <w:p w14:paraId="52BB90CC" w14:textId="77777777" w:rsidR="004C456F" w:rsidRPr="00995C95" w:rsidRDefault="004C456F" w:rsidP="00AB535B">
                            <w:pPr>
                              <w:pStyle w:val="TLKontakty"/>
                              <w:spacing w:after="80" w:line="240" w:lineRule="auto"/>
                              <w:rPr>
                                <w:b w:val="0"/>
                                <w:color w:val="auto"/>
                                <w:lang w:val="en-GB"/>
                              </w:rPr>
                            </w:pPr>
                            <w:r w:rsidRPr="00995C95">
                              <w:rPr>
                                <w:b w:val="0"/>
                                <w:color w:val="auto"/>
                                <w:lang w:val="en-GB"/>
                              </w:rPr>
                              <w:t xml:space="preserve">e-mail: infoservispraha@csu.gov.cz | </w:t>
                            </w:r>
                            <w:r w:rsidRPr="00995C95">
                              <w:rPr>
                                <w:color w:val="auto"/>
                                <w:lang w:val="en-GB"/>
                              </w:rPr>
                              <w:t>www.csu.gov.cz/praha</w:t>
                            </w:r>
                          </w:p>
                          <w:p w14:paraId="00AED4D4" w14:textId="77777777" w:rsidR="004C456F" w:rsidRPr="00995C95" w:rsidRDefault="004C456F" w:rsidP="00AB535B">
                            <w:pPr>
                              <w:pStyle w:val="TLKontakty"/>
                              <w:spacing w:after="80" w:line="240" w:lineRule="auto"/>
                              <w:rPr>
                                <w:color w:val="auto"/>
                                <w:lang w:val="en-GB"/>
                              </w:rPr>
                            </w:pPr>
                          </w:p>
                          <w:p w14:paraId="4E278003" w14:textId="0CA6CC12" w:rsidR="004C456F" w:rsidRPr="00995C95" w:rsidRDefault="00355256" w:rsidP="00AB535B">
                            <w:pPr>
                              <w:pStyle w:val="TLKontakty"/>
                              <w:spacing w:after="80" w:line="240" w:lineRule="auto"/>
                              <w:rPr>
                                <w:b w:val="0"/>
                                <w:color w:val="auto"/>
                                <w:lang w:val="en-GB"/>
                              </w:rPr>
                            </w:pPr>
                            <w:r w:rsidRPr="00995C95">
                              <w:rPr>
                                <w:lang w:val="en-GB"/>
                              </w:rPr>
                              <w:t>Central Bohemia</w:t>
                            </w:r>
                            <w:r w:rsidR="004C456F" w:rsidRPr="00995C95">
                              <w:rPr>
                                <w:b w:val="0"/>
                                <w:lang w:val="en-GB"/>
                              </w:rPr>
                              <w:t xml:space="preserve"> </w:t>
                            </w:r>
                            <w:r w:rsidR="004C456F" w:rsidRPr="00995C95">
                              <w:rPr>
                                <w:b w:val="0"/>
                                <w:color w:val="auto"/>
                                <w:lang w:val="en-GB"/>
                              </w:rPr>
                              <w:t xml:space="preserve">| Na </w:t>
                            </w:r>
                            <w:proofErr w:type="spellStart"/>
                            <w:r w:rsidR="004C456F" w:rsidRPr="00995C95">
                              <w:rPr>
                                <w:b w:val="0"/>
                                <w:color w:val="auto"/>
                                <w:lang w:val="en-GB"/>
                              </w:rPr>
                              <w:t>padesátém</w:t>
                            </w:r>
                            <w:proofErr w:type="spellEnd"/>
                            <w:r w:rsidR="004C456F" w:rsidRPr="00995C95">
                              <w:rPr>
                                <w:b w:val="0"/>
                                <w:color w:val="auto"/>
                                <w:lang w:val="en-GB"/>
                              </w:rPr>
                              <w:t xml:space="preserve"> 81, 100 82 Praha 10, </w:t>
                            </w:r>
                            <w:r w:rsidRPr="00995C95">
                              <w:rPr>
                                <w:b w:val="0"/>
                                <w:color w:val="auto"/>
                                <w:lang w:val="en-GB"/>
                              </w:rPr>
                              <w:t>ph</w:t>
                            </w:r>
                            <w:r w:rsidR="004C456F" w:rsidRPr="00995C95">
                              <w:rPr>
                                <w:b w:val="0"/>
                                <w:color w:val="auto"/>
                                <w:lang w:val="en-GB"/>
                              </w:rPr>
                              <w:t>.: 274 054 175</w:t>
                            </w:r>
                          </w:p>
                          <w:p w14:paraId="5C66D95E" w14:textId="77777777" w:rsidR="004C456F" w:rsidRPr="00995C95" w:rsidRDefault="004C456F" w:rsidP="00AB535B">
                            <w:pPr>
                              <w:pStyle w:val="TLKontakty"/>
                              <w:spacing w:after="80" w:line="240" w:lineRule="auto"/>
                              <w:rPr>
                                <w:color w:val="auto"/>
                                <w:lang w:val="en-GB"/>
                              </w:rPr>
                            </w:pPr>
                            <w:r w:rsidRPr="00995C95">
                              <w:rPr>
                                <w:b w:val="0"/>
                                <w:color w:val="auto"/>
                                <w:lang w:val="en-GB"/>
                              </w:rPr>
                              <w:t xml:space="preserve">e-mail: infoservisstc@csu.gov.cz | </w:t>
                            </w:r>
                            <w:r w:rsidRPr="00995C95">
                              <w:rPr>
                                <w:color w:val="auto"/>
                                <w:lang w:val="en-GB"/>
                              </w:rPr>
                              <w:t>www.csu.gov.cz/stredocesky</w:t>
                            </w:r>
                          </w:p>
                          <w:p w14:paraId="70ADCE20" w14:textId="77777777" w:rsidR="004C456F" w:rsidRPr="00995C95" w:rsidRDefault="004C456F" w:rsidP="00AB535B">
                            <w:pPr>
                              <w:pStyle w:val="TLKontakty"/>
                              <w:spacing w:after="80" w:line="240" w:lineRule="auto"/>
                              <w:rPr>
                                <w:color w:val="auto"/>
                                <w:lang w:val="en-GB"/>
                              </w:rPr>
                            </w:pPr>
                          </w:p>
                          <w:p w14:paraId="56C99FCE" w14:textId="17A17CD8" w:rsidR="004C456F" w:rsidRPr="00995C95" w:rsidRDefault="004C456F" w:rsidP="00AB535B">
                            <w:pPr>
                              <w:pStyle w:val="TLKontakty"/>
                              <w:spacing w:after="80" w:line="240" w:lineRule="auto"/>
                              <w:rPr>
                                <w:b w:val="0"/>
                                <w:color w:val="auto"/>
                                <w:lang w:val="en-GB"/>
                              </w:rPr>
                            </w:pPr>
                            <w:proofErr w:type="spellStart"/>
                            <w:r w:rsidRPr="00995C95">
                              <w:rPr>
                                <w:lang w:val="en-GB"/>
                              </w:rPr>
                              <w:t>České</w:t>
                            </w:r>
                            <w:proofErr w:type="spellEnd"/>
                            <w:r w:rsidRPr="00995C95">
                              <w:rPr>
                                <w:lang w:val="en-GB"/>
                              </w:rPr>
                              <w:t xml:space="preserve"> Budějovice</w:t>
                            </w:r>
                            <w:r w:rsidRPr="00995C95">
                              <w:rPr>
                                <w:b w:val="0"/>
                                <w:lang w:val="en-GB"/>
                              </w:rPr>
                              <w:t xml:space="preserve"> </w:t>
                            </w:r>
                            <w:r w:rsidRPr="00995C95">
                              <w:rPr>
                                <w:b w:val="0"/>
                                <w:color w:val="auto"/>
                                <w:lang w:val="en-GB"/>
                              </w:rPr>
                              <w:t xml:space="preserve">| </w:t>
                            </w:r>
                            <w:proofErr w:type="spellStart"/>
                            <w:r w:rsidRPr="00995C95">
                              <w:rPr>
                                <w:b w:val="0"/>
                                <w:color w:val="auto"/>
                                <w:lang w:val="en-GB"/>
                              </w:rPr>
                              <w:t>Žižkova</w:t>
                            </w:r>
                            <w:proofErr w:type="spellEnd"/>
                            <w:r w:rsidRPr="00995C95">
                              <w:rPr>
                                <w:b w:val="0"/>
                                <w:color w:val="auto"/>
                                <w:lang w:val="en-GB"/>
                              </w:rPr>
                              <w:t xml:space="preserve"> 1a, 370 77 </w:t>
                            </w:r>
                            <w:proofErr w:type="spellStart"/>
                            <w:r w:rsidRPr="00995C95">
                              <w:rPr>
                                <w:b w:val="0"/>
                                <w:color w:val="auto"/>
                                <w:lang w:val="en-GB"/>
                              </w:rPr>
                              <w:t>České</w:t>
                            </w:r>
                            <w:proofErr w:type="spellEnd"/>
                            <w:r w:rsidRPr="00995C95">
                              <w:rPr>
                                <w:b w:val="0"/>
                                <w:color w:val="auto"/>
                                <w:lang w:val="en-GB"/>
                              </w:rPr>
                              <w:t xml:space="preserve"> Budějovice, </w:t>
                            </w:r>
                            <w:r w:rsidR="006E7AAF" w:rsidRPr="00995C95">
                              <w:rPr>
                                <w:b w:val="0"/>
                                <w:color w:val="auto"/>
                                <w:lang w:val="en-GB"/>
                              </w:rPr>
                              <w:t>ph</w:t>
                            </w:r>
                            <w:r w:rsidRPr="00995C95">
                              <w:rPr>
                                <w:b w:val="0"/>
                                <w:color w:val="auto"/>
                                <w:lang w:val="en-GB"/>
                              </w:rPr>
                              <w:t>.: 386 718 440</w:t>
                            </w:r>
                          </w:p>
                          <w:p w14:paraId="1004772F" w14:textId="77777777" w:rsidR="004C456F" w:rsidRPr="00995C95" w:rsidRDefault="004C456F" w:rsidP="00AB535B">
                            <w:pPr>
                              <w:pStyle w:val="TLKontakty"/>
                              <w:spacing w:after="80" w:line="240" w:lineRule="auto"/>
                              <w:rPr>
                                <w:b w:val="0"/>
                                <w:color w:val="auto"/>
                                <w:lang w:val="en-GB"/>
                              </w:rPr>
                            </w:pPr>
                            <w:r w:rsidRPr="00995C95">
                              <w:rPr>
                                <w:b w:val="0"/>
                                <w:color w:val="auto"/>
                                <w:lang w:val="en-GB"/>
                              </w:rPr>
                              <w:t xml:space="preserve">e-mail: infoserviscb@csu.gov.cz | </w:t>
                            </w:r>
                            <w:r w:rsidRPr="00995C95">
                              <w:rPr>
                                <w:color w:val="auto"/>
                                <w:lang w:val="en-GB"/>
                              </w:rPr>
                              <w:t>www.csu.gov.cz/jihocesky</w:t>
                            </w:r>
                          </w:p>
                          <w:p w14:paraId="165CF548" w14:textId="77777777" w:rsidR="004C456F" w:rsidRPr="00995C95" w:rsidRDefault="004C456F" w:rsidP="00AB535B">
                            <w:pPr>
                              <w:pStyle w:val="TLKontakty"/>
                              <w:spacing w:after="80" w:line="240" w:lineRule="auto"/>
                              <w:rPr>
                                <w:color w:val="auto"/>
                                <w:lang w:val="en-GB"/>
                              </w:rPr>
                            </w:pPr>
                          </w:p>
                          <w:p w14:paraId="073A8F45" w14:textId="71FD9337" w:rsidR="004C456F" w:rsidRPr="00995C95" w:rsidRDefault="004C456F" w:rsidP="00AB535B">
                            <w:pPr>
                              <w:pStyle w:val="TLKontakty"/>
                              <w:spacing w:after="80" w:line="240" w:lineRule="auto"/>
                              <w:rPr>
                                <w:b w:val="0"/>
                                <w:color w:val="auto"/>
                                <w:lang w:val="en-GB"/>
                              </w:rPr>
                            </w:pPr>
                            <w:proofErr w:type="spellStart"/>
                            <w:r w:rsidRPr="00995C95">
                              <w:rPr>
                                <w:lang w:val="en-GB"/>
                              </w:rPr>
                              <w:t>Plzeň</w:t>
                            </w:r>
                            <w:proofErr w:type="spellEnd"/>
                            <w:r w:rsidRPr="00995C95">
                              <w:rPr>
                                <w:b w:val="0"/>
                                <w:color w:val="685B7A"/>
                                <w:lang w:val="en-GB"/>
                              </w:rPr>
                              <w:t xml:space="preserve"> </w:t>
                            </w:r>
                            <w:r w:rsidRPr="00995C95">
                              <w:rPr>
                                <w:b w:val="0"/>
                                <w:color w:val="auto"/>
                                <w:lang w:val="en-GB"/>
                              </w:rPr>
                              <w:t xml:space="preserve">| </w:t>
                            </w:r>
                            <w:proofErr w:type="spellStart"/>
                            <w:r w:rsidRPr="00995C95">
                              <w:rPr>
                                <w:b w:val="0"/>
                                <w:color w:val="auto"/>
                                <w:lang w:val="en-GB"/>
                              </w:rPr>
                              <w:t>Slovanská</w:t>
                            </w:r>
                            <w:proofErr w:type="spellEnd"/>
                            <w:r w:rsidRPr="00995C95">
                              <w:rPr>
                                <w:b w:val="0"/>
                                <w:color w:val="auto"/>
                                <w:lang w:val="en-GB"/>
                              </w:rPr>
                              <w:t xml:space="preserve"> </w:t>
                            </w:r>
                            <w:proofErr w:type="spellStart"/>
                            <w:r w:rsidRPr="00995C95">
                              <w:rPr>
                                <w:b w:val="0"/>
                                <w:color w:val="auto"/>
                                <w:lang w:val="en-GB"/>
                              </w:rPr>
                              <w:t>alej</w:t>
                            </w:r>
                            <w:proofErr w:type="spellEnd"/>
                            <w:r w:rsidRPr="00995C95">
                              <w:rPr>
                                <w:b w:val="0"/>
                                <w:color w:val="auto"/>
                                <w:lang w:val="en-GB"/>
                              </w:rPr>
                              <w:t xml:space="preserve"> 36, 326 64 </w:t>
                            </w:r>
                            <w:proofErr w:type="spellStart"/>
                            <w:r w:rsidRPr="00995C95">
                              <w:rPr>
                                <w:b w:val="0"/>
                                <w:color w:val="auto"/>
                                <w:lang w:val="en-GB"/>
                              </w:rPr>
                              <w:t>Plzeň</w:t>
                            </w:r>
                            <w:proofErr w:type="spellEnd"/>
                            <w:r w:rsidRPr="00995C95">
                              <w:rPr>
                                <w:b w:val="0"/>
                                <w:color w:val="auto"/>
                                <w:lang w:val="en-GB"/>
                              </w:rPr>
                              <w:t xml:space="preserve">, </w:t>
                            </w:r>
                            <w:r w:rsidR="006E7AAF" w:rsidRPr="00995C95">
                              <w:rPr>
                                <w:b w:val="0"/>
                                <w:color w:val="auto"/>
                                <w:lang w:val="en-GB"/>
                              </w:rPr>
                              <w:t>ph</w:t>
                            </w:r>
                            <w:r w:rsidRPr="00995C95">
                              <w:rPr>
                                <w:b w:val="0"/>
                                <w:color w:val="auto"/>
                                <w:lang w:val="en-GB"/>
                              </w:rPr>
                              <w:t>.: 377 612 108</w:t>
                            </w:r>
                          </w:p>
                          <w:p w14:paraId="6C9701D0" w14:textId="77777777" w:rsidR="004C456F" w:rsidRPr="00995C95" w:rsidRDefault="004C456F" w:rsidP="00AB535B">
                            <w:pPr>
                              <w:pStyle w:val="TLKontakty"/>
                              <w:spacing w:after="80" w:line="240" w:lineRule="auto"/>
                              <w:rPr>
                                <w:b w:val="0"/>
                                <w:color w:val="auto"/>
                                <w:lang w:val="en-GB"/>
                              </w:rPr>
                            </w:pPr>
                            <w:r w:rsidRPr="00995C95">
                              <w:rPr>
                                <w:b w:val="0"/>
                                <w:color w:val="auto"/>
                                <w:lang w:val="en-GB"/>
                              </w:rPr>
                              <w:t xml:space="preserve">e-mail: infoservisplzen@csu.gov.cz | </w:t>
                            </w:r>
                            <w:r w:rsidRPr="00995C95">
                              <w:rPr>
                                <w:color w:val="auto"/>
                                <w:lang w:val="en-GB"/>
                              </w:rPr>
                              <w:t>www.csu.gov.cz/plzensky</w:t>
                            </w:r>
                          </w:p>
                          <w:p w14:paraId="782D67CB" w14:textId="77777777" w:rsidR="004C456F" w:rsidRPr="00995C95" w:rsidRDefault="004C456F" w:rsidP="00AB535B">
                            <w:pPr>
                              <w:pStyle w:val="TLKontakty"/>
                              <w:spacing w:after="80" w:line="240" w:lineRule="auto"/>
                              <w:rPr>
                                <w:color w:val="auto"/>
                                <w:lang w:val="en-GB"/>
                              </w:rPr>
                            </w:pPr>
                          </w:p>
                          <w:p w14:paraId="00F3D1DC" w14:textId="7706CBF9" w:rsidR="004C456F" w:rsidRPr="00995C95" w:rsidRDefault="004C456F" w:rsidP="00AB535B">
                            <w:pPr>
                              <w:pStyle w:val="TLKontakty"/>
                              <w:spacing w:after="80" w:line="240" w:lineRule="auto"/>
                              <w:rPr>
                                <w:b w:val="0"/>
                                <w:color w:val="auto"/>
                                <w:lang w:val="en-GB"/>
                              </w:rPr>
                            </w:pPr>
                            <w:r w:rsidRPr="00995C95">
                              <w:rPr>
                                <w:lang w:val="en-GB"/>
                              </w:rPr>
                              <w:t>Karlovy Vary</w:t>
                            </w:r>
                            <w:r w:rsidRPr="00995C95">
                              <w:rPr>
                                <w:b w:val="0"/>
                                <w:lang w:val="en-GB"/>
                              </w:rPr>
                              <w:t xml:space="preserve"> </w:t>
                            </w:r>
                            <w:r w:rsidRPr="00995C95">
                              <w:rPr>
                                <w:b w:val="0"/>
                                <w:color w:val="auto"/>
                                <w:lang w:val="en-GB"/>
                              </w:rPr>
                              <w:t xml:space="preserve">| </w:t>
                            </w:r>
                            <w:proofErr w:type="spellStart"/>
                            <w:r w:rsidRPr="00995C95">
                              <w:rPr>
                                <w:b w:val="0"/>
                                <w:color w:val="auto"/>
                                <w:lang w:val="en-GB"/>
                              </w:rPr>
                              <w:t>Závodní</w:t>
                            </w:r>
                            <w:proofErr w:type="spellEnd"/>
                            <w:r w:rsidRPr="00995C95">
                              <w:rPr>
                                <w:b w:val="0"/>
                                <w:color w:val="auto"/>
                                <w:lang w:val="en-GB"/>
                              </w:rPr>
                              <w:t xml:space="preserve"> 360/94, 360 06 Karlovy Vary, </w:t>
                            </w:r>
                            <w:r w:rsidR="006E7AAF" w:rsidRPr="00995C95">
                              <w:rPr>
                                <w:b w:val="0"/>
                                <w:color w:val="auto"/>
                                <w:lang w:val="en-GB"/>
                              </w:rPr>
                              <w:t>ph</w:t>
                            </w:r>
                            <w:r w:rsidRPr="00995C95">
                              <w:rPr>
                                <w:b w:val="0"/>
                                <w:color w:val="auto"/>
                                <w:lang w:val="en-GB"/>
                              </w:rPr>
                              <w:t>.: 353 114 529</w:t>
                            </w:r>
                          </w:p>
                          <w:p w14:paraId="24C682D2" w14:textId="77777777" w:rsidR="004C456F" w:rsidRPr="00995C95" w:rsidRDefault="004C456F" w:rsidP="00AB535B">
                            <w:pPr>
                              <w:pStyle w:val="TLKontakty"/>
                              <w:spacing w:after="80" w:line="240" w:lineRule="auto"/>
                              <w:rPr>
                                <w:b w:val="0"/>
                                <w:color w:val="auto"/>
                                <w:lang w:val="en-GB"/>
                              </w:rPr>
                            </w:pPr>
                            <w:r w:rsidRPr="00995C95">
                              <w:rPr>
                                <w:b w:val="0"/>
                                <w:color w:val="auto"/>
                                <w:lang w:val="en-GB"/>
                              </w:rPr>
                              <w:t xml:space="preserve">e-mail: infoserviskv@csu.gov.cz | </w:t>
                            </w:r>
                            <w:r w:rsidRPr="00995C95">
                              <w:rPr>
                                <w:color w:val="auto"/>
                                <w:lang w:val="en-GB"/>
                              </w:rPr>
                              <w:t>www.csu.gov.cz/karlovarsky</w:t>
                            </w:r>
                          </w:p>
                          <w:p w14:paraId="6E9577F9" w14:textId="77777777" w:rsidR="004C456F" w:rsidRPr="00995C95" w:rsidRDefault="004C456F" w:rsidP="00AB535B">
                            <w:pPr>
                              <w:pStyle w:val="TLKontakty"/>
                              <w:spacing w:after="80" w:line="240" w:lineRule="auto"/>
                              <w:rPr>
                                <w:color w:val="auto"/>
                                <w:lang w:val="en-GB"/>
                              </w:rPr>
                            </w:pPr>
                          </w:p>
                          <w:p w14:paraId="77286DF2" w14:textId="3C1ACF94" w:rsidR="004C456F" w:rsidRPr="00995C95" w:rsidRDefault="004C456F" w:rsidP="00AB535B">
                            <w:pPr>
                              <w:pStyle w:val="TLKontakty"/>
                              <w:spacing w:after="80" w:line="240" w:lineRule="auto"/>
                              <w:rPr>
                                <w:b w:val="0"/>
                                <w:color w:val="auto"/>
                                <w:lang w:val="en-GB"/>
                              </w:rPr>
                            </w:pPr>
                            <w:r w:rsidRPr="00995C95">
                              <w:rPr>
                                <w:lang w:val="en-GB"/>
                              </w:rPr>
                              <w:t xml:space="preserve">Ústí </w:t>
                            </w:r>
                            <w:proofErr w:type="spellStart"/>
                            <w:r w:rsidRPr="00995C95">
                              <w:rPr>
                                <w:lang w:val="en-GB"/>
                              </w:rPr>
                              <w:t>nad</w:t>
                            </w:r>
                            <w:proofErr w:type="spellEnd"/>
                            <w:r w:rsidRPr="00995C95">
                              <w:rPr>
                                <w:lang w:val="en-GB"/>
                              </w:rPr>
                              <w:t xml:space="preserve"> Labem</w:t>
                            </w:r>
                            <w:r w:rsidRPr="00995C95">
                              <w:rPr>
                                <w:b w:val="0"/>
                                <w:lang w:val="en-GB"/>
                              </w:rPr>
                              <w:t xml:space="preserve"> </w:t>
                            </w:r>
                            <w:r w:rsidRPr="00995C95">
                              <w:rPr>
                                <w:b w:val="0"/>
                                <w:color w:val="auto"/>
                                <w:lang w:val="en-GB"/>
                              </w:rPr>
                              <w:t xml:space="preserve">| </w:t>
                            </w:r>
                            <w:proofErr w:type="spellStart"/>
                            <w:r w:rsidRPr="00995C95">
                              <w:rPr>
                                <w:b w:val="0"/>
                                <w:color w:val="auto"/>
                                <w:lang w:val="en-GB"/>
                              </w:rPr>
                              <w:t>Špálova</w:t>
                            </w:r>
                            <w:proofErr w:type="spellEnd"/>
                            <w:r w:rsidRPr="00995C95">
                              <w:rPr>
                                <w:b w:val="0"/>
                                <w:color w:val="auto"/>
                                <w:lang w:val="en-GB"/>
                              </w:rPr>
                              <w:t xml:space="preserve"> 2684, 400 11 Ústí </w:t>
                            </w:r>
                            <w:proofErr w:type="spellStart"/>
                            <w:r w:rsidRPr="00995C95">
                              <w:rPr>
                                <w:b w:val="0"/>
                                <w:color w:val="auto"/>
                                <w:lang w:val="en-GB"/>
                              </w:rPr>
                              <w:t>nad</w:t>
                            </w:r>
                            <w:proofErr w:type="spellEnd"/>
                            <w:r w:rsidRPr="00995C95">
                              <w:rPr>
                                <w:b w:val="0"/>
                                <w:color w:val="auto"/>
                                <w:lang w:val="en-GB"/>
                              </w:rPr>
                              <w:t xml:space="preserve"> Labem, </w:t>
                            </w:r>
                            <w:r w:rsidR="006E7AAF" w:rsidRPr="00995C95">
                              <w:rPr>
                                <w:b w:val="0"/>
                                <w:color w:val="auto"/>
                                <w:lang w:val="en-GB"/>
                              </w:rPr>
                              <w:t>ph</w:t>
                            </w:r>
                            <w:r w:rsidRPr="00995C95">
                              <w:rPr>
                                <w:b w:val="0"/>
                                <w:color w:val="auto"/>
                                <w:lang w:val="en-GB"/>
                              </w:rPr>
                              <w:t>.: 472 706 176</w:t>
                            </w:r>
                          </w:p>
                          <w:p w14:paraId="650EE774" w14:textId="77777777" w:rsidR="004C456F" w:rsidRPr="00995C95" w:rsidRDefault="004C456F" w:rsidP="00AB535B">
                            <w:pPr>
                              <w:pStyle w:val="TLKontakty"/>
                              <w:spacing w:after="80" w:line="240" w:lineRule="auto"/>
                              <w:rPr>
                                <w:b w:val="0"/>
                                <w:color w:val="auto"/>
                                <w:lang w:val="en-GB"/>
                              </w:rPr>
                            </w:pPr>
                            <w:r w:rsidRPr="00995C95">
                              <w:rPr>
                                <w:b w:val="0"/>
                                <w:color w:val="auto"/>
                                <w:lang w:val="en-GB"/>
                              </w:rPr>
                              <w:t xml:space="preserve">e-mail: infoservisul@csu.gov.cz | </w:t>
                            </w:r>
                            <w:r w:rsidRPr="00995C95">
                              <w:rPr>
                                <w:color w:val="auto"/>
                                <w:lang w:val="en-GB"/>
                              </w:rPr>
                              <w:t>www.csu.gov.cz/ustecky</w:t>
                            </w:r>
                          </w:p>
                          <w:p w14:paraId="07D247CD" w14:textId="77777777" w:rsidR="004C456F" w:rsidRPr="00995C95" w:rsidRDefault="004C456F" w:rsidP="00AB535B">
                            <w:pPr>
                              <w:pStyle w:val="TLKontakty"/>
                              <w:spacing w:after="80" w:line="240" w:lineRule="auto"/>
                              <w:rPr>
                                <w:color w:val="auto"/>
                                <w:lang w:val="en-GB"/>
                              </w:rPr>
                            </w:pPr>
                          </w:p>
                          <w:p w14:paraId="29194436" w14:textId="7556A6F7" w:rsidR="004C456F" w:rsidRPr="00995C95" w:rsidRDefault="004C456F" w:rsidP="00AB535B">
                            <w:pPr>
                              <w:pStyle w:val="TLKontakty"/>
                              <w:spacing w:after="80" w:line="240" w:lineRule="auto"/>
                              <w:rPr>
                                <w:b w:val="0"/>
                                <w:color w:val="auto"/>
                                <w:lang w:val="en-GB"/>
                              </w:rPr>
                            </w:pPr>
                            <w:r w:rsidRPr="00995C95">
                              <w:rPr>
                                <w:lang w:val="en-GB"/>
                              </w:rPr>
                              <w:t>Liberec</w:t>
                            </w:r>
                            <w:r w:rsidRPr="00995C95">
                              <w:rPr>
                                <w:b w:val="0"/>
                                <w:color w:val="auto"/>
                                <w:lang w:val="en-GB"/>
                              </w:rPr>
                              <w:t xml:space="preserve"> | </w:t>
                            </w:r>
                            <w:proofErr w:type="spellStart"/>
                            <w:r w:rsidRPr="00995C95">
                              <w:rPr>
                                <w:b w:val="0"/>
                                <w:color w:val="auto"/>
                                <w:lang w:val="en-GB"/>
                              </w:rPr>
                              <w:t>nám</w:t>
                            </w:r>
                            <w:proofErr w:type="spellEnd"/>
                            <w:r w:rsidRPr="00995C95">
                              <w:rPr>
                                <w:b w:val="0"/>
                                <w:color w:val="auto"/>
                                <w:lang w:val="en-GB"/>
                              </w:rPr>
                              <w:t xml:space="preserve">. Dr. Edvarda </w:t>
                            </w:r>
                            <w:proofErr w:type="spellStart"/>
                            <w:r w:rsidRPr="00995C95">
                              <w:rPr>
                                <w:b w:val="0"/>
                                <w:color w:val="auto"/>
                                <w:lang w:val="en-GB"/>
                              </w:rPr>
                              <w:t>Beneše</w:t>
                            </w:r>
                            <w:proofErr w:type="spellEnd"/>
                            <w:r w:rsidRPr="00995C95">
                              <w:rPr>
                                <w:b w:val="0"/>
                                <w:color w:val="auto"/>
                                <w:lang w:val="en-GB"/>
                              </w:rPr>
                              <w:t xml:space="preserve"> 585/26, 460 01 Liberec, </w:t>
                            </w:r>
                            <w:r w:rsidR="00047175" w:rsidRPr="00995C95">
                              <w:rPr>
                                <w:b w:val="0"/>
                                <w:color w:val="auto"/>
                                <w:lang w:val="en-GB"/>
                              </w:rPr>
                              <w:t>ph</w:t>
                            </w:r>
                            <w:r w:rsidRPr="00995C95">
                              <w:rPr>
                                <w:b w:val="0"/>
                                <w:color w:val="auto"/>
                                <w:lang w:val="en-GB"/>
                              </w:rPr>
                              <w:t>.: 704 675 184</w:t>
                            </w:r>
                          </w:p>
                          <w:p w14:paraId="495AA30F" w14:textId="77777777" w:rsidR="004C456F" w:rsidRPr="00995C95" w:rsidRDefault="004C456F" w:rsidP="00AB535B">
                            <w:pPr>
                              <w:pStyle w:val="TLKontakty"/>
                              <w:spacing w:after="80" w:line="240" w:lineRule="auto"/>
                              <w:rPr>
                                <w:b w:val="0"/>
                                <w:color w:val="auto"/>
                                <w:lang w:val="en-GB"/>
                              </w:rPr>
                            </w:pPr>
                            <w:r w:rsidRPr="00995C95">
                              <w:rPr>
                                <w:b w:val="0"/>
                                <w:color w:val="auto"/>
                                <w:lang w:val="en-GB"/>
                              </w:rPr>
                              <w:t xml:space="preserve">e-mail: infoservislbc@csu.gov.cz | </w:t>
                            </w:r>
                            <w:r w:rsidRPr="00995C95">
                              <w:rPr>
                                <w:color w:val="auto"/>
                                <w:lang w:val="en-GB"/>
                              </w:rPr>
                              <w:t>www.csu.gov.cz/liberecky</w:t>
                            </w:r>
                          </w:p>
                          <w:p w14:paraId="352E4F51" w14:textId="77777777" w:rsidR="004C456F" w:rsidRPr="00995C95" w:rsidRDefault="004C456F" w:rsidP="00AB535B">
                            <w:pPr>
                              <w:pStyle w:val="TLKontakty"/>
                              <w:spacing w:after="80" w:line="240" w:lineRule="auto"/>
                              <w:rPr>
                                <w:b w:val="0"/>
                                <w:color w:val="auto"/>
                                <w:lang w:val="en-GB"/>
                              </w:rPr>
                            </w:pPr>
                          </w:p>
                          <w:p w14:paraId="4CA59A3C" w14:textId="04BBA74C" w:rsidR="004C456F" w:rsidRPr="00995C95" w:rsidRDefault="004C456F" w:rsidP="00AB535B">
                            <w:pPr>
                              <w:pStyle w:val="TLKontakty"/>
                              <w:spacing w:after="80" w:line="240" w:lineRule="auto"/>
                              <w:rPr>
                                <w:b w:val="0"/>
                                <w:color w:val="auto"/>
                                <w:lang w:val="en-GB"/>
                              </w:rPr>
                            </w:pPr>
                            <w:r w:rsidRPr="00995C95">
                              <w:rPr>
                                <w:lang w:val="en-GB"/>
                              </w:rPr>
                              <w:t xml:space="preserve">Hradec </w:t>
                            </w:r>
                            <w:proofErr w:type="spellStart"/>
                            <w:r w:rsidRPr="00995C95">
                              <w:rPr>
                                <w:lang w:val="en-GB"/>
                              </w:rPr>
                              <w:t>Králové</w:t>
                            </w:r>
                            <w:proofErr w:type="spellEnd"/>
                            <w:r w:rsidRPr="00995C95">
                              <w:rPr>
                                <w:b w:val="0"/>
                                <w:lang w:val="en-GB"/>
                              </w:rPr>
                              <w:t xml:space="preserve"> </w:t>
                            </w:r>
                            <w:r w:rsidRPr="00995C95">
                              <w:rPr>
                                <w:b w:val="0"/>
                                <w:color w:val="auto"/>
                                <w:lang w:val="en-GB"/>
                              </w:rPr>
                              <w:t xml:space="preserve">| </w:t>
                            </w:r>
                            <w:proofErr w:type="spellStart"/>
                            <w:r w:rsidRPr="00995C95">
                              <w:rPr>
                                <w:b w:val="0"/>
                                <w:color w:val="auto"/>
                                <w:lang w:val="en-GB"/>
                              </w:rPr>
                              <w:t>Myslivečkova</w:t>
                            </w:r>
                            <w:proofErr w:type="spellEnd"/>
                            <w:r w:rsidRPr="00995C95">
                              <w:rPr>
                                <w:b w:val="0"/>
                                <w:color w:val="auto"/>
                                <w:lang w:val="en-GB"/>
                              </w:rPr>
                              <w:t xml:space="preserve"> 914, 500 03 Hradec </w:t>
                            </w:r>
                            <w:proofErr w:type="spellStart"/>
                            <w:r w:rsidRPr="00995C95">
                              <w:rPr>
                                <w:b w:val="0"/>
                                <w:color w:val="auto"/>
                                <w:lang w:val="en-GB"/>
                              </w:rPr>
                              <w:t>Králové</w:t>
                            </w:r>
                            <w:proofErr w:type="spellEnd"/>
                            <w:r w:rsidRPr="00995C95">
                              <w:rPr>
                                <w:b w:val="0"/>
                                <w:color w:val="auto"/>
                                <w:lang w:val="en-GB"/>
                              </w:rPr>
                              <w:t xml:space="preserve">, </w:t>
                            </w:r>
                            <w:r w:rsidR="00047175" w:rsidRPr="00995C95">
                              <w:rPr>
                                <w:b w:val="0"/>
                                <w:color w:val="auto"/>
                                <w:lang w:val="en-GB"/>
                              </w:rPr>
                              <w:t>ph</w:t>
                            </w:r>
                            <w:r w:rsidRPr="00995C95">
                              <w:rPr>
                                <w:b w:val="0"/>
                                <w:color w:val="auto"/>
                                <w:lang w:val="en-GB"/>
                              </w:rPr>
                              <w:t>.: 495 762 322</w:t>
                            </w:r>
                          </w:p>
                          <w:p w14:paraId="081AD867" w14:textId="77777777" w:rsidR="004C456F" w:rsidRPr="00995C95" w:rsidRDefault="004C456F" w:rsidP="00AB535B">
                            <w:pPr>
                              <w:pStyle w:val="TLKontakty"/>
                              <w:spacing w:after="80" w:line="240" w:lineRule="auto"/>
                              <w:rPr>
                                <w:b w:val="0"/>
                                <w:color w:val="auto"/>
                                <w:lang w:val="en-GB"/>
                              </w:rPr>
                            </w:pPr>
                            <w:r w:rsidRPr="00995C95">
                              <w:rPr>
                                <w:b w:val="0"/>
                                <w:color w:val="auto"/>
                                <w:lang w:val="en-GB"/>
                              </w:rPr>
                              <w:t xml:space="preserve">e-mail: infoservishk@csu.gov.cz | </w:t>
                            </w:r>
                            <w:r w:rsidRPr="00995C95">
                              <w:rPr>
                                <w:color w:val="auto"/>
                                <w:lang w:val="en-GB"/>
                              </w:rPr>
                              <w:t>www.csu.gov.cz/kralovehradecky</w:t>
                            </w:r>
                          </w:p>
                          <w:p w14:paraId="08EC8A6A" w14:textId="77777777" w:rsidR="004C456F" w:rsidRPr="00995C95" w:rsidRDefault="004C456F" w:rsidP="00AB535B">
                            <w:pPr>
                              <w:pStyle w:val="TLKontakty"/>
                              <w:spacing w:after="80" w:line="240" w:lineRule="auto"/>
                              <w:rPr>
                                <w:color w:val="auto"/>
                                <w:lang w:val="en-GB"/>
                              </w:rPr>
                            </w:pPr>
                          </w:p>
                          <w:p w14:paraId="7586B150" w14:textId="35E85B5B" w:rsidR="004C456F" w:rsidRPr="00995C95" w:rsidRDefault="004C456F" w:rsidP="00AB535B">
                            <w:pPr>
                              <w:pStyle w:val="TLKontakty"/>
                              <w:spacing w:after="80" w:line="240" w:lineRule="auto"/>
                              <w:rPr>
                                <w:b w:val="0"/>
                                <w:color w:val="auto"/>
                                <w:lang w:val="en-GB"/>
                              </w:rPr>
                            </w:pPr>
                            <w:r w:rsidRPr="00995C95">
                              <w:rPr>
                                <w:lang w:val="en-GB"/>
                              </w:rPr>
                              <w:t>Pardubice</w:t>
                            </w:r>
                            <w:r w:rsidRPr="00995C95">
                              <w:rPr>
                                <w:b w:val="0"/>
                                <w:lang w:val="en-GB"/>
                              </w:rPr>
                              <w:t xml:space="preserve"> </w:t>
                            </w:r>
                            <w:r w:rsidRPr="00995C95">
                              <w:rPr>
                                <w:b w:val="0"/>
                                <w:color w:val="auto"/>
                                <w:lang w:val="en-GB"/>
                              </w:rPr>
                              <w:t>| V </w:t>
                            </w:r>
                            <w:proofErr w:type="spellStart"/>
                            <w:r w:rsidRPr="00995C95">
                              <w:rPr>
                                <w:b w:val="0"/>
                                <w:color w:val="auto"/>
                                <w:lang w:val="en-GB"/>
                              </w:rPr>
                              <w:t>Ráji</w:t>
                            </w:r>
                            <w:proofErr w:type="spellEnd"/>
                            <w:r w:rsidRPr="00995C95">
                              <w:rPr>
                                <w:b w:val="0"/>
                                <w:color w:val="auto"/>
                                <w:lang w:val="en-GB"/>
                              </w:rPr>
                              <w:t xml:space="preserve"> 872, 531 53 Pardubice, </w:t>
                            </w:r>
                            <w:r w:rsidR="00047175" w:rsidRPr="00995C95">
                              <w:rPr>
                                <w:b w:val="0"/>
                                <w:color w:val="auto"/>
                                <w:lang w:val="en-GB"/>
                              </w:rPr>
                              <w:t>ph</w:t>
                            </w:r>
                            <w:r w:rsidRPr="00995C95">
                              <w:rPr>
                                <w:b w:val="0"/>
                                <w:color w:val="auto"/>
                                <w:lang w:val="en-GB"/>
                              </w:rPr>
                              <w:t>.: 466 743 480</w:t>
                            </w:r>
                          </w:p>
                          <w:p w14:paraId="4B4D3BBA" w14:textId="77777777" w:rsidR="004C456F" w:rsidRPr="00995C95" w:rsidRDefault="004C456F" w:rsidP="00AB535B">
                            <w:pPr>
                              <w:pStyle w:val="TLKontakty"/>
                              <w:spacing w:after="80" w:line="240" w:lineRule="auto"/>
                              <w:rPr>
                                <w:b w:val="0"/>
                                <w:color w:val="auto"/>
                                <w:lang w:val="en-GB"/>
                              </w:rPr>
                            </w:pPr>
                            <w:r w:rsidRPr="00995C95">
                              <w:rPr>
                                <w:b w:val="0"/>
                                <w:color w:val="auto"/>
                                <w:lang w:val="en-GB"/>
                              </w:rPr>
                              <w:t xml:space="preserve">e-mail: infoservispa@csu.gov.cz | </w:t>
                            </w:r>
                            <w:r w:rsidRPr="00995C95">
                              <w:rPr>
                                <w:color w:val="auto"/>
                                <w:lang w:val="en-GB"/>
                              </w:rPr>
                              <w:t>www.csu.gov.cz/pardubicky</w:t>
                            </w:r>
                          </w:p>
                          <w:p w14:paraId="6CF93D89" w14:textId="77777777" w:rsidR="004C456F" w:rsidRPr="00995C95" w:rsidRDefault="004C456F" w:rsidP="00AB535B">
                            <w:pPr>
                              <w:pStyle w:val="TLKontakty"/>
                              <w:spacing w:after="80" w:line="240" w:lineRule="auto"/>
                              <w:rPr>
                                <w:b w:val="0"/>
                                <w:color w:val="auto"/>
                                <w:lang w:val="en-GB"/>
                              </w:rPr>
                            </w:pPr>
                          </w:p>
                          <w:p w14:paraId="30BAB159" w14:textId="66CD9B85" w:rsidR="004C456F" w:rsidRPr="00995C95" w:rsidRDefault="004C456F" w:rsidP="00AB535B">
                            <w:pPr>
                              <w:pStyle w:val="TLKontakty"/>
                              <w:spacing w:after="80" w:line="240" w:lineRule="auto"/>
                              <w:rPr>
                                <w:b w:val="0"/>
                                <w:color w:val="auto"/>
                                <w:lang w:val="en-GB"/>
                              </w:rPr>
                            </w:pPr>
                            <w:proofErr w:type="spellStart"/>
                            <w:r w:rsidRPr="00995C95">
                              <w:rPr>
                                <w:lang w:val="en-GB"/>
                              </w:rPr>
                              <w:t>Jihlava</w:t>
                            </w:r>
                            <w:proofErr w:type="spellEnd"/>
                            <w:r w:rsidRPr="00995C95">
                              <w:rPr>
                                <w:b w:val="0"/>
                                <w:color w:val="auto"/>
                                <w:lang w:val="en-GB"/>
                              </w:rPr>
                              <w:t xml:space="preserve"> | Ke </w:t>
                            </w:r>
                            <w:proofErr w:type="spellStart"/>
                            <w:r w:rsidRPr="00995C95">
                              <w:rPr>
                                <w:b w:val="0"/>
                                <w:color w:val="auto"/>
                                <w:lang w:val="en-GB"/>
                              </w:rPr>
                              <w:t>Skalce</w:t>
                            </w:r>
                            <w:proofErr w:type="spellEnd"/>
                            <w:r w:rsidRPr="00995C95">
                              <w:rPr>
                                <w:b w:val="0"/>
                                <w:color w:val="auto"/>
                                <w:lang w:val="en-GB"/>
                              </w:rPr>
                              <w:t xml:space="preserve"> 30, 586 01 </w:t>
                            </w:r>
                            <w:proofErr w:type="spellStart"/>
                            <w:r w:rsidRPr="00995C95">
                              <w:rPr>
                                <w:b w:val="0"/>
                                <w:color w:val="auto"/>
                                <w:lang w:val="en-GB"/>
                              </w:rPr>
                              <w:t>Jihlava</w:t>
                            </w:r>
                            <w:proofErr w:type="spellEnd"/>
                            <w:r w:rsidRPr="00995C95">
                              <w:rPr>
                                <w:b w:val="0"/>
                                <w:color w:val="auto"/>
                                <w:lang w:val="en-GB"/>
                              </w:rPr>
                              <w:t xml:space="preserve">, </w:t>
                            </w:r>
                            <w:r w:rsidR="00047175" w:rsidRPr="00995C95">
                              <w:rPr>
                                <w:b w:val="0"/>
                                <w:color w:val="auto"/>
                                <w:lang w:val="en-GB"/>
                              </w:rPr>
                              <w:t>ph</w:t>
                            </w:r>
                            <w:r w:rsidRPr="00995C95">
                              <w:rPr>
                                <w:b w:val="0"/>
                                <w:color w:val="auto"/>
                                <w:lang w:val="en-GB"/>
                              </w:rPr>
                              <w:t>.: 567 109 080</w:t>
                            </w:r>
                          </w:p>
                          <w:p w14:paraId="0532717C" w14:textId="77777777" w:rsidR="004C456F" w:rsidRPr="00995C95" w:rsidRDefault="004C456F" w:rsidP="00AB535B">
                            <w:pPr>
                              <w:pStyle w:val="TLKontakty"/>
                              <w:spacing w:after="80" w:line="240" w:lineRule="auto"/>
                              <w:rPr>
                                <w:b w:val="0"/>
                                <w:color w:val="auto"/>
                                <w:lang w:val="en-GB"/>
                              </w:rPr>
                            </w:pPr>
                            <w:r w:rsidRPr="00995C95">
                              <w:rPr>
                                <w:b w:val="0"/>
                                <w:color w:val="auto"/>
                                <w:lang w:val="en-GB"/>
                              </w:rPr>
                              <w:t xml:space="preserve">e-mail: infoservisvys@csu.gov.cz | </w:t>
                            </w:r>
                            <w:r w:rsidRPr="00995C95">
                              <w:rPr>
                                <w:color w:val="auto"/>
                                <w:lang w:val="en-GB"/>
                              </w:rPr>
                              <w:t>www.csu.gov.cz/vysocina</w:t>
                            </w:r>
                          </w:p>
                          <w:p w14:paraId="7B3866D4" w14:textId="77777777" w:rsidR="004C456F" w:rsidRPr="00995C95" w:rsidRDefault="004C456F" w:rsidP="00AB535B">
                            <w:pPr>
                              <w:pStyle w:val="TLKontakty"/>
                              <w:spacing w:after="80" w:line="240" w:lineRule="auto"/>
                              <w:rPr>
                                <w:lang w:val="en-GB"/>
                              </w:rPr>
                            </w:pPr>
                          </w:p>
                          <w:p w14:paraId="3DCDC97A" w14:textId="0912CA35" w:rsidR="004C456F" w:rsidRPr="00995C95" w:rsidRDefault="004C456F" w:rsidP="00AB535B">
                            <w:pPr>
                              <w:pStyle w:val="TLKontakty"/>
                              <w:spacing w:after="80" w:line="240" w:lineRule="auto"/>
                              <w:rPr>
                                <w:b w:val="0"/>
                                <w:color w:val="auto"/>
                                <w:lang w:val="en-GB"/>
                              </w:rPr>
                            </w:pPr>
                            <w:r w:rsidRPr="00995C95">
                              <w:rPr>
                                <w:lang w:val="en-GB"/>
                              </w:rPr>
                              <w:t>Brno</w:t>
                            </w:r>
                            <w:r w:rsidRPr="00995C95">
                              <w:rPr>
                                <w:b w:val="0"/>
                                <w:color w:val="685B7A"/>
                                <w:lang w:val="en-GB"/>
                              </w:rPr>
                              <w:t xml:space="preserve"> </w:t>
                            </w:r>
                            <w:r w:rsidRPr="00995C95">
                              <w:rPr>
                                <w:b w:val="0"/>
                                <w:color w:val="auto"/>
                                <w:lang w:val="en-GB"/>
                              </w:rPr>
                              <w:t xml:space="preserve">| </w:t>
                            </w:r>
                            <w:proofErr w:type="spellStart"/>
                            <w:r w:rsidRPr="00995C95">
                              <w:rPr>
                                <w:b w:val="0"/>
                                <w:color w:val="auto"/>
                                <w:lang w:val="en-GB"/>
                              </w:rPr>
                              <w:t>Jezuitská</w:t>
                            </w:r>
                            <w:proofErr w:type="spellEnd"/>
                            <w:r w:rsidRPr="00995C95">
                              <w:rPr>
                                <w:b w:val="0"/>
                                <w:color w:val="auto"/>
                                <w:lang w:val="en-GB"/>
                              </w:rPr>
                              <w:t xml:space="preserve"> 2, 601 59 Brno, </w:t>
                            </w:r>
                            <w:proofErr w:type="spellStart"/>
                            <w:r w:rsidR="00047175" w:rsidRPr="00995C95">
                              <w:rPr>
                                <w:b w:val="0"/>
                                <w:color w:val="auto"/>
                                <w:lang w:val="en-GB"/>
                              </w:rPr>
                              <w:t>ph</w:t>
                            </w:r>
                            <w:proofErr w:type="spellEnd"/>
                            <w:r w:rsidRPr="00995C95">
                              <w:rPr>
                                <w:b w:val="0"/>
                                <w:color w:val="auto"/>
                                <w:lang w:val="en-GB"/>
                              </w:rPr>
                              <w:t>: 542 528 200</w:t>
                            </w:r>
                          </w:p>
                          <w:p w14:paraId="1AB72DE8" w14:textId="77777777" w:rsidR="004C456F" w:rsidRPr="00995C95" w:rsidRDefault="004C456F" w:rsidP="00AB535B">
                            <w:pPr>
                              <w:pStyle w:val="TLKontakty"/>
                              <w:spacing w:after="80" w:line="240" w:lineRule="auto"/>
                              <w:rPr>
                                <w:color w:val="auto"/>
                                <w:lang w:val="en-GB"/>
                              </w:rPr>
                            </w:pPr>
                            <w:r w:rsidRPr="00995C95">
                              <w:rPr>
                                <w:b w:val="0"/>
                                <w:color w:val="auto"/>
                                <w:lang w:val="en-GB"/>
                              </w:rPr>
                              <w:t xml:space="preserve">e-mail: infoservisbrno@csu.gov.cz | </w:t>
                            </w:r>
                            <w:r w:rsidRPr="00995C95">
                              <w:rPr>
                                <w:color w:val="auto"/>
                                <w:lang w:val="en-GB"/>
                              </w:rPr>
                              <w:t>www.csu.gov.cz/jihomoravsky</w:t>
                            </w:r>
                          </w:p>
                          <w:p w14:paraId="0068D5EE" w14:textId="77777777" w:rsidR="004C456F" w:rsidRPr="00995C95" w:rsidRDefault="004C456F" w:rsidP="00AB535B">
                            <w:pPr>
                              <w:pStyle w:val="TLKontakty"/>
                              <w:spacing w:after="80" w:line="240" w:lineRule="auto"/>
                              <w:rPr>
                                <w:b w:val="0"/>
                                <w:color w:val="auto"/>
                                <w:lang w:val="en-GB"/>
                              </w:rPr>
                            </w:pPr>
                          </w:p>
                          <w:p w14:paraId="50E3CB39" w14:textId="22599573" w:rsidR="004C456F" w:rsidRPr="00995C95" w:rsidRDefault="004C456F" w:rsidP="00AB535B">
                            <w:pPr>
                              <w:pStyle w:val="TLKontakty"/>
                              <w:spacing w:after="80" w:line="240" w:lineRule="auto"/>
                              <w:rPr>
                                <w:b w:val="0"/>
                                <w:color w:val="auto"/>
                                <w:lang w:val="en-GB"/>
                              </w:rPr>
                            </w:pPr>
                            <w:r w:rsidRPr="00995C95">
                              <w:rPr>
                                <w:lang w:val="en-GB"/>
                              </w:rPr>
                              <w:t>Olomouc</w:t>
                            </w:r>
                            <w:r w:rsidRPr="00995C95">
                              <w:rPr>
                                <w:b w:val="0"/>
                                <w:color w:val="auto"/>
                                <w:lang w:val="en-GB"/>
                              </w:rPr>
                              <w:t xml:space="preserve"> | </w:t>
                            </w:r>
                            <w:proofErr w:type="spellStart"/>
                            <w:r w:rsidRPr="00995C95">
                              <w:rPr>
                                <w:b w:val="0"/>
                                <w:color w:val="auto"/>
                                <w:lang w:val="en-GB"/>
                              </w:rPr>
                              <w:t>Jeremenkova</w:t>
                            </w:r>
                            <w:proofErr w:type="spellEnd"/>
                            <w:r w:rsidRPr="00995C95">
                              <w:rPr>
                                <w:b w:val="0"/>
                                <w:color w:val="auto"/>
                                <w:lang w:val="en-GB"/>
                              </w:rPr>
                              <w:t xml:space="preserve"> 1142/42, 772 11 Olomouc, </w:t>
                            </w:r>
                            <w:r w:rsidR="00047175" w:rsidRPr="00995C95">
                              <w:rPr>
                                <w:b w:val="0"/>
                                <w:color w:val="auto"/>
                                <w:lang w:val="en-GB"/>
                              </w:rPr>
                              <w:t>ph</w:t>
                            </w:r>
                            <w:r w:rsidRPr="00995C95">
                              <w:rPr>
                                <w:b w:val="0"/>
                                <w:color w:val="auto"/>
                                <w:lang w:val="en-GB"/>
                              </w:rPr>
                              <w:t>.: 585 731 511</w:t>
                            </w:r>
                          </w:p>
                          <w:p w14:paraId="4DF839A7" w14:textId="77777777" w:rsidR="004C456F" w:rsidRPr="00995C95" w:rsidRDefault="004C456F" w:rsidP="00AB535B">
                            <w:pPr>
                              <w:pStyle w:val="TLKontakty"/>
                              <w:spacing w:after="80" w:line="240" w:lineRule="auto"/>
                              <w:rPr>
                                <w:b w:val="0"/>
                                <w:color w:val="auto"/>
                                <w:lang w:val="en-GB"/>
                              </w:rPr>
                            </w:pPr>
                            <w:r w:rsidRPr="00995C95">
                              <w:rPr>
                                <w:b w:val="0"/>
                                <w:color w:val="auto"/>
                                <w:lang w:val="en-GB"/>
                              </w:rPr>
                              <w:t xml:space="preserve">e-mail: infoservisolom@csu.gov.cz | </w:t>
                            </w:r>
                            <w:r w:rsidRPr="00995C95">
                              <w:rPr>
                                <w:color w:val="auto"/>
                                <w:lang w:val="en-GB"/>
                              </w:rPr>
                              <w:t>www.csu.gov.cz/olomoucky</w:t>
                            </w:r>
                          </w:p>
                          <w:p w14:paraId="46C88BC4" w14:textId="77777777" w:rsidR="004C456F" w:rsidRPr="00995C95" w:rsidRDefault="004C456F" w:rsidP="00AB535B">
                            <w:pPr>
                              <w:pStyle w:val="TLKontakty"/>
                              <w:spacing w:after="80" w:line="240" w:lineRule="auto"/>
                              <w:rPr>
                                <w:b w:val="0"/>
                                <w:color w:val="auto"/>
                                <w:lang w:val="en-GB"/>
                              </w:rPr>
                            </w:pPr>
                          </w:p>
                          <w:p w14:paraId="16A6BEB7" w14:textId="795E262E" w:rsidR="004C456F" w:rsidRPr="00995C95" w:rsidRDefault="004C456F" w:rsidP="00AB535B">
                            <w:pPr>
                              <w:pStyle w:val="TLKontakty"/>
                              <w:spacing w:after="80" w:line="240" w:lineRule="auto"/>
                              <w:rPr>
                                <w:b w:val="0"/>
                                <w:color w:val="auto"/>
                                <w:lang w:val="en-GB"/>
                              </w:rPr>
                            </w:pPr>
                            <w:r w:rsidRPr="00995C95">
                              <w:rPr>
                                <w:lang w:val="en-GB"/>
                              </w:rPr>
                              <w:t>Zlín</w:t>
                            </w:r>
                            <w:r w:rsidRPr="00995C95">
                              <w:rPr>
                                <w:b w:val="0"/>
                                <w:lang w:val="en-GB"/>
                              </w:rPr>
                              <w:t xml:space="preserve"> </w:t>
                            </w:r>
                            <w:r w:rsidRPr="00995C95">
                              <w:rPr>
                                <w:b w:val="0"/>
                                <w:color w:val="auto"/>
                                <w:lang w:val="en-GB"/>
                              </w:rPr>
                              <w:t xml:space="preserve">| </w:t>
                            </w:r>
                            <w:proofErr w:type="spellStart"/>
                            <w:r w:rsidRPr="00995C95">
                              <w:rPr>
                                <w:b w:val="0"/>
                                <w:color w:val="auto"/>
                                <w:lang w:val="en-GB"/>
                              </w:rPr>
                              <w:t>třída</w:t>
                            </w:r>
                            <w:proofErr w:type="spellEnd"/>
                            <w:r w:rsidRPr="00995C95">
                              <w:rPr>
                                <w:b w:val="0"/>
                                <w:color w:val="auto"/>
                                <w:lang w:val="en-GB"/>
                              </w:rPr>
                              <w:t xml:space="preserve"> </w:t>
                            </w:r>
                            <w:proofErr w:type="spellStart"/>
                            <w:r w:rsidRPr="00995C95">
                              <w:rPr>
                                <w:b w:val="0"/>
                                <w:color w:val="auto"/>
                                <w:lang w:val="en-GB"/>
                              </w:rPr>
                              <w:t>Tomáše</w:t>
                            </w:r>
                            <w:proofErr w:type="spellEnd"/>
                            <w:r w:rsidRPr="00995C95">
                              <w:rPr>
                                <w:b w:val="0"/>
                                <w:color w:val="auto"/>
                                <w:lang w:val="en-GB"/>
                              </w:rPr>
                              <w:t xml:space="preserve"> Bati 1565, 761 76 Zlín, </w:t>
                            </w:r>
                            <w:r w:rsidR="00047175" w:rsidRPr="00995C95">
                              <w:rPr>
                                <w:b w:val="0"/>
                                <w:color w:val="auto"/>
                                <w:lang w:val="en-GB"/>
                              </w:rPr>
                              <w:t>ph</w:t>
                            </w:r>
                            <w:r w:rsidRPr="00995C95">
                              <w:rPr>
                                <w:b w:val="0"/>
                                <w:color w:val="auto"/>
                                <w:lang w:val="en-GB"/>
                              </w:rPr>
                              <w:t>.: 577 004 936</w:t>
                            </w:r>
                          </w:p>
                          <w:p w14:paraId="15EF2429" w14:textId="77777777" w:rsidR="004C456F" w:rsidRPr="00995C95" w:rsidRDefault="004C456F" w:rsidP="00AB535B">
                            <w:pPr>
                              <w:pStyle w:val="TLKontakty"/>
                              <w:spacing w:after="80" w:line="240" w:lineRule="auto"/>
                              <w:rPr>
                                <w:color w:val="auto"/>
                                <w:lang w:val="en-GB"/>
                              </w:rPr>
                            </w:pPr>
                            <w:r w:rsidRPr="00995C95">
                              <w:rPr>
                                <w:b w:val="0"/>
                                <w:color w:val="auto"/>
                                <w:lang w:val="en-GB"/>
                              </w:rPr>
                              <w:t xml:space="preserve">e-mail: infoserviszl@csu.gov.cz | </w:t>
                            </w:r>
                            <w:r w:rsidRPr="00995C95">
                              <w:rPr>
                                <w:color w:val="auto"/>
                                <w:lang w:val="en-GB"/>
                              </w:rPr>
                              <w:t>www.csu.gov.cz/zlinsky</w:t>
                            </w:r>
                          </w:p>
                          <w:p w14:paraId="124AFCC8" w14:textId="77777777" w:rsidR="004C456F" w:rsidRPr="00995C95" w:rsidRDefault="004C456F" w:rsidP="00AB535B">
                            <w:pPr>
                              <w:pStyle w:val="TLKontakty"/>
                              <w:spacing w:after="80" w:line="240" w:lineRule="auto"/>
                              <w:rPr>
                                <w:b w:val="0"/>
                                <w:color w:val="auto"/>
                                <w:lang w:val="en-GB"/>
                              </w:rPr>
                            </w:pPr>
                          </w:p>
                          <w:p w14:paraId="61D04DDC" w14:textId="2A086707" w:rsidR="004C456F" w:rsidRPr="00995C95" w:rsidRDefault="004C456F" w:rsidP="00AB535B">
                            <w:pPr>
                              <w:pStyle w:val="TLKontakty"/>
                              <w:spacing w:after="80" w:line="240" w:lineRule="auto"/>
                              <w:rPr>
                                <w:b w:val="0"/>
                                <w:color w:val="auto"/>
                                <w:lang w:val="en-GB"/>
                              </w:rPr>
                            </w:pPr>
                            <w:r w:rsidRPr="00995C95">
                              <w:rPr>
                                <w:lang w:val="en-GB"/>
                              </w:rPr>
                              <w:t>Ostrava</w:t>
                            </w:r>
                            <w:r w:rsidRPr="00995C95">
                              <w:rPr>
                                <w:b w:val="0"/>
                                <w:lang w:val="en-GB"/>
                              </w:rPr>
                              <w:t xml:space="preserve"> </w:t>
                            </w:r>
                            <w:r w:rsidRPr="00995C95">
                              <w:rPr>
                                <w:b w:val="0"/>
                                <w:color w:val="auto"/>
                                <w:lang w:val="en-GB"/>
                              </w:rPr>
                              <w:t xml:space="preserve">| </w:t>
                            </w:r>
                            <w:proofErr w:type="spellStart"/>
                            <w:r w:rsidRPr="00995C95">
                              <w:rPr>
                                <w:b w:val="0"/>
                                <w:color w:val="auto"/>
                                <w:lang w:val="en-GB"/>
                              </w:rPr>
                              <w:t>Repinova</w:t>
                            </w:r>
                            <w:proofErr w:type="spellEnd"/>
                            <w:r w:rsidRPr="00995C95">
                              <w:rPr>
                                <w:b w:val="0"/>
                                <w:color w:val="auto"/>
                                <w:lang w:val="en-GB"/>
                              </w:rPr>
                              <w:t xml:space="preserve"> 17, 702 03 Ostrava, </w:t>
                            </w:r>
                            <w:proofErr w:type="spellStart"/>
                            <w:r w:rsidR="00047175" w:rsidRPr="00995C95">
                              <w:rPr>
                                <w:b w:val="0"/>
                                <w:color w:val="auto"/>
                                <w:lang w:val="en-GB"/>
                              </w:rPr>
                              <w:t>ph</w:t>
                            </w:r>
                            <w:proofErr w:type="spellEnd"/>
                            <w:r w:rsidRPr="00995C95">
                              <w:rPr>
                                <w:b w:val="0"/>
                                <w:color w:val="auto"/>
                                <w:lang w:val="en-GB"/>
                              </w:rPr>
                              <w:t>: 595 131 230</w:t>
                            </w:r>
                          </w:p>
                          <w:p w14:paraId="0F47DC86" w14:textId="77777777" w:rsidR="004C456F" w:rsidRPr="00995C95" w:rsidRDefault="004C456F" w:rsidP="00AB535B">
                            <w:pPr>
                              <w:pStyle w:val="TLKontakty"/>
                              <w:spacing w:after="80" w:line="240" w:lineRule="auto"/>
                              <w:rPr>
                                <w:b w:val="0"/>
                                <w:color w:val="auto"/>
                                <w:lang w:val="en-GB"/>
                              </w:rPr>
                            </w:pPr>
                            <w:r w:rsidRPr="00995C95">
                              <w:rPr>
                                <w:b w:val="0"/>
                                <w:color w:val="auto"/>
                                <w:lang w:val="en-GB"/>
                              </w:rPr>
                              <w:t xml:space="preserve">e-mail: infoservisov@csu.gov.cz | </w:t>
                            </w:r>
                            <w:r w:rsidRPr="00995C95">
                              <w:rPr>
                                <w:color w:val="auto"/>
                                <w:lang w:val="en-GB"/>
                              </w:rPr>
                              <w:t>www.csu.gov.cz/moravskoslezsky</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143297C" id="_x0000_s1030" type="#_x0000_t202" style="position:absolute;margin-left:57pt;margin-top:113.4pt;width:481.85pt;height:604.2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" filled="f" stroked="f">
                <v:textbox style="mso-fit-shape-to-text:t" inset="0,0,0,0">
                  <w:txbxContent>
                    <w:p w14:paraId="214329A0" w14:textId="3ACD87D9" w:rsidR="004C456F" w:rsidRPr="00995C95" w:rsidRDefault="006B7F88" w:rsidP="00040D10">
                      <w:pPr>
                        <w:pStyle w:val="TLKontaktyerven"/>
                      </w:pPr>
                      <w:r w:rsidRPr="00995C95">
                        <w:t>CONTACTS IN THE HEADQUARTERS</w:t>
                      </w:r>
                    </w:p>
                    <w:p w14:paraId="214329A1" w14:textId="55D77010" w:rsidR="004C456F" w:rsidRPr="00995C95" w:rsidRDefault="00A82A8A" w:rsidP="00040D10">
                      <w:pPr>
                        <w:pStyle w:val="TLKontakty"/>
                        <w:spacing w:after="80" w:line="240" w:lineRule="auto"/>
                        <w:contextualSpacing w:val="0"/>
                        <w:rPr>
                          <w:b w:val="0"/>
                          <w:color w:val="auto"/>
                          <w:lang w:val="en-GB"/>
                        </w:rPr>
                      </w:pPr>
                      <w:r w:rsidRPr="00995C95">
                        <w:rPr>
                          <w:lang w:val="en-GB"/>
                        </w:rPr>
                        <w:t>Czech Statistical Office</w:t>
                      </w:r>
                      <w:r w:rsidR="004C456F" w:rsidRPr="00995C95">
                        <w:rPr>
                          <w:b w:val="0"/>
                          <w:lang w:val="en-GB"/>
                        </w:rPr>
                        <w:t xml:space="preserve"> </w:t>
                      </w:r>
                      <w:r w:rsidR="004C456F" w:rsidRPr="00995C95">
                        <w:rPr>
                          <w:b w:val="0"/>
                          <w:color w:val="auto"/>
                          <w:lang w:val="en-GB"/>
                        </w:rPr>
                        <w:t xml:space="preserve">| Na </w:t>
                      </w:r>
                      <w:proofErr w:type="spellStart"/>
                      <w:r w:rsidR="004C456F" w:rsidRPr="00995C95">
                        <w:rPr>
                          <w:b w:val="0"/>
                          <w:color w:val="auto"/>
                          <w:lang w:val="en-GB"/>
                        </w:rPr>
                        <w:t>padesátém</w:t>
                      </w:r>
                      <w:proofErr w:type="spellEnd"/>
                      <w:r w:rsidR="004C456F" w:rsidRPr="00995C95">
                        <w:rPr>
                          <w:b w:val="0"/>
                          <w:color w:val="auto"/>
                          <w:lang w:val="en-GB"/>
                        </w:rPr>
                        <w:t xml:space="preserve"> 81, 100 82 Praha 10, </w:t>
                      </w:r>
                      <w:r w:rsidRPr="00995C95">
                        <w:rPr>
                          <w:b w:val="0"/>
                          <w:color w:val="auto"/>
                          <w:lang w:val="en-GB"/>
                        </w:rPr>
                        <w:t>ph</w:t>
                      </w:r>
                      <w:r w:rsidR="004C456F" w:rsidRPr="00995C95">
                        <w:rPr>
                          <w:b w:val="0"/>
                          <w:color w:val="auto"/>
                          <w:lang w:val="en-GB"/>
                        </w:rPr>
                        <w:t xml:space="preserve">.: 274 051 111 | </w:t>
                      </w:r>
                      <w:r w:rsidR="004C456F" w:rsidRPr="00995C95">
                        <w:rPr>
                          <w:color w:val="auto"/>
                          <w:lang w:val="en-GB"/>
                        </w:rPr>
                        <w:t>www.csu.gov.cz</w:t>
                      </w:r>
                    </w:p>
                    <w:p w14:paraId="214329A2" w14:textId="4A7C8E1A" w:rsidR="004C456F" w:rsidRPr="00995C95" w:rsidRDefault="00141374" w:rsidP="00040D10">
                      <w:pPr>
                        <w:pStyle w:val="TLKontakty"/>
                        <w:spacing w:after="80" w:line="240" w:lineRule="auto"/>
                        <w:contextualSpacing w:val="0"/>
                        <w:rPr>
                          <w:b w:val="0"/>
                          <w:color w:val="auto"/>
                          <w:lang w:val="en-GB"/>
                        </w:rPr>
                      </w:pPr>
                      <w:r w:rsidRPr="00995C95">
                        <w:rPr>
                          <w:color w:val="auto"/>
                          <w:lang w:val="en-GB"/>
                        </w:rPr>
                        <w:t>Information Services</w:t>
                      </w:r>
                      <w:r w:rsidR="004C456F" w:rsidRPr="00995C95">
                        <w:rPr>
                          <w:b w:val="0"/>
                          <w:color w:val="auto"/>
                          <w:lang w:val="en-GB"/>
                        </w:rPr>
                        <w:t xml:space="preserve"> | </w:t>
                      </w:r>
                      <w:r w:rsidR="00E01F0A" w:rsidRPr="00995C95">
                        <w:rPr>
                          <w:b w:val="0"/>
                          <w:color w:val="auto"/>
                          <w:lang w:val="en-GB"/>
                        </w:rPr>
                        <w:t>ph</w:t>
                      </w:r>
                      <w:r w:rsidR="004C456F" w:rsidRPr="00995C95">
                        <w:rPr>
                          <w:b w:val="0"/>
                          <w:color w:val="auto"/>
                          <w:lang w:val="en-GB"/>
                        </w:rPr>
                        <w:t>.: 274 056 789 | e-mail: infoservis@csu.gov.cz</w:t>
                      </w:r>
                    </w:p>
                    <w:p w14:paraId="214329A3" w14:textId="2251A43A" w:rsidR="004C456F" w:rsidRPr="00995C95" w:rsidRDefault="00C945BC" w:rsidP="00040D10">
                      <w:pPr>
                        <w:pStyle w:val="TLKontakty"/>
                        <w:spacing w:after="80" w:line="240" w:lineRule="auto"/>
                        <w:contextualSpacing w:val="0"/>
                        <w:rPr>
                          <w:b w:val="0"/>
                          <w:color w:val="auto"/>
                          <w:lang w:val="en-GB"/>
                        </w:rPr>
                      </w:pPr>
                      <w:r w:rsidRPr="00995C95">
                        <w:rPr>
                          <w:color w:val="auto"/>
                          <w:lang w:val="en-GB"/>
                        </w:rPr>
                        <w:t>CZSO Publication Shop</w:t>
                      </w:r>
                      <w:r w:rsidR="004C456F" w:rsidRPr="00995C95">
                        <w:rPr>
                          <w:b w:val="0"/>
                          <w:color w:val="auto"/>
                          <w:lang w:val="en-GB"/>
                        </w:rPr>
                        <w:t xml:space="preserve"> | </w:t>
                      </w:r>
                      <w:r w:rsidR="00143E21" w:rsidRPr="00995C95">
                        <w:rPr>
                          <w:b w:val="0"/>
                          <w:color w:val="auto"/>
                          <w:lang w:val="en-GB"/>
                        </w:rPr>
                        <w:t>ph</w:t>
                      </w:r>
                      <w:r w:rsidR="004C456F" w:rsidRPr="00995C95">
                        <w:rPr>
                          <w:b w:val="0"/>
                          <w:color w:val="auto"/>
                          <w:lang w:val="en-GB"/>
                        </w:rPr>
                        <w:t>.: 274 052 361 | e-mail: prodejna@csu.gov.cz</w:t>
                      </w:r>
                    </w:p>
                    <w:p w14:paraId="214329A4" w14:textId="28D1D35A" w:rsidR="004C456F" w:rsidRPr="00995C95" w:rsidRDefault="004C456F" w:rsidP="00040D10">
                      <w:pPr>
                        <w:pStyle w:val="TLKontakty"/>
                        <w:spacing w:after="80" w:line="240" w:lineRule="auto"/>
                        <w:contextualSpacing w:val="0"/>
                        <w:rPr>
                          <w:b w:val="0"/>
                          <w:color w:val="auto"/>
                          <w:lang w:val="en-GB"/>
                        </w:rPr>
                      </w:pPr>
                      <w:r w:rsidRPr="00995C95">
                        <w:rPr>
                          <w:color w:val="auto"/>
                          <w:lang w:val="en-GB"/>
                        </w:rPr>
                        <w:t>E</w:t>
                      </w:r>
                      <w:r w:rsidR="004609D9" w:rsidRPr="00995C95">
                        <w:rPr>
                          <w:color w:val="auto"/>
                          <w:lang w:val="en-GB"/>
                        </w:rPr>
                        <w:t xml:space="preserve">uropean Data </w:t>
                      </w:r>
                      <w:r w:rsidRPr="00995C95">
                        <w:rPr>
                          <w:color w:val="auto"/>
                          <w:lang w:val="en-GB"/>
                        </w:rPr>
                        <w:t xml:space="preserve">(ESDS), </w:t>
                      </w:r>
                      <w:r w:rsidR="00990102" w:rsidRPr="00995C95">
                        <w:rPr>
                          <w:color w:val="auto"/>
                          <w:lang w:val="en-GB"/>
                        </w:rPr>
                        <w:t>international comparison</w:t>
                      </w:r>
                      <w:r w:rsidRPr="00995C95">
                        <w:rPr>
                          <w:b w:val="0"/>
                          <w:color w:val="auto"/>
                          <w:lang w:val="en-GB"/>
                        </w:rPr>
                        <w:t xml:space="preserve"> | </w:t>
                      </w:r>
                      <w:r w:rsidR="00990102" w:rsidRPr="00995C95">
                        <w:rPr>
                          <w:b w:val="0"/>
                          <w:color w:val="auto"/>
                          <w:lang w:val="en-GB"/>
                        </w:rPr>
                        <w:t>ph</w:t>
                      </w:r>
                      <w:r w:rsidRPr="00995C95">
                        <w:rPr>
                          <w:b w:val="0"/>
                          <w:color w:val="auto"/>
                          <w:lang w:val="en-GB"/>
                        </w:rPr>
                        <w:t>.: 274 052 732 | e-mail: esds@csu.gov.cz</w:t>
                      </w:r>
                    </w:p>
                    <w:p w14:paraId="214329A5" w14:textId="3F3EB9E5" w:rsidR="004C456F" w:rsidRPr="00995C95" w:rsidRDefault="002A5287" w:rsidP="00040D10">
                      <w:pPr>
                        <w:pStyle w:val="TLKontakty"/>
                        <w:spacing w:after="80" w:line="240" w:lineRule="auto"/>
                        <w:contextualSpacing w:val="0"/>
                        <w:rPr>
                          <w:b w:val="0"/>
                          <w:color w:val="auto"/>
                          <w:lang w:val="en-GB"/>
                        </w:rPr>
                      </w:pPr>
                      <w:r w:rsidRPr="00995C95">
                        <w:rPr>
                          <w:color w:val="auto"/>
                          <w:lang w:val="en-GB"/>
                        </w:rPr>
                        <w:t xml:space="preserve">Central </w:t>
                      </w:r>
                      <w:r w:rsidR="007579AE" w:rsidRPr="00995C95">
                        <w:rPr>
                          <w:color w:val="auto"/>
                          <w:lang w:val="en-GB"/>
                        </w:rPr>
                        <w:t xml:space="preserve">Statistical Library </w:t>
                      </w:r>
                      <w:r w:rsidR="004C456F" w:rsidRPr="00995C95">
                        <w:rPr>
                          <w:b w:val="0"/>
                          <w:color w:val="auto"/>
                          <w:lang w:val="en-GB"/>
                        </w:rPr>
                        <w:t xml:space="preserve">| </w:t>
                      </w:r>
                      <w:r w:rsidR="007579AE" w:rsidRPr="00995C95">
                        <w:rPr>
                          <w:b w:val="0"/>
                          <w:color w:val="auto"/>
                          <w:lang w:val="en-GB"/>
                        </w:rPr>
                        <w:t>ph</w:t>
                      </w:r>
                      <w:r w:rsidR="004C456F" w:rsidRPr="00995C95">
                        <w:rPr>
                          <w:b w:val="0"/>
                          <w:color w:val="auto"/>
                          <w:lang w:val="en-GB"/>
                        </w:rPr>
                        <w:t>.: 274 052 361 | e-mail: knihovna@csu.gov.cz</w:t>
                      </w:r>
                    </w:p>
                    <w:p w14:paraId="214329A6" w14:textId="77777777" w:rsidR="004C456F" w:rsidRPr="00995C95" w:rsidRDefault="004C456F" w:rsidP="00040D10">
                      <w:pPr>
                        <w:pStyle w:val="TLKontakty"/>
                        <w:spacing w:after="80" w:line="240" w:lineRule="auto"/>
                        <w:contextualSpacing w:val="0"/>
                        <w:rPr>
                          <w:color w:val="auto"/>
                          <w:lang w:val="en-GB"/>
                        </w:rPr>
                      </w:pPr>
                    </w:p>
                    <w:p w14:paraId="40288679" w14:textId="5E7F9643" w:rsidR="004C456F" w:rsidRPr="00995C95" w:rsidRDefault="00BB0E67" w:rsidP="00AB535B">
                      <w:pPr>
                        <w:pStyle w:val="TLKontaktyerven"/>
                      </w:pPr>
                      <w:r w:rsidRPr="00995C95">
                        <w:t>INFORMATION SERVICES IN THE REGIONS</w:t>
                      </w:r>
                    </w:p>
                    <w:p w14:paraId="6DBBA526" w14:textId="27DB5B39" w:rsidR="004C456F" w:rsidRPr="00995C95" w:rsidRDefault="008E3D12" w:rsidP="00AB535B">
                      <w:pPr>
                        <w:pStyle w:val="TLKontakty"/>
                        <w:spacing w:after="80" w:line="240" w:lineRule="auto"/>
                        <w:rPr>
                          <w:b w:val="0"/>
                          <w:color w:val="auto"/>
                          <w:lang w:val="en-GB"/>
                        </w:rPr>
                      </w:pPr>
                      <w:r w:rsidRPr="00995C95">
                        <w:rPr>
                          <w:lang w:val="en-GB"/>
                        </w:rPr>
                        <w:t>Capital City Prague</w:t>
                      </w:r>
                      <w:r w:rsidR="004C456F" w:rsidRPr="00995C95">
                        <w:rPr>
                          <w:b w:val="0"/>
                          <w:lang w:val="en-GB"/>
                        </w:rPr>
                        <w:t xml:space="preserve"> </w:t>
                      </w:r>
                      <w:r w:rsidR="004C456F" w:rsidRPr="00995C95">
                        <w:rPr>
                          <w:b w:val="0"/>
                          <w:color w:val="auto"/>
                          <w:lang w:val="en-GB"/>
                        </w:rPr>
                        <w:t xml:space="preserve">| Na </w:t>
                      </w:r>
                      <w:proofErr w:type="spellStart"/>
                      <w:r w:rsidR="004C456F" w:rsidRPr="00995C95">
                        <w:rPr>
                          <w:b w:val="0"/>
                          <w:color w:val="auto"/>
                          <w:lang w:val="en-GB"/>
                        </w:rPr>
                        <w:t>padesátém</w:t>
                      </w:r>
                      <w:proofErr w:type="spellEnd"/>
                      <w:r w:rsidR="004C456F" w:rsidRPr="00995C95">
                        <w:rPr>
                          <w:b w:val="0"/>
                          <w:color w:val="auto"/>
                          <w:lang w:val="en-GB"/>
                        </w:rPr>
                        <w:t xml:space="preserve"> 81, 100 82 Praha 10, </w:t>
                      </w:r>
                      <w:r w:rsidR="00BC7396" w:rsidRPr="00995C95">
                        <w:rPr>
                          <w:b w:val="0"/>
                          <w:color w:val="auto"/>
                          <w:lang w:val="en-GB"/>
                        </w:rPr>
                        <w:t>ph</w:t>
                      </w:r>
                      <w:r w:rsidR="004C456F" w:rsidRPr="00995C95">
                        <w:rPr>
                          <w:b w:val="0"/>
                          <w:color w:val="auto"/>
                          <w:lang w:val="en-GB"/>
                        </w:rPr>
                        <w:t>.: 274 052 673</w:t>
                      </w:r>
                    </w:p>
                    <w:p w14:paraId="52BB90CC" w14:textId="77777777" w:rsidR="004C456F" w:rsidRPr="00995C95" w:rsidRDefault="004C456F" w:rsidP="00AB535B">
                      <w:pPr>
                        <w:pStyle w:val="TLKontakty"/>
                        <w:spacing w:after="80" w:line="240" w:lineRule="auto"/>
                        <w:rPr>
                          <w:b w:val="0"/>
                          <w:color w:val="auto"/>
                          <w:lang w:val="en-GB"/>
                        </w:rPr>
                      </w:pPr>
                      <w:r w:rsidRPr="00995C95">
                        <w:rPr>
                          <w:b w:val="0"/>
                          <w:color w:val="auto"/>
                          <w:lang w:val="en-GB"/>
                        </w:rPr>
                        <w:t xml:space="preserve">e-mail: infoservispraha@csu.gov.cz | </w:t>
                      </w:r>
                      <w:r w:rsidRPr="00995C95">
                        <w:rPr>
                          <w:color w:val="auto"/>
                          <w:lang w:val="en-GB"/>
                        </w:rPr>
                        <w:t>www.csu.gov.cz/praha</w:t>
                      </w:r>
                    </w:p>
                    <w:p w14:paraId="00AED4D4" w14:textId="77777777" w:rsidR="004C456F" w:rsidRPr="00995C95" w:rsidRDefault="004C456F" w:rsidP="00AB535B">
                      <w:pPr>
                        <w:pStyle w:val="TLKontakty"/>
                        <w:spacing w:after="80" w:line="240" w:lineRule="auto"/>
                        <w:rPr>
                          <w:color w:val="auto"/>
                          <w:lang w:val="en-GB"/>
                        </w:rPr>
                      </w:pPr>
                    </w:p>
                    <w:p w14:paraId="4E278003" w14:textId="0CA6CC12" w:rsidR="004C456F" w:rsidRPr="00995C95" w:rsidRDefault="00355256" w:rsidP="00AB535B">
                      <w:pPr>
                        <w:pStyle w:val="TLKontakty"/>
                        <w:spacing w:after="80" w:line="240" w:lineRule="auto"/>
                        <w:rPr>
                          <w:b w:val="0"/>
                          <w:color w:val="auto"/>
                          <w:lang w:val="en-GB"/>
                        </w:rPr>
                      </w:pPr>
                      <w:r w:rsidRPr="00995C95">
                        <w:rPr>
                          <w:lang w:val="en-GB"/>
                        </w:rPr>
                        <w:t>Central Bohemia</w:t>
                      </w:r>
                      <w:r w:rsidR="004C456F" w:rsidRPr="00995C95">
                        <w:rPr>
                          <w:b w:val="0"/>
                          <w:lang w:val="en-GB"/>
                        </w:rPr>
                        <w:t xml:space="preserve"> </w:t>
                      </w:r>
                      <w:r w:rsidR="004C456F" w:rsidRPr="00995C95">
                        <w:rPr>
                          <w:b w:val="0"/>
                          <w:color w:val="auto"/>
                          <w:lang w:val="en-GB"/>
                        </w:rPr>
                        <w:t xml:space="preserve">| Na </w:t>
                      </w:r>
                      <w:proofErr w:type="spellStart"/>
                      <w:r w:rsidR="004C456F" w:rsidRPr="00995C95">
                        <w:rPr>
                          <w:b w:val="0"/>
                          <w:color w:val="auto"/>
                          <w:lang w:val="en-GB"/>
                        </w:rPr>
                        <w:t>padesátém</w:t>
                      </w:r>
                      <w:proofErr w:type="spellEnd"/>
                      <w:r w:rsidR="004C456F" w:rsidRPr="00995C95">
                        <w:rPr>
                          <w:b w:val="0"/>
                          <w:color w:val="auto"/>
                          <w:lang w:val="en-GB"/>
                        </w:rPr>
                        <w:t xml:space="preserve"> 81, 100 82 Praha 10, </w:t>
                      </w:r>
                      <w:r w:rsidRPr="00995C95">
                        <w:rPr>
                          <w:b w:val="0"/>
                          <w:color w:val="auto"/>
                          <w:lang w:val="en-GB"/>
                        </w:rPr>
                        <w:t>ph</w:t>
                      </w:r>
                      <w:r w:rsidR="004C456F" w:rsidRPr="00995C95">
                        <w:rPr>
                          <w:b w:val="0"/>
                          <w:color w:val="auto"/>
                          <w:lang w:val="en-GB"/>
                        </w:rPr>
                        <w:t>.: 274 054 175</w:t>
                      </w:r>
                    </w:p>
                    <w:p w14:paraId="5C66D95E" w14:textId="77777777" w:rsidR="004C456F" w:rsidRPr="00995C95" w:rsidRDefault="004C456F" w:rsidP="00AB535B">
                      <w:pPr>
                        <w:pStyle w:val="TLKontakty"/>
                        <w:spacing w:after="80" w:line="240" w:lineRule="auto"/>
                        <w:rPr>
                          <w:color w:val="auto"/>
                          <w:lang w:val="en-GB"/>
                        </w:rPr>
                      </w:pPr>
                      <w:r w:rsidRPr="00995C95">
                        <w:rPr>
                          <w:b w:val="0"/>
                          <w:color w:val="auto"/>
                          <w:lang w:val="en-GB"/>
                        </w:rPr>
                        <w:t xml:space="preserve">e-mail: infoservisstc@csu.gov.cz | </w:t>
                      </w:r>
                      <w:r w:rsidRPr="00995C95">
                        <w:rPr>
                          <w:color w:val="auto"/>
                          <w:lang w:val="en-GB"/>
                        </w:rPr>
                        <w:t>www.csu.gov.cz/stredocesky</w:t>
                      </w:r>
                    </w:p>
                    <w:p w14:paraId="70ADCE20" w14:textId="77777777" w:rsidR="004C456F" w:rsidRPr="00995C95" w:rsidRDefault="004C456F" w:rsidP="00AB535B">
                      <w:pPr>
                        <w:pStyle w:val="TLKontakty"/>
                        <w:spacing w:after="80" w:line="240" w:lineRule="auto"/>
                        <w:rPr>
                          <w:color w:val="auto"/>
                          <w:lang w:val="en-GB"/>
                        </w:rPr>
                      </w:pPr>
                    </w:p>
                    <w:p w14:paraId="56C99FCE" w14:textId="17A17CD8" w:rsidR="004C456F" w:rsidRPr="00995C95" w:rsidRDefault="004C456F" w:rsidP="00AB535B">
                      <w:pPr>
                        <w:pStyle w:val="TLKontakty"/>
                        <w:spacing w:after="80" w:line="240" w:lineRule="auto"/>
                        <w:rPr>
                          <w:b w:val="0"/>
                          <w:color w:val="auto"/>
                          <w:lang w:val="en-GB"/>
                        </w:rPr>
                      </w:pPr>
                      <w:proofErr w:type="spellStart"/>
                      <w:r w:rsidRPr="00995C95">
                        <w:rPr>
                          <w:lang w:val="en-GB"/>
                        </w:rPr>
                        <w:t>České</w:t>
                      </w:r>
                      <w:proofErr w:type="spellEnd"/>
                      <w:r w:rsidRPr="00995C95">
                        <w:rPr>
                          <w:lang w:val="en-GB"/>
                        </w:rPr>
                        <w:t xml:space="preserve"> Budějovice</w:t>
                      </w:r>
                      <w:r w:rsidRPr="00995C95">
                        <w:rPr>
                          <w:b w:val="0"/>
                          <w:lang w:val="en-GB"/>
                        </w:rPr>
                        <w:t xml:space="preserve"> </w:t>
                      </w:r>
                      <w:r w:rsidRPr="00995C95">
                        <w:rPr>
                          <w:b w:val="0"/>
                          <w:color w:val="auto"/>
                          <w:lang w:val="en-GB"/>
                        </w:rPr>
                        <w:t xml:space="preserve">| </w:t>
                      </w:r>
                      <w:proofErr w:type="spellStart"/>
                      <w:r w:rsidRPr="00995C95">
                        <w:rPr>
                          <w:b w:val="0"/>
                          <w:color w:val="auto"/>
                          <w:lang w:val="en-GB"/>
                        </w:rPr>
                        <w:t>Žižkova</w:t>
                      </w:r>
                      <w:proofErr w:type="spellEnd"/>
                      <w:r w:rsidRPr="00995C95">
                        <w:rPr>
                          <w:b w:val="0"/>
                          <w:color w:val="auto"/>
                          <w:lang w:val="en-GB"/>
                        </w:rPr>
                        <w:t xml:space="preserve"> 1a, 370 77 </w:t>
                      </w:r>
                      <w:proofErr w:type="spellStart"/>
                      <w:r w:rsidRPr="00995C95">
                        <w:rPr>
                          <w:b w:val="0"/>
                          <w:color w:val="auto"/>
                          <w:lang w:val="en-GB"/>
                        </w:rPr>
                        <w:t>České</w:t>
                      </w:r>
                      <w:proofErr w:type="spellEnd"/>
                      <w:r w:rsidRPr="00995C95">
                        <w:rPr>
                          <w:b w:val="0"/>
                          <w:color w:val="auto"/>
                          <w:lang w:val="en-GB"/>
                        </w:rPr>
                        <w:t xml:space="preserve"> Budějovice, </w:t>
                      </w:r>
                      <w:r w:rsidR="006E7AAF" w:rsidRPr="00995C95">
                        <w:rPr>
                          <w:b w:val="0"/>
                          <w:color w:val="auto"/>
                          <w:lang w:val="en-GB"/>
                        </w:rPr>
                        <w:t>ph</w:t>
                      </w:r>
                      <w:r w:rsidRPr="00995C95">
                        <w:rPr>
                          <w:b w:val="0"/>
                          <w:color w:val="auto"/>
                          <w:lang w:val="en-GB"/>
                        </w:rPr>
                        <w:t>.: 386 718 440</w:t>
                      </w:r>
                    </w:p>
                    <w:p w14:paraId="1004772F" w14:textId="77777777" w:rsidR="004C456F" w:rsidRPr="00995C95" w:rsidRDefault="004C456F" w:rsidP="00AB535B">
                      <w:pPr>
                        <w:pStyle w:val="TLKontakty"/>
                        <w:spacing w:after="80" w:line="240" w:lineRule="auto"/>
                        <w:rPr>
                          <w:b w:val="0"/>
                          <w:color w:val="auto"/>
                          <w:lang w:val="en-GB"/>
                        </w:rPr>
                      </w:pPr>
                      <w:r w:rsidRPr="00995C95">
                        <w:rPr>
                          <w:b w:val="0"/>
                          <w:color w:val="auto"/>
                          <w:lang w:val="en-GB"/>
                        </w:rPr>
                        <w:t xml:space="preserve">e-mail: infoserviscb@csu.gov.cz | </w:t>
                      </w:r>
                      <w:r w:rsidRPr="00995C95">
                        <w:rPr>
                          <w:color w:val="auto"/>
                          <w:lang w:val="en-GB"/>
                        </w:rPr>
                        <w:t>www.csu.gov.cz/jihocesky</w:t>
                      </w:r>
                    </w:p>
                    <w:p w14:paraId="165CF548" w14:textId="77777777" w:rsidR="004C456F" w:rsidRPr="00995C95" w:rsidRDefault="004C456F" w:rsidP="00AB535B">
                      <w:pPr>
                        <w:pStyle w:val="TLKontakty"/>
                        <w:spacing w:after="80" w:line="240" w:lineRule="auto"/>
                        <w:rPr>
                          <w:color w:val="auto"/>
                          <w:lang w:val="en-GB"/>
                        </w:rPr>
                      </w:pPr>
                    </w:p>
                    <w:p w14:paraId="073A8F45" w14:textId="71FD9337" w:rsidR="004C456F" w:rsidRPr="00995C95" w:rsidRDefault="004C456F" w:rsidP="00AB535B">
                      <w:pPr>
                        <w:pStyle w:val="TLKontakty"/>
                        <w:spacing w:after="80" w:line="240" w:lineRule="auto"/>
                        <w:rPr>
                          <w:b w:val="0"/>
                          <w:color w:val="auto"/>
                          <w:lang w:val="en-GB"/>
                        </w:rPr>
                      </w:pPr>
                      <w:proofErr w:type="spellStart"/>
                      <w:r w:rsidRPr="00995C95">
                        <w:rPr>
                          <w:lang w:val="en-GB"/>
                        </w:rPr>
                        <w:t>Plzeň</w:t>
                      </w:r>
                      <w:proofErr w:type="spellEnd"/>
                      <w:r w:rsidRPr="00995C95">
                        <w:rPr>
                          <w:b w:val="0"/>
                          <w:color w:val="685B7A"/>
                          <w:lang w:val="en-GB"/>
                        </w:rPr>
                        <w:t xml:space="preserve"> </w:t>
                      </w:r>
                      <w:r w:rsidRPr="00995C95">
                        <w:rPr>
                          <w:b w:val="0"/>
                          <w:color w:val="auto"/>
                          <w:lang w:val="en-GB"/>
                        </w:rPr>
                        <w:t xml:space="preserve">| </w:t>
                      </w:r>
                      <w:proofErr w:type="spellStart"/>
                      <w:r w:rsidRPr="00995C95">
                        <w:rPr>
                          <w:b w:val="0"/>
                          <w:color w:val="auto"/>
                          <w:lang w:val="en-GB"/>
                        </w:rPr>
                        <w:t>Slovanská</w:t>
                      </w:r>
                      <w:proofErr w:type="spellEnd"/>
                      <w:r w:rsidRPr="00995C95">
                        <w:rPr>
                          <w:b w:val="0"/>
                          <w:color w:val="auto"/>
                          <w:lang w:val="en-GB"/>
                        </w:rPr>
                        <w:t xml:space="preserve"> </w:t>
                      </w:r>
                      <w:proofErr w:type="spellStart"/>
                      <w:r w:rsidRPr="00995C95">
                        <w:rPr>
                          <w:b w:val="0"/>
                          <w:color w:val="auto"/>
                          <w:lang w:val="en-GB"/>
                        </w:rPr>
                        <w:t>alej</w:t>
                      </w:r>
                      <w:proofErr w:type="spellEnd"/>
                      <w:r w:rsidRPr="00995C95">
                        <w:rPr>
                          <w:b w:val="0"/>
                          <w:color w:val="auto"/>
                          <w:lang w:val="en-GB"/>
                        </w:rPr>
                        <w:t xml:space="preserve"> 36, 326 64 </w:t>
                      </w:r>
                      <w:proofErr w:type="spellStart"/>
                      <w:r w:rsidRPr="00995C95">
                        <w:rPr>
                          <w:b w:val="0"/>
                          <w:color w:val="auto"/>
                          <w:lang w:val="en-GB"/>
                        </w:rPr>
                        <w:t>Plzeň</w:t>
                      </w:r>
                      <w:proofErr w:type="spellEnd"/>
                      <w:r w:rsidRPr="00995C95">
                        <w:rPr>
                          <w:b w:val="0"/>
                          <w:color w:val="auto"/>
                          <w:lang w:val="en-GB"/>
                        </w:rPr>
                        <w:t xml:space="preserve">, </w:t>
                      </w:r>
                      <w:r w:rsidR="006E7AAF" w:rsidRPr="00995C95">
                        <w:rPr>
                          <w:b w:val="0"/>
                          <w:color w:val="auto"/>
                          <w:lang w:val="en-GB"/>
                        </w:rPr>
                        <w:t>ph</w:t>
                      </w:r>
                      <w:r w:rsidRPr="00995C95">
                        <w:rPr>
                          <w:b w:val="0"/>
                          <w:color w:val="auto"/>
                          <w:lang w:val="en-GB"/>
                        </w:rPr>
                        <w:t>.: 377 612 108</w:t>
                      </w:r>
                    </w:p>
                    <w:p w14:paraId="6C9701D0" w14:textId="77777777" w:rsidR="004C456F" w:rsidRPr="00995C95" w:rsidRDefault="004C456F" w:rsidP="00AB535B">
                      <w:pPr>
                        <w:pStyle w:val="TLKontakty"/>
                        <w:spacing w:after="80" w:line="240" w:lineRule="auto"/>
                        <w:rPr>
                          <w:b w:val="0"/>
                          <w:color w:val="auto"/>
                          <w:lang w:val="en-GB"/>
                        </w:rPr>
                      </w:pPr>
                      <w:r w:rsidRPr="00995C95">
                        <w:rPr>
                          <w:b w:val="0"/>
                          <w:color w:val="auto"/>
                          <w:lang w:val="en-GB"/>
                        </w:rPr>
                        <w:t xml:space="preserve">e-mail: infoservisplzen@csu.gov.cz | </w:t>
                      </w:r>
                      <w:r w:rsidRPr="00995C95">
                        <w:rPr>
                          <w:color w:val="auto"/>
                          <w:lang w:val="en-GB"/>
                        </w:rPr>
                        <w:t>www.csu.gov.cz/plzensky</w:t>
                      </w:r>
                    </w:p>
                    <w:p w14:paraId="782D67CB" w14:textId="77777777" w:rsidR="004C456F" w:rsidRPr="00995C95" w:rsidRDefault="004C456F" w:rsidP="00AB535B">
                      <w:pPr>
                        <w:pStyle w:val="TLKontakty"/>
                        <w:spacing w:after="80" w:line="240" w:lineRule="auto"/>
                        <w:rPr>
                          <w:color w:val="auto"/>
                          <w:lang w:val="en-GB"/>
                        </w:rPr>
                      </w:pPr>
                    </w:p>
                    <w:p w14:paraId="00F3D1DC" w14:textId="7706CBF9" w:rsidR="004C456F" w:rsidRPr="00995C95" w:rsidRDefault="004C456F" w:rsidP="00AB535B">
                      <w:pPr>
                        <w:pStyle w:val="TLKontakty"/>
                        <w:spacing w:after="80" w:line="240" w:lineRule="auto"/>
                        <w:rPr>
                          <w:b w:val="0"/>
                          <w:color w:val="auto"/>
                          <w:lang w:val="en-GB"/>
                        </w:rPr>
                      </w:pPr>
                      <w:r w:rsidRPr="00995C95">
                        <w:rPr>
                          <w:lang w:val="en-GB"/>
                        </w:rPr>
                        <w:t>Karlovy Vary</w:t>
                      </w:r>
                      <w:r w:rsidRPr="00995C95">
                        <w:rPr>
                          <w:b w:val="0"/>
                          <w:lang w:val="en-GB"/>
                        </w:rPr>
                        <w:t xml:space="preserve"> </w:t>
                      </w:r>
                      <w:r w:rsidRPr="00995C95">
                        <w:rPr>
                          <w:b w:val="0"/>
                          <w:color w:val="auto"/>
                          <w:lang w:val="en-GB"/>
                        </w:rPr>
                        <w:t xml:space="preserve">| </w:t>
                      </w:r>
                      <w:proofErr w:type="spellStart"/>
                      <w:r w:rsidRPr="00995C95">
                        <w:rPr>
                          <w:b w:val="0"/>
                          <w:color w:val="auto"/>
                          <w:lang w:val="en-GB"/>
                        </w:rPr>
                        <w:t>Závodní</w:t>
                      </w:r>
                      <w:proofErr w:type="spellEnd"/>
                      <w:r w:rsidRPr="00995C95">
                        <w:rPr>
                          <w:b w:val="0"/>
                          <w:color w:val="auto"/>
                          <w:lang w:val="en-GB"/>
                        </w:rPr>
                        <w:t xml:space="preserve"> 360/94, 360 06 Karlovy Vary, </w:t>
                      </w:r>
                      <w:r w:rsidR="006E7AAF" w:rsidRPr="00995C95">
                        <w:rPr>
                          <w:b w:val="0"/>
                          <w:color w:val="auto"/>
                          <w:lang w:val="en-GB"/>
                        </w:rPr>
                        <w:t>ph</w:t>
                      </w:r>
                      <w:r w:rsidRPr="00995C95">
                        <w:rPr>
                          <w:b w:val="0"/>
                          <w:color w:val="auto"/>
                          <w:lang w:val="en-GB"/>
                        </w:rPr>
                        <w:t>.: 353 114 529</w:t>
                      </w:r>
                    </w:p>
                    <w:p w14:paraId="24C682D2" w14:textId="77777777" w:rsidR="004C456F" w:rsidRPr="00995C95" w:rsidRDefault="004C456F" w:rsidP="00AB535B">
                      <w:pPr>
                        <w:pStyle w:val="TLKontakty"/>
                        <w:spacing w:after="80" w:line="240" w:lineRule="auto"/>
                        <w:rPr>
                          <w:b w:val="0"/>
                          <w:color w:val="auto"/>
                          <w:lang w:val="en-GB"/>
                        </w:rPr>
                      </w:pPr>
                      <w:r w:rsidRPr="00995C95">
                        <w:rPr>
                          <w:b w:val="0"/>
                          <w:color w:val="auto"/>
                          <w:lang w:val="en-GB"/>
                        </w:rPr>
                        <w:t xml:space="preserve">e-mail: infoserviskv@csu.gov.cz | </w:t>
                      </w:r>
                      <w:r w:rsidRPr="00995C95">
                        <w:rPr>
                          <w:color w:val="auto"/>
                          <w:lang w:val="en-GB"/>
                        </w:rPr>
                        <w:t>www.csu.gov.cz/karlovarsky</w:t>
                      </w:r>
                    </w:p>
                    <w:p w14:paraId="6E9577F9" w14:textId="77777777" w:rsidR="004C456F" w:rsidRPr="00995C95" w:rsidRDefault="004C456F" w:rsidP="00AB535B">
                      <w:pPr>
                        <w:pStyle w:val="TLKontakty"/>
                        <w:spacing w:after="80" w:line="240" w:lineRule="auto"/>
                        <w:rPr>
                          <w:color w:val="auto"/>
                          <w:lang w:val="en-GB"/>
                        </w:rPr>
                      </w:pPr>
                    </w:p>
                    <w:p w14:paraId="77286DF2" w14:textId="3C1ACF94" w:rsidR="004C456F" w:rsidRPr="00995C95" w:rsidRDefault="004C456F" w:rsidP="00AB535B">
                      <w:pPr>
                        <w:pStyle w:val="TLKontakty"/>
                        <w:spacing w:after="80" w:line="240" w:lineRule="auto"/>
                        <w:rPr>
                          <w:b w:val="0"/>
                          <w:color w:val="auto"/>
                          <w:lang w:val="en-GB"/>
                        </w:rPr>
                      </w:pPr>
                      <w:r w:rsidRPr="00995C95">
                        <w:rPr>
                          <w:lang w:val="en-GB"/>
                        </w:rPr>
                        <w:t xml:space="preserve">Ústí </w:t>
                      </w:r>
                      <w:proofErr w:type="spellStart"/>
                      <w:r w:rsidRPr="00995C95">
                        <w:rPr>
                          <w:lang w:val="en-GB"/>
                        </w:rPr>
                        <w:t>nad</w:t>
                      </w:r>
                      <w:proofErr w:type="spellEnd"/>
                      <w:r w:rsidRPr="00995C95">
                        <w:rPr>
                          <w:lang w:val="en-GB"/>
                        </w:rPr>
                        <w:t xml:space="preserve"> Labem</w:t>
                      </w:r>
                      <w:r w:rsidRPr="00995C95">
                        <w:rPr>
                          <w:b w:val="0"/>
                          <w:lang w:val="en-GB"/>
                        </w:rPr>
                        <w:t xml:space="preserve"> </w:t>
                      </w:r>
                      <w:r w:rsidRPr="00995C95">
                        <w:rPr>
                          <w:b w:val="0"/>
                          <w:color w:val="auto"/>
                          <w:lang w:val="en-GB"/>
                        </w:rPr>
                        <w:t xml:space="preserve">| </w:t>
                      </w:r>
                      <w:proofErr w:type="spellStart"/>
                      <w:r w:rsidRPr="00995C95">
                        <w:rPr>
                          <w:b w:val="0"/>
                          <w:color w:val="auto"/>
                          <w:lang w:val="en-GB"/>
                        </w:rPr>
                        <w:t>Špálova</w:t>
                      </w:r>
                      <w:proofErr w:type="spellEnd"/>
                      <w:r w:rsidRPr="00995C95">
                        <w:rPr>
                          <w:b w:val="0"/>
                          <w:color w:val="auto"/>
                          <w:lang w:val="en-GB"/>
                        </w:rPr>
                        <w:t xml:space="preserve"> 2684, 400 11 Ústí </w:t>
                      </w:r>
                      <w:proofErr w:type="spellStart"/>
                      <w:r w:rsidRPr="00995C95">
                        <w:rPr>
                          <w:b w:val="0"/>
                          <w:color w:val="auto"/>
                          <w:lang w:val="en-GB"/>
                        </w:rPr>
                        <w:t>nad</w:t>
                      </w:r>
                      <w:proofErr w:type="spellEnd"/>
                      <w:r w:rsidRPr="00995C95">
                        <w:rPr>
                          <w:b w:val="0"/>
                          <w:color w:val="auto"/>
                          <w:lang w:val="en-GB"/>
                        </w:rPr>
                        <w:t xml:space="preserve"> Labem, </w:t>
                      </w:r>
                      <w:r w:rsidR="006E7AAF" w:rsidRPr="00995C95">
                        <w:rPr>
                          <w:b w:val="0"/>
                          <w:color w:val="auto"/>
                          <w:lang w:val="en-GB"/>
                        </w:rPr>
                        <w:t>ph</w:t>
                      </w:r>
                      <w:r w:rsidRPr="00995C95">
                        <w:rPr>
                          <w:b w:val="0"/>
                          <w:color w:val="auto"/>
                          <w:lang w:val="en-GB"/>
                        </w:rPr>
                        <w:t>.: 472 706 176</w:t>
                      </w:r>
                    </w:p>
                    <w:p w14:paraId="650EE774" w14:textId="77777777" w:rsidR="004C456F" w:rsidRPr="00995C95" w:rsidRDefault="004C456F" w:rsidP="00AB535B">
                      <w:pPr>
                        <w:pStyle w:val="TLKontakty"/>
                        <w:spacing w:after="80" w:line="240" w:lineRule="auto"/>
                        <w:rPr>
                          <w:b w:val="0"/>
                          <w:color w:val="auto"/>
                          <w:lang w:val="en-GB"/>
                        </w:rPr>
                      </w:pPr>
                      <w:r w:rsidRPr="00995C95">
                        <w:rPr>
                          <w:b w:val="0"/>
                          <w:color w:val="auto"/>
                          <w:lang w:val="en-GB"/>
                        </w:rPr>
                        <w:t xml:space="preserve">e-mail: infoservisul@csu.gov.cz | </w:t>
                      </w:r>
                      <w:r w:rsidRPr="00995C95">
                        <w:rPr>
                          <w:color w:val="auto"/>
                          <w:lang w:val="en-GB"/>
                        </w:rPr>
                        <w:t>www.csu.gov.cz/ustecky</w:t>
                      </w:r>
                    </w:p>
                    <w:p w14:paraId="07D247CD" w14:textId="77777777" w:rsidR="004C456F" w:rsidRPr="00995C95" w:rsidRDefault="004C456F" w:rsidP="00AB535B">
                      <w:pPr>
                        <w:pStyle w:val="TLKontakty"/>
                        <w:spacing w:after="80" w:line="240" w:lineRule="auto"/>
                        <w:rPr>
                          <w:color w:val="auto"/>
                          <w:lang w:val="en-GB"/>
                        </w:rPr>
                      </w:pPr>
                    </w:p>
                    <w:p w14:paraId="29194436" w14:textId="7556A6F7" w:rsidR="004C456F" w:rsidRPr="00995C95" w:rsidRDefault="004C456F" w:rsidP="00AB535B">
                      <w:pPr>
                        <w:pStyle w:val="TLKontakty"/>
                        <w:spacing w:after="80" w:line="240" w:lineRule="auto"/>
                        <w:rPr>
                          <w:b w:val="0"/>
                          <w:color w:val="auto"/>
                          <w:lang w:val="en-GB"/>
                        </w:rPr>
                      </w:pPr>
                      <w:r w:rsidRPr="00995C95">
                        <w:rPr>
                          <w:lang w:val="en-GB"/>
                        </w:rPr>
                        <w:t>Liberec</w:t>
                      </w:r>
                      <w:r w:rsidRPr="00995C95">
                        <w:rPr>
                          <w:b w:val="0"/>
                          <w:color w:val="auto"/>
                          <w:lang w:val="en-GB"/>
                        </w:rPr>
                        <w:t xml:space="preserve"> | </w:t>
                      </w:r>
                      <w:proofErr w:type="spellStart"/>
                      <w:r w:rsidRPr="00995C95">
                        <w:rPr>
                          <w:b w:val="0"/>
                          <w:color w:val="auto"/>
                          <w:lang w:val="en-GB"/>
                        </w:rPr>
                        <w:t>nám</w:t>
                      </w:r>
                      <w:proofErr w:type="spellEnd"/>
                      <w:r w:rsidRPr="00995C95">
                        <w:rPr>
                          <w:b w:val="0"/>
                          <w:color w:val="auto"/>
                          <w:lang w:val="en-GB"/>
                        </w:rPr>
                        <w:t xml:space="preserve">. Dr. Edvarda </w:t>
                      </w:r>
                      <w:proofErr w:type="spellStart"/>
                      <w:r w:rsidRPr="00995C95">
                        <w:rPr>
                          <w:b w:val="0"/>
                          <w:color w:val="auto"/>
                          <w:lang w:val="en-GB"/>
                        </w:rPr>
                        <w:t>Beneše</w:t>
                      </w:r>
                      <w:proofErr w:type="spellEnd"/>
                      <w:r w:rsidRPr="00995C95">
                        <w:rPr>
                          <w:b w:val="0"/>
                          <w:color w:val="auto"/>
                          <w:lang w:val="en-GB"/>
                        </w:rPr>
                        <w:t xml:space="preserve"> 585/26, 460 01 Liberec, </w:t>
                      </w:r>
                      <w:r w:rsidR="00047175" w:rsidRPr="00995C95">
                        <w:rPr>
                          <w:b w:val="0"/>
                          <w:color w:val="auto"/>
                          <w:lang w:val="en-GB"/>
                        </w:rPr>
                        <w:t>ph</w:t>
                      </w:r>
                      <w:r w:rsidRPr="00995C95">
                        <w:rPr>
                          <w:b w:val="0"/>
                          <w:color w:val="auto"/>
                          <w:lang w:val="en-GB"/>
                        </w:rPr>
                        <w:t>.: 704 675 184</w:t>
                      </w:r>
                    </w:p>
                    <w:p w14:paraId="495AA30F" w14:textId="77777777" w:rsidR="004C456F" w:rsidRPr="00995C95" w:rsidRDefault="004C456F" w:rsidP="00AB535B">
                      <w:pPr>
                        <w:pStyle w:val="TLKontakty"/>
                        <w:spacing w:after="80" w:line="240" w:lineRule="auto"/>
                        <w:rPr>
                          <w:b w:val="0"/>
                          <w:color w:val="auto"/>
                          <w:lang w:val="en-GB"/>
                        </w:rPr>
                      </w:pPr>
                      <w:r w:rsidRPr="00995C95">
                        <w:rPr>
                          <w:b w:val="0"/>
                          <w:color w:val="auto"/>
                          <w:lang w:val="en-GB"/>
                        </w:rPr>
                        <w:t xml:space="preserve">e-mail: infoservislbc@csu.gov.cz | </w:t>
                      </w:r>
                      <w:r w:rsidRPr="00995C95">
                        <w:rPr>
                          <w:color w:val="auto"/>
                          <w:lang w:val="en-GB"/>
                        </w:rPr>
                        <w:t>www.csu.gov.cz/liberecky</w:t>
                      </w:r>
                    </w:p>
                    <w:p w14:paraId="352E4F51" w14:textId="77777777" w:rsidR="004C456F" w:rsidRPr="00995C95" w:rsidRDefault="004C456F" w:rsidP="00AB535B">
                      <w:pPr>
                        <w:pStyle w:val="TLKontakty"/>
                        <w:spacing w:after="80" w:line="240" w:lineRule="auto"/>
                        <w:rPr>
                          <w:b w:val="0"/>
                          <w:color w:val="auto"/>
                          <w:lang w:val="en-GB"/>
                        </w:rPr>
                      </w:pPr>
                    </w:p>
                    <w:p w14:paraId="4CA59A3C" w14:textId="04BBA74C" w:rsidR="004C456F" w:rsidRPr="00995C95" w:rsidRDefault="004C456F" w:rsidP="00AB535B">
                      <w:pPr>
                        <w:pStyle w:val="TLKontakty"/>
                        <w:spacing w:after="80" w:line="240" w:lineRule="auto"/>
                        <w:rPr>
                          <w:b w:val="0"/>
                          <w:color w:val="auto"/>
                          <w:lang w:val="en-GB"/>
                        </w:rPr>
                      </w:pPr>
                      <w:r w:rsidRPr="00995C95">
                        <w:rPr>
                          <w:lang w:val="en-GB"/>
                        </w:rPr>
                        <w:t xml:space="preserve">Hradec </w:t>
                      </w:r>
                      <w:proofErr w:type="spellStart"/>
                      <w:r w:rsidRPr="00995C95">
                        <w:rPr>
                          <w:lang w:val="en-GB"/>
                        </w:rPr>
                        <w:t>Králové</w:t>
                      </w:r>
                      <w:proofErr w:type="spellEnd"/>
                      <w:r w:rsidRPr="00995C95">
                        <w:rPr>
                          <w:b w:val="0"/>
                          <w:lang w:val="en-GB"/>
                        </w:rPr>
                        <w:t xml:space="preserve"> </w:t>
                      </w:r>
                      <w:r w:rsidRPr="00995C95">
                        <w:rPr>
                          <w:b w:val="0"/>
                          <w:color w:val="auto"/>
                          <w:lang w:val="en-GB"/>
                        </w:rPr>
                        <w:t xml:space="preserve">| </w:t>
                      </w:r>
                      <w:proofErr w:type="spellStart"/>
                      <w:r w:rsidRPr="00995C95">
                        <w:rPr>
                          <w:b w:val="0"/>
                          <w:color w:val="auto"/>
                          <w:lang w:val="en-GB"/>
                        </w:rPr>
                        <w:t>Myslivečkova</w:t>
                      </w:r>
                      <w:proofErr w:type="spellEnd"/>
                      <w:r w:rsidRPr="00995C95">
                        <w:rPr>
                          <w:b w:val="0"/>
                          <w:color w:val="auto"/>
                          <w:lang w:val="en-GB"/>
                        </w:rPr>
                        <w:t xml:space="preserve"> 914, 500 03 Hradec </w:t>
                      </w:r>
                      <w:proofErr w:type="spellStart"/>
                      <w:r w:rsidRPr="00995C95">
                        <w:rPr>
                          <w:b w:val="0"/>
                          <w:color w:val="auto"/>
                          <w:lang w:val="en-GB"/>
                        </w:rPr>
                        <w:t>Králové</w:t>
                      </w:r>
                      <w:proofErr w:type="spellEnd"/>
                      <w:r w:rsidRPr="00995C95">
                        <w:rPr>
                          <w:b w:val="0"/>
                          <w:color w:val="auto"/>
                          <w:lang w:val="en-GB"/>
                        </w:rPr>
                        <w:t xml:space="preserve">, </w:t>
                      </w:r>
                      <w:r w:rsidR="00047175" w:rsidRPr="00995C95">
                        <w:rPr>
                          <w:b w:val="0"/>
                          <w:color w:val="auto"/>
                          <w:lang w:val="en-GB"/>
                        </w:rPr>
                        <w:t>ph</w:t>
                      </w:r>
                      <w:r w:rsidRPr="00995C95">
                        <w:rPr>
                          <w:b w:val="0"/>
                          <w:color w:val="auto"/>
                          <w:lang w:val="en-GB"/>
                        </w:rPr>
                        <w:t>.: 495 762 322</w:t>
                      </w:r>
                    </w:p>
                    <w:p w14:paraId="081AD867" w14:textId="77777777" w:rsidR="004C456F" w:rsidRPr="00995C95" w:rsidRDefault="004C456F" w:rsidP="00AB535B">
                      <w:pPr>
                        <w:pStyle w:val="TLKontakty"/>
                        <w:spacing w:after="80" w:line="240" w:lineRule="auto"/>
                        <w:rPr>
                          <w:b w:val="0"/>
                          <w:color w:val="auto"/>
                          <w:lang w:val="en-GB"/>
                        </w:rPr>
                      </w:pPr>
                      <w:r w:rsidRPr="00995C95">
                        <w:rPr>
                          <w:b w:val="0"/>
                          <w:color w:val="auto"/>
                          <w:lang w:val="en-GB"/>
                        </w:rPr>
                        <w:t xml:space="preserve">e-mail: infoservishk@csu.gov.cz | </w:t>
                      </w:r>
                      <w:r w:rsidRPr="00995C95">
                        <w:rPr>
                          <w:color w:val="auto"/>
                          <w:lang w:val="en-GB"/>
                        </w:rPr>
                        <w:t>www.csu.gov.cz/kralovehradecky</w:t>
                      </w:r>
                    </w:p>
                    <w:p w14:paraId="08EC8A6A" w14:textId="77777777" w:rsidR="004C456F" w:rsidRPr="00995C95" w:rsidRDefault="004C456F" w:rsidP="00AB535B">
                      <w:pPr>
                        <w:pStyle w:val="TLKontakty"/>
                        <w:spacing w:after="80" w:line="240" w:lineRule="auto"/>
                        <w:rPr>
                          <w:color w:val="auto"/>
                          <w:lang w:val="en-GB"/>
                        </w:rPr>
                      </w:pPr>
                    </w:p>
                    <w:p w14:paraId="7586B150" w14:textId="35E85B5B" w:rsidR="004C456F" w:rsidRPr="00995C95" w:rsidRDefault="004C456F" w:rsidP="00AB535B">
                      <w:pPr>
                        <w:pStyle w:val="TLKontakty"/>
                        <w:spacing w:after="80" w:line="240" w:lineRule="auto"/>
                        <w:rPr>
                          <w:b w:val="0"/>
                          <w:color w:val="auto"/>
                          <w:lang w:val="en-GB"/>
                        </w:rPr>
                      </w:pPr>
                      <w:r w:rsidRPr="00995C95">
                        <w:rPr>
                          <w:lang w:val="en-GB"/>
                        </w:rPr>
                        <w:t>Pardubice</w:t>
                      </w:r>
                      <w:r w:rsidRPr="00995C95">
                        <w:rPr>
                          <w:b w:val="0"/>
                          <w:lang w:val="en-GB"/>
                        </w:rPr>
                        <w:t xml:space="preserve"> </w:t>
                      </w:r>
                      <w:r w:rsidRPr="00995C95">
                        <w:rPr>
                          <w:b w:val="0"/>
                          <w:color w:val="auto"/>
                          <w:lang w:val="en-GB"/>
                        </w:rPr>
                        <w:t>| V </w:t>
                      </w:r>
                      <w:proofErr w:type="spellStart"/>
                      <w:r w:rsidRPr="00995C95">
                        <w:rPr>
                          <w:b w:val="0"/>
                          <w:color w:val="auto"/>
                          <w:lang w:val="en-GB"/>
                        </w:rPr>
                        <w:t>Ráji</w:t>
                      </w:r>
                      <w:proofErr w:type="spellEnd"/>
                      <w:r w:rsidRPr="00995C95">
                        <w:rPr>
                          <w:b w:val="0"/>
                          <w:color w:val="auto"/>
                          <w:lang w:val="en-GB"/>
                        </w:rPr>
                        <w:t xml:space="preserve"> 872, 531 53 Pardubice, </w:t>
                      </w:r>
                      <w:r w:rsidR="00047175" w:rsidRPr="00995C95">
                        <w:rPr>
                          <w:b w:val="0"/>
                          <w:color w:val="auto"/>
                          <w:lang w:val="en-GB"/>
                        </w:rPr>
                        <w:t>ph</w:t>
                      </w:r>
                      <w:r w:rsidRPr="00995C95">
                        <w:rPr>
                          <w:b w:val="0"/>
                          <w:color w:val="auto"/>
                          <w:lang w:val="en-GB"/>
                        </w:rPr>
                        <w:t>.: 466 743 480</w:t>
                      </w:r>
                    </w:p>
                    <w:p w14:paraId="4B4D3BBA" w14:textId="77777777" w:rsidR="004C456F" w:rsidRPr="00995C95" w:rsidRDefault="004C456F" w:rsidP="00AB535B">
                      <w:pPr>
                        <w:pStyle w:val="TLKontakty"/>
                        <w:spacing w:after="80" w:line="240" w:lineRule="auto"/>
                        <w:rPr>
                          <w:b w:val="0"/>
                          <w:color w:val="auto"/>
                          <w:lang w:val="en-GB"/>
                        </w:rPr>
                      </w:pPr>
                      <w:r w:rsidRPr="00995C95">
                        <w:rPr>
                          <w:b w:val="0"/>
                          <w:color w:val="auto"/>
                          <w:lang w:val="en-GB"/>
                        </w:rPr>
                        <w:t xml:space="preserve">e-mail: infoservispa@csu.gov.cz | </w:t>
                      </w:r>
                      <w:r w:rsidRPr="00995C95">
                        <w:rPr>
                          <w:color w:val="auto"/>
                          <w:lang w:val="en-GB"/>
                        </w:rPr>
                        <w:t>www.csu.gov.cz/pardubicky</w:t>
                      </w:r>
                    </w:p>
                    <w:p w14:paraId="6CF93D89" w14:textId="77777777" w:rsidR="004C456F" w:rsidRPr="00995C95" w:rsidRDefault="004C456F" w:rsidP="00AB535B">
                      <w:pPr>
                        <w:pStyle w:val="TLKontakty"/>
                        <w:spacing w:after="80" w:line="240" w:lineRule="auto"/>
                        <w:rPr>
                          <w:b w:val="0"/>
                          <w:color w:val="auto"/>
                          <w:lang w:val="en-GB"/>
                        </w:rPr>
                      </w:pPr>
                    </w:p>
                    <w:p w14:paraId="30BAB159" w14:textId="66CD9B85" w:rsidR="004C456F" w:rsidRPr="00995C95" w:rsidRDefault="004C456F" w:rsidP="00AB535B">
                      <w:pPr>
                        <w:pStyle w:val="TLKontakty"/>
                        <w:spacing w:after="80" w:line="240" w:lineRule="auto"/>
                        <w:rPr>
                          <w:b w:val="0"/>
                          <w:color w:val="auto"/>
                          <w:lang w:val="en-GB"/>
                        </w:rPr>
                      </w:pPr>
                      <w:proofErr w:type="spellStart"/>
                      <w:r w:rsidRPr="00995C95">
                        <w:rPr>
                          <w:lang w:val="en-GB"/>
                        </w:rPr>
                        <w:t>Jihlava</w:t>
                      </w:r>
                      <w:proofErr w:type="spellEnd"/>
                      <w:r w:rsidRPr="00995C95">
                        <w:rPr>
                          <w:b w:val="0"/>
                          <w:color w:val="auto"/>
                          <w:lang w:val="en-GB"/>
                        </w:rPr>
                        <w:t xml:space="preserve"> | Ke </w:t>
                      </w:r>
                      <w:proofErr w:type="spellStart"/>
                      <w:r w:rsidRPr="00995C95">
                        <w:rPr>
                          <w:b w:val="0"/>
                          <w:color w:val="auto"/>
                          <w:lang w:val="en-GB"/>
                        </w:rPr>
                        <w:t>Skalce</w:t>
                      </w:r>
                      <w:proofErr w:type="spellEnd"/>
                      <w:r w:rsidRPr="00995C95">
                        <w:rPr>
                          <w:b w:val="0"/>
                          <w:color w:val="auto"/>
                          <w:lang w:val="en-GB"/>
                        </w:rPr>
                        <w:t xml:space="preserve"> 30, 586 01 </w:t>
                      </w:r>
                      <w:proofErr w:type="spellStart"/>
                      <w:r w:rsidRPr="00995C95">
                        <w:rPr>
                          <w:b w:val="0"/>
                          <w:color w:val="auto"/>
                          <w:lang w:val="en-GB"/>
                        </w:rPr>
                        <w:t>Jihlava</w:t>
                      </w:r>
                      <w:proofErr w:type="spellEnd"/>
                      <w:r w:rsidRPr="00995C95">
                        <w:rPr>
                          <w:b w:val="0"/>
                          <w:color w:val="auto"/>
                          <w:lang w:val="en-GB"/>
                        </w:rPr>
                        <w:t xml:space="preserve">, </w:t>
                      </w:r>
                      <w:r w:rsidR="00047175" w:rsidRPr="00995C95">
                        <w:rPr>
                          <w:b w:val="0"/>
                          <w:color w:val="auto"/>
                          <w:lang w:val="en-GB"/>
                        </w:rPr>
                        <w:t>ph</w:t>
                      </w:r>
                      <w:r w:rsidRPr="00995C95">
                        <w:rPr>
                          <w:b w:val="0"/>
                          <w:color w:val="auto"/>
                          <w:lang w:val="en-GB"/>
                        </w:rPr>
                        <w:t>.: 567 109 080</w:t>
                      </w:r>
                    </w:p>
                    <w:p w14:paraId="0532717C" w14:textId="77777777" w:rsidR="004C456F" w:rsidRPr="00995C95" w:rsidRDefault="004C456F" w:rsidP="00AB535B">
                      <w:pPr>
                        <w:pStyle w:val="TLKontakty"/>
                        <w:spacing w:after="80" w:line="240" w:lineRule="auto"/>
                        <w:rPr>
                          <w:b w:val="0"/>
                          <w:color w:val="auto"/>
                          <w:lang w:val="en-GB"/>
                        </w:rPr>
                      </w:pPr>
                      <w:r w:rsidRPr="00995C95">
                        <w:rPr>
                          <w:b w:val="0"/>
                          <w:color w:val="auto"/>
                          <w:lang w:val="en-GB"/>
                        </w:rPr>
                        <w:t xml:space="preserve">e-mail: infoservisvys@csu.gov.cz | </w:t>
                      </w:r>
                      <w:r w:rsidRPr="00995C95">
                        <w:rPr>
                          <w:color w:val="auto"/>
                          <w:lang w:val="en-GB"/>
                        </w:rPr>
                        <w:t>www.csu.gov.cz/vysocina</w:t>
                      </w:r>
                    </w:p>
                    <w:p w14:paraId="7B3866D4" w14:textId="77777777" w:rsidR="004C456F" w:rsidRPr="00995C95" w:rsidRDefault="004C456F" w:rsidP="00AB535B">
                      <w:pPr>
                        <w:pStyle w:val="TLKontakty"/>
                        <w:spacing w:after="80" w:line="240" w:lineRule="auto"/>
                        <w:rPr>
                          <w:lang w:val="en-GB"/>
                        </w:rPr>
                      </w:pPr>
                    </w:p>
                    <w:p w14:paraId="3DCDC97A" w14:textId="0912CA35" w:rsidR="004C456F" w:rsidRPr="00995C95" w:rsidRDefault="004C456F" w:rsidP="00AB535B">
                      <w:pPr>
                        <w:pStyle w:val="TLKontakty"/>
                        <w:spacing w:after="80" w:line="240" w:lineRule="auto"/>
                        <w:rPr>
                          <w:b w:val="0"/>
                          <w:color w:val="auto"/>
                          <w:lang w:val="en-GB"/>
                        </w:rPr>
                      </w:pPr>
                      <w:r w:rsidRPr="00995C95">
                        <w:rPr>
                          <w:lang w:val="en-GB"/>
                        </w:rPr>
                        <w:t>Brno</w:t>
                      </w:r>
                      <w:r w:rsidRPr="00995C95">
                        <w:rPr>
                          <w:b w:val="0"/>
                          <w:color w:val="685B7A"/>
                          <w:lang w:val="en-GB"/>
                        </w:rPr>
                        <w:t xml:space="preserve"> </w:t>
                      </w:r>
                      <w:r w:rsidRPr="00995C95">
                        <w:rPr>
                          <w:b w:val="0"/>
                          <w:color w:val="auto"/>
                          <w:lang w:val="en-GB"/>
                        </w:rPr>
                        <w:t xml:space="preserve">| </w:t>
                      </w:r>
                      <w:proofErr w:type="spellStart"/>
                      <w:r w:rsidRPr="00995C95">
                        <w:rPr>
                          <w:b w:val="0"/>
                          <w:color w:val="auto"/>
                          <w:lang w:val="en-GB"/>
                        </w:rPr>
                        <w:t>Jezuitská</w:t>
                      </w:r>
                      <w:proofErr w:type="spellEnd"/>
                      <w:r w:rsidRPr="00995C95">
                        <w:rPr>
                          <w:b w:val="0"/>
                          <w:color w:val="auto"/>
                          <w:lang w:val="en-GB"/>
                        </w:rPr>
                        <w:t xml:space="preserve"> 2, 601 59 Brno, </w:t>
                      </w:r>
                      <w:proofErr w:type="spellStart"/>
                      <w:r w:rsidR="00047175" w:rsidRPr="00995C95">
                        <w:rPr>
                          <w:b w:val="0"/>
                          <w:color w:val="auto"/>
                          <w:lang w:val="en-GB"/>
                        </w:rPr>
                        <w:t>ph</w:t>
                      </w:r>
                      <w:proofErr w:type="spellEnd"/>
                      <w:r w:rsidRPr="00995C95">
                        <w:rPr>
                          <w:b w:val="0"/>
                          <w:color w:val="auto"/>
                          <w:lang w:val="en-GB"/>
                        </w:rPr>
                        <w:t>: 542 528 200</w:t>
                      </w:r>
                    </w:p>
                    <w:p w14:paraId="1AB72DE8" w14:textId="77777777" w:rsidR="004C456F" w:rsidRPr="00995C95" w:rsidRDefault="004C456F" w:rsidP="00AB535B">
                      <w:pPr>
                        <w:pStyle w:val="TLKontakty"/>
                        <w:spacing w:after="80" w:line="240" w:lineRule="auto"/>
                        <w:rPr>
                          <w:color w:val="auto"/>
                          <w:lang w:val="en-GB"/>
                        </w:rPr>
                      </w:pPr>
                      <w:r w:rsidRPr="00995C95">
                        <w:rPr>
                          <w:b w:val="0"/>
                          <w:color w:val="auto"/>
                          <w:lang w:val="en-GB"/>
                        </w:rPr>
                        <w:t xml:space="preserve">e-mail: infoservisbrno@csu.gov.cz | </w:t>
                      </w:r>
                      <w:r w:rsidRPr="00995C95">
                        <w:rPr>
                          <w:color w:val="auto"/>
                          <w:lang w:val="en-GB"/>
                        </w:rPr>
                        <w:t>www.csu.gov.cz/jihomoravsky</w:t>
                      </w:r>
                    </w:p>
                    <w:p w14:paraId="0068D5EE" w14:textId="77777777" w:rsidR="004C456F" w:rsidRPr="00995C95" w:rsidRDefault="004C456F" w:rsidP="00AB535B">
                      <w:pPr>
                        <w:pStyle w:val="TLKontakty"/>
                        <w:spacing w:after="80" w:line="240" w:lineRule="auto"/>
                        <w:rPr>
                          <w:b w:val="0"/>
                          <w:color w:val="auto"/>
                          <w:lang w:val="en-GB"/>
                        </w:rPr>
                      </w:pPr>
                    </w:p>
                    <w:p w14:paraId="50E3CB39" w14:textId="22599573" w:rsidR="004C456F" w:rsidRPr="00995C95" w:rsidRDefault="004C456F" w:rsidP="00AB535B">
                      <w:pPr>
                        <w:pStyle w:val="TLKontakty"/>
                        <w:spacing w:after="80" w:line="240" w:lineRule="auto"/>
                        <w:rPr>
                          <w:b w:val="0"/>
                          <w:color w:val="auto"/>
                          <w:lang w:val="en-GB"/>
                        </w:rPr>
                      </w:pPr>
                      <w:r w:rsidRPr="00995C95">
                        <w:rPr>
                          <w:lang w:val="en-GB"/>
                        </w:rPr>
                        <w:t>Olomouc</w:t>
                      </w:r>
                      <w:r w:rsidRPr="00995C95">
                        <w:rPr>
                          <w:b w:val="0"/>
                          <w:color w:val="auto"/>
                          <w:lang w:val="en-GB"/>
                        </w:rPr>
                        <w:t xml:space="preserve"> | </w:t>
                      </w:r>
                      <w:proofErr w:type="spellStart"/>
                      <w:r w:rsidRPr="00995C95">
                        <w:rPr>
                          <w:b w:val="0"/>
                          <w:color w:val="auto"/>
                          <w:lang w:val="en-GB"/>
                        </w:rPr>
                        <w:t>Jeremenkova</w:t>
                      </w:r>
                      <w:proofErr w:type="spellEnd"/>
                      <w:r w:rsidRPr="00995C95">
                        <w:rPr>
                          <w:b w:val="0"/>
                          <w:color w:val="auto"/>
                          <w:lang w:val="en-GB"/>
                        </w:rPr>
                        <w:t xml:space="preserve"> 1142/42, 772 11 Olomouc, </w:t>
                      </w:r>
                      <w:r w:rsidR="00047175" w:rsidRPr="00995C95">
                        <w:rPr>
                          <w:b w:val="0"/>
                          <w:color w:val="auto"/>
                          <w:lang w:val="en-GB"/>
                        </w:rPr>
                        <w:t>ph</w:t>
                      </w:r>
                      <w:r w:rsidRPr="00995C95">
                        <w:rPr>
                          <w:b w:val="0"/>
                          <w:color w:val="auto"/>
                          <w:lang w:val="en-GB"/>
                        </w:rPr>
                        <w:t>.: 585 731 511</w:t>
                      </w:r>
                    </w:p>
                    <w:p w14:paraId="4DF839A7" w14:textId="77777777" w:rsidR="004C456F" w:rsidRPr="00995C95" w:rsidRDefault="004C456F" w:rsidP="00AB535B">
                      <w:pPr>
                        <w:pStyle w:val="TLKontakty"/>
                        <w:spacing w:after="80" w:line="240" w:lineRule="auto"/>
                        <w:rPr>
                          <w:b w:val="0"/>
                          <w:color w:val="auto"/>
                          <w:lang w:val="en-GB"/>
                        </w:rPr>
                      </w:pPr>
                      <w:r w:rsidRPr="00995C95">
                        <w:rPr>
                          <w:b w:val="0"/>
                          <w:color w:val="auto"/>
                          <w:lang w:val="en-GB"/>
                        </w:rPr>
                        <w:t xml:space="preserve">e-mail: infoservisolom@csu.gov.cz | </w:t>
                      </w:r>
                      <w:r w:rsidRPr="00995C95">
                        <w:rPr>
                          <w:color w:val="auto"/>
                          <w:lang w:val="en-GB"/>
                        </w:rPr>
                        <w:t>www.csu.gov.cz/olomoucky</w:t>
                      </w:r>
                    </w:p>
                    <w:p w14:paraId="46C88BC4" w14:textId="77777777" w:rsidR="004C456F" w:rsidRPr="00995C95" w:rsidRDefault="004C456F" w:rsidP="00AB535B">
                      <w:pPr>
                        <w:pStyle w:val="TLKontakty"/>
                        <w:spacing w:after="80" w:line="240" w:lineRule="auto"/>
                        <w:rPr>
                          <w:b w:val="0"/>
                          <w:color w:val="auto"/>
                          <w:lang w:val="en-GB"/>
                        </w:rPr>
                      </w:pPr>
                    </w:p>
                    <w:p w14:paraId="16A6BEB7" w14:textId="795E262E" w:rsidR="004C456F" w:rsidRPr="00995C95" w:rsidRDefault="004C456F" w:rsidP="00AB535B">
                      <w:pPr>
                        <w:pStyle w:val="TLKontakty"/>
                        <w:spacing w:after="80" w:line="240" w:lineRule="auto"/>
                        <w:rPr>
                          <w:b w:val="0"/>
                          <w:color w:val="auto"/>
                          <w:lang w:val="en-GB"/>
                        </w:rPr>
                      </w:pPr>
                      <w:r w:rsidRPr="00995C95">
                        <w:rPr>
                          <w:lang w:val="en-GB"/>
                        </w:rPr>
                        <w:t>Zlín</w:t>
                      </w:r>
                      <w:r w:rsidRPr="00995C95">
                        <w:rPr>
                          <w:b w:val="0"/>
                          <w:lang w:val="en-GB"/>
                        </w:rPr>
                        <w:t xml:space="preserve"> </w:t>
                      </w:r>
                      <w:r w:rsidRPr="00995C95">
                        <w:rPr>
                          <w:b w:val="0"/>
                          <w:color w:val="auto"/>
                          <w:lang w:val="en-GB"/>
                        </w:rPr>
                        <w:t xml:space="preserve">| </w:t>
                      </w:r>
                      <w:proofErr w:type="spellStart"/>
                      <w:r w:rsidRPr="00995C95">
                        <w:rPr>
                          <w:b w:val="0"/>
                          <w:color w:val="auto"/>
                          <w:lang w:val="en-GB"/>
                        </w:rPr>
                        <w:t>třída</w:t>
                      </w:r>
                      <w:proofErr w:type="spellEnd"/>
                      <w:r w:rsidRPr="00995C95">
                        <w:rPr>
                          <w:b w:val="0"/>
                          <w:color w:val="auto"/>
                          <w:lang w:val="en-GB"/>
                        </w:rPr>
                        <w:t xml:space="preserve"> </w:t>
                      </w:r>
                      <w:proofErr w:type="spellStart"/>
                      <w:r w:rsidRPr="00995C95">
                        <w:rPr>
                          <w:b w:val="0"/>
                          <w:color w:val="auto"/>
                          <w:lang w:val="en-GB"/>
                        </w:rPr>
                        <w:t>Tomáše</w:t>
                      </w:r>
                      <w:proofErr w:type="spellEnd"/>
                      <w:r w:rsidRPr="00995C95">
                        <w:rPr>
                          <w:b w:val="0"/>
                          <w:color w:val="auto"/>
                          <w:lang w:val="en-GB"/>
                        </w:rPr>
                        <w:t xml:space="preserve"> Bati 1565, 761 76 Zlín, </w:t>
                      </w:r>
                      <w:r w:rsidR="00047175" w:rsidRPr="00995C95">
                        <w:rPr>
                          <w:b w:val="0"/>
                          <w:color w:val="auto"/>
                          <w:lang w:val="en-GB"/>
                        </w:rPr>
                        <w:t>ph</w:t>
                      </w:r>
                      <w:r w:rsidRPr="00995C95">
                        <w:rPr>
                          <w:b w:val="0"/>
                          <w:color w:val="auto"/>
                          <w:lang w:val="en-GB"/>
                        </w:rPr>
                        <w:t>.: 577 004 936</w:t>
                      </w:r>
                    </w:p>
                    <w:p w14:paraId="15EF2429" w14:textId="77777777" w:rsidR="004C456F" w:rsidRPr="00995C95" w:rsidRDefault="004C456F" w:rsidP="00AB535B">
                      <w:pPr>
                        <w:pStyle w:val="TLKontakty"/>
                        <w:spacing w:after="80" w:line="240" w:lineRule="auto"/>
                        <w:rPr>
                          <w:color w:val="auto"/>
                          <w:lang w:val="en-GB"/>
                        </w:rPr>
                      </w:pPr>
                      <w:r w:rsidRPr="00995C95">
                        <w:rPr>
                          <w:b w:val="0"/>
                          <w:color w:val="auto"/>
                          <w:lang w:val="en-GB"/>
                        </w:rPr>
                        <w:t xml:space="preserve">e-mail: infoserviszl@csu.gov.cz | </w:t>
                      </w:r>
                      <w:r w:rsidRPr="00995C95">
                        <w:rPr>
                          <w:color w:val="auto"/>
                          <w:lang w:val="en-GB"/>
                        </w:rPr>
                        <w:t>www.csu.gov.cz/zlinsky</w:t>
                      </w:r>
                    </w:p>
                    <w:p w14:paraId="124AFCC8" w14:textId="77777777" w:rsidR="004C456F" w:rsidRPr="00995C95" w:rsidRDefault="004C456F" w:rsidP="00AB535B">
                      <w:pPr>
                        <w:pStyle w:val="TLKontakty"/>
                        <w:spacing w:after="80" w:line="240" w:lineRule="auto"/>
                        <w:rPr>
                          <w:b w:val="0"/>
                          <w:color w:val="auto"/>
                          <w:lang w:val="en-GB"/>
                        </w:rPr>
                      </w:pPr>
                    </w:p>
                    <w:p w14:paraId="61D04DDC" w14:textId="2A086707" w:rsidR="004C456F" w:rsidRPr="00995C95" w:rsidRDefault="004C456F" w:rsidP="00AB535B">
                      <w:pPr>
                        <w:pStyle w:val="TLKontakty"/>
                        <w:spacing w:after="80" w:line="240" w:lineRule="auto"/>
                        <w:rPr>
                          <w:b w:val="0"/>
                          <w:color w:val="auto"/>
                          <w:lang w:val="en-GB"/>
                        </w:rPr>
                      </w:pPr>
                      <w:r w:rsidRPr="00995C95">
                        <w:rPr>
                          <w:lang w:val="en-GB"/>
                        </w:rPr>
                        <w:t>Ostrava</w:t>
                      </w:r>
                      <w:r w:rsidRPr="00995C95">
                        <w:rPr>
                          <w:b w:val="0"/>
                          <w:lang w:val="en-GB"/>
                        </w:rPr>
                        <w:t xml:space="preserve"> </w:t>
                      </w:r>
                      <w:r w:rsidRPr="00995C95">
                        <w:rPr>
                          <w:b w:val="0"/>
                          <w:color w:val="auto"/>
                          <w:lang w:val="en-GB"/>
                        </w:rPr>
                        <w:t xml:space="preserve">| </w:t>
                      </w:r>
                      <w:proofErr w:type="spellStart"/>
                      <w:r w:rsidRPr="00995C95">
                        <w:rPr>
                          <w:b w:val="0"/>
                          <w:color w:val="auto"/>
                          <w:lang w:val="en-GB"/>
                        </w:rPr>
                        <w:t>Repinova</w:t>
                      </w:r>
                      <w:proofErr w:type="spellEnd"/>
                      <w:r w:rsidRPr="00995C95">
                        <w:rPr>
                          <w:b w:val="0"/>
                          <w:color w:val="auto"/>
                          <w:lang w:val="en-GB"/>
                        </w:rPr>
                        <w:t xml:space="preserve"> 17, 702 03 Ostrava, </w:t>
                      </w:r>
                      <w:proofErr w:type="spellStart"/>
                      <w:r w:rsidR="00047175" w:rsidRPr="00995C95">
                        <w:rPr>
                          <w:b w:val="0"/>
                          <w:color w:val="auto"/>
                          <w:lang w:val="en-GB"/>
                        </w:rPr>
                        <w:t>ph</w:t>
                      </w:r>
                      <w:proofErr w:type="spellEnd"/>
                      <w:r w:rsidRPr="00995C95">
                        <w:rPr>
                          <w:b w:val="0"/>
                          <w:color w:val="auto"/>
                          <w:lang w:val="en-GB"/>
                        </w:rPr>
                        <w:t>: 595 131 230</w:t>
                      </w:r>
                    </w:p>
                    <w:p w14:paraId="0F47DC86" w14:textId="77777777" w:rsidR="004C456F" w:rsidRPr="00995C95" w:rsidRDefault="004C456F" w:rsidP="00AB535B">
                      <w:pPr>
                        <w:pStyle w:val="TLKontakty"/>
                        <w:spacing w:after="80" w:line="240" w:lineRule="auto"/>
                        <w:rPr>
                          <w:b w:val="0"/>
                          <w:color w:val="auto"/>
                          <w:lang w:val="en-GB"/>
                        </w:rPr>
                      </w:pPr>
                      <w:r w:rsidRPr="00995C95">
                        <w:rPr>
                          <w:b w:val="0"/>
                          <w:color w:val="auto"/>
                          <w:lang w:val="en-GB"/>
                        </w:rPr>
                        <w:t xml:space="preserve">e-mail: infoservisov@csu.gov.cz | </w:t>
                      </w:r>
                      <w:r w:rsidRPr="00995C95">
                        <w:rPr>
                          <w:color w:val="auto"/>
                          <w:lang w:val="en-GB"/>
                        </w:rPr>
                        <w:t>www.csu.gov.cz/moravskoslezsky</w:t>
                      </w:r>
                    </w:p>
                  </w:txbxContent>
                </v:textbox>
                <w10:wrap anchorx="page" anchory="page"/>
                <w10:anchorlock/>
              </v:shape>
            </w:pict>
          </mc:Fallback>
        </mc:AlternateContent>
      </w:r>
      <w:r w:rsidRPr="00995C95">
        <w:rPr>
          <w:noProof/>
          <w:lang w:val="en-GB"/>
        </w:rPr>
        <mc:AlternateContent>
          <mc:Choice Requires="wps">
            <w:drawing>
              <wp:anchor distT="0" distB="0" distL="114300" distR="114300" simplePos="0" relativeHeight="251658248" behindDoc="0" locked="1" layoutInCell="1" allowOverlap="1" wp14:anchorId="2143297E" wp14:editId="2143297F">
                <wp:simplePos x="0" y="0"/>
                <wp:positionH relativeFrom="page">
                  <wp:posOffset>720090</wp:posOffset>
                </wp:positionH>
                <wp:positionV relativeFrom="page">
                  <wp:posOffset>9324975</wp:posOffset>
                </wp:positionV>
                <wp:extent cx="6120000" cy="540000"/>
                <wp:effectExtent l="0" t="0" r="14605" b="12700"/>
                <wp:wrapNone/>
                <wp:docPr id="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5400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w="9525">
                              <a:solidFill>
                                <a:srgbClr val="000000"/>
                              </a:solidFill>
                              <a:miter lim="800000"/>
                              <a:headEnd/>
                              <a:tailEnd/>
                            </a14:hiddenLine>
                          </a:ext>
                        </a:extLst>
                      </wps:spPr>
                      <wps:txbx>
                        <w:txbxContent>
                          <w:p w14:paraId="0C2ABDC7" w14:textId="77777777" w:rsidR="004C456F" w:rsidRPr="00995C95" w:rsidRDefault="004C456F" w:rsidP="00884AD6"/>
                          <w:p w14:paraId="214329D3" w14:textId="2004AF3A" w:rsidR="004C456F" w:rsidRPr="00995C95" w:rsidRDefault="004C456F" w:rsidP="00884AD6">
                            <w:r w:rsidRPr="00995C95">
                              <w:t xml:space="preserve">© </w:t>
                            </w:r>
                            <w:r w:rsidR="00047175" w:rsidRPr="00995C95">
                              <w:t>Czech Statistical Office</w:t>
                            </w:r>
                            <w:r w:rsidRPr="00995C95">
                              <w:t>, Pra</w:t>
                            </w:r>
                            <w:r w:rsidR="00047175" w:rsidRPr="00995C95">
                              <w:t>gue</w:t>
                            </w:r>
                            <w:r w:rsidRPr="00995C95">
                              <w:t>, 202</w:t>
                            </w:r>
                            <w:r w:rsidR="00011F39" w:rsidRPr="00995C95">
                              <w:t>6</w:t>
                            </w:r>
                          </w:p>
                          <w:p w14:paraId="214329D4" w14:textId="77777777" w:rsidR="004C456F" w:rsidRPr="00995C95" w:rsidRDefault="004C456F"/>
                          <w:p w14:paraId="214329D5" w14:textId="77777777" w:rsidR="004C456F" w:rsidRPr="00995C95" w:rsidRDefault="004C456F" w:rsidP="000A3A2C">
                            <w:r w:rsidRPr="00995C95">
                              <w:rPr>
                                <w:szCs w:val="26"/>
                              </w:rPr>
                              <w:t>ISBN XX-XXXX-XXX-</w:t>
                            </w:r>
                            <w:proofErr w:type="gramStart"/>
                            <w:r w:rsidRPr="00995C95">
                              <w:rPr>
                                <w:szCs w:val="26"/>
                              </w:rPr>
                              <w:t xml:space="preserve">X  </w:t>
                            </w:r>
                            <w:r w:rsidRPr="00995C95">
                              <w:t>(</w:t>
                            </w:r>
                            <w:proofErr w:type="spellStart"/>
                            <w:proofErr w:type="gramEnd"/>
                            <w:r w:rsidRPr="00995C95">
                              <w:t>pouze</w:t>
                            </w:r>
                            <w:proofErr w:type="spellEnd"/>
                            <w:r w:rsidRPr="00995C95">
                              <w:t xml:space="preserve"> u </w:t>
                            </w:r>
                            <w:proofErr w:type="spellStart"/>
                            <w:r w:rsidRPr="00995C95">
                              <w:t>nepravidelných</w:t>
                            </w:r>
                            <w:proofErr w:type="spellEnd"/>
                            <w:r w:rsidRPr="00995C95">
                              <w:t xml:space="preserve"> a </w:t>
                            </w:r>
                            <w:proofErr w:type="spellStart"/>
                            <w:r w:rsidRPr="00995C95">
                              <w:t>ročních</w:t>
                            </w:r>
                            <w:proofErr w:type="spellEnd"/>
                            <w:r w:rsidRPr="00995C95">
                              <w:t xml:space="preserve"> </w:t>
                            </w:r>
                            <w:proofErr w:type="spellStart"/>
                            <w:r w:rsidRPr="00995C95">
                              <w:t>publikací</w:t>
                            </w:r>
                            <w:proofErr w:type="spellEnd"/>
                            <w:r w:rsidRPr="00995C95">
                              <w:t>)</w:t>
                            </w:r>
                          </w:p>
                          <w:p w14:paraId="214329D6" w14:textId="77777777" w:rsidR="004C456F" w:rsidRPr="00995C95" w:rsidRDefault="004C456F" w:rsidP="000A3A2C">
                            <w:r w:rsidRPr="00995C95">
                              <w:t xml:space="preserve">© </w:t>
                            </w:r>
                            <w:proofErr w:type="spellStart"/>
                            <w:r w:rsidRPr="00995C95">
                              <w:t>Český</w:t>
                            </w:r>
                            <w:proofErr w:type="spellEnd"/>
                            <w:r w:rsidRPr="00995C95">
                              <w:t xml:space="preserve"> </w:t>
                            </w:r>
                            <w:proofErr w:type="spellStart"/>
                            <w:r w:rsidRPr="00995C95">
                              <w:t>statistický</w:t>
                            </w:r>
                            <w:proofErr w:type="spellEnd"/>
                            <w:r w:rsidRPr="00995C95">
                              <w:t xml:space="preserve"> </w:t>
                            </w:r>
                            <w:proofErr w:type="spellStart"/>
                            <w:r w:rsidRPr="00995C95">
                              <w:t>úřad</w:t>
                            </w:r>
                            <w:proofErr w:type="spellEnd"/>
                            <w:r w:rsidRPr="00995C95">
                              <w:t xml:space="preserve"> / </w:t>
                            </w:r>
                            <w:r w:rsidRPr="00995C95">
                              <w:rPr>
                                <w:i/>
                              </w:rPr>
                              <w:t xml:space="preserve">Czech </w:t>
                            </w:r>
                            <w:r w:rsidRPr="00995C95">
                              <w:rPr>
                                <w:rFonts w:cs="Arial"/>
                                <w:i/>
                                <w:szCs w:val="20"/>
                              </w:rPr>
                              <w:t>Statistical Office</w:t>
                            </w:r>
                            <w:r w:rsidRPr="00995C95">
                              <w:t xml:space="preserve">, </w:t>
                            </w:r>
                            <w:proofErr w:type="spellStart"/>
                            <w:r w:rsidRPr="00995C95">
                              <w:t>místo</w:t>
                            </w:r>
                            <w:proofErr w:type="spellEnd"/>
                            <w:r w:rsidRPr="00995C95">
                              <w:t xml:space="preserve">, </w:t>
                            </w:r>
                            <w:proofErr w:type="spellStart"/>
                            <w:r w:rsidRPr="00995C95">
                              <w:t>rok</w:t>
                            </w:r>
                            <w:proofErr w:type="spellEnd"/>
                            <w:r w:rsidRPr="00995C95">
                              <w:t xml:space="preserve"> </w:t>
                            </w:r>
                            <w:proofErr w:type="spellStart"/>
                            <w:r w:rsidRPr="00995C95">
                              <w:t>vydání</w:t>
                            </w:r>
                            <w:proofErr w:type="spellEnd"/>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43297E" id="_x0000_s1031" type="#_x0000_t202" style="position:absolute;margin-left:56.7pt;margin-top:734.25pt;width:481.9pt;height:42.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" filled="f" stroked="f">
                <v:textbox inset="0,0,0,0">
                  <w:txbxContent>
                    <w:p w14:paraId="0C2ABDC7" w14:textId="77777777" w:rsidR="004C456F" w:rsidRPr="00995C95" w:rsidRDefault="004C456F" w:rsidP="00884AD6"/>
                    <w:p w14:paraId="214329D3" w14:textId="2004AF3A" w:rsidR="004C456F" w:rsidRPr="00995C95" w:rsidRDefault="004C456F" w:rsidP="00884AD6">
                      <w:r w:rsidRPr="00995C95">
                        <w:t xml:space="preserve">© </w:t>
                      </w:r>
                      <w:r w:rsidR="00047175" w:rsidRPr="00995C95">
                        <w:t>Czech Statistical Office</w:t>
                      </w:r>
                      <w:r w:rsidRPr="00995C95">
                        <w:t>, Pra</w:t>
                      </w:r>
                      <w:r w:rsidR="00047175" w:rsidRPr="00995C95">
                        <w:t>gue</w:t>
                      </w:r>
                      <w:r w:rsidRPr="00995C95">
                        <w:t>, 202</w:t>
                      </w:r>
                      <w:r w:rsidR="00011F39" w:rsidRPr="00995C95">
                        <w:t>6</w:t>
                      </w:r>
                    </w:p>
                    <w:p w14:paraId="214329D4" w14:textId="77777777" w:rsidR="004C456F" w:rsidRPr="00995C95" w:rsidRDefault="004C456F"/>
                    <w:p w14:paraId="214329D5" w14:textId="77777777" w:rsidR="004C456F" w:rsidRPr="00995C95" w:rsidRDefault="004C456F" w:rsidP="000A3A2C">
                      <w:r w:rsidRPr="00995C95">
                        <w:rPr>
                          <w:szCs w:val="26"/>
                        </w:rPr>
                        <w:t>ISBN XX-XXXX-XXX-</w:t>
                      </w:r>
                      <w:proofErr w:type="gramStart"/>
                      <w:r w:rsidRPr="00995C95">
                        <w:rPr>
                          <w:szCs w:val="26"/>
                        </w:rPr>
                        <w:t xml:space="preserve">X  </w:t>
                      </w:r>
                      <w:r w:rsidRPr="00995C95">
                        <w:t>(</w:t>
                      </w:r>
                      <w:proofErr w:type="spellStart"/>
                      <w:proofErr w:type="gramEnd"/>
                      <w:r w:rsidRPr="00995C95">
                        <w:t>pouze</w:t>
                      </w:r>
                      <w:proofErr w:type="spellEnd"/>
                      <w:r w:rsidRPr="00995C95">
                        <w:t xml:space="preserve"> u </w:t>
                      </w:r>
                      <w:proofErr w:type="spellStart"/>
                      <w:r w:rsidRPr="00995C95">
                        <w:t>nepravidelných</w:t>
                      </w:r>
                      <w:proofErr w:type="spellEnd"/>
                      <w:r w:rsidRPr="00995C95">
                        <w:t xml:space="preserve"> a </w:t>
                      </w:r>
                      <w:proofErr w:type="spellStart"/>
                      <w:r w:rsidRPr="00995C95">
                        <w:t>ročních</w:t>
                      </w:r>
                      <w:proofErr w:type="spellEnd"/>
                      <w:r w:rsidRPr="00995C95">
                        <w:t xml:space="preserve"> </w:t>
                      </w:r>
                      <w:proofErr w:type="spellStart"/>
                      <w:r w:rsidRPr="00995C95">
                        <w:t>publikací</w:t>
                      </w:r>
                      <w:proofErr w:type="spellEnd"/>
                      <w:r w:rsidRPr="00995C95">
                        <w:t>)</w:t>
                      </w:r>
                    </w:p>
                    <w:p w14:paraId="214329D6" w14:textId="77777777" w:rsidR="004C456F" w:rsidRPr="00995C95" w:rsidRDefault="004C456F" w:rsidP="000A3A2C">
                      <w:r w:rsidRPr="00995C95">
                        <w:t xml:space="preserve">© </w:t>
                      </w:r>
                      <w:proofErr w:type="spellStart"/>
                      <w:r w:rsidRPr="00995C95">
                        <w:t>Český</w:t>
                      </w:r>
                      <w:proofErr w:type="spellEnd"/>
                      <w:r w:rsidRPr="00995C95">
                        <w:t xml:space="preserve"> </w:t>
                      </w:r>
                      <w:proofErr w:type="spellStart"/>
                      <w:r w:rsidRPr="00995C95">
                        <w:t>statistický</w:t>
                      </w:r>
                      <w:proofErr w:type="spellEnd"/>
                      <w:r w:rsidRPr="00995C95">
                        <w:t xml:space="preserve"> </w:t>
                      </w:r>
                      <w:proofErr w:type="spellStart"/>
                      <w:r w:rsidRPr="00995C95">
                        <w:t>úřad</w:t>
                      </w:r>
                      <w:proofErr w:type="spellEnd"/>
                      <w:r w:rsidRPr="00995C95">
                        <w:t xml:space="preserve"> / </w:t>
                      </w:r>
                      <w:r w:rsidRPr="00995C95">
                        <w:rPr>
                          <w:i/>
                        </w:rPr>
                        <w:t xml:space="preserve">Czech </w:t>
                      </w:r>
                      <w:r w:rsidRPr="00995C95">
                        <w:rPr>
                          <w:rFonts w:cs="Arial"/>
                          <w:i/>
                          <w:szCs w:val="20"/>
                        </w:rPr>
                        <w:t>Statistical Office</w:t>
                      </w:r>
                      <w:r w:rsidRPr="00995C95">
                        <w:t xml:space="preserve">, </w:t>
                      </w:r>
                      <w:proofErr w:type="spellStart"/>
                      <w:r w:rsidRPr="00995C95">
                        <w:t>místo</w:t>
                      </w:r>
                      <w:proofErr w:type="spellEnd"/>
                      <w:r w:rsidRPr="00995C95">
                        <w:t xml:space="preserve">, </w:t>
                      </w:r>
                      <w:proofErr w:type="spellStart"/>
                      <w:r w:rsidRPr="00995C95">
                        <w:t>rok</w:t>
                      </w:r>
                      <w:proofErr w:type="spellEnd"/>
                      <w:r w:rsidRPr="00995C95">
                        <w:t xml:space="preserve"> </w:t>
                      </w:r>
                      <w:proofErr w:type="spellStart"/>
                      <w:r w:rsidRPr="00995C95">
                        <w:t>vydání</w:t>
                      </w:r>
                      <w:proofErr w:type="spellEnd"/>
                    </w:p>
                  </w:txbxContent>
                </v:textbox>
                <w10:wrap anchorx="page" anchory="page"/>
                <w10:anchorlock/>
              </v:shape>
            </w:pict>
          </mc:Fallback>
        </mc:AlternateContent>
      </w:r>
      <w:r w:rsidRPr="00995C95">
        <w:rPr>
          <w:noProof/>
          <w:lang w:val="en-GB"/>
        </w:rPr>
        <mc:AlternateContent>
          <mc:Choice Requires="wps">
            <w:drawing>
              <wp:anchor distT="0" distB="0" distL="114300" distR="114300" simplePos="0" relativeHeight="251658247" behindDoc="0" locked="1" layoutInCell="1" allowOverlap="1" wp14:anchorId="21432980" wp14:editId="21432981">
                <wp:simplePos x="0" y="0"/>
                <wp:positionH relativeFrom="page">
                  <wp:posOffset>723265</wp:posOffset>
                </wp:positionH>
                <wp:positionV relativeFrom="page">
                  <wp:posOffset>723265</wp:posOffset>
                </wp:positionV>
                <wp:extent cx="6119495" cy="555625"/>
                <wp:effectExtent l="0" t="0" r="2540" b="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5556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w="9525">
                              <a:solidFill>
                                <a:srgbClr val="000000"/>
                              </a:solidFill>
                              <a:miter lim="800000"/>
                              <a:headEnd/>
                              <a:tailEnd/>
                            </a14:hiddenLine>
                          </a:ext>
                        </a:extLst>
                      </wps:spPr>
                      <wps:txbx>
                        <w:txbxContent>
                          <w:p w14:paraId="214329D7" w14:textId="6D2F3899" w:rsidR="004C456F" w:rsidRPr="00995C95" w:rsidRDefault="00413788" w:rsidP="00214CF7">
                            <w:pPr>
                              <w:jc w:val="left"/>
                              <w:rPr>
                                <w:b/>
                                <w:bCs/>
                                <w:i/>
                                <w:sz w:val="24"/>
                              </w:rPr>
                            </w:pPr>
                            <w:r w:rsidRPr="00995C95">
                              <w:rPr>
                                <w:b/>
                                <w:color w:val="86BF5E"/>
                                <w:sz w:val="24"/>
                              </w:rPr>
                              <w:t xml:space="preserve">Are you interested </w:t>
                            </w:r>
                            <w:r w:rsidR="00391ACF" w:rsidRPr="00995C95">
                              <w:rPr>
                                <w:b/>
                                <w:color w:val="86BF5E"/>
                                <w:sz w:val="24"/>
                              </w:rPr>
                              <w:t xml:space="preserve">in the latest </w:t>
                            </w:r>
                            <w:r w:rsidR="00CB340E" w:rsidRPr="00995C95">
                              <w:rPr>
                                <w:b/>
                                <w:color w:val="86BF5E"/>
                                <w:sz w:val="24"/>
                              </w:rPr>
                              <w:t xml:space="preserve">data connected </w:t>
                            </w:r>
                            <w:r w:rsidR="007F3C5C" w:rsidRPr="00995C95">
                              <w:rPr>
                                <w:b/>
                                <w:color w:val="86BF5E"/>
                                <w:sz w:val="24"/>
                              </w:rPr>
                              <w:t xml:space="preserve">with inflation, GDP, </w:t>
                            </w:r>
                            <w:r w:rsidR="00336EF5" w:rsidRPr="00995C95">
                              <w:rPr>
                                <w:b/>
                                <w:color w:val="86BF5E"/>
                                <w:sz w:val="24"/>
                              </w:rPr>
                              <w:t xml:space="preserve">population, </w:t>
                            </w:r>
                            <w:r w:rsidR="008308D5" w:rsidRPr="00995C95">
                              <w:rPr>
                                <w:b/>
                                <w:color w:val="86BF5E"/>
                                <w:sz w:val="24"/>
                              </w:rPr>
                              <w:t xml:space="preserve">average wages and much more? You can find them on the CZSO web page: </w:t>
                            </w:r>
                            <w:r w:rsidR="004C456F" w:rsidRPr="00995C95">
                              <w:rPr>
                                <w:b/>
                                <w:color w:val="86BF5E"/>
                                <w:sz w:val="24"/>
                              </w:rPr>
                              <w:t xml:space="preserve"> </w:t>
                            </w:r>
                            <w:r w:rsidR="004C456F" w:rsidRPr="00995C95">
                              <w:rPr>
                                <w:b/>
                                <w:bCs/>
                                <w:sz w:val="24"/>
                              </w:rPr>
                              <w:t>www.csu.gov.cz</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1432980" id="_x0000_s1032" type="#_x0000_t202" style="position:absolute;margin-left:56.95pt;margin-top:56.95pt;width:481.85pt;height:43.7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" filled="f" stroked="f">
                <v:textbox style="mso-fit-shape-to-text:t" inset="0,0,0,0">
                  <w:txbxContent>
                    <w:p w14:paraId="214329D7" w14:textId="6D2F3899" w:rsidR="004C456F" w:rsidRPr="00995C95" w:rsidRDefault="00413788" w:rsidP="00214CF7">
                      <w:pPr>
                        <w:jc w:val="left"/>
                        <w:rPr>
                          <w:b/>
                          <w:bCs/>
                          <w:i/>
                          <w:sz w:val="24"/>
                        </w:rPr>
                      </w:pPr>
                      <w:r w:rsidRPr="00995C95">
                        <w:rPr>
                          <w:b/>
                          <w:color w:val="86BF5E"/>
                          <w:sz w:val="24"/>
                        </w:rPr>
                        <w:t xml:space="preserve">Are you interested </w:t>
                      </w:r>
                      <w:r w:rsidR="00391ACF" w:rsidRPr="00995C95">
                        <w:rPr>
                          <w:b/>
                          <w:color w:val="86BF5E"/>
                          <w:sz w:val="24"/>
                        </w:rPr>
                        <w:t xml:space="preserve">in the latest </w:t>
                      </w:r>
                      <w:r w:rsidR="00CB340E" w:rsidRPr="00995C95">
                        <w:rPr>
                          <w:b/>
                          <w:color w:val="86BF5E"/>
                          <w:sz w:val="24"/>
                        </w:rPr>
                        <w:t xml:space="preserve">data connected </w:t>
                      </w:r>
                      <w:r w:rsidR="007F3C5C" w:rsidRPr="00995C95">
                        <w:rPr>
                          <w:b/>
                          <w:color w:val="86BF5E"/>
                          <w:sz w:val="24"/>
                        </w:rPr>
                        <w:t xml:space="preserve">with inflation, GDP, </w:t>
                      </w:r>
                      <w:r w:rsidR="00336EF5" w:rsidRPr="00995C95">
                        <w:rPr>
                          <w:b/>
                          <w:color w:val="86BF5E"/>
                          <w:sz w:val="24"/>
                        </w:rPr>
                        <w:t xml:space="preserve">population, </w:t>
                      </w:r>
                      <w:r w:rsidR="008308D5" w:rsidRPr="00995C95">
                        <w:rPr>
                          <w:b/>
                          <w:color w:val="86BF5E"/>
                          <w:sz w:val="24"/>
                        </w:rPr>
                        <w:t xml:space="preserve">average wages and much more? You can find them on the CZSO web page: </w:t>
                      </w:r>
                      <w:r w:rsidR="004C456F" w:rsidRPr="00995C95">
                        <w:rPr>
                          <w:b/>
                          <w:color w:val="86BF5E"/>
                          <w:sz w:val="24"/>
                        </w:rPr>
                        <w:t xml:space="preserve"> </w:t>
                      </w:r>
                      <w:r w:rsidR="004C456F" w:rsidRPr="00995C95">
                        <w:rPr>
                          <w:b/>
                          <w:bCs/>
                          <w:sz w:val="24"/>
                        </w:rPr>
                        <w:t>www.csu.gov.cz</w:t>
                      </w:r>
                    </w:p>
                  </w:txbxContent>
                </v:textbox>
                <w10:wrap anchorx="page" anchory="page"/>
                <w10:anchorlock/>
              </v:shape>
            </w:pict>
          </mc:Fallback>
        </mc:AlternateContent>
      </w:r>
    </w:p>
    <w:sdt>
      <w:sdtPr>
        <w:rPr>
          <w:b w:val="0"/>
          <w:color w:val="auto"/>
          <w:sz w:val="20"/>
          <w:szCs w:val="20"/>
          <w:lang w:val="en-GB"/>
        </w:rPr>
        <w:id w:val="129444162"/>
        <w:docPartObj>
          <w:docPartGallery w:val="Table of Contents"/>
          <w:docPartUnique/>
        </w:docPartObj>
      </w:sdtPr>
      <w:sdtContent>
        <w:p w14:paraId="7D810B7A" w14:textId="6107DE65" w:rsidR="00C72884" w:rsidRPr="00995C95" w:rsidRDefault="0009044A" w:rsidP="00C72884">
          <w:pPr>
            <w:pStyle w:val="Obsah"/>
            <w:rPr>
              <w:lang w:val="en-GB"/>
            </w:rPr>
          </w:pPr>
          <w:r w:rsidRPr="00995C95">
            <w:rPr>
              <w:lang w:val="en-GB"/>
            </w:rPr>
            <w:t>C</w:t>
          </w:r>
          <w:r w:rsidR="00AF5911" w:rsidRPr="00995C95">
            <w:rPr>
              <w:lang w:val="en-GB"/>
            </w:rPr>
            <w:t>ontents</w:t>
          </w:r>
        </w:p>
        <w:p w14:paraId="4D8261A5" w14:textId="5C613C7E" w:rsidR="00B05704" w:rsidRDefault="00C72884">
          <w:pPr>
            <w:pStyle w:val="Obsah1"/>
            <w:rPr>
              <w:rFonts w:asciiTheme="minorHAnsi" w:eastAsiaTheme="minorEastAsia" w:hAnsiTheme="minorHAnsi" w:cstheme="minorBidi"/>
              <w:noProof/>
              <w:kern w:val="2"/>
              <w:sz w:val="24"/>
              <w14:ligatures w14:val="standardContextual"/>
            </w:rPr>
          </w:pPr>
          <w:r w:rsidRPr="00995C95">
            <w:rPr>
              <w:lang w:val="en-GB"/>
            </w:rPr>
            <w:fldChar w:fldCharType="begin"/>
          </w:r>
          <w:r w:rsidRPr="00995C95">
            <w:rPr>
              <w:lang w:val="en-GB"/>
            </w:rPr>
            <w:instrText>TOC \o "1-3" \h \z \u</w:instrText>
          </w:r>
          <w:r w:rsidRPr="00995C95">
            <w:rPr>
              <w:lang w:val="en-GB"/>
            </w:rPr>
            <w:fldChar w:fldCharType="separate"/>
          </w:r>
          <w:hyperlink w:anchor="_Toc227235015" w:history="1">
            <w:r w:rsidR="00B05704" w:rsidRPr="00B20F7F">
              <w:rPr>
                <w:rStyle w:val="Hypertextovodkaz"/>
                <w:noProof/>
                <w:lang w:val="en-GB"/>
              </w:rPr>
              <w:t>1. Summary</w:t>
            </w:r>
            <w:r w:rsidR="00B05704">
              <w:rPr>
                <w:noProof/>
                <w:webHidden/>
              </w:rPr>
              <w:tab/>
            </w:r>
            <w:r w:rsidR="00B05704">
              <w:rPr>
                <w:noProof/>
                <w:webHidden/>
              </w:rPr>
              <w:fldChar w:fldCharType="begin"/>
            </w:r>
            <w:r w:rsidR="00B05704">
              <w:rPr>
                <w:noProof/>
                <w:webHidden/>
              </w:rPr>
              <w:instrText xml:space="preserve"> PAGEREF _Toc227235015 \h </w:instrText>
            </w:r>
            <w:r w:rsidR="00B05704">
              <w:rPr>
                <w:noProof/>
                <w:webHidden/>
              </w:rPr>
            </w:r>
            <w:r w:rsidR="00B05704">
              <w:rPr>
                <w:noProof/>
                <w:webHidden/>
              </w:rPr>
              <w:fldChar w:fldCharType="separate"/>
            </w:r>
            <w:r w:rsidR="00B05704">
              <w:rPr>
                <w:noProof/>
                <w:webHidden/>
              </w:rPr>
              <w:t>4</w:t>
            </w:r>
            <w:r w:rsidR="00B05704">
              <w:rPr>
                <w:noProof/>
                <w:webHidden/>
              </w:rPr>
              <w:fldChar w:fldCharType="end"/>
            </w:r>
          </w:hyperlink>
        </w:p>
        <w:p w14:paraId="1DE8CA7D" w14:textId="41CC3B4D" w:rsidR="00B05704" w:rsidRDefault="00B05704">
          <w:pPr>
            <w:pStyle w:val="Obsah1"/>
            <w:rPr>
              <w:rFonts w:asciiTheme="minorHAnsi" w:eastAsiaTheme="minorEastAsia" w:hAnsiTheme="minorHAnsi" w:cstheme="minorBidi"/>
              <w:noProof/>
              <w:kern w:val="2"/>
              <w:sz w:val="24"/>
              <w14:ligatures w14:val="standardContextual"/>
            </w:rPr>
          </w:pPr>
          <w:hyperlink w:anchor="_Toc227235016" w:history="1">
            <w:r w:rsidRPr="00B20F7F">
              <w:rPr>
                <w:rStyle w:val="Hypertextovodkaz"/>
                <w:noProof/>
                <w:lang w:val="en-GB"/>
              </w:rPr>
              <w:t>2. Overall Economic Performance</w:t>
            </w:r>
            <w:r>
              <w:rPr>
                <w:noProof/>
                <w:webHidden/>
              </w:rPr>
              <w:tab/>
            </w:r>
            <w:r>
              <w:rPr>
                <w:noProof/>
                <w:webHidden/>
              </w:rPr>
              <w:fldChar w:fldCharType="begin"/>
            </w:r>
            <w:r>
              <w:rPr>
                <w:noProof/>
                <w:webHidden/>
              </w:rPr>
              <w:instrText xml:space="preserve"> PAGEREF _Toc227235016 \h </w:instrText>
            </w:r>
            <w:r>
              <w:rPr>
                <w:noProof/>
                <w:webHidden/>
              </w:rPr>
            </w:r>
            <w:r>
              <w:rPr>
                <w:noProof/>
                <w:webHidden/>
              </w:rPr>
              <w:fldChar w:fldCharType="separate"/>
            </w:r>
            <w:r>
              <w:rPr>
                <w:noProof/>
                <w:webHidden/>
              </w:rPr>
              <w:t>7</w:t>
            </w:r>
            <w:r>
              <w:rPr>
                <w:noProof/>
                <w:webHidden/>
              </w:rPr>
              <w:fldChar w:fldCharType="end"/>
            </w:r>
          </w:hyperlink>
        </w:p>
        <w:p w14:paraId="06ACE532" w14:textId="07ABE6DA" w:rsidR="00B05704" w:rsidRDefault="00B05704">
          <w:pPr>
            <w:pStyle w:val="Obsah1"/>
            <w:rPr>
              <w:rFonts w:asciiTheme="minorHAnsi" w:eastAsiaTheme="minorEastAsia" w:hAnsiTheme="minorHAnsi" w:cstheme="minorBidi"/>
              <w:noProof/>
              <w:kern w:val="2"/>
              <w:sz w:val="24"/>
              <w14:ligatures w14:val="standardContextual"/>
            </w:rPr>
          </w:pPr>
          <w:hyperlink w:anchor="_Toc227235017" w:history="1">
            <w:r w:rsidRPr="00B20F7F">
              <w:rPr>
                <w:rStyle w:val="Hypertextovodkaz"/>
                <w:noProof/>
                <w:lang w:val="en-GB"/>
              </w:rPr>
              <w:t>3. Branches Performance</w:t>
            </w:r>
            <w:r>
              <w:rPr>
                <w:noProof/>
                <w:webHidden/>
              </w:rPr>
              <w:tab/>
            </w:r>
            <w:r>
              <w:rPr>
                <w:noProof/>
                <w:webHidden/>
              </w:rPr>
              <w:fldChar w:fldCharType="begin"/>
            </w:r>
            <w:r>
              <w:rPr>
                <w:noProof/>
                <w:webHidden/>
              </w:rPr>
              <w:instrText xml:space="preserve"> PAGEREF _Toc227235017 \h </w:instrText>
            </w:r>
            <w:r>
              <w:rPr>
                <w:noProof/>
                <w:webHidden/>
              </w:rPr>
            </w:r>
            <w:r>
              <w:rPr>
                <w:noProof/>
                <w:webHidden/>
              </w:rPr>
              <w:fldChar w:fldCharType="separate"/>
            </w:r>
            <w:r>
              <w:rPr>
                <w:noProof/>
                <w:webHidden/>
              </w:rPr>
              <w:t>12</w:t>
            </w:r>
            <w:r>
              <w:rPr>
                <w:noProof/>
                <w:webHidden/>
              </w:rPr>
              <w:fldChar w:fldCharType="end"/>
            </w:r>
          </w:hyperlink>
        </w:p>
        <w:p w14:paraId="31E16317" w14:textId="3D6FCA45" w:rsidR="00B05704" w:rsidRDefault="00B05704">
          <w:pPr>
            <w:pStyle w:val="Obsah1"/>
            <w:rPr>
              <w:rFonts w:asciiTheme="minorHAnsi" w:eastAsiaTheme="minorEastAsia" w:hAnsiTheme="minorHAnsi" w:cstheme="minorBidi"/>
              <w:noProof/>
              <w:kern w:val="2"/>
              <w:sz w:val="24"/>
              <w14:ligatures w14:val="standardContextual"/>
            </w:rPr>
          </w:pPr>
          <w:hyperlink w:anchor="_Toc227235018" w:history="1">
            <w:r w:rsidRPr="00B20F7F">
              <w:rPr>
                <w:rStyle w:val="Hypertextovodkaz"/>
                <w:noProof/>
                <w:lang w:val="en-GB"/>
              </w:rPr>
              <w:t>4. External Relations</w:t>
            </w:r>
            <w:r>
              <w:rPr>
                <w:noProof/>
                <w:webHidden/>
              </w:rPr>
              <w:tab/>
            </w:r>
            <w:r>
              <w:rPr>
                <w:noProof/>
                <w:webHidden/>
              </w:rPr>
              <w:fldChar w:fldCharType="begin"/>
            </w:r>
            <w:r>
              <w:rPr>
                <w:noProof/>
                <w:webHidden/>
              </w:rPr>
              <w:instrText xml:space="preserve"> PAGEREF _Toc227235018 \h </w:instrText>
            </w:r>
            <w:r>
              <w:rPr>
                <w:noProof/>
                <w:webHidden/>
              </w:rPr>
            </w:r>
            <w:r>
              <w:rPr>
                <w:noProof/>
                <w:webHidden/>
              </w:rPr>
              <w:fldChar w:fldCharType="separate"/>
            </w:r>
            <w:r>
              <w:rPr>
                <w:noProof/>
                <w:webHidden/>
              </w:rPr>
              <w:t>26</w:t>
            </w:r>
            <w:r>
              <w:rPr>
                <w:noProof/>
                <w:webHidden/>
              </w:rPr>
              <w:fldChar w:fldCharType="end"/>
            </w:r>
          </w:hyperlink>
        </w:p>
        <w:p w14:paraId="2EA33E7A" w14:textId="60B1A849" w:rsidR="00B05704" w:rsidRDefault="00B05704">
          <w:pPr>
            <w:pStyle w:val="Obsah1"/>
            <w:rPr>
              <w:rFonts w:asciiTheme="minorHAnsi" w:eastAsiaTheme="minorEastAsia" w:hAnsiTheme="minorHAnsi" w:cstheme="minorBidi"/>
              <w:noProof/>
              <w:kern w:val="2"/>
              <w:sz w:val="24"/>
              <w14:ligatures w14:val="standardContextual"/>
            </w:rPr>
          </w:pPr>
          <w:hyperlink w:anchor="_Toc227235019" w:history="1">
            <w:r w:rsidRPr="00B20F7F">
              <w:rPr>
                <w:rStyle w:val="Hypertextovodkaz"/>
                <w:noProof/>
                <w:lang w:val="en-GB"/>
              </w:rPr>
              <w:t>5. Prices</w:t>
            </w:r>
            <w:r>
              <w:rPr>
                <w:noProof/>
                <w:webHidden/>
              </w:rPr>
              <w:tab/>
            </w:r>
            <w:r>
              <w:rPr>
                <w:noProof/>
                <w:webHidden/>
              </w:rPr>
              <w:fldChar w:fldCharType="begin"/>
            </w:r>
            <w:r>
              <w:rPr>
                <w:noProof/>
                <w:webHidden/>
              </w:rPr>
              <w:instrText xml:space="preserve"> PAGEREF _Toc227235019 \h </w:instrText>
            </w:r>
            <w:r>
              <w:rPr>
                <w:noProof/>
                <w:webHidden/>
              </w:rPr>
            </w:r>
            <w:r>
              <w:rPr>
                <w:noProof/>
                <w:webHidden/>
              </w:rPr>
              <w:fldChar w:fldCharType="separate"/>
            </w:r>
            <w:r>
              <w:rPr>
                <w:noProof/>
                <w:webHidden/>
              </w:rPr>
              <w:t>31</w:t>
            </w:r>
            <w:r>
              <w:rPr>
                <w:noProof/>
                <w:webHidden/>
              </w:rPr>
              <w:fldChar w:fldCharType="end"/>
            </w:r>
          </w:hyperlink>
        </w:p>
        <w:p w14:paraId="47A08EFC" w14:textId="6925AF3C" w:rsidR="00B05704" w:rsidRDefault="00B05704">
          <w:pPr>
            <w:pStyle w:val="Obsah1"/>
            <w:rPr>
              <w:rFonts w:asciiTheme="minorHAnsi" w:eastAsiaTheme="minorEastAsia" w:hAnsiTheme="minorHAnsi" w:cstheme="minorBidi"/>
              <w:noProof/>
              <w:kern w:val="2"/>
              <w:sz w:val="24"/>
              <w14:ligatures w14:val="standardContextual"/>
            </w:rPr>
          </w:pPr>
          <w:hyperlink w:anchor="_Toc227235020" w:history="1">
            <w:r w:rsidRPr="00B20F7F">
              <w:rPr>
                <w:rStyle w:val="Hypertextovodkaz"/>
                <w:noProof/>
                <w:lang w:val="en-GB"/>
              </w:rPr>
              <w:t>6. Labour Market</w:t>
            </w:r>
            <w:r>
              <w:rPr>
                <w:noProof/>
                <w:webHidden/>
              </w:rPr>
              <w:tab/>
            </w:r>
            <w:r>
              <w:rPr>
                <w:noProof/>
                <w:webHidden/>
              </w:rPr>
              <w:fldChar w:fldCharType="begin"/>
            </w:r>
            <w:r>
              <w:rPr>
                <w:noProof/>
                <w:webHidden/>
              </w:rPr>
              <w:instrText xml:space="preserve"> PAGEREF _Toc227235020 \h </w:instrText>
            </w:r>
            <w:r>
              <w:rPr>
                <w:noProof/>
                <w:webHidden/>
              </w:rPr>
            </w:r>
            <w:r>
              <w:rPr>
                <w:noProof/>
                <w:webHidden/>
              </w:rPr>
              <w:fldChar w:fldCharType="separate"/>
            </w:r>
            <w:r>
              <w:rPr>
                <w:noProof/>
                <w:webHidden/>
              </w:rPr>
              <w:t>39</w:t>
            </w:r>
            <w:r>
              <w:rPr>
                <w:noProof/>
                <w:webHidden/>
              </w:rPr>
              <w:fldChar w:fldCharType="end"/>
            </w:r>
          </w:hyperlink>
        </w:p>
        <w:p w14:paraId="759A2A04" w14:textId="269329AB" w:rsidR="00B05704" w:rsidRDefault="00B05704">
          <w:pPr>
            <w:pStyle w:val="Obsah1"/>
            <w:rPr>
              <w:rFonts w:asciiTheme="minorHAnsi" w:eastAsiaTheme="minorEastAsia" w:hAnsiTheme="minorHAnsi" w:cstheme="minorBidi"/>
              <w:noProof/>
              <w:kern w:val="2"/>
              <w:sz w:val="24"/>
              <w14:ligatures w14:val="standardContextual"/>
            </w:rPr>
          </w:pPr>
          <w:hyperlink w:anchor="_Toc227235021" w:history="1">
            <w:r w:rsidRPr="00B20F7F">
              <w:rPr>
                <w:rStyle w:val="Hypertextovodkaz"/>
                <w:noProof/>
                <w:lang w:val="en-GB"/>
              </w:rPr>
              <w:t>7. Monetary Conditions</w:t>
            </w:r>
            <w:r>
              <w:rPr>
                <w:noProof/>
                <w:webHidden/>
              </w:rPr>
              <w:tab/>
            </w:r>
            <w:r>
              <w:rPr>
                <w:noProof/>
                <w:webHidden/>
              </w:rPr>
              <w:fldChar w:fldCharType="begin"/>
            </w:r>
            <w:r>
              <w:rPr>
                <w:noProof/>
                <w:webHidden/>
              </w:rPr>
              <w:instrText xml:space="preserve"> PAGEREF _Toc227235021 \h </w:instrText>
            </w:r>
            <w:r>
              <w:rPr>
                <w:noProof/>
                <w:webHidden/>
              </w:rPr>
            </w:r>
            <w:r>
              <w:rPr>
                <w:noProof/>
                <w:webHidden/>
              </w:rPr>
              <w:fldChar w:fldCharType="separate"/>
            </w:r>
            <w:r>
              <w:rPr>
                <w:noProof/>
                <w:webHidden/>
              </w:rPr>
              <w:t>49</w:t>
            </w:r>
            <w:r>
              <w:rPr>
                <w:noProof/>
                <w:webHidden/>
              </w:rPr>
              <w:fldChar w:fldCharType="end"/>
            </w:r>
          </w:hyperlink>
        </w:p>
        <w:p w14:paraId="364ADECE" w14:textId="2EE16F5E" w:rsidR="00B05704" w:rsidRDefault="00B05704">
          <w:pPr>
            <w:pStyle w:val="Obsah1"/>
            <w:rPr>
              <w:rFonts w:asciiTheme="minorHAnsi" w:eastAsiaTheme="minorEastAsia" w:hAnsiTheme="minorHAnsi" w:cstheme="minorBidi"/>
              <w:noProof/>
              <w:kern w:val="2"/>
              <w:sz w:val="24"/>
              <w14:ligatures w14:val="standardContextual"/>
            </w:rPr>
          </w:pPr>
          <w:hyperlink w:anchor="_Toc227235022" w:history="1">
            <w:r w:rsidRPr="00B20F7F">
              <w:rPr>
                <w:rStyle w:val="Hypertextovodkaz"/>
                <w:noProof/>
                <w:lang w:val="en-GB"/>
              </w:rPr>
              <w:t>8. State Budget</w:t>
            </w:r>
            <w:r>
              <w:rPr>
                <w:noProof/>
                <w:webHidden/>
              </w:rPr>
              <w:tab/>
            </w:r>
            <w:r>
              <w:rPr>
                <w:noProof/>
                <w:webHidden/>
              </w:rPr>
              <w:fldChar w:fldCharType="begin"/>
            </w:r>
            <w:r>
              <w:rPr>
                <w:noProof/>
                <w:webHidden/>
              </w:rPr>
              <w:instrText xml:space="preserve"> PAGEREF _Toc227235022 \h </w:instrText>
            </w:r>
            <w:r>
              <w:rPr>
                <w:noProof/>
                <w:webHidden/>
              </w:rPr>
            </w:r>
            <w:r>
              <w:rPr>
                <w:noProof/>
                <w:webHidden/>
              </w:rPr>
              <w:fldChar w:fldCharType="separate"/>
            </w:r>
            <w:r>
              <w:rPr>
                <w:noProof/>
                <w:webHidden/>
              </w:rPr>
              <w:t>51</w:t>
            </w:r>
            <w:r>
              <w:rPr>
                <w:noProof/>
                <w:webHidden/>
              </w:rPr>
              <w:fldChar w:fldCharType="end"/>
            </w:r>
          </w:hyperlink>
        </w:p>
        <w:p w14:paraId="6BBE4EAD" w14:textId="71524858" w:rsidR="00C72884" w:rsidRPr="00995C95" w:rsidRDefault="00C72884" w:rsidP="00C72884">
          <w:pPr>
            <w:pStyle w:val="Obsah1"/>
            <w:tabs>
              <w:tab w:val="clear" w:pos="9639"/>
              <w:tab w:val="right" w:leader="dot" w:pos="9630"/>
            </w:tabs>
            <w:rPr>
              <w:szCs w:val="20"/>
              <w:lang w:val="en-GB"/>
            </w:rPr>
          </w:pPr>
          <w:r w:rsidRPr="00995C95">
            <w:rPr>
              <w:lang w:val="en-GB"/>
            </w:rPr>
            <w:fldChar w:fldCharType="end"/>
          </w:r>
        </w:p>
      </w:sdtContent>
    </w:sdt>
    <w:p w14:paraId="5A20DB3F" w14:textId="73D676D0" w:rsidR="00C72884" w:rsidRPr="00995C95" w:rsidRDefault="00C72884" w:rsidP="00C72884">
      <w:pPr>
        <w:pStyle w:val="Obsahpoloky"/>
        <w:rPr>
          <w:lang w:val="en-GB"/>
        </w:rPr>
      </w:pPr>
    </w:p>
    <w:p w14:paraId="0598EDD2" w14:textId="4CB38494" w:rsidR="00C72884" w:rsidRPr="00995C95" w:rsidRDefault="00C72884" w:rsidP="00C72884">
      <w:pPr>
        <w:pStyle w:val="Obsahpoloky"/>
        <w:rPr>
          <w:lang w:val="en-GB"/>
        </w:rPr>
      </w:pPr>
    </w:p>
    <w:p w14:paraId="1DF1F77C" w14:textId="67D40279" w:rsidR="00C72884" w:rsidRPr="00995C95" w:rsidRDefault="00C72884" w:rsidP="00C72884">
      <w:pPr>
        <w:pStyle w:val="Obsahpoloky"/>
        <w:rPr>
          <w:lang w:val="en-GB"/>
        </w:rPr>
      </w:pPr>
    </w:p>
    <w:p w14:paraId="480CABA8" w14:textId="77777777" w:rsidR="00C72884" w:rsidRPr="00995C95" w:rsidRDefault="00C72884" w:rsidP="00C72884">
      <w:pPr>
        <w:pStyle w:val="Textpoznpodarou"/>
        <w:jc w:val="both"/>
        <w:rPr>
          <w:rFonts w:cs="Arial"/>
          <w:color w:val="000000"/>
        </w:rPr>
      </w:pPr>
    </w:p>
    <w:p w14:paraId="7A1FB62F" w14:textId="77777777" w:rsidR="00C72884" w:rsidRPr="00995C95" w:rsidRDefault="00C72884" w:rsidP="00C72884">
      <w:pPr>
        <w:pStyle w:val="Textpoznpodarou"/>
        <w:jc w:val="both"/>
        <w:rPr>
          <w:rFonts w:cs="Arial"/>
          <w:color w:val="000000"/>
        </w:rPr>
      </w:pPr>
    </w:p>
    <w:p w14:paraId="21461640" w14:textId="77777777" w:rsidR="00C72884" w:rsidRPr="00995C95" w:rsidRDefault="00C72884" w:rsidP="00C72884">
      <w:pPr>
        <w:pStyle w:val="Textpoznpodarou"/>
        <w:jc w:val="both"/>
        <w:rPr>
          <w:rFonts w:cs="Arial"/>
          <w:color w:val="000000"/>
        </w:rPr>
      </w:pPr>
    </w:p>
    <w:p w14:paraId="3AF697A4" w14:textId="77777777" w:rsidR="00C72884" w:rsidRPr="00995C95" w:rsidRDefault="00C72884" w:rsidP="00C72884">
      <w:pPr>
        <w:pStyle w:val="Textpoznpodarou"/>
        <w:jc w:val="both"/>
        <w:rPr>
          <w:rFonts w:cs="Arial"/>
          <w:color w:val="000000"/>
        </w:rPr>
      </w:pPr>
    </w:p>
    <w:p w14:paraId="6696E482" w14:textId="77777777" w:rsidR="00C72884" w:rsidRPr="00995C95" w:rsidRDefault="00C72884" w:rsidP="00C72884">
      <w:pPr>
        <w:pStyle w:val="Textpoznpodarou"/>
        <w:jc w:val="both"/>
        <w:rPr>
          <w:rFonts w:cs="Arial"/>
          <w:color w:val="000000"/>
        </w:rPr>
      </w:pPr>
    </w:p>
    <w:p w14:paraId="4E3D1A17" w14:textId="77777777" w:rsidR="005370C0" w:rsidRPr="00995C95" w:rsidRDefault="00845CD7" w:rsidP="005370C0">
      <w:pPr>
        <w:pStyle w:val="Textpoznpodarou"/>
        <w:jc w:val="both"/>
        <w:rPr>
          <w:rFonts w:cs="Arial"/>
          <w:color w:val="000000"/>
        </w:rPr>
      </w:pPr>
      <w:r w:rsidRPr="00995C95">
        <w:rPr>
          <w:rFonts w:cs="Arial"/>
          <w:color w:val="000000"/>
        </w:rPr>
        <w:t>Main source of data in the whole analysis</w:t>
      </w:r>
      <w:r w:rsidR="00C72884" w:rsidRPr="00995C95">
        <w:rPr>
          <w:rFonts w:cs="Arial"/>
          <w:color w:val="000000"/>
        </w:rPr>
        <w:t xml:space="preserve">: </w:t>
      </w:r>
      <w:r w:rsidR="005370C0" w:rsidRPr="00995C95">
        <w:rPr>
          <w:rFonts w:cs="Arial"/>
          <w:color w:val="000000"/>
        </w:rPr>
        <w:t>Czech Statistical Office (CZSO), Ministry of Finance (MF CR), Czech National Bank (CNB), Ministry of Labour and Social Affairs (MLSA), Czech Social Security Administration (CSSA), Eurostat, CZSO calculations.</w:t>
      </w:r>
    </w:p>
    <w:p w14:paraId="1F6F7E0A" w14:textId="11D336F4" w:rsidR="00C72884" w:rsidRPr="00995C95" w:rsidRDefault="005370C0" w:rsidP="005370C0">
      <w:pPr>
        <w:pStyle w:val="Textpoznpodarou"/>
        <w:jc w:val="both"/>
        <w:rPr>
          <w:rFonts w:cs="Arial"/>
          <w:color w:val="000000"/>
        </w:rPr>
      </w:pPr>
      <w:r w:rsidRPr="00995C95">
        <w:rPr>
          <w:rFonts w:cs="Arial"/>
          <w:color w:val="000000"/>
        </w:rPr>
        <w:t>Latest information provided in this report has been dated the 12</w:t>
      </w:r>
      <w:r w:rsidRPr="00995C95">
        <w:rPr>
          <w:rFonts w:cs="Arial"/>
          <w:color w:val="000000"/>
          <w:vertAlign w:val="superscript"/>
        </w:rPr>
        <w:t xml:space="preserve">th </w:t>
      </w:r>
      <w:r w:rsidRPr="00995C95">
        <w:rPr>
          <w:rFonts w:cs="Arial"/>
          <w:color w:val="000000"/>
        </w:rPr>
        <w:t>of</w:t>
      </w:r>
      <w:r w:rsidRPr="00995C95">
        <w:rPr>
          <w:rFonts w:cs="Arial"/>
          <w:color w:val="000000"/>
          <w:vertAlign w:val="superscript"/>
        </w:rPr>
        <w:t xml:space="preserve"> </w:t>
      </w:r>
      <w:r w:rsidRPr="00995C95">
        <w:rPr>
          <w:rFonts w:cs="Arial"/>
          <w:color w:val="000000"/>
        </w:rPr>
        <w:t>March 2026.</w:t>
      </w:r>
    </w:p>
    <w:p w14:paraId="4B6FCFF2" w14:textId="77777777" w:rsidR="00C72884" w:rsidRPr="00995C95" w:rsidRDefault="00C72884" w:rsidP="00C72884"/>
    <w:p w14:paraId="4E6B86F6" w14:textId="17ACF5FC" w:rsidR="0068697A" w:rsidRPr="00995C95" w:rsidRDefault="00852217" w:rsidP="0068697A">
      <w:pPr>
        <w:pStyle w:val="Nadpis1"/>
        <w:rPr>
          <w:lang w:val="en-GB"/>
        </w:rPr>
      </w:pPr>
      <w:r w:rsidRPr="00995C95">
        <w:rPr>
          <w:lang w:val="en-GB"/>
        </w:rPr>
        <w:br w:type="page"/>
      </w:r>
      <w:bookmarkStart w:id="0" w:name="_Toc145318531"/>
      <w:bookmarkStart w:id="1" w:name="_Toc153531174"/>
      <w:bookmarkStart w:id="2" w:name="_Toc169258114"/>
      <w:bookmarkStart w:id="3" w:name="_Toc137233026"/>
      <w:bookmarkStart w:id="4" w:name="_Toc130286019"/>
      <w:bookmarkStart w:id="5" w:name="_Toc114134050"/>
      <w:bookmarkStart w:id="6" w:name="_Toc145318534"/>
      <w:bookmarkStart w:id="7" w:name="_Toc153531177"/>
      <w:bookmarkStart w:id="8" w:name="_Toc121993822"/>
      <w:bookmarkStart w:id="9" w:name="_Toc137233031"/>
      <w:bookmarkStart w:id="10" w:name="_Toc227235015"/>
      <w:r w:rsidR="0068697A" w:rsidRPr="00995C95">
        <w:rPr>
          <w:lang w:val="en-GB"/>
        </w:rPr>
        <w:lastRenderedPageBreak/>
        <w:t>1. S</w:t>
      </w:r>
      <w:r w:rsidR="005370C0" w:rsidRPr="00995C95">
        <w:rPr>
          <w:lang w:val="en-GB"/>
        </w:rPr>
        <w:t>ummary</w:t>
      </w:r>
      <w:bookmarkEnd w:id="10"/>
    </w:p>
    <w:p w14:paraId="1DACE656" w14:textId="4B36394F" w:rsidR="00420136" w:rsidRPr="00995C95" w:rsidRDefault="009D14F4" w:rsidP="00C13980">
      <w:pPr>
        <w:pStyle w:val="Normalodrka"/>
        <w:shd w:val="clear" w:color="auto" w:fill="FFFFFF" w:themeFill="background1"/>
        <w:rPr>
          <w:lang w:val="en-GB"/>
        </w:rPr>
      </w:pPr>
      <w:r w:rsidRPr="00995C95">
        <w:rPr>
          <w:lang w:val="en-GB"/>
        </w:rPr>
        <w:t>Gross domestic product (GDP) increased by 2.6% in real terms in 2025</w:t>
      </w:r>
      <w:r w:rsidR="005B461B" w:rsidRPr="00995C95">
        <w:rPr>
          <w:rStyle w:val="Znakapoznpodarou"/>
          <w:lang w:val="en-GB"/>
        </w:rPr>
        <w:footnoteReference w:id="1"/>
      </w:r>
      <w:r w:rsidRPr="00995C95">
        <w:rPr>
          <w:lang w:val="en-GB"/>
        </w:rPr>
        <w:t xml:space="preserve">. The Czech economy was driven mainly by consumption, and capital expenditure – changes in inventories and investments – also played a positive role. In </w:t>
      </w:r>
      <w:r w:rsidR="00297F7D" w:rsidRPr="00995C95">
        <w:rPr>
          <w:lang w:val="en-GB"/>
        </w:rPr>
        <w:t>Q</w:t>
      </w:r>
      <w:r w:rsidRPr="00995C95">
        <w:rPr>
          <w:lang w:val="en-GB"/>
        </w:rPr>
        <w:t>4</w:t>
      </w:r>
      <w:r w:rsidR="00297F7D" w:rsidRPr="00995C95">
        <w:rPr>
          <w:lang w:val="en-GB"/>
        </w:rPr>
        <w:t xml:space="preserve"> </w:t>
      </w:r>
      <w:r w:rsidRPr="00995C95">
        <w:rPr>
          <w:lang w:val="en-GB"/>
        </w:rPr>
        <w:t>2025, the Czech economy grew by 0.6%</w:t>
      </w:r>
      <w:r w:rsidR="00297F7D" w:rsidRPr="00995C95">
        <w:rPr>
          <w:lang w:val="en-GB"/>
        </w:rPr>
        <w:t>,</w:t>
      </w:r>
      <w:r w:rsidRPr="00995C95">
        <w:rPr>
          <w:lang w:val="en-GB"/>
        </w:rPr>
        <w:t xml:space="preserve"> quarter-on-quarter</w:t>
      </w:r>
      <w:r w:rsidR="00297F7D" w:rsidRPr="00995C95">
        <w:rPr>
          <w:lang w:val="en-GB"/>
        </w:rPr>
        <w:t>,</w:t>
      </w:r>
      <w:r w:rsidRPr="00995C95">
        <w:rPr>
          <w:lang w:val="en-GB"/>
        </w:rPr>
        <w:t xml:space="preserve"> and by 2.6%</w:t>
      </w:r>
      <w:r w:rsidR="00297F7D" w:rsidRPr="00995C95">
        <w:rPr>
          <w:lang w:val="en-GB"/>
        </w:rPr>
        <w:t>,</w:t>
      </w:r>
      <w:r w:rsidRPr="00995C95">
        <w:rPr>
          <w:lang w:val="en-GB"/>
        </w:rPr>
        <w:t xml:space="preserve"> year-on-year. Consumption </w:t>
      </w:r>
      <w:r w:rsidR="00833097" w:rsidRPr="00995C95">
        <w:rPr>
          <w:lang w:val="en-GB"/>
        </w:rPr>
        <w:t xml:space="preserve">of both </w:t>
      </w:r>
      <w:r w:rsidRPr="00995C95">
        <w:rPr>
          <w:lang w:val="en-GB"/>
        </w:rPr>
        <w:t>households and general government increased</w:t>
      </w:r>
      <w:r w:rsidR="00A95478" w:rsidRPr="00995C95">
        <w:rPr>
          <w:lang w:val="en-GB"/>
        </w:rPr>
        <w:t>,</w:t>
      </w:r>
      <w:r w:rsidRPr="00995C95">
        <w:rPr>
          <w:lang w:val="en-GB"/>
        </w:rPr>
        <w:t xml:space="preserve"> quarter-on-quarter and year-on-year, and investment also grew. The </w:t>
      </w:r>
      <w:r w:rsidR="00961BD9" w:rsidRPr="00995C95">
        <w:rPr>
          <w:lang w:val="en-GB"/>
        </w:rPr>
        <w:t xml:space="preserve">international </w:t>
      </w:r>
      <w:r w:rsidRPr="00995C95">
        <w:rPr>
          <w:lang w:val="en-GB"/>
        </w:rPr>
        <w:t xml:space="preserve">trade balance also contributed to the increase </w:t>
      </w:r>
      <w:r w:rsidR="000A7275" w:rsidRPr="00995C95">
        <w:rPr>
          <w:lang w:val="en-GB"/>
        </w:rPr>
        <w:t xml:space="preserve">of </w:t>
      </w:r>
      <w:r w:rsidRPr="00995C95">
        <w:rPr>
          <w:lang w:val="en-GB"/>
        </w:rPr>
        <w:t xml:space="preserve">GDP. By contrast, year-on-year and quarter-on-quarter GDP growth was negatively affected by inventories. Czech economic growth was above average within the EU. </w:t>
      </w:r>
      <w:r w:rsidR="00241328" w:rsidRPr="00995C95">
        <w:rPr>
          <w:lang w:val="en-GB"/>
        </w:rPr>
        <w:t>G</w:t>
      </w:r>
      <w:r w:rsidRPr="00995C95">
        <w:rPr>
          <w:lang w:val="en-GB"/>
        </w:rPr>
        <w:t>ross domestic product grew by 1.5%</w:t>
      </w:r>
      <w:r w:rsidR="00FD5F03" w:rsidRPr="00995C95">
        <w:rPr>
          <w:lang w:val="en-GB"/>
        </w:rPr>
        <w:t xml:space="preserve"> in the EU</w:t>
      </w:r>
      <w:r w:rsidRPr="00995C95">
        <w:rPr>
          <w:lang w:val="en-GB"/>
        </w:rPr>
        <w:t xml:space="preserve"> </w:t>
      </w:r>
      <w:r w:rsidR="00241328" w:rsidRPr="00995C95">
        <w:rPr>
          <w:lang w:val="en-GB"/>
        </w:rPr>
        <w:t xml:space="preserve">in 2025 </w:t>
      </w:r>
      <w:r w:rsidRPr="00995C95">
        <w:rPr>
          <w:lang w:val="en-GB"/>
        </w:rPr>
        <w:t xml:space="preserve">and </w:t>
      </w:r>
      <w:r w:rsidR="00C13980" w:rsidRPr="00995C95">
        <w:rPr>
          <w:lang w:val="en-GB"/>
        </w:rPr>
        <w:t xml:space="preserve">the </w:t>
      </w:r>
      <w:r w:rsidRPr="00995C95">
        <w:rPr>
          <w:lang w:val="en-GB"/>
        </w:rPr>
        <w:t>GDP increased by 0.2%</w:t>
      </w:r>
      <w:r w:rsidR="00C13980" w:rsidRPr="00995C95">
        <w:rPr>
          <w:lang w:val="en-GB"/>
        </w:rPr>
        <w:t>,</w:t>
      </w:r>
      <w:r w:rsidRPr="00995C95">
        <w:rPr>
          <w:lang w:val="en-GB"/>
        </w:rPr>
        <w:t xml:space="preserve"> quarter-on-quarter</w:t>
      </w:r>
      <w:r w:rsidR="00C13980" w:rsidRPr="00995C95">
        <w:rPr>
          <w:lang w:val="en-GB"/>
        </w:rPr>
        <w:t>,</w:t>
      </w:r>
      <w:r w:rsidRPr="00995C95">
        <w:rPr>
          <w:lang w:val="en-GB"/>
        </w:rPr>
        <w:t xml:space="preserve"> and by 1.4%</w:t>
      </w:r>
      <w:r w:rsidR="00C13980" w:rsidRPr="00995C95">
        <w:rPr>
          <w:lang w:val="en-GB"/>
        </w:rPr>
        <w:t>,</w:t>
      </w:r>
      <w:r w:rsidRPr="00995C95">
        <w:rPr>
          <w:lang w:val="en-GB"/>
        </w:rPr>
        <w:t xml:space="preserve"> year-on-year</w:t>
      </w:r>
      <w:r w:rsidR="00C13980" w:rsidRPr="00995C95">
        <w:rPr>
          <w:lang w:val="en-GB"/>
        </w:rPr>
        <w:t>, in Q4 alone</w:t>
      </w:r>
      <w:r w:rsidRPr="00995C95">
        <w:rPr>
          <w:lang w:val="en-GB"/>
        </w:rPr>
        <w:t>.</w:t>
      </w:r>
      <w:r w:rsidR="005B461B" w:rsidRPr="00995C95">
        <w:rPr>
          <w:lang w:val="en-GB"/>
        </w:rPr>
        <w:t xml:space="preserve"> </w:t>
      </w:r>
    </w:p>
    <w:p w14:paraId="0D0D361B" w14:textId="22B31205" w:rsidR="00420136" w:rsidRPr="00995C95" w:rsidRDefault="002C6E0A" w:rsidP="002C6E0A">
      <w:pPr>
        <w:pStyle w:val="Normalodrka"/>
        <w:shd w:val="clear" w:color="auto" w:fill="FFFFFF" w:themeFill="background1"/>
        <w:rPr>
          <w:lang w:val="en-GB"/>
        </w:rPr>
      </w:pPr>
      <w:r w:rsidRPr="00995C95">
        <w:rPr>
          <w:lang w:val="en-GB"/>
        </w:rPr>
        <w:t>Gross value added (GVA) increased by 2.8% in real terms last year. The services sector, in particular the weight-important group</w:t>
      </w:r>
      <w:r w:rsidR="007E5B38" w:rsidRPr="00995C95">
        <w:rPr>
          <w:lang w:val="en-GB"/>
        </w:rPr>
        <w:t xml:space="preserve"> of economic activities </w:t>
      </w:r>
      <w:r w:rsidRPr="00995C95">
        <w:rPr>
          <w:lang w:val="en-GB"/>
        </w:rPr>
        <w:t xml:space="preserve">trade, transport, accommodation and </w:t>
      </w:r>
      <w:r w:rsidR="00241328" w:rsidRPr="00995C95">
        <w:rPr>
          <w:lang w:val="en-GB"/>
        </w:rPr>
        <w:t>food service</w:t>
      </w:r>
      <w:r w:rsidRPr="00995C95">
        <w:rPr>
          <w:lang w:val="en-GB"/>
        </w:rPr>
        <w:t xml:space="preserve">, and information and communication, </w:t>
      </w:r>
      <w:r w:rsidR="006C0BAC" w:rsidRPr="00995C95">
        <w:rPr>
          <w:lang w:val="en-GB"/>
        </w:rPr>
        <w:t xml:space="preserve">shared key contribution </w:t>
      </w:r>
      <w:r w:rsidRPr="00995C95">
        <w:rPr>
          <w:lang w:val="en-GB"/>
        </w:rPr>
        <w:t>to growth. There was also a significant recovery in construction</w:t>
      </w:r>
      <w:r w:rsidR="004005A2" w:rsidRPr="00995C95">
        <w:rPr>
          <w:lang w:val="en-GB"/>
        </w:rPr>
        <w:t>. O</w:t>
      </w:r>
      <w:r w:rsidRPr="00995C95">
        <w:rPr>
          <w:lang w:val="en-GB"/>
        </w:rPr>
        <w:t xml:space="preserve">n the </w:t>
      </w:r>
      <w:r w:rsidR="00241328" w:rsidRPr="00995C95">
        <w:rPr>
          <w:lang w:val="en-GB"/>
        </w:rPr>
        <w:t>contrary</w:t>
      </w:r>
      <w:r w:rsidRPr="00995C95">
        <w:rPr>
          <w:lang w:val="en-GB"/>
        </w:rPr>
        <w:t xml:space="preserve">, GVA in industry increased only slightly. </w:t>
      </w:r>
      <w:r w:rsidR="004005A2" w:rsidRPr="00995C95">
        <w:rPr>
          <w:lang w:val="en-GB"/>
        </w:rPr>
        <w:t xml:space="preserve">The </w:t>
      </w:r>
      <w:r w:rsidRPr="00995C95">
        <w:rPr>
          <w:lang w:val="en-GB"/>
        </w:rPr>
        <w:t>GVA increased by 2.8%</w:t>
      </w:r>
      <w:r w:rsidR="004005A2" w:rsidRPr="00995C95">
        <w:rPr>
          <w:lang w:val="en-GB"/>
        </w:rPr>
        <w:t>,</w:t>
      </w:r>
      <w:r w:rsidRPr="00995C95">
        <w:rPr>
          <w:lang w:val="en-GB"/>
        </w:rPr>
        <w:t xml:space="preserve"> year-on-year</w:t>
      </w:r>
      <w:r w:rsidR="004005A2" w:rsidRPr="00995C95">
        <w:rPr>
          <w:lang w:val="en-GB"/>
        </w:rPr>
        <w:t>,</w:t>
      </w:r>
      <w:r w:rsidRPr="00995C95">
        <w:rPr>
          <w:lang w:val="en-GB"/>
        </w:rPr>
        <w:t xml:space="preserve"> and by 0.5%</w:t>
      </w:r>
      <w:r w:rsidR="004005A2" w:rsidRPr="00995C95">
        <w:rPr>
          <w:lang w:val="en-GB"/>
        </w:rPr>
        <w:t>,</w:t>
      </w:r>
      <w:r w:rsidRPr="00995C95">
        <w:rPr>
          <w:lang w:val="en-GB"/>
        </w:rPr>
        <w:t xml:space="preserve"> quarter-on-quarter</w:t>
      </w:r>
      <w:r w:rsidR="004005A2" w:rsidRPr="00995C95">
        <w:rPr>
          <w:lang w:val="en-GB"/>
        </w:rPr>
        <w:t>, in Q4 2025</w:t>
      </w:r>
      <w:r w:rsidRPr="00995C95">
        <w:rPr>
          <w:lang w:val="en-GB"/>
        </w:rPr>
        <w:t xml:space="preserve">. Strong year-on-year growth was maintained by information and communication as well as by the </w:t>
      </w:r>
      <w:r w:rsidR="004005A2" w:rsidRPr="00995C95">
        <w:rPr>
          <w:lang w:val="en-GB"/>
        </w:rPr>
        <w:t xml:space="preserve">group of economic activities </w:t>
      </w:r>
      <w:r w:rsidRPr="00995C95">
        <w:rPr>
          <w:lang w:val="en-GB"/>
        </w:rPr>
        <w:t xml:space="preserve">trade, transport, accommodation and </w:t>
      </w:r>
      <w:r w:rsidR="00241328" w:rsidRPr="00995C95">
        <w:rPr>
          <w:lang w:val="en-GB"/>
        </w:rPr>
        <w:t>food service</w:t>
      </w:r>
      <w:r w:rsidRPr="00995C95">
        <w:rPr>
          <w:lang w:val="en-GB"/>
        </w:rPr>
        <w:t xml:space="preserve">. </w:t>
      </w:r>
      <w:r w:rsidR="00B01439" w:rsidRPr="00995C95">
        <w:rPr>
          <w:lang w:val="en-GB"/>
        </w:rPr>
        <w:t>A</w:t>
      </w:r>
      <w:r w:rsidRPr="00995C95">
        <w:rPr>
          <w:lang w:val="en-GB"/>
        </w:rPr>
        <w:t xml:space="preserve"> noticeable recovery </w:t>
      </w:r>
      <w:r w:rsidR="00B01439" w:rsidRPr="00995C95">
        <w:rPr>
          <w:lang w:val="en-GB"/>
        </w:rPr>
        <w:t>of</w:t>
      </w:r>
      <w:r w:rsidRPr="00995C95">
        <w:rPr>
          <w:lang w:val="en-GB"/>
        </w:rPr>
        <w:t xml:space="preserve"> year-on-year GVA growth in manufacturing</w:t>
      </w:r>
      <w:r w:rsidR="00B01439" w:rsidRPr="00995C95">
        <w:rPr>
          <w:lang w:val="en-GB"/>
        </w:rPr>
        <w:t xml:space="preserve"> also manifested at the end of the year</w:t>
      </w:r>
      <w:r w:rsidRPr="00995C95">
        <w:rPr>
          <w:lang w:val="en-GB"/>
        </w:rPr>
        <w:t xml:space="preserve">, which also provided a key support </w:t>
      </w:r>
      <w:r w:rsidR="00B01439" w:rsidRPr="00995C95">
        <w:rPr>
          <w:lang w:val="en-GB"/>
        </w:rPr>
        <w:t>to the total</w:t>
      </w:r>
      <w:r w:rsidRPr="00995C95">
        <w:rPr>
          <w:lang w:val="en-GB"/>
        </w:rPr>
        <w:t xml:space="preserve"> quarter-on-quarter GVA growth. </w:t>
      </w:r>
      <w:r w:rsidR="00B01439" w:rsidRPr="00995C95">
        <w:rPr>
          <w:lang w:val="en-GB"/>
        </w:rPr>
        <w:t>Af</w:t>
      </w:r>
      <w:r w:rsidRPr="00995C95">
        <w:rPr>
          <w:lang w:val="en-GB"/>
        </w:rPr>
        <w:t xml:space="preserve">ter a successful development observable from </w:t>
      </w:r>
      <w:r w:rsidR="00B01439" w:rsidRPr="00995C95">
        <w:rPr>
          <w:lang w:val="en-GB"/>
        </w:rPr>
        <w:t>Q</w:t>
      </w:r>
      <w:r w:rsidRPr="00995C95">
        <w:rPr>
          <w:lang w:val="en-GB"/>
        </w:rPr>
        <w:t xml:space="preserve">3 2024, there was a significant quarter-on-quarter decline </w:t>
      </w:r>
      <w:r w:rsidR="00B01439" w:rsidRPr="00995C95">
        <w:rPr>
          <w:lang w:val="en-GB"/>
        </w:rPr>
        <w:t>of</w:t>
      </w:r>
      <w:r w:rsidRPr="00995C95">
        <w:rPr>
          <w:lang w:val="en-GB"/>
        </w:rPr>
        <w:t xml:space="preserve"> GVA</w:t>
      </w:r>
      <w:r w:rsidR="00B01439" w:rsidRPr="00995C95">
        <w:rPr>
          <w:lang w:val="en-GB"/>
        </w:rPr>
        <w:t xml:space="preserve"> in construction</w:t>
      </w:r>
      <w:r w:rsidRPr="00995C95">
        <w:rPr>
          <w:lang w:val="en-GB"/>
        </w:rPr>
        <w:t>.</w:t>
      </w:r>
      <w:r w:rsidR="00420136" w:rsidRPr="00995C95">
        <w:rPr>
          <w:lang w:val="en-GB"/>
        </w:rPr>
        <w:t xml:space="preserve">   </w:t>
      </w:r>
    </w:p>
    <w:p w14:paraId="4EE15A83" w14:textId="1875A088" w:rsidR="00420136" w:rsidRPr="00995C95" w:rsidRDefault="00E43E9D" w:rsidP="00E43E9D">
      <w:pPr>
        <w:pStyle w:val="Normalodrka"/>
        <w:rPr>
          <w:lang w:val="en-GB"/>
        </w:rPr>
      </w:pPr>
      <w:r w:rsidRPr="00995C95">
        <w:rPr>
          <w:lang w:val="en-GB"/>
        </w:rPr>
        <w:t xml:space="preserve">Exports of goods and services increased by 4.1% and imports by 5.2% in real terms last year. </w:t>
      </w:r>
      <w:r w:rsidR="00B01439" w:rsidRPr="00995C95">
        <w:rPr>
          <w:lang w:val="en-GB"/>
        </w:rPr>
        <w:t>E</w:t>
      </w:r>
      <w:r w:rsidRPr="00995C95">
        <w:rPr>
          <w:lang w:val="en-GB"/>
        </w:rPr>
        <w:t>xports increased by 5.1%</w:t>
      </w:r>
      <w:r w:rsidR="00B01439" w:rsidRPr="00995C95">
        <w:rPr>
          <w:lang w:val="en-GB"/>
        </w:rPr>
        <w:t>,</w:t>
      </w:r>
      <w:r w:rsidRPr="00995C95">
        <w:rPr>
          <w:lang w:val="en-GB"/>
        </w:rPr>
        <w:t xml:space="preserve"> year-on-year</w:t>
      </w:r>
      <w:r w:rsidR="00B01439" w:rsidRPr="00995C95">
        <w:rPr>
          <w:lang w:val="en-GB"/>
        </w:rPr>
        <w:t>,</w:t>
      </w:r>
      <w:r w:rsidRPr="00995C95">
        <w:rPr>
          <w:lang w:val="en-GB"/>
        </w:rPr>
        <w:t xml:space="preserve"> and by 0.8%</w:t>
      </w:r>
      <w:r w:rsidR="00B01439" w:rsidRPr="00995C95">
        <w:rPr>
          <w:lang w:val="en-GB"/>
        </w:rPr>
        <w:t>,</w:t>
      </w:r>
      <w:r w:rsidRPr="00995C95">
        <w:rPr>
          <w:lang w:val="en-GB"/>
        </w:rPr>
        <w:t xml:space="preserve"> quarter-on-quarter</w:t>
      </w:r>
      <w:r w:rsidR="00B01439" w:rsidRPr="00995C95">
        <w:rPr>
          <w:lang w:val="en-GB"/>
        </w:rPr>
        <w:t>, in Q4</w:t>
      </w:r>
      <w:r w:rsidRPr="00995C95">
        <w:rPr>
          <w:lang w:val="en-GB"/>
        </w:rPr>
        <w:t>. Imports increased by 5.3%</w:t>
      </w:r>
      <w:r w:rsidR="00B01439" w:rsidRPr="00995C95">
        <w:rPr>
          <w:lang w:val="en-GB"/>
        </w:rPr>
        <w:t>,</w:t>
      </w:r>
      <w:r w:rsidRPr="00995C95">
        <w:rPr>
          <w:lang w:val="en-GB"/>
        </w:rPr>
        <w:t xml:space="preserve"> year-on-year</w:t>
      </w:r>
      <w:r w:rsidR="00B01439" w:rsidRPr="00995C95">
        <w:rPr>
          <w:lang w:val="en-GB"/>
        </w:rPr>
        <w:t>,</w:t>
      </w:r>
      <w:r w:rsidRPr="00995C95">
        <w:rPr>
          <w:lang w:val="en-GB"/>
        </w:rPr>
        <w:t xml:space="preserve"> and by 0.6%</w:t>
      </w:r>
      <w:r w:rsidR="00B01439" w:rsidRPr="00995C95">
        <w:rPr>
          <w:lang w:val="en-GB"/>
        </w:rPr>
        <w:t>,</w:t>
      </w:r>
      <w:r w:rsidRPr="00995C95">
        <w:rPr>
          <w:lang w:val="en-GB"/>
        </w:rPr>
        <w:t xml:space="preserve"> quarter-on-quarter</w:t>
      </w:r>
      <w:r w:rsidR="00B01439" w:rsidRPr="00995C95">
        <w:rPr>
          <w:lang w:val="en-GB"/>
        </w:rPr>
        <w:t>, in Q4</w:t>
      </w:r>
      <w:r w:rsidRPr="00995C95">
        <w:rPr>
          <w:lang w:val="en-GB"/>
        </w:rPr>
        <w:t xml:space="preserve">. The balance of </w:t>
      </w:r>
      <w:r w:rsidR="00B01439" w:rsidRPr="00995C95">
        <w:rPr>
          <w:lang w:val="en-GB"/>
        </w:rPr>
        <w:t>international</w:t>
      </w:r>
      <w:r w:rsidRPr="00995C95">
        <w:rPr>
          <w:lang w:val="en-GB"/>
        </w:rPr>
        <w:t xml:space="preserve"> trade </w:t>
      </w:r>
      <w:r w:rsidR="00B01439" w:rsidRPr="00995C95">
        <w:rPr>
          <w:lang w:val="en-GB"/>
        </w:rPr>
        <w:t>of</w:t>
      </w:r>
      <w:r w:rsidRPr="00995C95">
        <w:rPr>
          <w:lang w:val="en-GB"/>
        </w:rPr>
        <w:t xml:space="preserve"> goods and services reached a surplus of 504.2 b</w:t>
      </w:r>
      <w:r w:rsidR="00B01439" w:rsidRPr="00995C95">
        <w:rPr>
          <w:lang w:val="en-GB"/>
        </w:rPr>
        <w:t>n CZK</w:t>
      </w:r>
      <w:r w:rsidRPr="00995C95">
        <w:rPr>
          <w:lang w:val="en-GB"/>
        </w:rPr>
        <w:t xml:space="preserve"> last year, and the positive balance increased by 9.5 b</w:t>
      </w:r>
      <w:r w:rsidR="00B01439" w:rsidRPr="00995C95">
        <w:rPr>
          <w:lang w:val="en-GB"/>
        </w:rPr>
        <w:t xml:space="preserve">n </w:t>
      </w:r>
      <w:r w:rsidR="006838AC" w:rsidRPr="00995C95">
        <w:rPr>
          <w:lang w:val="en-GB"/>
        </w:rPr>
        <w:t>CZK,</w:t>
      </w:r>
      <w:r w:rsidRPr="00995C95">
        <w:rPr>
          <w:lang w:val="en-GB"/>
        </w:rPr>
        <w:t xml:space="preserve"> year-on-year</w:t>
      </w:r>
      <w:r w:rsidR="00B01439" w:rsidRPr="00995C95">
        <w:rPr>
          <w:lang w:val="en-GB"/>
        </w:rPr>
        <w:t>,</w:t>
      </w:r>
      <w:r w:rsidRPr="00995C95">
        <w:rPr>
          <w:lang w:val="en-GB"/>
        </w:rPr>
        <w:t xml:space="preserve"> to 133.9 b</w:t>
      </w:r>
      <w:r w:rsidR="00B01439" w:rsidRPr="00995C95">
        <w:rPr>
          <w:lang w:val="en-GB"/>
        </w:rPr>
        <w:t xml:space="preserve">n </w:t>
      </w:r>
      <w:r w:rsidRPr="00995C95">
        <w:rPr>
          <w:lang w:val="en-GB"/>
        </w:rPr>
        <w:t xml:space="preserve">CZK </w:t>
      </w:r>
      <w:r w:rsidR="00B01439" w:rsidRPr="00995C95">
        <w:rPr>
          <w:lang w:val="en-GB"/>
        </w:rPr>
        <w:t>in Q4</w:t>
      </w:r>
      <w:r w:rsidRPr="00995C95">
        <w:rPr>
          <w:lang w:val="en-GB"/>
        </w:rPr>
        <w:t xml:space="preserve">. </w:t>
      </w:r>
      <w:r w:rsidR="009C59D0" w:rsidRPr="00995C95">
        <w:rPr>
          <w:lang w:val="en-GB"/>
        </w:rPr>
        <w:t>T</w:t>
      </w:r>
      <w:r w:rsidRPr="00995C95">
        <w:rPr>
          <w:lang w:val="en-GB"/>
        </w:rPr>
        <w:t xml:space="preserve">he balance of trade </w:t>
      </w:r>
      <w:r w:rsidR="009C59D0" w:rsidRPr="00995C95">
        <w:rPr>
          <w:lang w:val="en-GB"/>
        </w:rPr>
        <w:t xml:space="preserve">with </w:t>
      </w:r>
      <w:r w:rsidR="006838AC" w:rsidRPr="00995C95">
        <w:rPr>
          <w:lang w:val="en-GB"/>
        </w:rPr>
        <w:t>m</w:t>
      </w:r>
      <w:r w:rsidRPr="00995C95">
        <w:rPr>
          <w:lang w:val="en-GB"/>
        </w:rPr>
        <w:t>etal</w:t>
      </w:r>
      <w:r w:rsidR="006838AC" w:rsidRPr="00995C95">
        <w:rPr>
          <w:lang w:val="en-GB"/>
        </w:rPr>
        <w:t>working</w:t>
      </w:r>
      <w:r w:rsidRPr="00995C95">
        <w:rPr>
          <w:lang w:val="en-GB"/>
        </w:rPr>
        <w:t xml:space="preserve"> products and electrical equipment deteriorated</w:t>
      </w:r>
      <w:r w:rsidR="009C59D0" w:rsidRPr="00995C95">
        <w:rPr>
          <w:lang w:val="en-GB"/>
        </w:rPr>
        <w:t xml:space="preserve"> last year</w:t>
      </w:r>
      <w:r w:rsidRPr="00995C95">
        <w:rPr>
          <w:lang w:val="en-GB"/>
        </w:rPr>
        <w:t xml:space="preserve">. On the other hand, the surplus of trade </w:t>
      </w:r>
      <w:r w:rsidR="00ED27C9" w:rsidRPr="00995C95">
        <w:rPr>
          <w:lang w:val="en-GB"/>
        </w:rPr>
        <w:t>with</w:t>
      </w:r>
      <w:r w:rsidRPr="00995C95">
        <w:rPr>
          <w:lang w:val="en-GB"/>
        </w:rPr>
        <w:t xml:space="preserve"> motor vehicles </w:t>
      </w:r>
      <w:r w:rsidR="006838AC" w:rsidRPr="00995C95">
        <w:rPr>
          <w:lang w:val="en-GB"/>
        </w:rPr>
        <w:t xml:space="preserve">and motorcycles </w:t>
      </w:r>
      <w:r w:rsidRPr="00995C95">
        <w:rPr>
          <w:lang w:val="en-GB"/>
        </w:rPr>
        <w:t>strengthened.</w:t>
      </w:r>
    </w:p>
    <w:p w14:paraId="365A2FFA" w14:textId="48AF9004" w:rsidR="00420136" w:rsidRPr="00995C95" w:rsidRDefault="00B01439" w:rsidP="00420136">
      <w:pPr>
        <w:pStyle w:val="Normalodrka"/>
        <w:shd w:val="clear" w:color="auto" w:fill="FFFFFF" w:themeFill="background1"/>
        <w:rPr>
          <w:lang w:val="en-GB"/>
        </w:rPr>
      </w:pPr>
      <w:r w:rsidRPr="00995C95">
        <w:rPr>
          <w:lang w:val="en-GB"/>
        </w:rPr>
        <w:t xml:space="preserve">The </w:t>
      </w:r>
      <w:r w:rsidR="00433D92" w:rsidRPr="00995C95">
        <w:rPr>
          <w:lang w:val="en-GB"/>
        </w:rPr>
        <w:t xml:space="preserve">total </w:t>
      </w:r>
      <w:r w:rsidRPr="00995C95">
        <w:rPr>
          <w:lang w:val="en-GB"/>
        </w:rPr>
        <w:t>price level (according to the GDP deflator) increased by 3.4% in 2025 and was 3.9% higher</w:t>
      </w:r>
      <w:r w:rsidR="00433D92" w:rsidRPr="00995C95">
        <w:rPr>
          <w:lang w:val="en-GB"/>
        </w:rPr>
        <w:t>,</w:t>
      </w:r>
      <w:r w:rsidRPr="00995C95">
        <w:rPr>
          <w:lang w:val="en-GB"/>
        </w:rPr>
        <w:t xml:space="preserve"> year-on-year</w:t>
      </w:r>
      <w:r w:rsidR="00433D92" w:rsidRPr="00995C95">
        <w:rPr>
          <w:lang w:val="en-GB"/>
        </w:rPr>
        <w:t>,</w:t>
      </w:r>
      <w:r w:rsidRPr="00995C95">
        <w:rPr>
          <w:lang w:val="en-GB"/>
        </w:rPr>
        <w:t xml:space="preserve"> and 1.0%</w:t>
      </w:r>
      <w:r w:rsidR="00433D92" w:rsidRPr="00995C95">
        <w:rPr>
          <w:lang w:val="en-GB"/>
        </w:rPr>
        <w:t>,</w:t>
      </w:r>
      <w:r w:rsidRPr="00995C95">
        <w:rPr>
          <w:lang w:val="en-GB"/>
        </w:rPr>
        <w:t xml:space="preserve"> quarter-on-quarter</w:t>
      </w:r>
      <w:r w:rsidR="00433D92" w:rsidRPr="00995C95">
        <w:rPr>
          <w:lang w:val="en-GB"/>
        </w:rPr>
        <w:t>,</w:t>
      </w:r>
      <w:r w:rsidRPr="00995C95">
        <w:rPr>
          <w:lang w:val="en-GB"/>
        </w:rPr>
        <w:t xml:space="preserve"> in </w:t>
      </w:r>
      <w:r w:rsidR="00433D92" w:rsidRPr="00995C95">
        <w:rPr>
          <w:lang w:val="en-GB"/>
        </w:rPr>
        <w:t>Q</w:t>
      </w:r>
      <w:r w:rsidRPr="00995C95">
        <w:rPr>
          <w:lang w:val="en-GB"/>
        </w:rPr>
        <w:t>4</w:t>
      </w:r>
      <w:r w:rsidR="00433D92" w:rsidRPr="00995C95">
        <w:rPr>
          <w:lang w:val="en-GB"/>
        </w:rPr>
        <w:t xml:space="preserve"> </w:t>
      </w:r>
      <w:r w:rsidRPr="00995C95">
        <w:rPr>
          <w:lang w:val="en-GB"/>
        </w:rPr>
        <w:t xml:space="preserve">alone. Consumer prices rose by 2.5% last year. Food and non-alcoholic beverages contributed the most to the increase </w:t>
      </w:r>
      <w:r w:rsidR="00433D92" w:rsidRPr="00995C95">
        <w:rPr>
          <w:lang w:val="en-GB"/>
        </w:rPr>
        <w:t>of</w:t>
      </w:r>
      <w:r w:rsidRPr="00995C95">
        <w:rPr>
          <w:lang w:val="en-GB"/>
        </w:rPr>
        <w:t xml:space="preserve"> consumer prices last year, followed by the </w:t>
      </w:r>
      <w:r w:rsidR="006838AC" w:rsidRPr="00995C95">
        <w:rPr>
          <w:lang w:val="en-GB"/>
        </w:rPr>
        <w:t xml:space="preserve">division </w:t>
      </w:r>
      <w:r w:rsidRPr="00995C95">
        <w:rPr>
          <w:lang w:val="en-GB"/>
        </w:rPr>
        <w:t xml:space="preserve">housing, water, energy and fuels. </w:t>
      </w:r>
      <w:r w:rsidR="003F10C7" w:rsidRPr="00995C95">
        <w:rPr>
          <w:lang w:val="en-GB"/>
        </w:rPr>
        <w:t>T</w:t>
      </w:r>
      <w:r w:rsidRPr="00995C95">
        <w:rPr>
          <w:lang w:val="en-GB"/>
        </w:rPr>
        <w:t xml:space="preserve">wo </w:t>
      </w:r>
      <w:r w:rsidR="00DD5B19" w:rsidRPr="00995C95">
        <w:rPr>
          <w:lang w:val="en-GB"/>
        </w:rPr>
        <w:t xml:space="preserve">divisions </w:t>
      </w:r>
      <w:r w:rsidRPr="00995C95">
        <w:rPr>
          <w:lang w:val="en-GB"/>
        </w:rPr>
        <w:t xml:space="preserve">including services – </w:t>
      </w:r>
      <w:r w:rsidR="00DD5B19" w:rsidRPr="00995C95">
        <w:rPr>
          <w:lang w:val="en-GB"/>
        </w:rPr>
        <w:t xml:space="preserve">food service </w:t>
      </w:r>
      <w:r w:rsidRPr="00995C95">
        <w:rPr>
          <w:lang w:val="en-GB"/>
        </w:rPr>
        <w:t>and accommodation and recreation and culture – continued to maintain above-average dynamics</w:t>
      </w:r>
      <w:r w:rsidR="00DD5B19" w:rsidRPr="00995C95">
        <w:rPr>
          <w:lang w:val="en-GB"/>
        </w:rPr>
        <w:t xml:space="preserve"> last year</w:t>
      </w:r>
      <w:r w:rsidRPr="00995C95">
        <w:rPr>
          <w:lang w:val="en-GB"/>
        </w:rPr>
        <w:t xml:space="preserve">. </w:t>
      </w:r>
      <w:r w:rsidR="00DD5B19" w:rsidRPr="00995C95">
        <w:rPr>
          <w:lang w:val="en-GB"/>
        </w:rPr>
        <w:t>O</w:t>
      </w:r>
      <w:r w:rsidRPr="00995C95">
        <w:rPr>
          <w:lang w:val="en-GB"/>
        </w:rPr>
        <w:t>nly developments in clothing and footwear and transport</w:t>
      </w:r>
      <w:r w:rsidR="006838AC" w:rsidRPr="00995C95">
        <w:rPr>
          <w:lang w:val="en-GB"/>
        </w:rPr>
        <w:t>ation</w:t>
      </w:r>
      <w:r w:rsidRPr="00995C95">
        <w:rPr>
          <w:lang w:val="en-GB"/>
        </w:rPr>
        <w:t xml:space="preserve"> were in the direction of </w:t>
      </w:r>
      <w:r w:rsidR="00DD5B19" w:rsidRPr="00995C95">
        <w:rPr>
          <w:lang w:val="en-GB"/>
        </w:rPr>
        <w:t xml:space="preserve">the </w:t>
      </w:r>
      <w:r w:rsidRPr="00995C95">
        <w:rPr>
          <w:lang w:val="en-GB"/>
        </w:rPr>
        <w:t>consumer price</w:t>
      </w:r>
      <w:r w:rsidR="00DD5B19" w:rsidRPr="00995C95">
        <w:rPr>
          <w:lang w:val="en-GB"/>
        </w:rPr>
        <w:t xml:space="preserve"> drop last year</w:t>
      </w:r>
      <w:r w:rsidRPr="00995C95">
        <w:rPr>
          <w:lang w:val="en-GB"/>
        </w:rPr>
        <w:t>.</w:t>
      </w:r>
      <w:r w:rsidR="00DD5B19" w:rsidRPr="00995C95">
        <w:rPr>
          <w:lang w:val="en-GB"/>
        </w:rPr>
        <w:t xml:space="preserve"> </w:t>
      </w:r>
    </w:p>
    <w:p w14:paraId="3CEF623C" w14:textId="38E1731C" w:rsidR="00420136" w:rsidRPr="00995C95" w:rsidRDefault="00B01439" w:rsidP="00420136">
      <w:pPr>
        <w:pStyle w:val="Normalodrka"/>
        <w:rPr>
          <w:lang w:val="en-GB"/>
        </w:rPr>
      </w:pPr>
      <w:r w:rsidRPr="00995C95">
        <w:rPr>
          <w:lang w:val="en-GB"/>
        </w:rPr>
        <w:t>Total employment</w:t>
      </w:r>
      <w:r w:rsidR="00433D92" w:rsidRPr="00995C95">
        <w:rPr>
          <w:rStyle w:val="Znakapoznpodarou"/>
          <w:lang w:val="en-GB"/>
        </w:rPr>
        <w:footnoteReference w:id="2"/>
      </w:r>
      <w:r w:rsidR="00433D92" w:rsidRPr="00995C95">
        <w:rPr>
          <w:lang w:val="en-GB"/>
        </w:rPr>
        <w:t xml:space="preserve"> </w:t>
      </w:r>
      <w:r w:rsidRPr="00995C95">
        <w:rPr>
          <w:lang w:val="en-GB"/>
        </w:rPr>
        <w:t xml:space="preserve">increased by 1.1% in 2025. </w:t>
      </w:r>
      <w:r w:rsidR="001858D3" w:rsidRPr="00995C95">
        <w:rPr>
          <w:lang w:val="en-GB"/>
        </w:rPr>
        <w:t>I</w:t>
      </w:r>
      <w:r w:rsidRPr="00995C95">
        <w:rPr>
          <w:lang w:val="en-GB"/>
        </w:rPr>
        <w:t>t was 1.0% higher</w:t>
      </w:r>
      <w:r w:rsidR="001858D3" w:rsidRPr="00995C95">
        <w:rPr>
          <w:lang w:val="en-GB"/>
        </w:rPr>
        <w:t>,</w:t>
      </w:r>
      <w:r w:rsidRPr="00995C95">
        <w:rPr>
          <w:lang w:val="en-GB"/>
        </w:rPr>
        <w:t xml:space="preserve"> year-on-year</w:t>
      </w:r>
      <w:r w:rsidR="001858D3" w:rsidRPr="00995C95">
        <w:rPr>
          <w:lang w:val="en-GB"/>
        </w:rPr>
        <w:t>, in Q4 alone</w:t>
      </w:r>
      <w:r w:rsidRPr="00995C95">
        <w:rPr>
          <w:lang w:val="en-GB"/>
        </w:rPr>
        <w:t xml:space="preserve"> and unchanged</w:t>
      </w:r>
      <w:r w:rsidR="001858D3" w:rsidRPr="00995C95">
        <w:rPr>
          <w:lang w:val="en-GB"/>
        </w:rPr>
        <w:t>,</w:t>
      </w:r>
      <w:r w:rsidRPr="00995C95">
        <w:rPr>
          <w:lang w:val="en-GB"/>
        </w:rPr>
        <w:t xml:space="preserve"> quarter-on-quarter. The </w:t>
      </w:r>
      <w:r w:rsidR="001858D3" w:rsidRPr="00995C95">
        <w:rPr>
          <w:lang w:val="en-GB"/>
        </w:rPr>
        <w:t xml:space="preserve">total </w:t>
      </w:r>
      <w:r w:rsidRPr="00995C95">
        <w:rPr>
          <w:lang w:val="en-GB"/>
        </w:rPr>
        <w:t>unemployment rate has been c</w:t>
      </w:r>
      <w:r w:rsidR="001858D3" w:rsidRPr="00995C95">
        <w:rPr>
          <w:lang w:val="en-GB"/>
        </w:rPr>
        <w:t xml:space="preserve">limbing </w:t>
      </w:r>
      <w:r w:rsidRPr="00995C95">
        <w:rPr>
          <w:lang w:val="en-GB"/>
        </w:rPr>
        <w:t xml:space="preserve">up since the beginning of the year and remained above 3% in Q4. The average gross monthly wage reached 49,215 </w:t>
      </w:r>
      <w:r w:rsidR="001858D3" w:rsidRPr="00995C95">
        <w:rPr>
          <w:lang w:val="en-GB"/>
        </w:rPr>
        <w:t xml:space="preserve">CZK in 2025 </w:t>
      </w:r>
      <w:r w:rsidRPr="00995C95">
        <w:rPr>
          <w:lang w:val="en-GB"/>
        </w:rPr>
        <w:t>and was by 7.2%</w:t>
      </w:r>
      <w:r w:rsidR="001858D3" w:rsidRPr="00995C95">
        <w:rPr>
          <w:lang w:val="en-GB"/>
        </w:rPr>
        <w:t xml:space="preserve"> higher</w:t>
      </w:r>
      <w:r w:rsidRPr="00995C95">
        <w:rPr>
          <w:lang w:val="en-GB"/>
        </w:rPr>
        <w:t xml:space="preserve">. In real terms, it increased by 4.6%. </w:t>
      </w:r>
      <w:r w:rsidR="0056129B" w:rsidRPr="00995C95">
        <w:rPr>
          <w:lang w:val="en-GB"/>
        </w:rPr>
        <w:t>T</w:t>
      </w:r>
      <w:r w:rsidRPr="00995C95">
        <w:rPr>
          <w:lang w:val="en-GB"/>
        </w:rPr>
        <w:t xml:space="preserve">he average wage </w:t>
      </w:r>
      <w:r w:rsidR="0056129B" w:rsidRPr="00995C95">
        <w:rPr>
          <w:lang w:val="en-GB"/>
        </w:rPr>
        <w:t xml:space="preserve">attained </w:t>
      </w:r>
      <w:r w:rsidRPr="00995C95">
        <w:rPr>
          <w:lang w:val="en-GB"/>
        </w:rPr>
        <w:t>52,283</w:t>
      </w:r>
      <w:r w:rsidR="0056129B" w:rsidRPr="00995C95">
        <w:rPr>
          <w:lang w:val="en-GB"/>
        </w:rPr>
        <w:t xml:space="preserve"> CZK in Q4</w:t>
      </w:r>
      <w:r w:rsidRPr="00995C95">
        <w:rPr>
          <w:lang w:val="en-GB"/>
        </w:rPr>
        <w:t>, up 7.4%</w:t>
      </w:r>
      <w:r w:rsidR="0056129B" w:rsidRPr="00995C95">
        <w:rPr>
          <w:lang w:val="en-GB"/>
        </w:rPr>
        <w:t>,</w:t>
      </w:r>
      <w:r w:rsidRPr="00995C95">
        <w:rPr>
          <w:lang w:val="en-GB"/>
        </w:rPr>
        <w:t xml:space="preserve"> year-on-year</w:t>
      </w:r>
      <w:r w:rsidR="0056129B" w:rsidRPr="00995C95">
        <w:rPr>
          <w:lang w:val="en-GB"/>
        </w:rPr>
        <w:t>,</w:t>
      </w:r>
      <w:r w:rsidRPr="00995C95">
        <w:rPr>
          <w:lang w:val="en-GB"/>
        </w:rPr>
        <w:t xml:space="preserve"> and 1.8%</w:t>
      </w:r>
      <w:r w:rsidR="0056129B" w:rsidRPr="00995C95">
        <w:rPr>
          <w:lang w:val="en-GB"/>
        </w:rPr>
        <w:t>,</w:t>
      </w:r>
      <w:r w:rsidRPr="00995C95">
        <w:rPr>
          <w:lang w:val="en-GB"/>
        </w:rPr>
        <w:t xml:space="preserve"> quarter-on-quarter.</w:t>
      </w:r>
      <w:r w:rsidR="0056129B" w:rsidRPr="00995C95">
        <w:rPr>
          <w:lang w:val="en-GB"/>
        </w:rPr>
        <w:t xml:space="preserve"> Th</w:t>
      </w:r>
      <w:r w:rsidRPr="00995C95">
        <w:rPr>
          <w:lang w:val="en-GB"/>
        </w:rPr>
        <w:t>e average wage increased by 5.1%</w:t>
      </w:r>
      <w:r w:rsidR="0056129B" w:rsidRPr="00995C95">
        <w:rPr>
          <w:lang w:val="en-GB"/>
        </w:rPr>
        <w:t xml:space="preserve"> in real terms</w:t>
      </w:r>
      <w:r w:rsidRPr="00995C95">
        <w:rPr>
          <w:lang w:val="en-GB"/>
        </w:rPr>
        <w:t>, y</w:t>
      </w:r>
      <w:r w:rsidR="0056129B" w:rsidRPr="00995C95">
        <w:rPr>
          <w:lang w:val="en-GB"/>
        </w:rPr>
        <w:t>ear</w:t>
      </w:r>
      <w:r w:rsidRPr="00995C95">
        <w:rPr>
          <w:lang w:val="en-GB"/>
        </w:rPr>
        <w:t>-o</w:t>
      </w:r>
      <w:r w:rsidR="0056129B" w:rsidRPr="00995C95">
        <w:rPr>
          <w:lang w:val="en-GB"/>
        </w:rPr>
        <w:t>n</w:t>
      </w:r>
      <w:r w:rsidRPr="00995C95">
        <w:rPr>
          <w:lang w:val="en-GB"/>
        </w:rPr>
        <w:t>-y</w:t>
      </w:r>
      <w:r w:rsidR="0056129B" w:rsidRPr="00995C95">
        <w:rPr>
          <w:lang w:val="en-GB"/>
        </w:rPr>
        <w:t>ear</w:t>
      </w:r>
      <w:r w:rsidRPr="00995C95">
        <w:rPr>
          <w:lang w:val="en-GB"/>
        </w:rPr>
        <w:t>.</w:t>
      </w:r>
      <w:r w:rsidR="00433D92" w:rsidRPr="00995C95">
        <w:rPr>
          <w:lang w:val="en-GB"/>
        </w:rPr>
        <w:t xml:space="preserve"> </w:t>
      </w:r>
    </w:p>
    <w:p w14:paraId="46987E86" w14:textId="25BE07B9" w:rsidR="00420136" w:rsidRPr="00995C95" w:rsidRDefault="00ED27C9" w:rsidP="00420136">
      <w:pPr>
        <w:pStyle w:val="Normalodrka"/>
        <w:rPr>
          <w:lang w:val="en-GB"/>
        </w:rPr>
      </w:pPr>
      <w:r w:rsidRPr="00995C95">
        <w:rPr>
          <w:lang w:val="en-GB"/>
        </w:rPr>
        <w:t>The key monetary policy</w:t>
      </w:r>
      <w:r w:rsidR="00F4607E" w:rsidRPr="00995C95">
        <w:rPr>
          <w:lang w:val="en-GB"/>
        </w:rPr>
        <w:t>-relevant</w:t>
      </w:r>
      <w:r w:rsidRPr="00995C95">
        <w:rPr>
          <w:lang w:val="en-GB"/>
        </w:rPr>
        <w:t xml:space="preserve"> interest rates remained unchanged from May 2025 to the end of the year. </w:t>
      </w:r>
      <w:r w:rsidR="00F4607E" w:rsidRPr="00995C95">
        <w:rPr>
          <w:lang w:val="en-GB"/>
        </w:rPr>
        <w:t xml:space="preserve">A </w:t>
      </w:r>
      <w:r w:rsidRPr="00995C95">
        <w:rPr>
          <w:lang w:val="en-GB"/>
        </w:rPr>
        <w:t xml:space="preserve">recovery </w:t>
      </w:r>
      <w:r w:rsidR="00F4607E" w:rsidRPr="00995C95">
        <w:rPr>
          <w:lang w:val="en-GB"/>
        </w:rPr>
        <w:t xml:space="preserve">of </w:t>
      </w:r>
      <w:r w:rsidRPr="00995C95">
        <w:rPr>
          <w:lang w:val="en-GB"/>
        </w:rPr>
        <w:t xml:space="preserve">the real estate market was </w:t>
      </w:r>
      <w:r w:rsidR="00F4607E" w:rsidRPr="00995C95">
        <w:rPr>
          <w:lang w:val="en-GB"/>
        </w:rPr>
        <w:t>evident in 2025</w:t>
      </w:r>
      <w:r w:rsidRPr="00995C95">
        <w:rPr>
          <w:lang w:val="en-GB"/>
        </w:rPr>
        <w:t xml:space="preserve">. However, among new mortgage contracts, net new loans accounted for less than </w:t>
      </w:r>
      <w:r w:rsidR="00F4607E" w:rsidRPr="00995C95">
        <w:rPr>
          <w:lang w:val="en-GB"/>
        </w:rPr>
        <w:t xml:space="preserve">one </w:t>
      </w:r>
      <w:r w:rsidRPr="00995C95">
        <w:rPr>
          <w:lang w:val="en-GB"/>
        </w:rPr>
        <w:t>half.</w:t>
      </w:r>
      <w:r w:rsidR="00F4607E" w:rsidRPr="00995C95">
        <w:rPr>
          <w:lang w:val="en-GB"/>
        </w:rPr>
        <w:t xml:space="preserve"> </w:t>
      </w:r>
    </w:p>
    <w:p w14:paraId="633AB5A4" w14:textId="756EE3B4" w:rsidR="00420136" w:rsidRPr="00995C95" w:rsidRDefault="00F4607E" w:rsidP="00420136">
      <w:pPr>
        <w:pStyle w:val="Normalodrka"/>
        <w:rPr>
          <w:lang w:val="en-GB"/>
        </w:rPr>
      </w:pPr>
      <w:r w:rsidRPr="00995C95">
        <w:rPr>
          <w:lang w:val="en-GB"/>
        </w:rPr>
        <w:lastRenderedPageBreak/>
        <w:t>The state budget ended with a deficit of 290.7 b</w:t>
      </w:r>
      <w:r w:rsidR="00F46325" w:rsidRPr="00995C95">
        <w:rPr>
          <w:lang w:val="en-GB"/>
        </w:rPr>
        <w:t>n CZK in 2025</w:t>
      </w:r>
      <w:r w:rsidRPr="00995C95">
        <w:rPr>
          <w:lang w:val="en-GB"/>
        </w:rPr>
        <w:t>, deeper by almost 20 b</w:t>
      </w:r>
      <w:r w:rsidR="00F46325" w:rsidRPr="00995C95">
        <w:rPr>
          <w:lang w:val="en-GB"/>
        </w:rPr>
        <w:t xml:space="preserve">n CZK, </w:t>
      </w:r>
      <w:r w:rsidRPr="00995C95">
        <w:rPr>
          <w:lang w:val="en-GB"/>
        </w:rPr>
        <w:t xml:space="preserve">year-on-year. </w:t>
      </w:r>
      <w:r w:rsidR="00F46325" w:rsidRPr="00995C95">
        <w:rPr>
          <w:lang w:val="en-GB"/>
        </w:rPr>
        <w:t>Both t</w:t>
      </w:r>
      <w:r w:rsidRPr="00995C95">
        <w:rPr>
          <w:lang w:val="en-GB"/>
        </w:rPr>
        <w:t xml:space="preserve">he revenue and expenditure side of the budget were gradually increasingly </w:t>
      </w:r>
      <w:r w:rsidR="00F46325" w:rsidRPr="00995C95">
        <w:rPr>
          <w:lang w:val="en-GB"/>
        </w:rPr>
        <w:t xml:space="preserve">impacted </w:t>
      </w:r>
      <w:r w:rsidRPr="00995C95">
        <w:rPr>
          <w:lang w:val="en-GB"/>
        </w:rPr>
        <w:t xml:space="preserve">by the effects of the consolidation </w:t>
      </w:r>
      <w:r w:rsidR="00F46325" w:rsidRPr="00995C95">
        <w:rPr>
          <w:lang w:val="en-GB"/>
        </w:rPr>
        <w:t xml:space="preserve">recovery </w:t>
      </w:r>
      <w:r w:rsidRPr="00995C95">
        <w:rPr>
          <w:lang w:val="en-GB"/>
        </w:rPr>
        <w:t xml:space="preserve">package, and the change </w:t>
      </w:r>
      <w:r w:rsidR="00F46325" w:rsidRPr="00995C95">
        <w:rPr>
          <w:lang w:val="en-GB"/>
        </w:rPr>
        <w:t xml:space="preserve">of </w:t>
      </w:r>
      <w:r w:rsidRPr="00995C95">
        <w:rPr>
          <w:lang w:val="en-GB"/>
        </w:rPr>
        <w:t xml:space="preserve">the budgetary allocation of taxes, which </w:t>
      </w:r>
      <w:r w:rsidR="00F46325" w:rsidRPr="00995C95">
        <w:rPr>
          <w:lang w:val="en-GB"/>
        </w:rPr>
        <w:t>a</w:t>
      </w:r>
      <w:r w:rsidRPr="00995C95">
        <w:rPr>
          <w:lang w:val="en-GB"/>
        </w:rPr>
        <w:t xml:space="preserve">gain increased the share of revenue of some taxes of significant weight </w:t>
      </w:r>
      <w:r w:rsidR="00F46325" w:rsidRPr="00995C95">
        <w:rPr>
          <w:lang w:val="en-GB"/>
        </w:rPr>
        <w:t xml:space="preserve">to the benefit of </w:t>
      </w:r>
      <w:r w:rsidRPr="00995C95">
        <w:rPr>
          <w:lang w:val="en-GB"/>
        </w:rPr>
        <w:t>the state budget</w:t>
      </w:r>
      <w:r w:rsidR="00F46325" w:rsidRPr="00995C95">
        <w:rPr>
          <w:lang w:val="en-GB"/>
        </w:rPr>
        <w:t xml:space="preserve"> starting January 2025</w:t>
      </w:r>
      <w:r w:rsidRPr="00995C95">
        <w:rPr>
          <w:lang w:val="en-GB"/>
        </w:rPr>
        <w:t>, also has a clear impact. Almost all key revenue items strengthened, but expenditure</w:t>
      </w:r>
      <w:r w:rsidR="00F46325" w:rsidRPr="00995C95">
        <w:rPr>
          <w:lang w:val="en-GB"/>
        </w:rPr>
        <w:t xml:space="preserve"> as well</w:t>
      </w:r>
      <w:r w:rsidRPr="00995C95">
        <w:rPr>
          <w:lang w:val="en-GB"/>
        </w:rPr>
        <w:t xml:space="preserve">. Both current expenditure and investment contributed to the year-on-year growth </w:t>
      </w:r>
      <w:r w:rsidR="00F46325" w:rsidRPr="00995C95">
        <w:rPr>
          <w:lang w:val="en-GB"/>
        </w:rPr>
        <w:t xml:space="preserve">of </w:t>
      </w:r>
      <w:r w:rsidRPr="00995C95">
        <w:rPr>
          <w:lang w:val="en-GB"/>
        </w:rPr>
        <w:t>total expenditure last year.</w:t>
      </w:r>
      <w:r w:rsidR="00F46325" w:rsidRPr="00995C95">
        <w:rPr>
          <w:lang w:val="en-GB"/>
        </w:rPr>
        <w:t xml:space="preserve">  </w:t>
      </w:r>
    </w:p>
    <w:p w14:paraId="7563C6FA" w14:textId="77777777" w:rsidR="0068697A" w:rsidRPr="00995C95" w:rsidRDefault="0068697A" w:rsidP="0068697A">
      <w:pPr>
        <w:pStyle w:val="Normalodrka"/>
        <w:numPr>
          <w:ilvl w:val="0"/>
          <w:numId w:val="0"/>
        </w:numPr>
        <w:spacing w:after="0"/>
        <w:jc w:val="center"/>
        <w:rPr>
          <w:lang w:val="en-GB"/>
        </w:rPr>
      </w:pPr>
    </w:p>
    <w:p w14:paraId="181E4D16" w14:textId="4578EA9D" w:rsidR="00603FF5" w:rsidRPr="00995C95" w:rsidRDefault="00D21687" w:rsidP="0083516C">
      <w:pPr>
        <w:pStyle w:val="Normalodrka"/>
        <w:numPr>
          <w:ilvl w:val="0"/>
          <w:numId w:val="0"/>
        </w:numPr>
        <w:spacing w:after="0"/>
        <w:jc w:val="center"/>
        <w:rPr>
          <w:lang w:val="en-GB"/>
        </w:rPr>
      </w:pPr>
      <w:r w:rsidRPr="00D21687">
        <w:rPr>
          <w:noProof/>
        </w:rPr>
        <w:lastRenderedPageBreak/>
        <w:drawing>
          <wp:inline distT="0" distB="0" distL="0" distR="0" wp14:anchorId="1CDD37C2" wp14:editId="4968441A">
            <wp:extent cx="5838825" cy="8943975"/>
            <wp:effectExtent l="0" t="0" r="9525" b="0"/>
            <wp:docPr id="2042266272"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38825" cy="8943975"/>
                    </a:xfrm>
                    <a:prstGeom prst="rect">
                      <a:avLst/>
                    </a:prstGeom>
                    <a:noFill/>
                    <a:ln>
                      <a:noFill/>
                    </a:ln>
                  </pic:spPr>
                </pic:pic>
              </a:graphicData>
            </a:graphic>
          </wp:inline>
        </w:drawing>
      </w:r>
    </w:p>
    <w:p w14:paraId="47502BC3" w14:textId="66BC0968" w:rsidR="0058050D" w:rsidRPr="00995C95" w:rsidRDefault="0058050D" w:rsidP="0058050D">
      <w:pPr>
        <w:pStyle w:val="Nadpis1"/>
        <w:rPr>
          <w:lang w:val="en-GB"/>
        </w:rPr>
      </w:pPr>
      <w:bookmarkStart w:id="11" w:name="_Toc169258116"/>
      <w:bookmarkStart w:id="12" w:name="_Toc153531176"/>
      <w:bookmarkStart w:id="13" w:name="_Toc176767107"/>
      <w:bookmarkStart w:id="14" w:name="_Toc161914427"/>
      <w:bookmarkStart w:id="15" w:name="_Toc193366678"/>
      <w:bookmarkStart w:id="16" w:name="_Toc176767109"/>
      <w:bookmarkStart w:id="17" w:name="_Toc227235016"/>
      <w:bookmarkEnd w:id="0"/>
      <w:bookmarkEnd w:id="1"/>
      <w:bookmarkEnd w:id="2"/>
      <w:bookmarkEnd w:id="3"/>
      <w:bookmarkEnd w:id="4"/>
      <w:bookmarkEnd w:id="5"/>
      <w:bookmarkEnd w:id="6"/>
      <w:bookmarkEnd w:id="7"/>
      <w:bookmarkEnd w:id="8"/>
      <w:bookmarkEnd w:id="9"/>
      <w:r w:rsidRPr="00995C95">
        <w:rPr>
          <w:lang w:val="en-GB"/>
        </w:rPr>
        <w:lastRenderedPageBreak/>
        <w:t>2. </w:t>
      </w:r>
      <w:r w:rsidR="009A2E25" w:rsidRPr="00995C95">
        <w:rPr>
          <w:lang w:val="en-GB"/>
        </w:rPr>
        <w:t>Overall Economic Performance</w:t>
      </w:r>
      <w:bookmarkEnd w:id="17"/>
    </w:p>
    <w:tbl>
      <w:tblPr>
        <w:tblW w:w="9639" w:type="dxa"/>
        <w:tblInd w:w="-20" w:type="dxa"/>
        <w:tblCellMar>
          <w:left w:w="0" w:type="dxa"/>
          <w:right w:w="0" w:type="dxa"/>
        </w:tblCellMar>
        <w:tblLook w:val="00A0" w:firstRow="1" w:lastRow="0" w:firstColumn="1" w:lastColumn="0" w:noHBand="0" w:noVBand="0"/>
      </w:tblPr>
      <w:tblGrid>
        <w:gridCol w:w="1806"/>
        <w:gridCol w:w="210"/>
        <w:gridCol w:w="7623"/>
      </w:tblGrid>
      <w:tr w:rsidR="0058050D" w:rsidRPr="00995C95" w14:paraId="7A220153" w14:textId="77777777" w:rsidTr="00E87182">
        <w:trPr>
          <w:trHeight w:val="145"/>
        </w:trPr>
        <w:tc>
          <w:tcPr>
            <w:tcW w:w="1806" w:type="dxa"/>
            <w:tcMar>
              <w:left w:w="0" w:type="dxa"/>
            </w:tcMar>
          </w:tcPr>
          <w:p w14:paraId="69ABB68C" w14:textId="4792D999" w:rsidR="0058050D" w:rsidRPr="00995C95" w:rsidRDefault="009A2E25" w:rsidP="00E87182">
            <w:pPr>
              <w:pStyle w:val="Marginlie"/>
            </w:pPr>
            <w:r w:rsidRPr="00995C95">
              <w:t xml:space="preserve">Growth of the Czech economy </w:t>
            </w:r>
            <w:r w:rsidR="00995C95" w:rsidRPr="00995C95">
              <w:t>strengthened</w:t>
            </w:r>
            <w:r w:rsidRPr="00995C95">
              <w:t xml:space="preserve"> last year. </w:t>
            </w:r>
          </w:p>
        </w:tc>
        <w:tc>
          <w:tcPr>
            <w:tcW w:w="210" w:type="dxa"/>
            <w:tcMar>
              <w:left w:w="0" w:type="dxa"/>
            </w:tcMar>
          </w:tcPr>
          <w:p w14:paraId="7B870979" w14:textId="77777777" w:rsidR="0058050D" w:rsidRPr="00995C95" w:rsidRDefault="0058050D" w:rsidP="00E87182">
            <w:pPr>
              <w:pStyle w:val="Textpoznpodarou"/>
              <w:jc w:val="both"/>
              <w:rPr>
                <w:spacing w:val="-4"/>
              </w:rPr>
            </w:pPr>
          </w:p>
        </w:tc>
        <w:tc>
          <w:tcPr>
            <w:tcW w:w="7623" w:type="dxa"/>
            <w:tcMar>
              <w:left w:w="0" w:type="dxa"/>
            </w:tcMar>
          </w:tcPr>
          <w:p w14:paraId="06836763" w14:textId="5BC79E48" w:rsidR="0058050D" w:rsidRPr="00995C95" w:rsidRDefault="006A1EB8" w:rsidP="00E87182">
            <w:pPr>
              <w:rPr>
                <w:spacing w:val="-2"/>
              </w:rPr>
            </w:pPr>
            <w:r w:rsidRPr="00995C95">
              <w:rPr>
                <w:spacing w:val="-2"/>
              </w:rPr>
              <w:t>T</w:t>
            </w:r>
            <w:r w:rsidR="00F4607E" w:rsidRPr="00995C95">
              <w:rPr>
                <w:spacing w:val="-2"/>
              </w:rPr>
              <w:t xml:space="preserve">he Czech economy maintained solid growth </w:t>
            </w:r>
            <w:r w:rsidRPr="00995C95">
              <w:rPr>
                <w:spacing w:val="-2"/>
              </w:rPr>
              <w:t xml:space="preserve">in 2025 </w:t>
            </w:r>
            <w:r w:rsidR="00F4607E" w:rsidRPr="00995C95">
              <w:rPr>
                <w:spacing w:val="-2"/>
              </w:rPr>
              <w:t>that had already begun at the end of 2024</w:t>
            </w:r>
            <w:r w:rsidRPr="00995C95">
              <w:rPr>
                <w:spacing w:val="-2"/>
              </w:rPr>
              <w:t xml:space="preserve"> despite uncertainties in global trade and ongoing geopolitical instability</w:t>
            </w:r>
            <w:r w:rsidR="00F4607E" w:rsidRPr="00995C95">
              <w:rPr>
                <w:spacing w:val="-2"/>
              </w:rPr>
              <w:t xml:space="preserve">, and </w:t>
            </w:r>
            <w:r w:rsidRPr="00995C95">
              <w:rPr>
                <w:spacing w:val="-2"/>
              </w:rPr>
              <w:t xml:space="preserve">the </w:t>
            </w:r>
            <w:r w:rsidR="00F4607E" w:rsidRPr="00995C95">
              <w:rPr>
                <w:spacing w:val="-2"/>
              </w:rPr>
              <w:t>gross domestic product (GDP)</w:t>
            </w:r>
            <w:r w:rsidRPr="00995C95">
              <w:rPr>
                <w:rStyle w:val="Znakapoznpodarou"/>
                <w:rFonts w:cs="Arial"/>
                <w:spacing w:val="-2"/>
              </w:rPr>
              <w:footnoteReference w:id="3"/>
            </w:r>
            <w:r w:rsidR="00F4607E" w:rsidRPr="00995C95">
              <w:rPr>
                <w:spacing w:val="-2"/>
              </w:rPr>
              <w:t xml:space="preserve"> increased by 2.6% in real terms. The Czech economy was driven mainly by the domestic side of demand, especially consumption. </w:t>
            </w:r>
            <w:r w:rsidRPr="00995C95">
              <w:rPr>
                <w:spacing w:val="-2"/>
              </w:rPr>
              <w:t>Nevertheless</w:t>
            </w:r>
            <w:r w:rsidR="00F4607E" w:rsidRPr="00995C95">
              <w:rPr>
                <w:spacing w:val="-2"/>
              </w:rPr>
              <w:t>, capital expenditure also played a positive role – the positive effect of the change in inventories was complemented by a re</w:t>
            </w:r>
            <w:r w:rsidRPr="00995C95">
              <w:rPr>
                <w:spacing w:val="-2"/>
              </w:rPr>
              <w:t xml:space="preserve">vival of </w:t>
            </w:r>
            <w:r w:rsidR="00F4607E" w:rsidRPr="00995C95">
              <w:rPr>
                <w:spacing w:val="-2"/>
              </w:rPr>
              <w:t xml:space="preserve">investment activity. The </w:t>
            </w:r>
            <w:r w:rsidRPr="00995C95">
              <w:rPr>
                <w:spacing w:val="-2"/>
              </w:rPr>
              <w:t xml:space="preserve">international </w:t>
            </w:r>
            <w:r w:rsidR="00F4607E" w:rsidRPr="00995C95">
              <w:rPr>
                <w:spacing w:val="-2"/>
              </w:rPr>
              <w:t xml:space="preserve">trade balance </w:t>
            </w:r>
            <w:r w:rsidR="008068B1" w:rsidRPr="00995C95">
              <w:rPr>
                <w:spacing w:val="-2"/>
              </w:rPr>
              <w:t xml:space="preserve">had </w:t>
            </w:r>
            <w:r w:rsidR="00F4607E" w:rsidRPr="00995C95">
              <w:rPr>
                <w:spacing w:val="-2"/>
              </w:rPr>
              <w:t>rather neutral</w:t>
            </w:r>
            <w:r w:rsidR="008068B1" w:rsidRPr="00995C95">
              <w:rPr>
                <w:spacing w:val="-2"/>
              </w:rPr>
              <w:t xml:space="preserve"> effect</w:t>
            </w:r>
            <w:r w:rsidR="00F4607E" w:rsidRPr="00995C95">
              <w:rPr>
                <w:spacing w:val="-2"/>
              </w:rPr>
              <w:t xml:space="preserve">, as significant real growth </w:t>
            </w:r>
            <w:r w:rsidR="008068B1" w:rsidRPr="00995C95">
              <w:rPr>
                <w:spacing w:val="-2"/>
              </w:rPr>
              <w:t>of</w:t>
            </w:r>
            <w:r w:rsidR="00F4607E" w:rsidRPr="00995C95">
              <w:rPr>
                <w:spacing w:val="-2"/>
              </w:rPr>
              <w:t xml:space="preserve"> exports was accompanied by a significant increase </w:t>
            </w:r>
            <w:r w:rsidR="008068B1" w:rsidRPr="00995C95">
              <w:rPr>
                <w:spacing w:val="-2"/>
              </w:rPr>
              <w:t>of</w:t>
            </w:r>
            <w:r w:rsidR="00F4607E" w:rsidRPr="00995C95">
              <w:rPr>
                <w:spacing w:val="-2"/>
              </w:rPr>
              <w:t xml:space="preserve"> imports. </w:t>
            </w:r>
            <w:r w:rsidR="008068B1" w:rsidRPr="00995C95">
              <w:rPr>
                <w:spacing w:val="-2"/>
              </w:rPr>
              <w:t xml:space="preserve">The </w:t>
            </w:r>
            <w:r w:rsidR="00F4607E" w:rsidRPr="00995C95">
              <w:rPr>
                <w:spacing w:val="-2"/>
              </w:rPr>
              <w:t>Czech economy grew by 0.6%</w:t>
            </w:r>
            <w:r w:rsidR="008068B1" w:rsidRPr="00995C95">
              <w:rPr>
                <w:spacing w:val="-2"/>
              </w:rPr>
              <w:t>,</w:t>
            </w:r>
            <w:r w:rsidR="00F4607E" w:rsidRPr="00995C95">
              <w:rPr>
                <w:spacing w:val="-2"/>
              </w:rPr>
              <w:t xml:space="preserve"> quarter-on-quarter</w:t>
            </w:r>
            <w:r w:rsidR="008068B1" w:rsidRPr="00995C95">
              <w:rPr>
                <w:spacing w:val="-2"/>
              </w:rPr>
              <w:t>, in Q4 2025</w:t>
            </w:r>
            <w:r w:rsidR="00F4607E" w:rsidRPr="00995C95">
              <w:rPr>
                <w:spacing w:val="-2"/>
              </w:rPr>
              <w:t xml:space="preserve">, </w:t>
            </w:r>
            <w:r w:rsidR="008068B1" w:rsidRPr="00995C95">
              <w:rPr>
                <w:spacing w:val="-2"/>
              </w:rPr>
              <w:t xml:space="preserve">thus </w:t>
            </w:r>
            <w:r w:rsidR="00F4607E" w:rsidRPr="00995C95">
              <w:rPr>
                <w:spacing w:val="-2"/>
              </w:rPr>
              <w:t xml:space="preserve">continuing a series of solid gains </w:t>
            </w:r>
            <w:r w:rsidR="008068B1" w:rsidRPr="00995C95">
              <w:rPr>
                <w:spacing w:val="-2"/>
              </w:rPr>
              <w:t xml:space="preserve">lasting </w:t>
            </w:r>
            <w:r w:rsidR="00F4607E" w:rsidRPr="00995C95">
              <w:rPr>
                <w:spacing w:val="-2"/>
              </w:rPr>
              <w:t xml:space="preserve">since Q3 2024. Year-on-year, </w:t>
            </w:r>
            <w:r w:rsidR="008068B1" w:rsidRPr="00995C95">
              <w:rPr>
                <w:spacing w:val="-2"/>
              </w:rPr>
              <w:t xml:space="preserve">the </w:t>
            </w:r>
            <w:r w:rsidR="00F4607E" w:rsidRPr="00995C95">
              <w:rPr>
                <w:spacing w:val="-2"/>
              </w:rPr>
              <w:t>GDP increased by 2.6%.</w:t>
            </w:r>
            <w:r w:rsidR="00C85845" w:rsidRPr="00995C95">
              <w:rPr>
                <w:spacing w:val="-2"/>
              </w:rPr>
              <w:t xml:space="preserve"> C</w:t>
            </w:r>
            <w:r w:rsidR="00F4607E" w:rsidRPr="00995C95">
              <w:rPr>
                <w:spacing w:val="-2"/>
              </w:rPr>
              <w:t xml:space="preserve">onsumption </w:t>
            </w:r>
            <w:r w:rsidR="00C85845" w:rsidRPr="00995C95">
              <w:rPr>
                <w:spacing w:val="-2"/>
              </w:rPr>
              <w:t>of</w:t>
            </w:r>
            <w:r w:rsidR="00F4607E" w:rsidRPr="00995C95">
              <w:rPr>
                <w:spacing w:val="-2"/>
              </w:rPr>
              <w:t xml:space="preserve"> households and general government increased </w:t>
            </w:r>
            <w:r w:rsidR="00C85845" w:rsidRPr="00995C95">
              <w:rPr>
                <w:spacing w:val="-2"/>
              </w:rPr>
              <w:t xml:space="preserve">both </w:t>
            </w:r>
            <w:r w:rsidR="00F4607E" w:rsidRPr="00995C95">
              <w:rPr>
                <w:spacing w:val="-2"/>
              </w:rPr>
              <w:t>quarter-on-quarter and year-on-year</w:t>
            </w:r>
            <w:r w:rsidR="00C85845" w:rsidRPr="00995C95">
              <w:rPr>
                <w:spacing w:val="-2"/>
              </w:rPr>
              <w:t xml:space="preserve"> at the end of 2025</w:t>
            </w:r>
            <w:r w:rsidR="00F4607E" w:rsidRPr="00995C95">
              <w:rPr>
                <w:spacing w:val="-2"/>
              </w:rPr>
              <w:t xml:space="preserve">, and investment also grew. The development of the </w:t>
            </w:r>
            <w:r w:rsidR="00CC06EE" w:rsidRPr="00995C95">
              <w:rPr>
                <w:spacing w:val="-2"/>
              </w:rPr>
              <w:t xml:space="preserve">international </w:t>
            </w:r>
            <w:r w:rsidR="00F4607E" w:rsidRPr="00995C95">
              <w:rPr>
                <w:spacing w:val="-2"/>
              </w:rPr>
              <w:t xml:space="preserve">trade balance also contributed to the increase </w:t>
            </w:r>
            <w:r w:rsidR="00CC06EE" w:rsidRPr="00995C95">
              <w:rPr>
                <w:spacing w:val="-2"/>
              </w:rPr>
              <w:t>of</w:t>
            </w:r>
            <w:r w:rsidR="00F4607E" w:rsidRPr="00995C95">
              <w:rPr>
                <w:spacing w:val="-2"/>
              </w:rPr>
              <w:t xml:space="preserve"> GDP. On the </w:t>
            </w:r>
            <w:r w:rsidR="00CC06EE" w:rsidRPr="00995C95">
              <w:rPr>
                <w:spacing w:val="-2"/>
              </w:rPr>
              <w:t>contrary</w:t>
            </w:r>
            <w:r w:rsidR="00F4607E" w:rsidRPr="00995C95">
              <w:rPr>
                <w:spacing w:val="-2"/>
              </w:rPr>
              <w:t xml:space="preserve">, </w:t>
            </w:r>
            <w:r w:rsidR="000626A9" w:rsidRPr="00995C95">
              <w:rPr>
                <w:spacing w:val="-2"/>
              </w:rPr>
              <w:t xml:space="preserve">inventories </w:t>
            </w:r>
            <w:r w:rsidR="000626A9">
              <w:rPr>
                <w:spacing w:val="-2"/>
              </w:rPr>
              <w:t xml:space="preserve">had </w:t>
            </w:r>
            <w:r w:rsidR="000626A9" w:rsidRPr="00995C95">
              <w:rPr>
                <w:spacing w:val="-2"/>
              </w:rPr>
              <w:t xml:space="preserve">a negative impact on </w:t>
            </w:r>
            <w:r w:rsidR="00F4607E" w:rsidRPr="00995C95">
              <w:rPr>
                <w:spacing w:val="-2"/>
              </w:rPr>
              <w:t>year-on-year and quarter-on-quarter GDP growth.</w:t>
            </w:r>
            <w:r w:rsidR="00C85845" w:rsidRPr="00995C95">
              <w:rPr>
                <w:spacing w:val="-2"/>
              </w:rPr>
              <w:t xml:space="preserve"> </w:t>
            </w:r>
          </w:p>
        </w:tc>
      </w:tr>
      <w:tr w:rsidR="0058050D" w:rsidRPr="00995C95" w14:paraId="2EA3DD5A" w14:textId="77777777" w:rsidTr="00E87182">
        <w:trPr>
          <w:trHeight w:val="170"/>
        </w:trPr>
        <w:tc>
          <w:tcPr>
            <w:tcW w:w="1806" w:type="dxa"/>
            <w:vMerge w:val="restart"/>
            <w:tcMar>
              <w:left w:w="0" w:type="dxa"/>
            </w:tcMar>
          </w:tcPr>
          <w:p w14:paraId="0599CE7C" w14:textId="77777777" w:rsidR="0058050D" w:rsidRPr="00995C95" w:rsidRDefault="0058050D" w:rsidP="00E87182">
            <w:pPr>
              <w:pStyle w:val="Marginlie"/>
            </w:pPr>
          </w:p>
        </w:tc>
        <w:tc>
          <w:tcPr>
            <w:tcW w:w="210" w:type="dxa"/>
            <w:vMerge w:val="restart"/>
            <w:tcMar>
              <w:left w:w="0" w:type="dxa"/>
            </w:tcMar>
          </w:tcPr>
          <w:p w14:paraId="78930BF0" w14:textId="77777777" w:rsidR="0058050D" w:rsidRPr="00995C95" w:rsidRDefault="0058050D" w:rsidP="00E87182">
            <w:pPr>
              <w:pStyle w:val="Textpoznpodarou"/>
              <w:jc w:val="both"/>
              <w:rPr>
                <w:spacing w:val="-4"/>
              </w:rPr>
            </w:pPr>
          </w:p>
        </w:tc>
        <w:tc>
          <w:tcPr>
            <w:tcW w:w="7623" w:type="dxa"/>
            <w:tcMar>
              <w:left w:w="0" w:type="dxa"/>
            </w:tcMar>
          </w:tcPr>
          <w:p w14:paraId="3C3DEC6D" w14:textId="54F0F09D" w:rsidR="0058050D" w:rsidRPr="00995C95" w:rsidRDefault="009A2E25" w:rsidP="00E87182">
            <w:pPr>
              <w:spacing w:after="0"/>
              <w:rPr>
                <w:b/>
                <w:szCs w:val="20"/>
              </w:rPr>
            </w:pPr>
            <w:r w:rsidRPr="00995C95">
              <w:rPr>
                <w:rFonts w:cs="Arial"/>
                <w:b/>
                <w:bCs/>
                <w:color w:val="000000"/>
                <w:szCs w:val="20"/>
              </w:rPr>
              <w:t xml:space="preserve">Chart </w:t>
            </w:r>
            <w:r w:rsidR="0058050D" w:rsidRPr="00995C95">
              <w:rPr>
                <w:rFonts w:cs="Arial"/>
                <w:b/>
                <w:bCs/>
                <w:color w:val="000000"/>
                <w:szCs w:val="20"/>
              </w:rPr>
              <w:t xml:space="preserve">1 </w:t>
            </w:r>
            <w:r w:rsidRPr="00995C95">
              <w:rPr>
                <w:rFonts w:cs="Arial"/>
                <w:b/>
                <w:bCs/>
                <w:color w:val="000000"/>
                <w:szCs w:val="20"/>
              </w:rPr>
              <w:t>GDP</w:t>
            </w:r>
            <w:r w:rsidR="0058050D" w:rsidRPr="00995C95">
              <w:rPr>
                <w:rFonts w:cs="Arial"/>
                <w:b/>
                <w:szCs w:val="20"/>
                <w:lang w:eastAsia="en-US"/>
              </w:rPr>
              <w:t xml:space="preserve"> </w:t>
            </w:r>
            <w:r w:rsidR="0058050D" w:rsidRPr="00995C95">
              <w:rPr>
                <w:rFonts w:cs="Arial"/>
                <w:bCs/>
                <w:szCs w:val="20"/>
                <w:lang w:eastAsia="en-US"/>
              </w:rPr>
              <w:t>(</w:t>
            </w:r>
            <w:r w:rsidR="00A55208" w:rsidRPr="00995C95">
              <w:rPr>
                <w:rFonts w:cs="Arial"/>
                <w:bCs/>
                <w:szCs w:val="20"/>
                <w:lang w:eastAsia="en-US"/>
              </w:rPr>
              <w:t>volume indices, adjusted for seasonal and calendar effects, in %)</w:t>
            </w:r>
          </w:p>
        </w:tc>
      </w:tr>
      <w:tr w:rsidR="0058050D" w:rsidRPr="00995C95" w14:paraId="6FC36BC3" w14:textId="77777777" w:rsidTr="00E312D1">
        <w:tblPrEx>
          <w:tblCellMar>
            <w:left w:w="70" w:type="dxa"/>
            <w:right w:w="70" w:type="dxa"/>
          </w:tblCellMar>
        </w:tblPrEx>
        <w:trPr>
          <w:trHeight w:val="170"/>
        </w:trPr>
        <w:tc>
          <w:tcPr>
            <w:tcW w:w="1806" w:type="dxa"/>
            <w:vMerge/>
          </w:tcPr>
          <w:p w14:paraId="5F6F91AC" w14:textId="77777777" w:rsidR="0058050D" w:rsidRPr="00995C95" w:rsidRDefault="0058050D" w:rsidP="00E87182">
            <w:pPr>
              <w:pStyle w:val="Marginlie"/>
            </w:pPr>
          </w:p>
        </w:tc>
        <w:tc>
          <w:tcPr>
            <w:tcW w:w="210" w:type="dxa"/>
            <w:vMerge/>
          </w:tcPr>
          <w:p w14:paraId="5634545E" w14:textId="77777777" w:rsidR="0058050D" w:rsidRPr="00995C95" w:rsidRDefault="0058050D" w:rsidP="00E87182">
            <w:pPr>
              <w:pStyle w:val="Textpoznpodarou"/>
              <w:jc w:val="both"/>
              <w:rPr>
                <w:spacing w:val="-4"/>
              </w:rPr>
            </w:pPr>
          </w:p>
        </w:tc>
        <w:tc>
          <w:tcPr>
            <w:tcW w:w="7623" w:type="dxa"/>
          </w:tcPr>
          <w:p w14:paraId="30956EAB" w14:textId="05E7A03E" w:rsidR="0058050D" w:rsidRPr="00995C95" w:rsidRDefault="00E312D1" w:rsidP="00E87182">
            <w:pPr>
              <w:spacing w:after="0"/>
            </w:pPr>
            <w:r>
              <w:rPr>
                <w:noProof/>
              </w:rPr>
              <w:drawing>
                <wp:inline distT="0" distB="0" distL="0" distR="0" wp14:anchorId="21FB2AD0" wp14:editId="3BA6418F">
                  <wp:extent cx="4737600" cy="3553200"/>
                  <wp:effectExtent l="0" t="0" r="6350" b="0"/>
                  <wp:docPr id="805653816" name="Graf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58050D" w:rsidRPr="00995C95" w14:paraId="740C67A6" w14:textId="77777777" w:rsidTr="00E87182">
        <w:trPr>
          <w:trHeight w:val="170"/>
        </w:trPr>
        <w:tc>
          <w:tcPr>
            <w:tcW w:w="1806" w:type="dxa"/>
            <w:vMerge/>
            <w:tcMar>
              <w:left w:w="0" w:type="dxa"/>
            </w:tcMar>
          </w:tcPr>
          <w:p w14:paraId="370A0948" w14:textId="77777777" w:rsidR="0058050D" w:rsidRPr="00995C95" w:rsidRDefault="0058050D" w:rsidP="00E87182">
            <w:pPr>
              <w:pStyle w:val="Marginlie"/>
            </w:pPr>
          </w:p>
        </w:tc>
        <w:tc>
          <w:tcPr>
            <w:tcW w:w="210" w:type="dxa"/>
            <w:vMerge/>
            <w:tcMar>
              <w:left w:w="0" w:type="dxa"/>
            </w:tcMar>
          </w:tcPr>
          <w:p w14:paraId="1712E94C" w14:textId="77777777" w:rsidR="0058050D" w:rsidRPr="00995C95" w:rsidRDefault="0058050D" w:rsidP="00E87182">
            <w:pPr>
              <w:pStyle w:val="Textpoznpodarou"/>
              <w:jc w:val="both"/>
              <w:rPr>
                <w:spacing w:val="-4"/>
              </w:rPr>
            </w:pPr>
          </w:p>
        </w:tc>
        <w:tc>
          <w:tcPr>
            <w:tcW w:w="7623" w:type="dxa"/>
            <w:tcMar>
              <w:left w:w="0" w:type="dxa"/>
            </w:tcMar>
          </w:tcPr>
          <w:p w14:paraId="4B8CCFCA" w14:textId="44529DF8" w:rsidR="00A144BA" w:rsidRPr="00995C95" w:rsidRDefault="00F4607E" w:rsidP="00E312D1">
            <w:pPr>
              <w:spacing w:after="220"/>
              <w:rPr>
                <w:b/>
                <w:bCs/>
                <w:sz w:val="14"/>
                <w:szCs w:val="14"/>
              </w:rPr>
            </w:pPr>
            <w:r w:rsidRPr="00995C95">
              <w:rPr>
                <w:sz w:val="14"/>
                <w:szCs w:val="14"/>
              </w:rPr>
              <w:t>Source</w:t>
            </w:r>
            <w:r w:rsidR="0058050D" w:rsidRPr="00995C95">
              <w:rPr>
                <w:sz w:val="14"/>
                <w:szCs w:val="14"/>
              </w:rPr>
              <w:t xml:space="preserve">: </w:t>
            </w:r>
            <w:r w:rsidRPr="00995C95">
              <w:rPr>
                <w:sz w:val="14"/>
                <w:szCs w:val="14"/>
              </w:rPr>
              <w:t>CZSO</w:t>
            </w:r>
            <w:r w:rsidR="0058050D" w:rsidRPr="00995C95">
              <w:rPr>
                <w:sz w:val="14"/>
                <w:szCs w:val="14"/>
              </w:rPr>
              <w:t>, Eurostat</w:t>
            </w:r>
          </w:p>
        </w:tc>
      </w:tr>
      <w:tr w:rsidR="0058050D" w:rsidRPr="00995C95" w14:paraId="76C8F9C3" w14:textId="77777777" w:rsidTr="00E87182">
        <w:trPr>
          <w:trHeight w:val="145"/>
        </w:trPr>
        <w:tc>
          <w:tcPr>
            <w:tcW w:w="1806" w:type="dxa"/>
            <w:tcMar>
              <w:left w:w="0" w:type="dxa"/>
            </w:tcMar>
          </w:tcPr>
          <w:p w14:paraId="1AF14165" w14:textId="0FAFFE98" w:rsidR="0058050D" w:rsidRPr="00995C95" w:rsidRDefault="006C6071" w:rsidP="00D168EE">
            <w:pPr>
              <w:pStyle w:val="Marginlie"/>
            </w:pPr>
            <w:r w:rsidRPr="00995C95">
              <w:t xml:space="preserve">The </w:t>
            </w:r>
            <w:r w:rsidR="00D168EE" w:rsidRPr="00995C95">
              <w:t xml:space="preserve">GDP growth was stronger </w:t>
            </w:r>
            <w:r w:rsidRPr="00995C95">
              <w:t xml:space="preserve">in the European Union </w:t>
            </w:r>
            <w:r w:rsidR="00D168EE" w:rsidRPr="00995C95">
              <w:t>last year than in previous years</w:t>
            </w:r>
            <w:r w:rsidR="00062177" w:rsidRPr="00995C95">
              <w:t xml:space="preserve">. </w:t>
            </w:r>
          </w:p>
        </w:tc>
        <w:tc>
          <w:tcPr>
            <w:tcW w:w="210" w:type="dxa"/>
            <w:tcMar>
              <w:left w:w="0" w:type="dxa"/>
            </w:tcMar>
          </w:tcPr>
          <w:p w14:paraId="34667D5C" w14:textId="77777777" w:rsidR="0058050D" w:rsidRPr="00995C95" w:rsidRDefault="0058050D" w:rsidP="00E87182">
            <w:pPr>
              <w:pStyle w:val="Textpoznpodarou"/>
              <w:jc w:val="both"/>
              <w:rPr>
                <w:spacing w:val="-4"/>
              </w:rPr>
            </w:pPr>
          </w:p>
        </w:tc>
        <w:tc>
          <w:tcPr>
            <w:tcW w:w="7623" w:type="dxa"/>
            <w:tcMar>
              <w:left w:w="0" w:type="dxa"/>
            </w:tcMar>
          </w:tcPr>
          <w:p w14:paraId="5AE3F8B4" w14:textId="1B1B09E2" w:rsidR="0058050D" w:rsidRPr="00995C95" w:rsidRDefault="00B704BC" w:rsidP="00B704BC">
            <w:r w:rsidRPr="00995C95">
              <w:t xml:space="preserve">Gross domestic product grew by 1.5% </w:t>
            </w:r>
            <w:r w:rsidR="00062177" w:rsidRPr="00995C95">
              <w:t xml:space="preserve">in the EU </w:t>
            </w:r>
            <w:r w:rsidRPr="00995C95">
              <w:t xml:space="preserve">for the whole </w:t>
            </w:r>
            <w:r w:rsidR="00062177" w:rsidRPr="00995C95">
              <w:t xml:space="preserve">year </w:t>
            </w:r>
            <w:r w:rsidRPr="00995C95">
              <w:t>2025</w:t>
            </w:r>
            <w:r w:rsidR="00061107" w:rsidRPr="00995C95">
              <w:t xml:space="preserve"> and </w:t>
            </w:r>
            <w:r w:rsidRPr="00995C95">
              <w:t>the increase strengthen</w:t>
            </w:r>
            <w:r w:rsidR="00061107" w:rsidRPr="00995C95">
              <w:t xml:space="preserve">ed </w:t>
            </w:r>
            <w:r w:rsidRPr="00995C95">
              <w:t xml:space="preserve">compared to the previous year. Consumption was higher </w:t>
            </w:r>
            <w:r w:rsidR="00685695">
              <w:t xml:space="preserve">and </w:t>
            </w:r>
            <w:r w:rsidRPr="00995C95">
              <w:t xml:space="preserve">investment expenditure </w:t>
            </w:r>
            <w:r w:rsidR="00EA40B7" w:rsidRPr="00995C95">
              <w:t xml:space="preserve">turned </w:t>
            </w:r>
            <w:r w:rsidRPr="00995C95">
              <w:t xml:space="preserve">from decline to growth. On the </w:t>
            </w:r>
            <w:r w:rsidR="00EA40B7" w:rsidRPr="00995C95">
              <w:t>contrary</w:t>
            </w:r>
            <w:r w:rsidRPr="00995C95">
              <w:t xml:space="preserve">, the </w:t>
            </w:r>
            <w:r w:rsidR="00EA40B7" w:rsidRPr="00995C95">
              <w:t xml:space="preserve">international </w:t>
            </w:r>
            <w:r w:rsidRPr="00995C95">
              <w:t xml:space="preserve">trade balance had a negative effect on GDP growth in the EU last year. GDP increased the most in Ireland (12.3%), Malta (4.0%) and Cyprus (3.8%). The economies of Finland (0.2%), Germany (0.2%) and Hungary (0.4%) </w:t>
            </w:r>
            <w:r w:rsidR="003B6309" w:rsidRPr="00995C95">
              <w:t xml:space="preserve">recorded a </w:t>
            </w:r>
            <w:r w:rsidRPr="00995C95">
              <w:t>very weak growth last year.</w:t>
            </w:r>
            <w:r w:rsidR="003B6309" w:rsidRPr="00995C95">
              <w:t xml:space="preserve"> The </w:t>
            </w:r>
            <w:r w:rsidRPr="00995C95">
              <w:t>GDP grew by 0.2%</w:t>
            </w:r>
            <w:r w:rsidR="003B6309" w:rsidRPr="00995C95">
              <w:t>,</w:t>
            </w:r>
            <w:r w:rsidRPr="00995C95">
              <w:t xml:space="preserve"> quarter-on-quarter</w:t>
            </w:r>
            <w:r w:rsidR="003B6309" w:rsidRPr="00995C95">
              <w:t>, in the EU</w:t>
            </w:r>
            <w:r w:rsidR="00944A35" w:rsidRPr="00995C95">
              <w:t xml:space="preserve"> in Q</w:t>
            </w:r>
            <w:r w:rsidR="003B6309" w:rsidRPr="00995C95">
              <w:t>4</w:t>
            </w:r>
            <w:r w:rsidR="00944A35" w:rsidRPr="00995C95">
              <w:t xml:space="preserve"> </w:t>
            </w:r>
            <w:r w:rsidR="003B6309" w:rsidRPr="00995C95">
              <w:t>alone</w:t>
            </w:r>
            <w:r w:rsidRPr="00995C95">
              <w:t xml:space="preserve"> and by 1.4%</w:t>
            </w:r>
            <w:r w:rsidR="00944A35" w:rsidRPr="00995C95">
              <w:t>,</w:t>
            </w:r>
            <w:r w:rsidRPr="00995C95">
              <w:t xml:space="preserve"> year-on-year. </w:t>
            </w:r>
            <w:r w:rsidR="000610D5" w:rsidRPr="00995C95">
              <w:t>Investment and consumption supported the q</w:t>
            </w:r>
            <w:r w:rsidRPr="00995C95">
              <w:t xml:space="preserve">uarter-on-quarter GDP growth </w:t>
            </w:r>
            <w:r w:rsidR="000610D5" w:rsidRPr="00995C95">
              <w:t>in the EU in Q4</w:t>
            </w:r>
            <w:r w:rsidRPr="00995C95">
              <w:t xml:space="preserve">. </w:t>
            </w:r>
            <w:r w:rsidR="00E45D3D" w:rsidRPr="00995C95">
              <w:t>In contrast,</w:t>
            </w:r>
            <w:r w:rsidRPr="00995C95">
              <w:t xml:space="preserve"> the change in inventories had a</w:t>
            </w:r>
            <w:r w:rsidR="002869B8" w:rsidRPr="00995C95">
              <w:t>n</w:t>
            </w:r>
            <w:r w:rsidRPr="00995C95">
              <w:t xml:space="preserve"> </w:t>
            </w:r>
            <w:r w:rsidR="002869B8" w:rsidRPr="00995C95">
              <w:t xml:space="preserve">adverse </w:t>
            </w:r>
            <w:r w:rsidRPr="00995C95">
              <w:t>effect</w:t>
            </w:r>
            <w:r w:rsidR="000B3563" w:rsidRPr="00995C95">
              <w:t xml:space="preserve">, similarly to the </w:t>
            </w:r>
            <w:r w:rsidRPr="00995C95">
              <w:t xml:space="preserve">balance of </w:t>
            </w:r>
            <w:r w:rsidR="002869B8" w:rsidRPr="00995C95">
              <w:t xml:space="preserve">international </w:t>
            </w:r>
            <w:r w:rsidRPr="00995C95">
              <w:t>trade.</w:t>
            </w:r>
            <w:r w:rsidR="006840DA" w:rsidRPr="00995C95">
              <w:t xml:space="preserve"> Majority of </w:t>
            </w:r>
            <w:r w:rsidRPr="00995C95">
              <w:t>EU economies grew</w:t>
            </w:r>
            <w:r w:rsidR="006840DA" w:rsidRPr="00995C95">
              <w:t xml:space="preserve">, quarter-on-quarter, </w:t>
            </w:r>
            <w:r w:rsidR="006840DA" w:rsidRPr="00995C95">
              <w:lastRenderedPageBreak/>
              <w:t>in Q4 2025</w:t>
            </w:r>
            <w:r w:rsidRPr="00995C95">
              <w:t xml:space="preserve">, led by Malta (2.1%), Lithuania (1.7%), Croatia and Cyprus (both 1.4%). Significant quarter-on-quarter GDP </w:t>
            </w:r>
            <w:r w:rsidR="00F8210F" w:rsidRPr="00995C95">
              <w:t xml:space="preserve">downturns </w:t>
            </w:r>
            <w:r w:rsidRPr="00995C95">
              <w:t>were reported in Ireland (−3.8%) and Romania (−1.9%). In addition, GDP fell by 0.1% in Estonia and Luxembourg. The German economy, which is crucial for the development of the entire Central European region a</w:t>
            </w:r>
            <w:r w:rsidR="00074AC2" w:rsidRPr="00995C95">
              <w:t xml:space="preserve">s well as </w:t>
            </w:r>
            <w:r w:rsidR="00CD22D2" w:rsidRPr="00995C95">
              <w:t>several</w:t>
            </w:r>
            <w:r w:rsidRPr="00995C95">
              <w:t xml:space="preserve"> other trading partners in the EU, recovered by 0.3%</w:t>
            </w:r>
            <w:r w:rsidR="00CD22D2" w:rsidRPr="00995C95">
              <w:t>,</w:t>
            </w:r>
            <w:r w:rsidRPr="00995C95">
              <w:t xml:space="preserve"> quarter-on-quarter</w:t>
            </w:r>
            <w:r w:rsidR="00CD22D2" w:rsidRPr="00995C95">
              <w:t>,</w:t>
            </w:r>
            <w:r w:rsidRPr="00995C95">
              <w:t xml:space="preserve"> at the end of the year. Among the Central European countries, Poland grew the strongest in </w:t>
            </w:r>
            <w:r w:rsidR="004E32F5" w:rsidRPr="00995C95">
              <w:t>Q</w:t>
            </w:r>
            <w:r w:rsidRPr="00995C95">
              <w:t>4</w:t>
            </w:r>
            <w:r w:rsidR="004E32F5" w:rsidRPr="00995C95">
              <w:t xml:space="preserve"> </w:t>
            </w:r>
            <w:r w:rsidRPr="00995C95">
              <w:t>(1.0%</w:t>
            </w:r>
            <w:r w:rsidR="00433C0A" w:rsidRPr="00995C95">
              <w:t>,</w:t>
            </w:r>
            <w:r w:rsidRPr="00995C95">
              <w:t xml:space="preserve"> quarter-on-quarter), followed by the Czech Republic (an increase of 0.6% placed us above the EU average). GDP fell only in Romania</w:t>
            </w:r>
            <w:r w:rsidR="001F591A" w:rsidRPr="00995C95">
              <w:t xml:space="preserve">, year-on-year, in Q4 </w:t>
            </w:r>
            <w:r w:rsidRPr="00995C95">
              <w:t xml:space="preserve">(−1.5%). </w:t>
            </w:r>
            <w:r w:rsidR="006658AB" w:rsidRPr="00995C95">
              <w:t xml:space="preserve">The weakest growing </w:t>
            </w:r>
            <w:r w:rsidRPr="00995C95">
              <w:t xml:space="preserve">Finland emerged from the decline (0.3%), Germany recorded its fourth year-on-year growth in a row (0.4%) and Hungary had a 0.6% higher GDP. The increase was also below 1% in Austria, Italy, Estonia and Slovakia. On the </w:t>
            </w:r>
            <w:r w:rsidR="00510A58" w:rsidRPr="00995C95">
              <w:t>contrary</w:t>
            </w:r>
            <w:r w:rsidRPr="00995C95">
              <w:t>, GDP grew the most</w:t>
            </w:r>
            <w:r w:rsidR="00510A58" w:rsidRPr="00995C95">
              <w:t>,</w:t>
            </w:r>
            <w:r w:rsidRPr="00995C95">
              <w:t xml:space="preserve"> year-on-year</w:t>
            </w:r>
            <w:r w:rsidR="00510A58" w:rsidRPr="00995C95">
              <w:t>,</w:t>
            </w:r>
            <w:r w:rsidRPr="00995C95">
              <w:t xml:space="preserve"> in Malta (6.4%), Cyprus (4.5%) and Poland (3.6%).</w:t>
            </w:r>
            <w:r w:rsidR="00CD22D2" w:rsidRPr="00995C95">
              <w:t xml:space="preserve"> </w:t>
            </w:r>
          </w:p>
        </w:tc>
      </w:tr>
      <w:tr w:rsidR="0058050D" w:rsidRPr="00995C95" w14:paraId="03C44C74" w14:textId="77777777" w:rsidTr="00E87182">
        <w:trPr>
          <w:trHeight w:val="145"/>
        </w:trPr>
        <w:tc>
          <w:tcPr>
            <w:tcW w:w="1806" w:type="dxa"/>
            <w:tcMar>
              <w:left w:w="0" w:type="dxa"/>
            </w:tcMar>
          </w:tcPr>
          <w:p w14:paraId="1722AF05" w14:textId="4F93BA8C" w:rsidR="0058050D" w:rsidRPr="00995C95" w:rsidRDefault="006D2CB3" w:rsidP="006D2CB3">
            <w:pPr>
              <w:pStyle w:val="Marginlie"/>
            </w:pPr>
            <w:r w:rsidRPr="00995C95">
              <w:lastRenderedPageBreak/>
              <w:t>Real wage growth strengthened last year.</w:t>
            </w:r>
          </w:p>
        </w:tc>
        <w:tc>
          <w:tcPr>
            <w:tcW w:w="210" w:type="dxa"/>
            <w:tcMar>
              <w:left w:w="0" w:type="dxa"/>
            </w:tcMar>
          </w:tcPr>
          <w:p w14:paraId="28A10BFD" w14:textId="77777777" w:rsidR="0058050D" w:rsidRPr="00995C95" w:rsidRDefault="0058050D" w:rsidP="00E87182">
            <w:pPr>
              <w:pStyle w:val="Textpoznpodarou"/>
              <w:jc w:val="both"/>
              <w:rPr>
                <w:spacing w:val="-4"/>
              </w:rPr>
            </w:pPr>
          </w:p>
        </w:tc>
        <w:tc>
          <w:tcPr>
            <w:tcW w:w="7623" w:type="dxa"/>
            <w:tcMar>
              <w:left w:w="0" w:type="dxa"/>
            </w:tcMar>
          </w:tcPr>
          <w:p w14:paraId="4555B317" w14:textId="1822882E" w:rsidR="0058050D" w:rsidRPr="00995C95" w:rsidRDefault="00EF3A22" w:rsidP="00EF3A22">
            <w:r w:rsidRPr="00995C95">
              <w:t xml:space="preserve">The volume of wages and salaries paid in 2025 </w:t>
            </w:r>
            <w:r w:rsidR="000D3DFB" w:rsidRPr="00995C95">
              <w:t xml:space="preserve">went up </w:t>
            </w:r>
            <w:r w:rsidRPr="00995C95">
              <w:t xml:space="preserve">by 7.9%, with an increase </w:t>
            </w:r>
            <w:r w:rsidR="000D3DFB" w:rsidRPr="00995C95">
              <w:t xml:space="preserve">of </w:t>
            </w:r>
            <w:r w:rsidRPr="00995C95">
              <w:t>employment by 1.1%</w:t>
            </w:r>
            <w:r w:rsidR="003656AF" w:rsidRPr="00995C95">
              <w:rPr>
                <w:rStyle w:val="Znakapoznpodarou"/>
                <w:spacing w:val="-2"/>
              </w:rPr>
              <w:footnoteReference w:id="4"/>
            </w:r>
            <w:r w:rsidRPr="00995C95">
              <w:t xml:space="preserve">. The </w:t>
            </w:r>
            <w:r w:rsidR="008B13FE" w:rsidRPr="00995C95">
              <w:t xml:space="preserve">growth </w:t>
            </w:r>
            <w:r w:rsidRPr="00995C95">
              <w:t>strengthened compared to the previous year. Real wage and salary growth reached 4.8%</w:t>
            </w:r>
            <w:r w:rsidR="00770FC8" w:rsidRPr="00995C95">
              <w:rPr>
                <w:rStyle w:val="Znakapoznpodarou"/>
                <w:spacing w:val="-2"/>
              </w:rPr>
              <w:footnoteReference w:id="5"/>
            </w:r>
            <w:r w:rsidR="00770FC8" w:rsidRPr="00995C95">
              <w:t xml:space="preserve"> </w:t>
            </w:r>
            <w:r w:rsidRPr="00995C95">
              <w:t>in 2025 and was the most significant since 2018. Wages and salaries paid grew across the economy, but the dynamics varied considerably</w:t>
            </w:r>
            <w:r w:rsidR="002B333E" w:rsidRPr="00995C95">
              <w:t xml:space="preserve"> in individual sections</w:t>
            </w:r>
            <w:r w:rsidRPr="00995C95">
              <w:t xml:space="preserve">, as did </w:t>
            </w:r>
            <w:r w:rsidR="002B333E" w:rsidRPr="00995C95">
              <w:t xml:space="preserve">the </w:t>
            </w:r>
            <w:r w:rsidRPr="00995C95">
              <w:t xml:space="preserve">shifts </w:t>
            </w:r>
            <w:r w:rsidR="002B333E" w:rsidRPr="00995C95">
              <w:t>of</w:t>
            </w:r>
            <w:r w:rsidRPr="00995C95">
              <w:t xml:space="preserve"> total employment. Wages and salaries increased the most in real estate activities</w:t>
            </w:r>
            <w:r w:rsidR="00AB63D5" w:rsidRPr="00995C95">
              <w:t xml:space="preserve"> last year</w:t>
            </w:r>
            <w:r w:rsidRPr="00995C95">
              <w:t xml:space="preserve"> (16.5% with an increase </w:t>
            </w:r>
            <w:r w:rsidR="00AB63D5" w:rsidRPr="00995C95">
              <w:t>of</w:t>
            </w:r>
            <w:r w:rsidRPr="00995C95">
              <w:t xml:space="preserve"> employment by 2.6%), in professional, scientific, technical and administrative activities (11.8%, employment 1.3%) and construction (10.2%, employment 2.5%). </w:t>
            </w:r>
            <w:r w:rsidR="00AF2CC1" w:rsidRPr="00995C95">
              <w:t>W</w:t>
            </w:r>
            <w:r w:rsidRPr="00995C95">
              <w:t xml:space="preserve">ages and salaries grew </w:t>
            </w:r>
            <w:r w:rsidR="003000D7" w:rsidRPr="00995C95">
              <w:t>noticeably</w:t>
            </w:r>
            <w:r w:rsidRPr="00995C95">
              <w:t xml:space="preserve"> </w:t>
            </w:r>
            <w:r w:rsidR="005E5E4D" w:rsidRPr="00995C95">
              <w:t>a</w:t>
            </w:r>
            <w:r w:rsidR="00AF2CC1" w:rsidRPr="00995C95">
              <w:t xml:space="preserve">lso in other </w:t>
            </w:r>
            <w:r w:rsidR="00F10823" w:rsidRPr="00995C95">
              <w:t xml:space="preserve">branches of </w:t>
            </w:r>
            <w:r w:rsidR="00AF2CC1" w:rsidRPr="00995C95">
              <w:t>service</w:t>
            </w:r>
            <w:r w:rsidR="00F10823" w:rsidRPr="00995C95">
              <w:t>s</w:t>
            </w:r>
            <w:r w:rsidR="00AF2CC1" w:rsidRPr="00995C95">
              <w:t xml:space="preserve">, </w:t>
            </w:r>
            <w:r w:rsidR="00281FB2" w:rsidRPr="00995C95">
              <w:t>except for</w:t>
            </w:r>
            <w:r w:rsidR="00AF2CC1" w:rsidRPr="00995C95">
              <w:t xml:space="preserve"> financ</w:t>
            </w:r>
            <w:r w:rsidR="00A0406E" w:rsidRPr="00995C95">
              <w:t>ial</w:t>
            </w:r>
            <w:r w:rsidR="00AF2CC1" w:rsidRPr="00995C95">
              <w:t xml:space="preserve"> and insurance</w:t>
            </w:r>
            <w:r w:rsidR="00F10823" w:rsidRPr="00995C95">
              <w:t xml:space="preserve"> activities</w:t>
            </w:r>
            <w:r w:rsidR="00AF2CC1" w:rsidRPr="00995C95">
              <w:t xml:space="preserve"> (4.8% </w:t>
            </w:r>
            <w:r w:rsidR="00281FB2" w:rsidRPr="00995C95">
              <w:t xml:space="preserve">given </w:t>
            </w:r>
            <w:r w:rsidR="00AF2CC1" w:rsidRPr="00995C95">
              <w:t xml:space="preserve">a 0.2% decline </w:t>
            </w:r>
            <w:r w:rsidR="00F10823" w:rsidRPr="00995C95">
              <w:t>of</w:t>
            </w:r>
            <w:r w:rsidR="00AF2CC1" w:rsidRPr="00995C95">
              <w:t xml:space="preserve"> employment)</w:t>
            </w:r>
            <w:r w:rsidR="005E5E4D" w:rsidRPr="00995C95">
              <w:t xml:space="preserve"> and employment also increased here</w:t>
            </w:r>
            <w:r w:rsidRPr="00995C95">
              <w:t xml:space="preserve">. </w:t>
            </w:r>
            <w:r w:rsidR="00F05F7E" w:rsidRPr="00995C95">
              <w:t>W</w:t>
            </w:r>
            <w:r w:rsidRPr="00995C95">
              <w:t>ages and salaries increased by 8.4% (employment by 1.0%)</w:t>
            </w:r>
            <w:r w:rsidR="00F05F7E" w:rsidRPr="00995C95">
              <w:t xml:space="preserve"> in the group </w:t>
            </w:r>
            <w:r w:rsidR="00064C17" w:rsidRPr="00995C95">
              <w:t xml:space="preserve">of economic activities </w:t>
            </w:r>
            <w:r w:rsidR="00F05F7E" w:rsidRPr="00995C95">
              <w:t xml:space="preserve">trade, transport, accommodation and </w:t>
            </w:r>
            <w:r w:rsidR="00064C17" w:rsidRPr="00995C95">
              <w:t>restaurants</w:t>
            </w:r>
            <w:r w:rsidRPr="00995C95">
              <w:t>,</w:t>
            </w:r>
            <w:r w:rsidR="00787E2A" w:rsidRPr="00995C95">
              <w:t xml:space="preserve"> by 8.4%</w:t>
            </w:r>
            <w:r w:rsidRPr="00995C95">
              <w:t xml:space="preserve"> in public administration, education, and social work</w:t>
            </w:r>
            <w:r w:rsidR="00154F9D" w:rsidRPr="00995C95">
              <w:t xml:space="preserve"> </w:t>
            </w:r>
            <w:r w:rsidRPr="00995C95">
              <w:t>(employment by 1.8%),</w:t>
            </w:r>
            <w:r w:rsidR="00673247" w:rsidRPr="00995C95">
              <w:t xml:space="preserve"> b</w:t>
            </w:r>
            <w:r w:rsidRPr="00995C95">
              <w:t>y 7.9%</w:t>
            </w:r>
            <w:r w:rsidR="00673247" w:rsidRPr="00995C95">
              <w:t xml:space="preserve"> in other activities</w:t>
            </w:r>
            <w:r w:rsidR="00673247" w:rsidRPr="00995C95">
              <w:rPr>
                <w:rStyle w:val="Znakapoznpodarou"/>
                <w:spacing w:val="-2"/>
              </w:rPr>
              <w:footnoteReference w:id="6"/>
            </w:r>
            <w:r w:rsidRPr="00995C95">
              <w:t xml:space="preserve"> (employment by 4.2%) and</w:t>
            </w:r>
            <w:r w:rsidR="00673247" w:rsidRPr="00995C95">
              <w:t xml:space="preserve"> by 7.8%</w:t>
            </w:r>
            <w:r w:rsidRPr="00995C95">
              <w:t xml:space="preserve"> in information and communication</w:t>
            </w:r>
            <w:r w:rsidR="00673247" w:rsidRPr="00995C95">
              <w:t xml:space="preserve"> </w:t>
            </w:r>
            <w:r w:rsidRPr="00995C95">
              <w:t xml:space="preserve">(employment by 0.5%). </w:t>
            </w:r>
            <w:r w:rsidR="00CD6C83" w:rsidRPr="00995C95">
              <w:t>In contrast</w:t>
            </w:r>
            <w:r w:rsidRPr="00995C95">
              <w:t xml:space="preserve">, the </w:t>
            </w:r>
            <w:r w:rsidR="00CD6C83" w:rsidRPr="00995C95">
              <w:t xml:space="preserve">slump </w:t>
            </w:r>
            <w:r w:rsidRPr="00995C95">
              <w:t>was evident in industry, where wages and salaries paid increased by 5.1%</w:t>
            </w:r>
            <w:r w:rsidR="00A0406E" w:rsidRPr="00995C95">
              <w:t>,</w:t>
            </w:r>
            <w:r w:rsidRPr="00995C95">
              <w:t xml:space="preserve"> while employment fell by 0.3%.</w:t>
            </w:r>
            <w:r w:rsidR="00770FC8" w:rsidRPr="00995C95">
              <w:t xml:space="preserve"> </w:t>
            </w:r>
          </w:p>
        </w:tc>
      </w:tr>
      <w:tr w:rsidR="0058050D" w:rsidRPr="00995C95" w14:paraId="0BC9A150" w14:textId="77777777" w:rsidTr="00E87182">
        <w:trPr>
          <w:trHeight w:val="145"/>
        </w:trPr>
        <w:tc>
          <w:tcPr>
            <w:tcW w:w="1806" w:type="dxa"/>
            <w:tcMar>
              <w:left w:w="0" w:type="dxa"/>
            </w:tcMar>
          </w:tcPr>
          <w:p w14:paraId="1CB5C27A" w14:textId="67A6BEC5" w:rsidR="0058050D" w:rsidRPr="00995C95" w:rsidRDefault="00FD4A5D" w:rsidP="00FD4A5D">
            <w:pPr>
              <w:pStyle w:val="Marginlie"/>
            </w:pPr>
            <w:r w:rsidRPr="00995C95">
              <w:t>The end of the year brought an acceleration</w:t>
            </w:r>
            <w:r w:rsidR="006057BE" w:rsidRPr="00995C95">
              <w:t xml:space="preserve"> of </w:t>
            </w:r>
            <w:r w:rsidRPr="00995C95">
              <w:t>wage and salary growth.</w:t>
            </w:r>
            <w:r w:rsidR="008E6F24" w:rsidRPr="00995C95">
              <w:t xml:space="preserve"> </w:t>
            </w:r>
          </w:p>
        </w:tc>
        <w:tc>
          <w:tcPr>
            <w:tcW w:w="210" w:type="dxa"/>
            <w:tcMar>
              <w:left w:w="0" w:type="dxa"/>
            </w:tcMar>
          </w:tcPr>
          <w:p w14:paraId="03F28EFA" w14:textId="77777777" w:rsidR="0058050D" w:rsidRPr="00995C95" w:rsidRDefault="0058050D" w:rsidP="00E87182">
            <w:pPr>
              <w:pStyle w:val="Textpoznpodarou"/>
              <w:jc w:val="both"/>
              <w:rPr>
                <w:spacing w:val="-4"/>
              </w:rPr>
            </w:pPr>
          </w:p>
        </w:tc>
        <w:tc>
          <w:tcPr>
            <w:tcW w:w="7623" w:type="dxa"/>
            <w:tcMar>
              <w:left w:w="0" w:type="dxa"/>
            </w:tcMar>
          </w:tcPr>
          <w:p w14:paraId="0B63B955" w14:textId="42668539" w:rsidR="0058050D" w:rsidRPr="00995C95" w:rsidRDefault="006057BE" w:rsidP="009A795A">
            <w:r w:rsidRPr="00995C95">
              <w:t>Y</w:t>
            </w:r>
            <w:r w:rsidR="009A795A" w:rsidRPr="00995C95">
              <w:t xml:space="preserve">ear-on-year growth </w:t>
            </w:r>
            <w:r w:rsidRPr="00995C95">
              <w:t>of</w:t>
            </w:r>
            <w:r w:rsidR="009A795A" w:rsidRPr="00995C95">
              <w:t xml:space="preserve"> wages and salaries paid strengthened to 8.8%</w:t>
            </w:r>
            <w:r w:rsidRPr="00995C95">
              <w:t xml:space="preserve"> in Q4 alone</w:t>
            </w:r>
            <w:r w:rsidR="009A795A" w:rsidRPr="00995C95">
              <w:t xml:space="preserve"> (with employment growth of 1.0%), the highest since Q2 2023. Quarter-on-quarter, wages and salaries increased by a significant 2.7% and employment remained the same. In real terms, wages and salaries increased by 6.1%</w:t>
            </w:r>
            <w:r w:rsidR="00F160D4" w:rsidRPr="00995C95">
              <w:rPr>
                <w:rStyle w:val="Znakapoznpodarou"/>
              </w:rPr>
              <w:footnoteReference w:id="7"/>
            </w:r>
            <w:r w:rsidR="00F160D4" w:rsidRPr="00995C95">
              <w:t xml:space="preserve">, </w:t>
            </w:r>
            <w:r w:rsidR="009A795A" w:rsidRPr="00995C95">
              <w:t>year-on-year</w:t>
            </w:r>
            <w:r w:rsidR="00F160D4" w:rsidRPr="00995C95">
              <w:t>,</w:t>
            </w:r>
            <w:r w:rsidR="009A795A" w:rsidRPr="00995C95">
              <w:t xml:space="preserve"> and by 2.2%</w:t>
            </w:r>
            <w:r w:rsidR="00F160D4" w:rsidRPr="00995C95">
              <w:t>,</w:t>
            </w:r>
            <w:r w:rsidR="009A795A" w:rsidRPr="00995C95">
              <w:t xml:space="preserve"> quarter-on-quarter</w:t>
            </w:r>
            <w:r w:rsidR="00F160D4" w:rsidRPr="00995C95">
              <w:t>,</w:t>
            </w:r>
            <w:r w:rsidR="009A795A" w:rsidRPr="00995C95">
              <w:t xml:space="preserve"> in Q4. Quarter-on-quarter, wages and salaries increased the most in other activities (6.9%, employment by 4.5%), in real estate activities (4.2%, employment by 5.1%) and in public administration, education, </w:t>
            </w:r>
            <w:r w:rsidR="002F266A" w:rsidRPr="00995C95">
              <w:t xml:space="preserve">human </w:t>
            </w:r>
            <w:r w:rsidR="00E239CE" w:rsidRPr="00995C95">
              <w:t>h</w:t>
            </w:r>
            <w:r w:rsidR="009A795A" w:rsidRPr="00995C95">
              <w:t>ealth and social work</w:t>
            </w:r>
            <w:r w:rsidR="002F266A" w:rsidRPr="00995C95">
              <w:t xml:space="preserve"> activities</w:t>
            </w:r>
            <w:r w:rsidR="00E239CE" w:rsidRPr="00995C95">
              <w:t xml:space="preserve"> </w:t>
            </w:r>
            <w:r w:rsidR="009A795A" w:rsidRPr="00995C95">
              <w:t xml:space="preserve">(3.8%, employment was unchanged). The quarter-on-quarter increase </w:t>
            </w:r>
            <w:r w:rsidR="00911F27" w:rsidRPr="00995C95">
              <w:t>of</w:t>
            </w:r>
            <w:r w:rsidR="009A795A" w:rsidRPr="00995C95">
              <w:t xml:space="preserve"> paid wages and salaries was slightly below the </w:t>
            </w:r>
            <w:r w:rsidR="00911F27" w:rsidRPr="00995C95">
              <w:t>total a</w:t>
            </w:r>
            <w:r w:rsidR="009A795A" w:rsidRPr="00995C95">
              <w:t xml:space="preserve">verage in construction, trade, transport, accommodation and </w:t>
            </w:r>
            <w:r w:rsidR="00A0406E" w:rsidRPr="00995C95">
              <w:t xml:space="preserve">food service activities </w:t>
            </w:r>
            <w:r w:rsidR="009A795A" w:rsidRPr="00995C95">
              <w:t>and in information and communication</w:t>
            </w:r>
            <w:r w:rsidR="0046474F" w:rsidRPr="00995C95">
              <w:t xml:space="preserve"> </w:t>
            </w:r>
            <w:r w:rsidR="009A795A" w:rsidRPr="00995C95">
              <w:t xml:space="preserve">(both 2.3%, in the last two the slight growth was also due to a decline </w:t>
            </w:r>
            <w:r w:rsidR="00FB6BEB" w:rsidRPr="00995C95">
              <w:t>of</w:t>
            </w:r>
            <w:r w:rsidR="009A795A" w:rsidRPr="00995C95">
              <w:t xml:space="preserve"> employment). </w:t>
            </w:r>
            <w:r w:rsidR="009E33BB" w:rsidRPr="00995C95">
              <w:t>W</w:t>
            </w:r>
            <w:r w:rsidR="009A795A" w:rsidRPr="00995C95">
              <w:t xml:space="preserve">age growth rebounded after a weak </w:t>
            </w:r>
            <w:r w:rsidR="009E33BB" w:rsidRPr="00995C95">
              <w:t xml:space="preserve">Q3 </w:t>
            </w:r>
            <w:r w:rsidR="009A795A" w:rsidRPr="00995C95">
              <w:t>(2.3% with almost unchanged employment)</w:t>
            </w:r>
            <w:r w:rsidR="009E33BB" w:rsidRPr="00995C95">
              <w:t xml:space="preserve"> in industry</w:t>
            </w:r>
            <w:r w:rsidR="009A795A" w:rsidRPr="00995C95">
              <w:t xml:space="preserve">. </w:t>
            </w:r>
            <w:r w:rsidR="00652C41" w:rsidRPr="00995C95">
              <w:t>Q</w:t>
            </w:r>
            <w:r w:rsidR="009A795A" w:rsidRPr="00995C95">
              <w:t xml:space="preserve">uarter-on-quarter decline </w:t>
            </w:r>
            <w:r w:rsidR="00652C41" w:rsidRPr="00995C95">
              <w:t>of</w:t>
            </w:r>
            <w:r w:rsidR="009A795A" w:rsidRPr="00995C95">
              <w:t xml:space="preserve"> wages and salaries was recorded only in financ</w:t>
            </w:r>
            <w:r w:rsidR="00652C41" w:rsidRPr="00995C95">
              <w:t xml:space="preserve">ial </w:t>
            </w:r>
            <w:r w:rsidR="009A795A" w:rsidRPr="00995C95">
              <w:t>and insurance</w:t>
            </w:r>
            <w:r w:rsidR="00652C41" w:rsidRPr="00995C95">
              <w:t xml:space="preserve"> activities</w:t>
            </w:r>
            <w:r w:rsidR="009A795A" w:rsidRPr="00995C95">
              <w:t xml:space="preserve"> (−0.8%, employment −1.2%). Wages and salaries </w:t>
            </w:r>
            <w:r w:rsidR="00E908FB" w:rsidRPr="00995C95">
              <w:t xml:space="preserve">were raised </w:t>
            </w:r>
            <w:r w:rsidR="009A795A" w:rsidRPr="00995C95">
              <w:t>the most</w:t>
            </w:r>
            <w:r w:rsidR="00E908FB" w:rsidRPr="00995C95">
              <w:t>,</w:t>
            </w:r>
            <w:r w:rsidR="009A795A" w:rsidRPr="00995C95">
              <w:t xml:space="preserve"> year-on-year</w:t>
            </w:r>
            <w:r w:rsidR="00E908FB" w:rsidRPr="00995C95">
              <w:t>,</w:t>
            </w:r>
            <w:r w:rsidR="009A795A" w:rsidRPr="00995C95">
              <w:t xml:space="preserve"> in real estate activities (15.2%), in professional, scientific, technical and administrative activities (12.6%) and in construction (11.2%). On the </w:t>
            </w:r>
            <w:r w:rsidR="00BE2D99" w:rsidRPr="00995C95">
              <w:t>contrary,</w:t>
            </w:r>
            <w:r w:rsidR="009A795A" w:rsidRPr="00995C95">
              <w:t xml:space="preserve"> wage and salary growth was weak</w:t>
            </w:r>
            <w:r w:rsidR="00AA0591" w:rsidRPr="00995C95">
              <w:t xml:space="preserve"> in financial and insurance activities</w:t>
            </w:r>
            <w:r w:rsidR="009A795A" w:rsidRPr="00995C95">
              <w:t xml:space="preserve"> </w:t>
            </w:r>
            <w:r w:rsidR="009A795A" w:rsidRPr="00995C95">
              <w:lastRenderedPageBreak/>
              <w:t>(3.9%</w:t>
            </w:r>
            <w:proofErr w:type="gramStart"/>
            <w:r w:rsidR="009A795A" w:rsidRPr="00995C95">
              <w:t>)</w:t>
            </w:r>
            <w:proofErr w:type="gramEnd"/>
            <w:r w:rsidR="009A795A" w:rsidRPr="00995C95">
              <w:t xml:space="preserve"> and, despite the acceleration, wage growth also remained below average in industry (6.0%)</w:t>
            </w:r>
            <w:r w:rsidR="004307FC">
              <w:t>.</w:t>
            </w:r>
          </w:p>
        </w:tc>
      </w:tr>
      <w:tr w:rsidR="0058050D" w:rsidRPr="00995C95" w14:paraId="5C6E7D10" w14:textId="77777777" w:rsidTr="00E87182">
        <w:trPr>
          <w:trHeight w:val="145"/>
        </w:trPr>
        <w:tc>
          <w:tcPr>
            <w:tcW w:w="1806" w:type="dxa"/>
            <w:tcMar>
              <w:left w:w="0" w:type="dxa"/>
            </w:tcMar>
          </w:tcPr>
          <w:p w14:paraId="513E2CB7" w14:textId="3560B4EB" w:rsidR="0058050D" w:rsidRPr="00995C95" w:rsidRDefault="00911F27" w:rsidP="00911F27">
            <w:pPr>
              <w:pStyle w:val="Marginlie"/>
            </w:pPr>
            <w:r w:rsidRPr="00995C95">
              <w:lastRenderedPageBreak/>
              <w:t>Household consumption grew significantly.</w:t>
            </w:r>
            <w:r w:rsidR="004B3545" w:rsidRPr="00995C95">
              <w:t xml:space="preserve"> </w:t>
            </w:r>
          </w:p>
        </w:tc>
        <w:tc>
          <w:tcPr>
            <w:tcW w:w="210" w:type="dxa"/>
            <w:tcMar>
              <w:left w:w="0" w:type="dxa"/>
            </w:tcMar>
          </w:tcPr>
          <w:p w14:paraId="59463A3A" w14:textId="77777777" w:rsidR="0058050D" w:rsidRPr="00995C95" w:rsidRDefault="0058050D" w:rsidP="00E87182">
            <w:pPr>
              <w:pStyle w:val="Textpoznpodarou"/>
              <w:jc w:val="both"/>
              <w:rPr>
                <w:spacing w:val="-4"/>
              </w:rPr>
            </w:pPr>
          </w:p>
        </w:tc>
        <w:tc>
          <w:tcPr>
            <w:tcW w:w="7623" w:type="dxa"/>
            <w:tcMar>
              <w:left w:w="0" w:type="dxa"/>
            </w:tcMar>
          </w:tcPr>
          <w:p w14:paraId="7634A36D" w14:textId="34E2A204" w:rsidR="0058050D" w:rsidRPr="00995C95" w:rsidRDefault="00B2724A" w:rsidP="00B2724A">
            <w:pPr>
              <w:rPr>
                <w:spacing w:val="-2"/>
              </w:rPr>
            </w:pPr>
            <w:r w:rsidRPr="00995C95">
              <w:rPr>
                <w:spacing w:val="-2"/>
              </w:rPr>
              <w:t>Final consumption expenditure increased by 2.8% in real terms</w:t>
            </w:r>
            <w:r w:rsidR="005015F6" w:rsidRPr="00995C95">
              <w:rPr>
                <w:spacing w:val="-2"/>
              </w:rPr>
              <w:t xml:space="preserve"> </w:t>
            </w:r>
            <w:r w:rsidR="00420CFF" w:rsidRPr="00995C95">
              <w:rPr>
                <w:spacing w:val="-2"/>
              </w:rPr>
              <w:t>for the whole year 2025</w:t>
            </w:r>
            <w:r w:rsidRPr="00995C95">
              <w:rPr>
                <w:spacing w:val="-2"/>
              </w:rPr>
              <w:t xml:space="preserve">. </w:t>
            </w:r>
            <w:r w:rsidR="00420CFF" w:rsidRPr="00995C95">
              <w:rPr>
                <w:spacing w:val="-2"/>
              </w:rPr>
              <w:t>H</w:t>
            </w:r>
            <w:r w:rsidRPr="00995C95">
              <w:rPr>
                <w:spacing w:val="-2"/>
              </w:rPr>
              <w:t>ousehold consumption strengthened significantly (3.0%)</w:t>
            </w:r>
            <w:r w:rsidR="001B1DB9" w:rsidRPr="00995C95">
              <w:rPr>
                <w:spacing w:val="-2"/>
              </w:rPr>
              <w:t xml:space="preserve"> </w:t>
            </w:r>
            <w:r w:rsidRPr="00995C95">
              <w:rPr>
                <w:spacing w:val="-2"/>
              </w:rPr>
              <w:t xml:space="preserve">and, conversely, growth </w:t>
            </w:r>
            <w:r w:rsidR="008715A3" w:rsidRPr="00995C95">
              <w:rPr>
                <w:spacing w:val="-2"/>
              </w:rPr>
              <w:t>of</w:t>
            </w:r>
            <w:r w:rsidRPr="00995C95">
              <w:rPr>
                <w:spacing w:val="-2"/>
              </w:rPr>
              <w:t xml:space="preserve"> government expenditure weakened (2.2%)</w:t>
            </w:r>
            <w:r w:rsidR="001B1DB9" w:rsidRPr="00995C95">
              <w:rPr>
                <w:spacing w:val="-2"/>
              </w:rPr>
              <w:t xml:space="preserve"> last year</w:t>
            </w:r>
            <w:r w:rsidRPr="00995C95">
              <w:rPr>
                <w:spacing w:val="-2"/>
              </w:rPr>
              <w:t xml:space="preserve">, </w:t>
            </w:r>
            <w:r w:rsidR="007C17A1" w:rsidRPr="00995C95">
              <w:rPr>
                <w:spacing w:val="-2"/>
              </w:rPr>
              <w:t xml:space="preserve">thus </w:t>
            </w:r>
            <w:r w:rsidRPr="00995C95">
              <w:rPr>
                <w:spacing w:val="-2"/>
              </w:rPr>
              <w:t xml:space="preserve">resulting in a total increase </w:t>
            </w:r>
            <w:r w:rsidR="008715A3" w:rsidRPr="00995C95">
              <w:rPr>
                <w:spacing w:val="-2"/>
              </w:rPr>
              <w:t>of</w:t>
            </w:r>
            <w:r w:rsidRPr="00995C95">
              <w:rPr>
                <w:spacing w:val="-2"/>
              </w:rPr>
              <w:t xml:space="preserve"> consumption similar to </w:t>
            </w:r>
            <w:r w:rsidR="007C17A1" w:rsidRPr="00995C95">
              <w:rPr>
                <w:spacing w:val="-2"/>
              </w:rPr>
              <w:t xml:space="preserve">year </w:t>
            </w:r>
            <w:r w:rsidRPr="00995C95">
              <w:rPr>
                <w:spacing w:val="-2"/>
              </w:rPr>
              <w:t>2024. A</w:t>
            </w:r>
            <w:r w:rsidR="00D458AD" w:rsidRPr="00995C95">
              <w:rPr>
                <w:spacing w:val="-2"/>
              </w:rPr>
              <w:t xml:space="preserve">n insight into </w:t>
            </w:r>
            <w:r w:rsidRPr="00995C95">
              <w:rPr>
                <w:spacing w:val="-2"/>
              </w:rPr>
              <w:t>consumption</w:t>
            </w:r>
            <w:r w:rsidR="00D458AD" w:rsidRPr="00995C95">
              <w:rPr>
                <w:spacing w:val="-2"/>
              </w:rPr>
              <w:t xml:space="preserve"> trends</w:t>
            </w:r>
            <w:r w:rsidRPr="00995C95">
              <w:rPr>
                <w:spacing w:val="-2"/>
              </w:rPr>
              <w:t xml:space="preserve"> in terms of durability</w:t>
            </w:r>
            <w:r w:rsidR="006F12E9" w:rsidRPr="00995C95">
              <w:rPr>
                <w:rStyle w:val="Znakapoznpodarou"/>
              </w:rPr>
              <w:footnoteReference w:id="8"/>
            </w:r>
            <w:r w:rsidRPr="00995C95">
              <w:rPr>
                <w:spacing w:val="-2"/>
              </w:rPr>
              <w:t xml:space="preserve"> shows that there was a strengthening </w:t>
            </w:r>
            <w:r w:rsidR="006E3C21" w:rsidRPr="00995C95">
              <w:rPr>
                <w:spacing w:val="-2"/>
              </w:rPr>
              <w:t xml:space="preserve">of </w:t>
            </w:r>
            <w:r w:rsidRPr="00995C95">
              <w:rPr>
                <w:spacing w:val="-2"/>
              </w:rPr>
              <w:t xml:space="preserve">growth </w:t>
            </w:r>
            <w:r w:rsidR="00182C10" w:rsidRPr="00995C95">
              <w:rPr>
                <w:spacing w:val="-2"/>
              </w:rPr>
              <w:t>of</w:t>
            </w:r>
            <w:r w:rsidRPr="00995C95">
              <w:rPr>
                <w:spacing w:val="-2"/>
              </w:rPr>
              <w:t xml:space="preserve"> expenditure on long-term (1.0%), medium-term (2.1%) and short-term consumption (3.8%)</w:t>
            </w:r>
            <w:r w:rsidR="00182C10" w:rsidRPr="00995C95">
              <w:rPr>
                <w:spacing w:val="-2"/>
              </w:rPr>
              <w:t xml:space="preserve"> last year</w:t>
            </w:r>
            <w:r w:rsidRPr="00995C95">
              <w:rPr>
                <w:spacing w:val="-2"/>
              </w:rPr>
              <w:t xml:space="preserve">. The dynamics of consumption of services remained stable (2.8%). After a weaker </w:t>
            </w:r>
            <w:r w:rsidR="00E3680C" w:rsidRPr="00995C95">
              <w:rPr>
                <w:spacing w:val="-2"/>
              </w:rPr>
              <w:t>Q</w:t>
            </w:r>
            <w:r w:rsidRPr="00995C95">
              <w:rPr>
                <w:spacing w:val="-2"/>
              </w:rPr>
              <w:t>3</w:t>
            </w:r>
            <w:r w:rsidR="00E3680C" w:rsidRPr="00995C95">
              <w:rPr>
                <w:spacing w:val="-2"/>
              </w:rPr>
              <w:t>, c</w:t>
            </w:r>
            <w:r w:rsidRPr="00995C95">
              <w:rPr>
                <w:spacing w:val="-2"/>
              </w:rPr>
              <w:t>onsumption increased by a significant 1.2%</w:t>
            </w:r>
            <w:r w:rsidR="00ED0A16" w:rsidRPr="00995C95">
              <w:rPr>
                <w:spacing w:val="-2"/>
              </w:rPr>
              <w:t>,</w:t>
            </w:r>
            <w:r w:rsidRPr="00995C95">
              <w:rPr>
                <w:spacing w:val="-2"/>
              </w:rPr>
              <w:t xml:space="preserve"> quarter-on-quarter,</w:t>
            </w:r>
            <w:r w:rsidR="00ED0A16" w:rsidRPr="00995C95">
              <w:rPr>
                <w:spacing w:val="-2"/>
              </w:rPr>
              <w:t xml:space="preserve"> </w:t>
            </w:r>
            <w:r w:rsidR="00E3680C" w:rsidRPr="00995C95">
              <w:rPr>
                <w:spacing w:val="-2"/>
              </w:rPr>
              <w:t>in the final quarter of the year,</w:t>
            </w:r>
            <w:r w:rsidR="00ED0A16" w:rsidRPr="00995C95">
              <w:rPr>
                <w:spacing w:val="-2"/>
              </w:rPr>
              <w:t xml:space="preserve"> </w:t>
            </w:r>
            <w:r w:rsidRPr="00995C95">
              <w:rPr>
                <w:spacing w:val="-2"/>
              </w:rPr>
              <w:t xml:space="preserve">mainly due to a recovery </w:t>
            </w:r>
            <w:r w:rsidR="000913C1" w:rsidRPr="00995C95">
              <w:rPr>
                <w:spacing w:val="-2"/>
              </w:rPr>
              <w:t xml:space="preserve">for </w:t>
            </w:r>
            <w:r w:rsidRPr="00995C95">
              <w:rPr>
                <w:spacing w:val="-2"/>
              </w:rPr>
              <w:t>households (1.3%). Consumption was 3.0% higher</w:t>
            </w:r>
            <w:r w:rsidR="00F36977" w:rsidRPr="00995C95">
              <w:rPr>
                <w:spacing w:val="-2"/>
              </w:rPr>
              <w:t>,</w:t>
            </w:r>
            <w:r w:rsidRPr="00995C95">
              <w:rPr>
                <w:spacing w:val="-2"/>
              </w:rPr>
              <w:t xml:space="preserve"> year-on-year</w:t>
            </w:r>
            <w:r w:rsidR="00F36977" w:rsidRPr="00995C95">
              <w:rPr>
                <w:spacing w:val="-2"/>
              </w:rPr>
              <w:t>,</w:t>
            </w:r>
            <w:r w:rsidRPr="00995C95">
              <w:rPr>
                <w:spacing w:val="-2"/>
              </w:rPr>
              <w:t xml:space="preserve"> in Q4 (households 3.2%, general government 2.5%). </w:t>
            </w:r>
            <w:r w:rsidR="008F5E37" w:rsidRPr="00995C95">
              <w:rPr>
                <w:spacing w:val="-2"/>
              </w:rPr>
              <w:t>Qu</w:t>
            </w:r>
            <w:r w:rsidRPr="00995C95">
              <w:rPr>
                <w:spacing w:val="-2"/>
              </w:rPr>
              <w:t xml:space="preserve">arter-on-quarter (1.9%) and year-on-year (4.2%) growth </w:t>
            </w:r>
            <w:r w:rsidR="008F5E37" w:rsidRPr="00995C95">
              <w:rPr>
                <w:spacing w:val="-2"/>
              </w:rPr>
              <w:t>of</w:t>
            </w:r>
            <w:r w:rsidRPr="00995C95">
              <w:rPr>
                <w:spacing w:val="-2"/>
              </w:rPr>
              <w:t xml:space="preserve"> services consumption strengthened</w:t>
            </w:r>
            <w:r w:rsidR="008F5E37" w:rsidRPr="00995C95">
              <w:rPr>
                <w:spacing w:val="-2"/>
              </w:rPr>
              <w:t xml:space="preserve"> at the end of year 2025</w:t>
            </w:r>
            <w:r w:rsidRPr="00995C95">
              <w:rPr>
                <w:spacing w:val="-2"/>
              </w:rPr>
              <w:t xml:space="preserve">. Short-term consumption also contributed to the quarter-on-quarter increase </w:t>
            </w:r>
            <w:r w:rsidR="00833F17" w:rsidRPr="00995C95">
              <w:rPr>
                <w:spacing w:val="-2"/>
              </w:rPr>
              <w:t>of</w:t>
            </w:r>
            <w:r w:rsidRPr="00995C95">
              <w:rPr>
                <w:spacing w:val="-2"/>
              </w:rPr>
              <w:t xml:space="preserve"> household consumption (0.9%, 3.1%</w:t>
            </w:r>
            <w:r w:rsidR="00ED40FA" w:rsidRPr="00995C95">
              <w:rPr>
                <w:spacing w:val="-2"/>
              </w:rPr>
              <w:t>,</w:t>
            </w:r>
            <w:r w:rsidRPr="00995C95">
              <w:rPr>
                <w:spacing w:val="-2"/>
              </w:rPr>
              <w:t xml:space="preserve"> year-on-year). </w:t>
            </w:r>
            <w:r w:rsidR="006C0E68" w:rsidRPr="00995C95">
              <w:rPr>
                <w:spacing w:val="-2"/>
              </w:rPr>
              <w:t>C</w:t>
            </w:r>
            <w:r w:rsidR="00DB6035" w:rsidRPr="00995C95">
              <w:rPr>
                <w:spacing w:val="-2"/>
              </w:rPr>
              <w:t>o</w:t>
            </w:r>
            <w:r w:rsidRPr="00995C95">
              <w:rPr>
                <w:spacing w:val="-2"/>
              </w:rPr>
              <w:t>nsumption</w:t>
            </w:r>
            <w:r w:rsidR="00DB6035" w:rsidRPr="00995C95">
              <w:rPr>
                <w:spacing w:val="-2"/>
              </w:rPr>
              <w:t xml:space="preserve"> of durable goods in</w:t>
            </w:r>
            <w:r w:rsidRPr="00995C95">
              <w:rPr>
                <w:spacing w:val="-2"/>
              </w:rPr>
              <w:t>creased only slightly</w:t>
            </w:r>
            <w:r w:rsidR="00DB6035" w:rsidRPr="00995C95">
              <w:rPr>
                <w:spacing w:val="-2"/>
              </w:rPr>
              <w:t>,</w:t>
            </w:r>
            <w:r w:rsidRPr="00995C95">
              <w:rPr>
                <w:spacing w:val="-2"/>
              </w:rPr>
              <w:t xml:space="preserve"> quarter-on-quarter (0.2%</w:t>
            </w:r>
            <w:r w:rsidR="00DB6035" w:rsidRPr="00995C95">
              <w:rPr>
                <w:spacing w:val="-2"/>
              </w:rPr>
              <w:t>;</w:t>
            </w:r>
            <w:r w:rsidRPr="00995C95">
              <w:rPr>
                <w:spacing w:val="-2"/>
              </w:rPr>
              <w:t xml:space="preserve"> 2.3%</w:t>
            </w:r>
            <w:r w:rsidR="00DB6035" w:rsidRPr="00995C95">
              <w:rPr>
                <w:spacing w:val="-2"/>
              </w:rPr>
              <w:t>,</w:t>
            </w:r>
            <w:r w:rsidRPr="00995C95">
              <w:rPr>
                <w:spacing w:val="-2"/>
              </w:rPr>
              <w:t xml:space="preserve"> y</w:t>
            </w:r>
            <w:r w:rsidR="00DB6035" w:rsidRPr="00995C95">
              <w:rPr>
                <w:spacing w:val="-2"/>
              </w:rPr>
              <w:t>ear-on-year</w:t>
            </w:r>
            <w:r w:rsidRPr="00995C95">
              <w:rPr>
                <w:spacing w:val="-2"/>
              </w:rPr>
              <w:t>) and consumption</w:t>
            </w:r>
            <w:r w:rsidR="0050385E" w:rsidRPr="00995C95">
              <w:rPr>
                <w:spacing w:val="-2"/>
              </w:rPr>
              <w:t xml:space="preserve"> of semi-durables </w:t>
            </w:r>
            <w:r w:rsidRPr="00995C95">
              <w:rPr>
                <w:spacing w:val="-2"/>
              </w:rPr>
              <w:t>dec</w:t>
            </w:r>
            <w:r w:rsidR="009C7240" w:rsidRPr="00995C95">
              <w:rPr>
                <w:spacing w:val="-2"/>
              </w:rPr>
              <w:t xml:space="preserve">reased </w:t>
            </w:r>
            <w:r w:rsidRPr="00995C95">
              <w:rPr>
                <w:spacing w:val="-2"/>
              </w:rPr>
              <w:t>(−0.7%</w:t>
            </w:r>
            <w:r w:rsidR="009C7240" w:rsidRPr="00995C95">
              <w:rPr>
                <w:spacing w:val="-2"/>
              </w:rPr>
              <w:t>;</w:t>
            </w:r>
            <w:r w:rsidRPr="00995C95">
              <w:rPr>
                <w:spacing w:val="-2"/>
              </w:rPr>
              <w:t xml:space="preserve"> 2.1%</w:t>
            </w:r>
            <w:r w:rsidR="006E3C21" w:rsidRPr="00995C95">
              <w:rPr>
                <w:spacing w:val="-2"/>
              </w:rPr>
              <w:t>,</w:t>
            </w:r>
            <w:r w:rsidR="009C7240" w:rsidRPr="00995C95">
              <w:rPr>
                <w:spacing w:val="-2"/>
              </w:rPr>
              <w:t xml:space="preserve"> year-on-year</w:t>
            </w:r>
            <w:r w:rsidRPr="00995C95">
              <w:rPr>
                <w:spacing w:val="-2"/>
              </w:rPr>
              <w:t>).</w:t>
            </w:r>
            <w:r w:rsidR="0058050D" w:rsidRPr="00995C95">
              <w:rPr>
                <w:spacing w:val="-2"/>
              </w:rPr>
              <w:t xml:space="preserve">  </w:t>
            </w:r>
          </w:p>
        </w:tc>
      </w:tr>
      <w:tr w:rsidR="0058050D" w:rsidRPr="00995C95" w14:paraId="5CB761C6" w14:textId="77777777" w:rsidTr="00E87182">
        <w:trPr>
          <w:trHeight w:val="154"/>
        </w:trPr>
        <w:tc>
          <w:tcPr>
            <w:tcW w:w="1806" w:type="dxa"/>
            <w:vMerge w:val="restart"/>
            <w:tcMar>
              <w:left w:w="0" w:type="dxa"/>
            </w:tcMar>
          </w:tcPr>
          <w:p w14:paraId="15C0C161" w14:textId="77777777" w:rsidR="0058050D" w:rsidRPr="00995C95" w:rsidRDefault="0058050D" w:rsidP="00E87182">
            <w:pPr>
              <w:pStyle w:val="Marginlie"/>
            </w:pPr>
          </w:p>
        </w:tc>
        <w:tc>
          <w:tcPr>
            <w:tcW w:w="210" w:type="dxa"/>
            <w:vMerge w:val="restart"/>
            <w:tcMar>
              <w:left w:w="0" w:type="dxa"/>
            </w:tcMar>
          </w:tcPr>
          <w:p w14:paraId="1EC775AA" w14:textId="77777777" w:rsidR="0058050D" w:rsidRPr="00995C95" w:rsidRDefault="0058050D" w:rsidP="00E87182">
            <w:pPr>
              <w:pStyle w:val="Textpoznpodarou"/>
              <w:jc w:val="both"/>
              <w:rPr>
                <w:spacing w:val="-4"/>
              </w:rPr>
            </w:pPr>
          </w:p>
        </w:tc>
        <w:tc>
          <w:tcPr>
            <w:tcW w:w="7623" w:type="dxa"/>
            <w:tcMar>
              <w:left w:w="0" w:type="dxa"/>
            </w:tcMar>
          </w:tcPr>
          <w:p w14:paraId="64F9C2E9" w14:textId="34ABFC31" w:rsidR="0058050D" w:rsidRPr="00995C95" w:rsidRDefault="00D7778F" w:rsidP="00E87182">
            <w:pPr>
              <w:spacing w:after="0"/>
            </w:pPr>
            <w:r w:rsidRPr="00995C95">
              <w:rPr>
                <w:b/>
                <w:szCs w:val="20"/>
              </w:rPr>
              <w:t xml:space="preserve">Chart </w:t>
            </w:r>
            <w:r w:rsidR="0058050D" w:rsidRPr="00995C95">
              <w:rPr>
                <w:b/>
                <w:szCs w:val="20"/>
              </w:rPr>
              <w:t xml:space="preserve">2 </w:t>
            </w:r>
            <w:r w:rsidR="00205104" w:rsidRPr="00995C95">
              <w:rPr>
                <w:b/>
                <w:szCs w:val="20"/>
              </w:rPr>
              <w:t xml:space="preserve">Contribution of expenditure items to real GDP change* </w:t>
            </w:r>
            <w:r w:rsidR="00205104" w:rsidRPr="00995C95">
              <w:rPr>
                <w:bCs/>
                <w:szCs w:val="20"/>
              </w:rPr>
              <w:t xml:space="preserve">(volume indices, year-on-year growth, contributions in p.p., GDP in %) </w:t>
            </w:r>
          </w:p>
        </w:tc>
      </w:tr>
      <w:tr w:rsidR="0058050D" w:rsidRPr="00995C95" w14:paraId="6B7E8BBB" w14:textId="77777777" w:rsidTr="001F775B">
        <w:tblPrEx>
          <w:tblCellMar>
            <w:left w:w="70" w:type="dxa"/>
            <w:right w:w="70" w:type="dxa"/>
          </w:tblCellMar>
        </w:tblPrEx>
        <w:trPr>
          <w:trHeight w:val="154"/>
        </w:trPr>
        <w:tc>
          <w:tcPr>
            <w:tcW w:w="1806" w:type="dxa"/>
            <w:vMerge/>
          </w:tcPr>
          <w:p w14:paraId="022ECFCF" w14:textId="77777777" w:rsidR="0058050D" w:rsidRPr="00995C95" w:rsidRDefault="0058050D" w:rsidP="00E87182">
            <w:pPr>
              <w:pStyle w:val="Marginlie"/>
            </w:pPr>
          </w:p>
        </w:tc>
        <w:tc>
          <w:tcPr>
            <w:tcW w:w="210" w:type="dxa"/>
            <w:vMerge/>
          </w:tcPr>
          <w:p w14:paraId="58E6FABC" w14:textId="77777777" w:rsidR="0058050D" w:rsidRPr="00995C95" w:rsidRDefault="0058050D" w:rsidP="00E87182">
            <w:pPr>
              <w:pStyle w:val="Textpoznpodarou"/>
              <w:jc w:val="both"/>
              <w:rPr>
                <w:spacing w:val="-4"/>
              </w:rPr>
            </w:pPr>
          </w:p>
        </w:tc>
        <w:tc>
          <w:tcPr>
            <w:tcW w:w="7623" w:type="dxa"/>
          </w:tcPr>
          <w:p w14:paraId="302DE387" w14:textId="2DB75810" w:rsidR="0058050D" w:rsidRPr="00995C95" w:rsidRDefault="001F775B" w:rsidP="00E87182">
            <w:pPr>
              <w:spacing w:after="0"/>
            </w:pPr>
            <w:r>
              <w:rPr>
                <w:noProof/>
              </w:rPr>
              <w:drawing>
                <wp:inline distT="0" distB="0" distL="0" distR="0" wp14:anchorId="6DBA17F4" wp14:editId="1735EA0C">
                  <wp:extent cx="4743950" cy="3457950"/>
                  <wp:effectExtent l="0" t="0" r="0" b="0"/>
                  <wp:docPr id="266210485" name="Graf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58050D" w:rsidRPr="00995C95" w14:paraId="23535150" w14:textId="77777777" w:rsidTr="00E87182">
        <w:trPr>
          <w:trHeight w:val="154"/>
        </w:trPr>
        <w:tc>
          <w:tcPr>
            <w:tcW w:w="1806" w:type="dxa"/>
            <w:vMerge/>
            <w:tcMar>
              <w:left w:w="0" w:type="dxa"/>
            </w:tcMar>
          </w:tcPr>
          <w:p w14:paraId="70C36F08" w14:textId="77777777" w:rsidR="0058050D" w:rsidRPr="00995C95" w:rsidRDefault="0058050D" w:rsidP="00E87182">
            <w:pPr>
              <w:pStyle w:val="Marginlie"/>
            </w:pPr>
          </w:p>
        </w:tc>
        <w:tc>
          <w:tcPr>
            <w:tcW w:w="210" w:type="dxa"/>
            <w:vMerge/>
            <w:tcMar>
              <w:left w:w="0" w:type="dxa"/>
            </w:tcMar>
          </w:tcPr>
          <w:p w14:paraId="1487678A" w14:textId="77777777" w:rsidR="0058050D" w:rsidRPr="00995C95" w:rsidRDefault="0058050D" w:rsidP="00E87182">
            <w:pPr>
              <w:pStyle w:val="Textpoznpodarou"/>
              <w:jc w:val="both"/>
              <w:rPr>
                <w:spacing w:val="-4"/>
              </w:rPr>
            </w:pPr>
          </w:p>
        </w:tc>
        <w:tc>
          <w:tcPr>
            <w:tcW w:w="7623" w:type="dxa"/>
            <w:tcMar>
              <w:left w:w="0" w:type="dxa"/>
            </w:tcMar>
          </w:tcPr>
          <w:p w14:paraId="299BE6AF" w14:textId="790A153F" w:rsidR="0058050D" w:rsidRPr="00995C95" w:rsidRDefault="007C17A1" w:rsidP="00E87182">
            <w:pPr>
              <w:spacing w:after="0"/>
              <w:rPr>
                <w:sz w:val="14"/>
                <w:szCs w:val="14"/>
              </w:rPr>
            </w:pPr>
            <w:r w:rsidRPr="00995C95">
              <w:rPr>
                <w:sz w:val="14"/>
                <w:szCs w:val="14"/>
              </w:rPr>
              <w:t>Source</w:t>
            </w:r>
            <w:r w:rsidR="0058050D" w:rsidRPr="00995C95">
              <w:rPr>
                <w:sz w:val="14"/>
                <w:szCs w:val="14"/>
              </w:rPr>
              <w:t xml:space="preserve">: </w:t>
            </w:r>
            <w:r w:rsidRPr="00995C95">
              <w:rPr>
                <w:sz w:val="14"/>
                <w:szCs w:val="14"/>
              </w:rPr>
              <w:t>CZSO</w:t>
            </w:r>
          </w:p>
          <w:p w14:paraId="5CEDA156" w14:textId="2F485E48" w:rsidR="00071381" w:rsidRPr="00995C95" w:rsidRDefault="0058050D" w:rsidP="00E312D1">
            <w:pPr>
              <w:rPr>
                <w:b/>
                <w:bCs/>
              </w:rPr>
            </w:pPr>
            <w:r w:rsidRPr="00995C95">
              <w:rPr>
                <w:sz w:val="14"/>
                <w:szCs w:val="14"/>
              </w:rPr>
              <w:t xml:space="preserve">* </w:t>
            </w:r>
            <w:proofErr w:type="gramStart"/>
            <w:r w:rsidR="002B478A" w:rsidRPr="00995C95">
              <w:rPr>
                <w:sz w:val="14"/>
                <w:szCs w:val="14"/>
              </w:rPr>
              <w:t>after</w:t>
            </w:r>
            <w:proofErr w:type="gramEnd"/>
            <w:r w:rsidR="002B478A" w:rsidRPr="00995C95">
              <w:rPr>
                <w:sz w:val="14"/>
                <w:szCs w:val="14"/>
              </w:rPr>
              <w:t xml:space="preserve"> exclusion of exports for final use</w:t>
            </w:r>
          </w:p>
        </w:tc>
      </w:tr>
      <w:tr w:rsidR="0058050D" w:rsidRPr="00995C95" w14:paraId="3F89F93B" w14:textId="77777777" w:rsidTr="00E87182">
        <w:trPr>
          <w:trHeight w:val="145"/>
        </w:trPr>
        <w:tc>
          <w:tcPr>
            <w:tcW w:w="1806" w:type="dxa"/>
            <w:tcMar>
              <w:left w:w="0" w:type="dxa"/>
            </w:tcMar>
          </w:tcPr>
          <w:p w14:paraId="4E632136" w14:textId="2647E3E0" w:rsidR="0058050D" w:rsidRPr="00995C95" w:rsidRDefault="004F19AD" w:rsidP="004F19AD">
            <w:pPr>
              <w:pStyle w:val="Marginlie"/>
            </w:pPr>
            <w:r w:rsidRPr="00995C95">
              <w:t xml:space="preserve">The growth </w:t>
            </w:r>
            <w:r w:rsidR="00B24437" w:rsidRPr="00995C95">
              <w:t>of</w:t>
            </w:r>
            <w:r w:rsidRPr="00995C95">
              <w:t xml:space="preserve"> investment activity was mainly supported by expenditure on construction</w:t>
            </w:r>
            <w:r w:rsidR="00E936C9" w:rsidRPr="00995C95">
              <w:t xml:space="preserve">s. </w:t>
            </w:r>
          </w:p>
        </w:tc>
        <w:tc>
          <w:tcPr>
            <w:tcW w:w="210" w:type="dxa"/>
            <w:tcMar>
              <w:left w:w="0" w:type="dxa"/>
            </w:tcMar>
          </w:tcPr>
          <w:p w14:paraId="4BFDE278" w14:textId="77777777" w:rsidR="0058050D" w:rsidRPr="00995C95" w:rsidRDefault="0058050D" w:rsidP="00E87182">
            <w:pPr>
              <w:pStyle w:val="Textpoznpodarou"/>
              <w:jc w:val="both"/>
              <w:rPr>
                <w:spacing w:val="-4"/>
              </w:rPr>
            </w:pPr>
          </w:p>
        </w:tc>
        <w:tc>
          <w:tcPr>
            <w:tcW w:w="7623" w:type="dxa"/>
            <w:tcMar>
              <w:left w:w="0" w:type="dxa"/>
            </w:tcMar>
          </w:tcPr>
          <w:p w14:paraId="65E5E4DE" w14:textId="516C3F27" w:rsidR="0058050D" w:rsidRPr="00995C95" w:rsidRDefault="00DA724F" w:rsidP="00FA2CD4">
            <w:r w:rsidRPr="00995C95">
              <w:rPr>
                <w:spacing w:val="-2"/>
              </w:rPr>
              <w:t>E</w:t>
            </w:r>
            <w:r w:rsidR="00FA2CD4" w:rsidRPr="00995C95">
              <w:rPr>
                <w:spacing w:val="-2"/>
              </w:rPr>
              <w:t>xpenditure on gross capital formation increased by 4.3% in real terms in 2025</w:t>
            </w:r>
            <w:r w:rsidRPr="00995C95">
              <w:rPr>
                <w:spacing w:val="-2"/>
              </w:rPr>
              <w:t xml:space="preserve"> after two deep downturns in 2023 and 2024</w:t>
            </w:r>
            <w:r w:rsidR="00FA2CD4" w:rsidRPr="00995C95">
              <w:rPr>
                <w:spacing w:val="-2"/>
              </w:rPr>
              <w:t xml:space="preserve">. </w:t>
            </w:r>
            <w:r w:rsidR="00C03294" w:rsidRPr="00995C95">
              <w:rPr>
                <w:spacing w:val="-2"/>
              </w:rPr>
              <w:t>T</w:t>
            </w:r>
            <w:r w:rsidR="00FA2CD4" w:rsidRPr="00995C95">
              <w:rPr>
                <w:spacing w:val="-2"/>
              </w:rPr>
              <w:t>he level of capital expenditure has been crucially influenced by changes in inventories</w:t>
            </w:r>
            <w:r w:rsidR="00A12CAE" w:rsidRPr="00995C95">
              <w:rPr>
                <w:spacing w:val="-2"/>
              </w:rPr>
              <w:t xml:space="preserve"> since year 2020</w:t>
            </w:r>
            <w:r w:rsidR="00FA2CD4" w:rsidRPr="00995C95">
              <w:rPr>
                <w:spacing w:val="-2"/>
              </w:rPr>
              <w:t>, and last year was no exception. Expenditure on gross fixed capital formation (investment activity) increased slightly by 2.0% last year and contributed 0.3 p</w:t>
            </w:r>
            <w:r w:rsidR="00AE01AE" w:rsidRPr="00995C95">
              <w:rPr>
                <w:spacing w:val="-2"/>
              </w:rPr>
              <w:t>. p.</w:t>
            </w:r>
            <w:r w:rsidR="00AE01AE" w:rsidRPr="00995C95">
              <w:rPr>
                <w:rStyle w:val="Znakapoznpodarou"/>
                <w:spacing w:val="-2"/>
              </w:rPr>
              <w:footnoteReference w:id="9"/>
            </w:r>
            <w:r w:rsidR="00AE01AE" w:rsidRPr="00995C95">
              <w:rPr>
                <w:spacing w:val="-2"/>
              </w:rPr>
              <w:t xml:space="preserve"> </w:t>
            </w:r>
            <w:r w:rsidR="00FA2CD4" w:rsidRPr="00995C95">
              <w:rPr>
                <w:spacing w:val="-2"/>
              </w:rPr>
              <w:t xml:space="preserve">to total GDP growth last year. Change in </w:t>
            </w:r>
            <w:r w:rsidR="00FA2CD4" w:rsidRPr="00995C95">
              <w:rPr>
                <w:spacing w:val="-2"/>
              </w:rPr>
              <w:lastRenderedPageBreak/>
              <w:t>inventories contributed 0.6 p</w:t>
            </w:r>
            <w:r w:rsidR="007F02BF" w:rsidRPr="00995C95">
              <w:rPr>
                <w:spacing w:val="-2"/>
              </w:rPr>
              <w:t>. p.</w:t>
            </w:r>
            <w:r w:rsidR="000501B2" w:rsidRPr="00995C95">
              <w:rPr>
                <w:rStyle w:val="Znakapoznpodarou"/>
              </w:rPr>
              <w:footnoteReference w:id="10"/>
            </w:r>
            <w:r w:rsidR="007F02BF" w:rsidRPr="00995C95">
              <w:rPr>
                <w:spacing w:val="-2"/>
              </w:rPr>
              <w:t xml:space="preserve"> </w:t>
            </w:r>
            <w:r w:rsidR="00FA2CD4" w:rsidRPr="00995C95">
              <w:rPr>
                <w:spacing w:val="-2"/>
              </w:rPr>
              <w:t xml:space="preserve">to the </w:t>
            </w:r>
            <w:r w:rsidR="00102C8C" w:rsidRPr="00995C95">
              <w:rPr>
                <w:spacing w:val="-2"/>
              </w:rPr>
              <w:t xml:space="preserve">annual </w:t>
            </w:r>
            <w:r w:rsidR="00FA2CD4" w:rsidRPr="00995C95">
              <w:rPr>
                <w:spacing w:val="-2"/>
              </w:rPr>
              <w:t xml:space="preserve">GDP </w:t>
            </w:r>
            <w:r w:rsidR="00102C8C" w:rsidRPr="00995C95">
              <w:rPr>
                <w:spacing w:val="-2"/>
              </w:rPr>
              <w:t>growth. I</w:t>
            </w:r>
            <w:r w:rsidR="00FA2CD4" w:rsidRPr="00995C95">
              <w:rPr>
                <w:spacing w:val="-2"/>
              </w:rPr>
              <w:t xml:space="preserve">nvestment in other buildings and structures (7.1%) and dwellings (2.1%) </w:t>
            </w:r>
            <w:r w:rsidR="00F3012E" w:rsidRPr="00995C95">
              <w:rPr>
                <w:spacing w:val="-2"/>
              </w:rPr>
              <w:t xml:space="preserve">increased </w:t>
            </w:r>
            <w:r w:rsidR="00FA2CD4" w:rsidRPr="00995C95">
              <w:rPr>
                <w:spacing w:val="-2"/>
              </w:rPr>
              <w:t>the most</w:t>
            </w:r>
            <w:r w:rsidR="00A2141F" w:rsidRPr="00995C95">
              <w:rPr>
                <w:spacing w:val="-2"/>
              </w:rPr>
              <w:t xml:space="preserve"> last year</w:t>
            </w:r>
            <w:r w:rsidR="00FA2CD4" w:rsidRPr="00995C95">
              <w:rPr>
                <w:spacing w:val="-2"/>
              </w:rPr>
              <w:t xml:space="preserve">, which corresponded to the recovery observed in construction. On the </w:t>
            </w:r>
            <w:r w:rsidR="0010768F" w:rsidRPr="00995C95">
              <w:rPr>
                <w:spacing w:val="-2"/>
              </w:rPr>
              <w:t>contrary</w:t>
            </w:r>
            <w:r w:rsidR="00FA2CD4" w:rsidRPr="00995C95">
              <w:rPr>
                <w:spacing w:val="-2"/>
              </w:rPr>
              <w:t>, expenditure on ICT and other machinery and equipment and intellectual property products was rather stagnant (both areas increased by 0.6%). Investment in transport equipment</w:t>
            </w:r>
            <w:r w:rsidR="009E5685" w:rsidRPr="00995C95">
              <w:rPr>
                <w:spacing w:val="-2"/>
              </w:rPr>
              <w:t xml:space="preserve"> shrank </w:t>
            </w:r>
            <w:r w:rsidR="00FA2CD4" w:rsidRPr="00995C95">
              <w:rPr>
                <w:spacing w:val="-2"/>
              </w:rPr>
              <w:t>(−4.0%).</w:t>
            </w:r>
            <w:r w:rsidR="001E57ED" w:rsidRPr="00995C95">
              <w:rPr>
                <w:spacing w:val="-2"/>
              </w:rPr>
              <w:t xml:space="preserve"> E</w:t>
            </w:r>
            <w:r w:rsidR="00FA2CD4" w:rsidRPr="00995C95">
              <w:rPr>
                <w:spacing w:val="-2"/>
              </w:rPr>
              <w:t>xpenditure on gross capital formation decreased by 1.3%</w:t>
            </w:r>
            <w:r w:rsidR="00C93229" w:rsidRPr="00995C95">
              <w:rPr>
                <w:spacing w:val="-2"/>
              </w:rPr>
              <w:t>,</w:t>
            </w:r>
            <w:r w:rsidR="00FA2CD4" w:rsidRPr="00995C95">
              <w:rPr>
                <w:spacing w:val="-2"/>
              </w:rPr>
              <w:t xml:space="preserve"> quarter-on-quarter,</w:t>
            </w:r>
            <w:r w:rsidR="00C93229" w:rsidRPr="00995C95">
              <w:rPr>
                <w:spacing w:val="-2"/>
              </w:rPr>
              <w:t xml:space="preserve"> in Q4 2025 alone,</w:t>
            </w:r>
            <w:r w:rsidR="00FA2CD4" w:rsidRPr="00995C95">
              <w:rPr>
                <w:spacing w:val="-2"/>
              </w:rPr>
              <w:t xml:space="preserve"> mainly due to a change in inventories, as investment itself was higher by 1.7%. This </w:t>
            </w:r>
            <w:r w:rsidR="00011031" w:rsidRPr="00995C95">
              <w:rPr>
                <w:spacing w:val="-2"/>
              </w:rPr>
              <w:t xml:space="preserve">represented </w:t>
            </w:r>
            <w:r w:rsidR="00FA2CD4" w:rsidRPr="00995C95">
              <w:rPr>
                <w:spacing w:val="-2"/>
              </w:rPr>
              <w:t>the most significant re</w:t>
            </w:r>
            <w:r w:rsidR="00011031" w:rsidRPr="00995C95">
              <w:rPr>
                <w:spacing w:val="-2"/>
              </w:rPr>
              <w:t>vival</w:t>
            </w:r>
            <w:r w:rsidR="00FA2CD4" w:rsidRPr="00995C95">
              <w:rPr>
                <w:spacing w:val="-2"/>
              </w:rPr>
              <w:t xml:space="preserve"> since the beginning of 2023. Expenditure on gross capital formation increased by 1.5%, y</w:t>
            </w:r>
            <w:r w:rsidR="00695158" w:rsidRPr="00995C95">
              <w:rPr>
                <w:spacing w:val="-2"/>
              </w:rPr>
              <w:t>ear-on-year</w:t>
            </w:r>
            <w:r w:rsidR="00FA2CD4" w:rsidRPr="00995C95">
              <w:rPr>
                <w:spacing w:val="-2"/>
              </w:rPr>
              <w:t>, of which investment activity was higher by 5.3% in real terms. The strengthening of quarter-on-quarter investment growth was mainly supported by expenditure on intellectual property products (5.7%, up 2.5%</w:t>
            </w:r>
            <w:r w:rsidR="008E4A7C" w:rsidRPr="00995C95">
              <w:rPr>
                <w:spacing w:val="-2"/>
              </w:rPr>
              <w:t>,</w:t>
            </w:r>
            <w:r w:rsidR="00FA2CD4" w:rsidRPr="00995C95">
              <w:rPr>
                <w:spacing w:val="-2"/>
              </w:rPr>
              <w:t xml:space="preserve"> year-on-year), on ICT and other machinery and equipment (2.6%, 2.2%</w:t>
            </w:r>
            <w:r w:rsidR="00000EDA" w:rsidRPr="00995C95">
              <w:rPr>
                <w:spacing w:val="-2"/>
              </w:rPr>
              <w:t>,</w:t>
            </w:r>
            <w:r w:rsidR="00FA2CD4" w:rsidRPr="00995C95">
              <w:rPr>
                <w:spacing w:val="-2"/>
              </w:rPr>
              <w:t xml:space="preserve"> year-on-year) and on transport equipment (1.6%, down 2.2%</w:t>
            </w:r>
            <w:r w:rsidR="00000EDA" w:rsidRPr="00995C95">
              <w:rPr>
                <w:spacing w:val="-2"/>
              </w:rPr>
              <w:t>,</w:t>
            </w:r>
            <w:r w:rsidR="00FA2CD4" w:rsidRPr="00995C95">
              <w:rPr>
                <w:spacing w:val="-2"/>
              </w:rPr>
              <w:t xml:space="preserve"> year-on-year). On the </w:t>
            </w:r>
            <w:r w:rsidR="00000EDA" w:rsidRPr="00995C95">
              <w:rPr>
                <w:spacing w:val="-2"/>
              </w:rPr>
              <w:t>contrary</w:t>
            </w:r>
            <w:r w:rsidR="00FA2CD4" w:rsidRPr="00995C95">
              <w:rPr>
                <w:spacing w:val="-2"/>
              </w:rPr>
              <w:t>, investment in</w:t>
            </w:r>
            <w:r w:rsidR="0012244B" w:rsidRPr="00995C95">
              <w:rPr>
                <w:spacing w:val="-2"/>
              </w:rPr>
              <w:t>to</w:t>
            </w:r>
            <w:r w:rsidR="00FA2CD4" w:rsidRPr="00995C95">
              <w:rPr>
                <w:spacing w:val="-2"/>
              </w:rPr>
              <w:t xml:space="preserve"> dwellings (-0.3%, up 9.3%</w:t>
            </w:r>
            <w:r w:rsidR="0012244B" w:rsidRPr="00995C95">
              <w:rPr>
                <w:spacing w:val="-2"/>
              </w:rPr>
              <w:t>,</w:t>
            </w:r>
            <w:r w:rsidR="00FA2CD4" w:rsidRPr="00995C95">
              <w:rPr>
                <w:spacing w:val="-2"/>
              </w:rPr>
              <w:t xml:space="preserve"> year-on-year) and other buildings and structures (-0.2%, up 10.6%</w:t>
            </w:r>
            <w:r w:rsidR="0012244B" w:rsidRPr="00995C95">
              <w:rPr>
                <w:spacing w:val="-2"/>
              </w:rPr>
              <w:t>,</w:t>
            </w:r>
            <w:r w:rsidR="00FA2CD4" w:rsidRPr="00995C95">
              <w:rPr>
                <w:spacing w:val="-2"/>
              </w:rPr>
              <w:t xml:space="preserve"> year-on-year) fell for the first time in the year, quarter-on-quarter.</w:t>
            </w:r>
            <w:r w:rsidR="00011031" w:rsidRPr="00995C95">
              <w:rPr>
                <w:spacing w:val="-2"/>
              </w:rPr>
              <w:t xml:space="preserve"> </w:t>
            </w:r>
          </w:p>
        </w:tc>
      </w:tr>
      <w:tr w:rsidR="0058050D" w:rsidRPr="00995C95" w14:paraId="1B2F48F6" w14:textId="77777777" w:rsidTr="00E87182">
        <w:trPr>
          <w:trHeight w:val="145"/>
        </w:trPr>
        <w:tc>
          <w:tcPr>
            <w:tcW w:w="1806" w:type="dxa"/>
            <w:tcMar>
              <w:left w:w="0" w:type="dxa"/>
            </w:tcMar>
          </w:tcPr>
          <w:p w14:paraId="2B2B2B72" w14:textId="14A67286" w:rsidR="0058050D" w:rsidRPr="00995C95" w:rsidRDefault="00D55033" w:rsidP="00D55033">
            <w:pPr>
              <w:pStyle w:val="Marginlie"/>
            </w:pPr>
            <w:r w:rsidRPr="00995C95">
              <w:lastRenderedPageBreak/>
              <w:t xml:space="preserve">Exporters </w:t>
            </w:r>
            <w:r w:rsidR="003E1252" w:rsidRPr="00995C95">
              <w:t xml:space="preserve">fared </w:t>
            </w:r>
            <w:r w:rsidRPr="00995C95">
              <w:t xml:space="preserve">well, but imports also strengthened, </w:t>
            </w:r>
            <w:r w:rsidR="003E1252" w:rsidRPr="00995C95">
              <w:t>thus</w:t>
            </w:r>
            <w:r w:rsidRPr="00995C95">
              <w:t xml:space="preserve"> the </w:t>
            </w:r>
            <w:r w:rsidR="003E1252" w:rsidRPr="00995C95">
              <w:t xml:space="preserve">international </w:t>
            </w:r>
            <w:r w:rsidRPr="00995C95">
              <w:t>trade balance did not contribute significantly to GDP growth.</w:t>
            </w:r>
            <w:r w:rsidR="003E1252" w:rsidRPr="00995C95">
              <w:t xml:space="preserve"> </w:t>
            </w:r>
          </w:p>
        </w:tc>
        <w:tc>
          <w:tcPr>
            <w:tcW w:w="210" w:type="dxa"/>
            <w:tcMar>
              <w:left w:w="0" w:type="dxa"/>
            </w:tcMar>
          </w:tcPr>
          <w:p w14:paraId="322E742E" w14:textId="77777777" w:rsidR="0058050D" w:rsidRPr="00995C95" w:rsidRDefault="0058050D" w:rsidP="00E87182">
            <w:pPr>
              <w:pStyle w:val="Textpoznpodarou"/>
              <w:jc w:val="both"/>
              <w:rPr>
                <w:spacing w:val="-4"/>
              </w:rPr>
            </w:pPr>
          </w:p>
        </w:tc>
        <w:tc>
          <w:tcPr>
            <w:tcW w:w="7623" w:type="dxa"/>
            <w:tcMar>
              <w:left w:w="0" w:type="dxa"/>
            </w:tcMar>
          </w:tcPr>
          <w:p w14:paraId="3B2BD24B" w14:textId="6D4EAD3D" w:rsidR="0058050D" w:rsidRPr="00995C95" w:rsidRDefault="007A4DEE" w:rsidP="007A4DEE">
            <w:r w:rsidRPr="00995C95">
              <w:t xml:space="preserve">In 2025, there was a significant recovery </w:t>
            </w:r>
            <w:r w:rsidR="009E16C0" w:rsidRPr="00995C95">
              <w:t xml:space="preserve">of international </w:t>
            </w:r>
            <w:r w:rsidRPr="00995C95">
              <w:t>trade</w:t>
            </w:r>
            <w:r w:rsidR="009E16C0" w:rsidRPr="00995C95">
              <w:rPr>
                <w:rStyle w:val="Znakapoznpodarou"/>
              </w:rPr>
              <w:footnoteReference w:id="11"/>
            </w:r>
            <w:r w:rsidRPr="00995C95">
              <w:t xml:space="preserve">. Exports of goods and services increased by 4.1% in real terms (after growing by 1.1% in 2024). </w:t>
            </w:r>
            <w:r w:rsidR="00AB7FE4" w:rsidRPr="00995C95">
              <w:t>Mainly e</w:t>
            </w:r>
            <w:r w:rsidRPr="00995C95">
              <w:t>xports of goods (4.1%) contributed to the strengthening of dynamics, while the increase weakened to 4.2%</w:t>
            </w:r>
            <w:r w:rsidR="00AB7FE4" w:rsidRPr="00995C95">
              <w:t xml:space="preserve"> for services</w:t>
            </w:r>
            <w:r w:rsidRPr="00995C95">
              <w:t xml:space="preserve">. Imports increased by 5.2% in real terms last year (goods 5.6%, services 3.5%). </w:t>
            </w:r>
            <w:r w:rsidR="005A0C11" w:rsidRPr="00995C95">
              <w:t>Y</w:t>
            </w:r>
            <w:r w:rsidRPr="00995C95">
              <w:t xml:space="preserve">ear-on-year growth </w:t>
            </w:r>
            <w:r w:rsidR="005A0C11" w:rsidRPr="00995C95">
              <w:t>of</w:t>
            </w:r>
            <w:r w:rsidRPr="00995C95">
              <w:t xml:space="preserve"> exports of goods and services accelerated to 5.1%</w:t>
            </w:r>
            <w:r w:rsidR="005A0C11" w:rsidRPr="00995C95">
              <w:t xml:space="preserve"> in Q4</w:t>
            </w:r>
            <w:r w:rsidRPr="00995C95">
              <w:t xml:space="preserve">. </w:t>
            </w:r>
            <w:r w:rsidR="00E3442B" w:rsidRPr="00995C95">
              <w:t>Especially the g</w:t>
            </w:r>
            <w:r w:rsidRPr="00995C95">
              <w:t xml:space="preserve">rowth </w:t>
            </w:r>
            <w:r w:rsidR="00E3442B" w:rsidRPr="00995C95">
              <w:t>of</w:t>
            </w:r>
            <w:r w:rsidRPr="00995C95">
              <w:t xml:space="preserve"> exports of goods strengthened again (5.5%). Total quarter-on-quarter growth </w:t>
            </w:r>
            <w:r w:rsidR="00E3442B" w:rsidRPr="00995C95">
              <w:t>of</w:t>
            </w:r>
            <w:r w:rsidRPr="00995C95">
              <w:t xml:space="preserve"> exports remained stable (0.8%), </w:t>
            </w:r>
            <w:r w:rsidR="00280B2A" w:rsidRPr="00995C95">
              <w:t xml:space="preserve">nevertheless </w:t>
            </w:r>
            <w:r w:rsidRPr="00995C95">
              <w:t>a sharp recovery (1.9%)</w:t>
            </w:r>
            <w:r w:rsidR="00735104" w:rsidRPr="00995C95">
              <w:t xml:space="preserve"> occurred in the case of exports of goods alone, </w:t>
            </w:r>
            <w:r w:rsidRPr="00995C95">
              <w:t>while services</w:t>
            </w:r>
            <w:r w:rsidR="00735104" w:rsidRPr="00995C95">
              <w:t xml:space="preserve"> plunged </w:t>
            </w:r>
            <w:r w:rsidRPr="00995C95">
              <w:t>(−4.2%). Imports increased by 5.3%</w:t>
            </w:r>
            <w:r w:rsidR="008A6493" w:rsidRPr="00995C95">
              <w:t>,</w:t>
            </w:r>
            <w:r w:rsidRPr="00995C95">
              <w:t xml:space="preserve"> year-on-year</w:t>
            </w:r>
            <w:r w:rsidR="008A6493" w:rsidRPr="00995C95">
              <w:t xml:space="preserve">, in Q4 </w:t>
            </w:r>
            <w:r w:rsidRPr="00995C95">
              <w:t>and by 0.6%</w:t>
            </w:r>
            <w:r w:rsidR="008A6493" w:rsidRPr="00995C95">
              <w:t>,</w:t>
            </w:r>
            <w:r w:rsidRPr="00995C95">
              <w:t xml:space="preserve"> quarter-on-quarter. </w:t>
            </w:r>
            <w:r w:rsidR="00FD1FC5" w:rsidRPr="00995C95">
              <w:t>T</w:t>
            </w:r>
            <w:r w:rsidRPr="00995C95">
              <w:t>rade in goods strengthened</w:t>
            </w:r>
            <w:r w:rsidR="00FD1FC5" w:rsidRPr="00995C95">
              <w:t xml:space="preserve"> also on the import </w:t>
            </w:r>
            <w:r w:rsidR="00A54275" w:rsidRPr="00995C95">
              <w:t>side at</w:t>
            </w:r>
            <w:r w:rsidRPr="00995C95">
              <w:t xml:space="preserve"> the end of the year (6.2%</w:t>
            </w:r>
            <w:r w:rsidR="00FD1FC5" w:rsidRPr="00995C95">
              <w:t>,</w:t>
            </w:r>
            <w:r w:rsidRPr="00995C95">
              <w:t xml:space="preserve"> year-on-year, 1.5%</w:t>
            </w:r>
            <w:r w:rsidR="00FD1FC5" w:rsidRPr="00995C95">
              <w:t>,</w:t>
            </w:r>
            <w:r w:rsidRPr="00995C95">
              <w:t xml:space="preserve"> quarter-on-quarter). The balance of </w:t>
            </w:r>
            <w:r w:rsidR="00A54275" w:rsidRPr="00995C95">
              <w:t xml:space="preserve">international </w:t>
            </w:r>
            <w:r w:rsidRPr="00995C95">
              <w:t xml:space="preserve">trade </w:t>
            </w:r>
            <w:r w:rsidR="00F10941" w:rsidRPr="00995C95">
              <w:t>of</w:t>
            </w:r>
            <w:r w:rsidRPr="00995C95">
              <w:t xml:space="preserve"> goods and services reached a surplus of 504.2 b</w:t>
            </w:r>
            <w:r w:rsidR="00F10941" w:rsidRPr="00995C95">
              <w:t xml:space="preserve">n CZK in </w:t>
            </w:r>
            <w:r w:rsidR="00820D37" w:rsidRPr="00995C95">
              <w:t>2025</w:t>
            </w:r>
            <w:r w:rsidRPr="00995C95">
              <w:t>, which was almost the same result as in the previous year (503.3 b</w:t>
            </w:r>
            <w:r w:rsidR="00820D37" w:rsidRPr="00995C95">
              <w:t>n CZK</w:t>
            </w:r>
            <w:r w:rsidRPr="00995C95">
              <w:t>).</w:t>
            </w:r>
            <w:r w:rsidR="00820D37" w:rsidRPr="00995C95">
              <w:t xml:space="preserve"> </w:t>
            </w:r>
            <w:r w:rsidR="001846F9" w:rsidRPr="00995C95">
              <w:t>Since t</w:t>
            </w:r>
            <w:r w:rsidRPr="00995C95">
              <w:t xml:space="preserve">he decline </w:t>
            </w:r>
            <w:r w:rsidR="00820D37" w:rsidRPr="00995C95">
              <w:t>of</w:t>
            </w:r>
            <w:r w:rsidRPr="00995C95">
              <w:t xml:space="preserve"> the surplus of trade in goods (−19.4 b</w:t>
            </w:r>
            <w:r w:rsidR="00820D37" w:rsidRPr="00995C95">
              <w:t>n CZK t</w:t>
            </w:r>
            <w:r w:rsidRPr="00995C95">
              <w:t>o</w:t>
            </w:r>
            <w:r w:rsidR="00820D37" w:rsidRPr="00995C95">
              <w:t xml:space="preserve"> </w:t>
            </w:r>
            <w:r w:rsidRPr="00995C95">
              <w:t>397.7 b</w:t>
            </w:r>
            <w:r w:rsidR="00820D37" w:rsidRPr="00995C95">
              <w:t>n CZK</w:t>
            </w:r>
            <w:r w:rsidRPr="00995C95">
              <w:t xml:space="preserve">) was offset by an improvement in the positive balance of trade </w:t>
            </w:r>
            <w:r w:rsidR="007D5AE6" w:rsidRPr="00995C95">
              <w:t xml:space="preserve">with </w:t>
            </w:r>
            <w:r w:rsidRPr="00995C95">
              <w:t>services by 20.2 b</w:t>
            </w:r>
            <w:r w:rsidR="007D5AE6" w:rsidRPr="00995C95">
              <w:t xml:space="preserve">n CZK </w:t>
            </w:r>
            <w:r w:rsidRPr="00995C95">
              <w:t>to 106.4 b</w:t>
            </w:r>
            <w:r w:rsidR="007D5AE6" w:rsidRPr="00995C95">
              <w:t>n CZK</w:t>
            </w:r>
            <w:r w:rsidRPr="00995C95">
              <w:t>.</w:t>
            </w:r>
            <w:r w:rsidR="001846F9" w:rsidRPr="00995C95">
              <w:t xml:space="preserve"> T</w:t>
            </w:r>
            <w:r w:rsidRPr="00995C95">
              <w:t xml:space="preserve">he balance of </w:t>
            </w:r>
            <w:r w:rsidR="001846F9" w:rsidRPr="00995C95">
              <w:t xml:space="preserve">international </w:t>
            </w:r>
            <w:r w:rsidRPr="00995C95">
              <w:t>trade in goods and services reached a surplus of 133.9 b</w:t>
            </w:r>
            <w:r w:rsidR="001846F9" w:rsidRPr="00995C95">
              <w:t xml:space="preserve">n CZK </w:t>
            </w:r>
            <w:r w:rsidRPr="00995C95">
              <w:t>(+9.5 b</w:t>
            </w:r>
            <w:r w:rsidR="001846F9" w:rsidRPr="00995C95">
              <w:t xml:space="preserve">n, </w:t>
            </w:r>
            <w:r w:rsidRPr="00995C95">
              <w:t>year-on-year)</w:t>
            </w:r>
            <w:r w:rsidR="001846F9" w:rsidRPr="00995C95">
              <w:t xml:space="preserve"> </w:t>
            </w:r>
            <w:r w:rsidR="00484915" w:rsidRPr="00995C95">
              <w:t>i</w:t>
            </w:r>
            <w:r w:rsidR="001846F9" w:rsidRPr="00995C95">
              <w:t xml:space="preserve">n </w:t>
            </w:r>
            <w:r w:rsidR="00484915" w:rsidRPr="00995C95">
              <w:t>Q</w:t>
            </w:r>
            <w:r w:rsidR="001846F9" w:rsidRPr="00995C95">
              <w:t>4</w:t>
            </w:r>
            <w:r w:rsidR="00484915" w:rsidRPr="00995C95">
              <w:t xml:space="preserve"> </w:t>
            </w:r>
            <w:r w:rsidR="001846F9" w:rsidRPr="00995C95">
              <w:t>2025 alone</w:t>
            </w:r>
            <w:r w:rsidRPr="00995C95">
              <w:t xml:space="preserve">. </w:t>
            </w:r>
            <w:r w:rsidR="00484915" w:rsidRPr="00995C95">
              <w:t>Both t</w:t>
            </w:r>
            <w:r w:rsidRPr="00995C95">
              <w:t>he balance of trade in goods (+3.8 b</w:t>
            </w:r>
            <w:r w:rsidR="00484915" w:rsidRPr="00995C95">
              <w:t>n CZK</w:t>
            </w:r>
            <w:r w:rsidRPr="00995C95">
              <w:t>) and services (+5.7 b</w:t>
            </w:r>
            <w:r w:rsidR="00484915" w:rsidRPr="00995C95">
              <w:t>n</w:t>
            </w:r>
            <w:r w:rsidRPr="00995C95">
              <w:t>) improved.</w:t>
            </w:r>
            <w:r w:rsidR="00A54275" w:rsidRPr="00995C95">
              <w:t xml:space="preserve"> </w:t>
            </w:r>
            <w:r w:rsidR="0058050D" w:rsidRPr="00995C95">
              <w:t xml:space="preserve">       </w:t>
            </w:r>
          </w:p>
        </w:tc>
      </w:tr>
      <w:tr w:rsidR="0058050D" w:rsidRPr="00995C95" w14:paraId="4983947B" w14:textId="77777777" w:rsidTr="00E87182">
        <w:trPr>
          <w:trHeight w:val="145"/>
        </w:trPr>
        <w:tc>
          <w:tcPr>
            <w:tcW w:w="1806" w:type="dxa"/>
            <w:tcMar>
              <w:left w:w="0" w:type="dxa"/>
            </w:tcMar>
          </w:tcPr>
          <w:p w14:paraId="000EC450" w14:textId="103895C8" w:rsidR="0058050D" w:rsidRPr="00995C95" w:rsidRDefault="00B4263C" w:rsidP="00E87182">
            <w:pPr>
              <w:pStyle w:val="Marginlie"/>
            </w:pPr>
            <w:r w:rsidRPr="00995C95">
              <w:t xml:space="preserve">Services prospered last year. </w:t>
            </w:r>
          </w:p>
        </w:tc>
        <w:tc>
          <w:tcPr>
            <w:tcW w:w="210" w:type="dxa"/>
            <w:tcMar>
              <w:left w:w="0" w:type="dxa"/>
            </w:tcMar>
          </w:tcPr>
          <w:p w14:paraId="518DD45A" w14:textId="77777777" w:rsidR="0058050D" w:rsidRPr="00995C95" w:rsidRDefault="0058050D" w:rsidP="00E87182">
            <w:pPr>
              <w:pStyle w:val="Textpoznpodarou"/>
              <w:jc w:val="both"/>
              <w:rPr>
                <w:spacing w:val="-4"/>
              </w:rPr>
            </w:pPr>
          </w:p>
        </w:tc>
        <w:tc>
          <w:tcPr>
            <w:tcW w:w="7623" w:type="dxa"/>
            <w:tcMar>
              <w:left w:w="0" w:type="dxa"/>
            </w:tcMar>
          </w:tcPr>
          <w:p w14:paraId="49186FBD" w14:textId="2AF320B0" w:rsidR="0058050D" w:rsidRPr="00995C95" w:rsidRDefault="00552F16" w:rsidP="00552F16">
            <w:r w:rsidRPr="00995C95">
              <w:t xml:space="preserve">Gross value added (GVA) increased by 2.8% in real terms last year. The services sector, in particular the weight-important </w:t>
            </w:r>
            <w:r w:rsidR="000354CD" w:rsidRPr="00995C95">
              <w:t xml:space="preserve">group of economic activities </w:t>
            </w:r>
            <w:r w:rsidRPr="00995C95">
              <w:t>trade, transport, accommodation and food service (GVA growth by 4.1%), as well as dynamically developing information and communication</w:t>
            </w:r>
            <w:r w:rsidR="00604A3B" w:rsidRPr="00995C95">
              <w:t xml:space="preserve"> </w:t>
            </w:r>
            <w:r w:rsidRPr="00995C95">
              <w:t xml:space="preserve">(7.8%), contributed significantly to the GVA growth. The diverse </w:t>
            </w:r>
            <w:r w:rsidR="00DA7CDD" w:rsidRPr="00995C95">
              <w:t xml:space="preserve">branch </w:t>
            </w:r>
            <w:r w:rsidRPr="00995C95">
              <w:t xml:space="preserve">of other activities also performed well (5.4%). </w:t>
            </w:r>
            <w:r w:rsidR="00993BEF" w:rsidRPr="00995C95">
              <w:t>A</w:t>
            </w:r>
            <w:r w:rsidRPr="00995C95">
              <w:t>fter a decade of stagnation and decline, a significant recovery</w:t>
            </w:r>
            <w:r w:rsidR="00993BEF" w:rsidRPr="00995C95">
              <w:t xml:space="preserve"> also manifested </w:t>
            </w:r>
            <w:r w:rsidRPr="00995C95">
              <w:t xml:space="preserve">in </w:t>
            </w:r>
            <w:r w:rsidR="00993BEF" w:rsidRPr="00995C95">
              <w:t>c</w:t>
            </w:r>
            <w:r w:rsidRPr="00995C95">
              <w:t>onstruction (6.8%)</w:t>
            </w:r>
            <w:r w:rsidR="00993BEF" w:rsidRPr="00995C95">
              <w:t xml:space="preserve"> in 2025</w:t>
            </w:r>
            <w:r w:rsidRPr="00995C95">
              <w:t xml:space="preserve">. On the </w:t>
            </w:r>
            <w:r w:rsidR="00993BEF" w:rsidRPr="00995C95">
              <w:t>contrary</w:t>
            </w:r>
            <w:r w:rsidRPr="00995C95">
              <w:t xml:space="preserve">, industry followed up on the 2024 GVA decline last year with only a slight increase of 1.5%, of which there was an increase of 1.3% in manufacturing. </w:t>
            </w:r>
            <w:r w:rsidR="00B272BD" w:rsidRPr="00995C95">
              <w:t>Gr</w:t>
            </w:r>
            <w:r w:rsidRPr="00995C95">
              <w:t xml:space="preserve">owth </w:t>
            </w:r>
            <w:r w:rsidR="002867D8" w:rsidRPr="00995C95">
              <w:t>of</w:t>
            </w:r>
            <w:r w:rsidRPr="00995C95">
              <w:t xml:space="preserve"> GVA in professional, scientific, technical and administrative activities (1.7%), public administration, education, </w:t>
            </w:r>
            <w:r w:rsidR="002F266A" w:rsidRPr="00995C95">
              <w:t xml:space="preserve">human </w:t>
            </w:r>
            <w:r w:rsidR="002867D8" w:rsidRPr="00995C95">
              <w:t>h</w:t>
            </w:r>
            <w:r w:rsidRPr="00995C95">
              <w:t>ealth and social work</w:t>
            </w:r>
            <w:r w:rsidR="002F266A" w:rsidRPr="00995C95">
              <w:t xml:space="preserve"> activities</w:t>
            </w:r>
            <w:r w:rsidR="002867D8" w:rsidRPr="00995C95">
              <w:t xml:space="preserve"> </w:t>
            </w:r>
            <w:r w:rsidRPr="00995C95">
              <w:t>(1.5%), real estate activities (1.2%) and financial and insurance activities (0.7%)</w:t>
            </w:r>
            <w:r w:rsidR="00B272BD" w:rsidRPr="00995C95">
              <w:t xml:space="preserve"> was also mild.</w:t>
            </w:r>
            <w:r w:rsidR="0058050D" w:rsidRPr="00995C95">
              <w:t xml:space="preserve">   </w:t>
            </w:r>
          </w:p>
        </w:tc>
      </w:tr>
      <w:tr w:rsidR="0058050D" w:rsidRPr="00995C95" w14:paraId="7CE77583" w14:textId="77777777" w:rsidTr="00E87182">
        <w:trPr>
          <w:trHeight w:val="145"/>
        </w:trPr>
        <w:tc>
          <w:tcPr>
            <w:tcW w:w="1806" w:type="dxa"/>
            <w:tcMar>
              <w:left w:w="0" w:type="dxa"/>
            </w:tcMar>
          </w:tcPr>
          <w:p w14:paraId="57E3FEF6" w14:textId="3F58DFEB" w:rsidR="0058050D" w:rsidRPr="00995C95" w:rsidRDefault="00BB0637" w:rsidP="00BB0637">
            <w:pPr>
              <w:pStyle w:val="Marginlie"/>
            </w:pPr>
            <w:r w:rsidRPr="00995C95">
              <w:lastRenderedPageBreak/>
              <w:t>The end of the year brought a recovery in industry.</w:t>
            </w:r>
          </w:p>
        </w:tc>
        <w:tc>
          <w:tcPr>
            <w:tcW w:w="210" w:type="dxa"/>
            <w:tcMar>
              <w:left w:w="0" w:type="dxa"/>
            </w:tcMar>
          </w:tcPr>
          <w:p w14:paraId="60B8F9C2" w14:textId="77777777" w:rsidR="0058050D" w:rsidRPr="00995C95" w:rsidRDefault="0058050D" w:rsidP="00E87182">
            <w:pPr>
              <w:pStyle w:val="Textpoznpodarou"/>
              <w:jc w:val="both"/>
              <w:rPr>
                <w:spacing w:val="-4"/>
              </w:rPr>
            </w:pPr>
          </w:p>
        </w:tc>
        <w:tc>
          <w:tcPr>
            <w:tcW w:w="7623" w:type="dxa"/>
            <w:tcMar>
              <w:left w:w="0" w:type="dxa"/>
            </w:tcMar>
          </w:tcPr>
          <w:p w14:paraId="335271E0" w14:textId="3F85247C" w:rsidR="0058050D" w:rsidRPr="00995C95" w:rsidRDefault="00101E8C" w:rsidP="0011216E">
            <w:r w:rsidRPr="00995C95">
              <w:t>Gross value added increased by 2.8%</w:t>
            </w:r>
            <w:r w:rsidR="0014513A" w:rsidRPr="00995C95">
              <w:t>,</w:t>
            </w:r>
            <w:r w:rsidRPr="00995C95">
              <w:t xml:space="preserve"> year-on-year</w:t>
            </w:r>
            <w:r w:rsidR="0014513A" w:rsidRPr="00995C95">
              <w:t>,</w:t>
            </w:r>
            <w:r w:rsidRPr="00995C95">
              <w:t xml:space="preserve"> and by 0.5%</w:t>
            </w:r>
            <w:r w:rsidR="0014513A" w:rsidRPr="00995C95">
              <w:t>,</w:t>
            </w:r>
            <w:r w:rsidRPr="00995C95">
              <w:t xml:space="preserve"> quarter-on-quarter</w:t>
            </w:r>
            <w:r w:rsidR="000E0B09" w:rsidRPr="00995C95">
              <w:t>, in Q4 2025 alone</w:t>
            </w:r>
            <w:r w:rsidRPr="00995C95">
              <w:t xml:space="preserve">. Strong year-on-year growth was maintained by information and communication (7.7%), as well as by the group </w:t>
            </w:r>
            <w:r w:rsidR="000E0B09" w:rsidRPr="00995C95">
              <w:t xml:space="preserve">of activities </w:t>
            </w:r>
            <w:r w:rsidRPr="00995C95">
              <w:t xml:space="preserve">trade, transport, accommodation and food service (4.4%) and other activities (5.6%). A noticeable recovery </w:t>
            </w:r>
            <w:r w:rsidR="00940484" w:rsidRPr="00995C95">
              <w:t>of</w:t>
            </w:r>
            <w:r w:rsidRPr="00995C95">
              <w:t xml:space="preserve"> year-on-year GVA growth (2.5%) occurred in manufacturing</w:t>
            </w:r>
            <w:r w:rsidR="00940484" w:rsidRPr="00995C95">
              <w:t xml:space="preserve"> at the end of the year</w:t>
            </w:r>
            <w:r w:rsidRPr="00995C95">
              <w:t xml:space="preserve">. </w:t>
            </w:r>
            <w:r w:rsidR="00940484" w:rsidRPr="00995C95">
              <w:t>In contrast</w:t>
            </w:r>
            <w:r w:rsidRPr="00995C95">
              <w:t xml:space="preserve">, construction maintained an above-average GVA growth (5.6%), </w:t>
            </w:r>
            <w:r w:rsidR="00D147FE" w:rsidRPr="00995C95">
              <w:t xml:space="preserve">nevertheless </w:t>
            </w:r>
            <w:r w:rsidRPr="00995C95">
              <w:t xml:space="preserve">the pace weakened significantly compared to the previous two quarters. The rest of the services sector </w:t>
            </w:r>
            <w:r w:rsidR="000A0D06" w:rsidRPr="00995C95">
              <w:t xml:space="preserve">sustained </w:t>
            </w:r>
            <w:r w:rsidRPr="00995C95">
              <w:t>a slight year-on-year increase in Q4, with the exception of financ</w:t>
            </w:r>
            <w:r w:rsidR="0096666B" w:rsidRPr="00995C95">
              <w:t>ial a</w:t>
            </w:r>
            <w:r w:rsidRPr="00995C95">
              <w:t>nd insurance</w:t>
            </w:r>
            <w:r w:rsidR="0096666B" w:rsidRPr="00995C95">
              <w:t xml:space="preserve"> activities</w:t>
            </w:r>
            <w:r w:rsidRPr="00995C95">
              <w:t xml:space="preserve">, where GVA was lower by 1.2%. Quarter-on-quarter GVA growth was crucially supported by a new impetus in manufacturing in Q4, where </w:t>
            </w:r>
            <w:r w:rsidR="002C1025" w:rsidRPr="00995C95">
              <w:t xml:space="preserve">the </w:t>
            </w:r>
            <w:r w:rsidRPr="00995C95">
              <w:t>GVA grew by 2.2%</w:t>
            </w:r>
            <w:r w:rsidR="002C1025" w:rsidRPr="00995C95">
              <w:t>,</w:t>
            </w:r>
            <w:r w:rsidRPr="00995C95">
              <w:t xml:space="preserve"> quarter-on-quarter</w:t>
            </w:r>
            <w:r w:rsidR="002C1025" w:rsidRPr="00995C95">
              <w:t>,</w:t>
            </w:r>
            <w:r w:rsidRPr="00995C95">
              <w:t xml:space="preserve"> after four quarters of stagnation. A significant quarter-on-quarter increase </w:t>
            </w:r>
            <w:r w:rsidR="00EA40F6" w:rsidRPr="00995C95">
              <w:t>of</w:t>
            </w:r>
            <w:r w:rsidRPr="00995C95">
              <w:t xml:space="preserve"> GVA was also recorded in financ</w:t>
            </w:r>
            <w:r w:rsidR="00EA40F6" w:rsidRPr="00995C95">
              <w:t xml:space="preserve">ial </w:t>
            </w:r>
            <w:r w:rsidRPr="00995C95">
              <w:t>and insurance</w:t>
            </w:r>
            <w:r w:rsidR="00EA40F6" w:rsidRPr="00995C95">
              <w:t xml:space="preserve"> activities</w:t>
            </w:r>
            <w:r w:rsidRPr="00995C95">
              <w:t xml:space="preserve"> (2.7%). On the </w:t>
            </w:r>
            <w:r w:rsidR="00736B32" w:rsidRPr="00995C95">
              <w:t>contrary</w:t>
            </w:r>
            <w:r w:rsidRPr="00995C95">
              <w:t>, after a successful development observed since Q3 2024, construct</w:t>
            </w:r>
            <w:r w:rsidR="00736B32" w:rsidRPr="00995C95">
              <w:t xml:space="preserve">ion </w:t>
            </w:r>
            <w:r w:rsidRPr="00995C95">
              <w:t>lost its breath in Q4 2025 and GVA fell by 3.3%</w:t>
            </w:r>
            <w:r w:rsidR="00FF6DDE" w:rsidRPr="00995C95">
              <w:t>,</w:t>
            </w:r>
            <w:r w:rsidRPr="00995C95">
              <w:t xml:space="preserve"> quarter-on-quarter. The rest of the economy experienced a rather moderate development in </w:t>
            </w:r>
            <w:r w:rsidR="002610E9" w:rsidRPr="00995C95">
              <w:t xml:space="preserve">Q4 </w:t>
            </w:r>
            <w:r w:rsidRPr="00995C95">
              <w:t>– GVA</w:t>
            </w:r>
            <w:r w:rsidR="002610E9" w:rsidRPr="00995C95">
              <w:t xml:space="preserve"> increased by 0.7%</w:t>
            </w:r>
            <w:r w:rsidRPr="00995C95">
              <w:t xml:space="preserve"> in professional, scientific, technical and administrative activities, </w:t>
            </w:r>
            <w:r w:rsidR="008734A8" w:rsidRPr="00995C95">
              <w:t xml:space="preserve">by 0.6% </w:t>
            </w:r>
            <w:r w:rsidRPr="00995C95">
              <w:t>in the group</w:t>
            </w:r>
            <w:r w:rsidR="008734A8" w:rsidRPr="00995C95">
              <w:t xml:space="preserve"> of economic activities</w:t>
            </w:r>
            <w:r w:rsidRPr="00995C95">
              <w:t xml:space="preserve"> trade, transport, accommodation and food service</w:t>
            </w:r>
            <w:r w:rsidR="008734A8" w:rsidRPr="00995C95">
              <w:t xml:space="preserve">, by 0.5% </w:t>
            </w:r>
            <w:r w:rsidRPr="00995C95">
              <w:t>in other activities</w:t>
            </w:r>
            <w:r w:rsidR="008734A8" w:rsidRPr="00995C95">
              <w:t xml:space="preserve"> </w:t>
            </w:r>
            <w:r w:rsidRPr="00995C95">
              <w:t xml:space="preserve">and </w:t>
            </w:r>
            <w:r w:rsidR="009B7E27" w:rsidRPr="00995C95">
              <w:t xml:space="preserve">by 0.4% </w:t>
            </w:r>
            <w:r w:rsidRPr="00995C95">
              <w:t>in information and communication</w:t>
            </w:r>
            <w:r w:rsidR="009B7E27" w:rsidRPr="00995C95">
              <w:t xml:space="preserve">. </w:t>
            </w:r>
            <w:r w:rsidRPr="00995C95">
              <w:t xml:space="preserve">From the point of view of GVA, public administration, education, </w:t>
            </w:r>
            <w:r w:rsidR="002F266A" w:rsidRPr="00995C95">
              <w:t xml:space="preserve">human </w:t>
            </w:r>
            <w:r w:rsidRPr="00995C95">
              <w:t xml:space="preserve">health and social work </w:t>
            </w:r>
            <w:r w:rsidR="002F266A" w:rsidRPr="00995C95">
              <w:t xml:space="preserve">activities </w:t>
            </w:r>
            <w:r w:rsidRPr="00995C95">
              <w:t>stagnated</w:t>
            </w:r>
            <w:r w:rsidR="00064C43" w:rsidRPr="00995C95">
              <w:t>,</w:t>
            </w:r>
            <w:r w:rsidR="0011216E" w:rsidRPr="00995C95">
              <w:t xml:space="preserve"> quarter-on-quarter, and decline was recorded in real estate activities (−0.3%).</w:t>
            </w:r>
          </w:p>
        </w:tc>
      </w:tr>
      <w:tr w:rsidR="0058050D" w:rsidRPr="00995C95" w14:paraId="72FA1F18" w14:textId="77777777" w:rsidTr="00E87182">
        <w:trPr>
          <w:trHeight w:val="170"/>
        </w:trPr>
        <w:tc>
          <w:tcPr>
            <w:tcW w:w="1806" w:type="dxa"/>
            <w:vMerge w:val="restart"/>
            <w:tcMar>
              <w:left w:w="0" w:type="dxa"/>
            </w:tcMar>
          </w:tcPr>
          <w:p w14:paraId="56942C4F" w14:textId="77777777" w:rsidR="0058050D" w:rsidRPr="00995C95" w:rsidRDefault="0058050D" w:rsidP="00E87182">
            <w:pPr>
              <w:pStyle w:val="Marginlie"/>
            </w:pPr>
          </w:p>
        </w:tc>
        <w:tc>
          <w:tcPr>
            <w:tcW w:w="210" w:type="dxa"/>
            <w:vMerge w:val="restart"/>
            <w:tcMar>
              <w:left w:w="0" w:type="dxa"/>
            </w:tcMar>
          </w:tcPr>
          <w:p w14:paraId="0D74A726" w14:textId="77777777" w:rsidR="0058050D" w:rsidRPr="00995C95" w:rsidRDefault="0058050D" w:rsidP="00E87182">
            <w:pPr>
              <w:pStyle w:val="Textpoznpodarou"/>
              <w:jc w:val="both"/>
              <w:rPr>
                <w:spacing w:val="-4"/>
              </w:rPr>
            </w:pPr>
          </w:p>
        </w:tc>
        <w:tc>
          <w:tcPr>
            <w:tcW w:w="7623" w:type="dxa"/>
            <w:tcMar>
              <w:left w:w="0" w:type="dxa"/>
            </w:tcMar>
          </w:tcPr>
          <w:p w14:paraId="4F3D051E" w14:textId="6006AB25" w:rsidR="0058050D" w:rsidRPr="00995C95" w:rsidRDefault="000572CC" w:rsidP="00E87182">
            <w:pPr>
              <w:spacing w:after="0"/>
            </w:pPr>
            <w:r w:rsidRPr="00995C95">
              <w:rPr>
                <w:b/>
                <w:szCs w:val="20"/>
              </w:rPr>
              <w:t xml:space="preserve">Chart </w:t>
            </w:r>
            <w:r w:rsidR="0058050D" w:rsidRPr="00995C95">
              <w:rPr>
                <w:b/>
                <w:szCs w:val="20"/>
              </w:rPr>
              <w:t xml:space="preserve">3 </w:t>
            </w:r>
            <w:r w:rsidR="00447037" w:rsidRPr="00995C95">
              <w:rPr>
                <w:b/>
                <w:szCs w:val="20"/>
              </w:rPr>
              <w:t xml:space="preserve">Contributions of branches to real change in GVA </w:t>
            </w:r>
            <w:r w:rsidR="00447037" w:rsidRPr="00995C95">
              <w:rPr>
                <w:bCs/>
                <w:szCs w:val="20"/>
              </w:rPr>
              <w:t xml:space="preserve">(volume indices, year-on-year contributions in p. p., GVA in %) </w:t>
            </w:r>
          </w:p>
        </w:tc>
      </w:tr>
      <w:tr w:rsidR="0058050D" w:rsidRPr="00995C95" w14:paraId="46440224" w14:textId="77777777" w:rsidTr="001F775B">
        <w:tblPrEx>
          <w:tblCellMar>
            <w:left w:w="70" w:type="dxa"/>
            <w:right w:w="70" w:type="dxa"/>
          </w:tblCellMar>
        </w:tblPrEx>
        <w:trPr>
          <w:trHeight w:val="170"/>
        </w:trPr>
        <w:tc>
          <w:tcPr>
            <w:tcW w:w="1806" w:type="dxa"/>
            <w:vMerge/>
          </w:tcPr>
          <w:p w14:paraId="0087DBB3" w14:textId="77777777" w:rsidR="0058050D" w:rsidRPr="00995C95" w:rsidRDefault="0058050D" w:rsidP="00E87182">
            <w:pPr>
              <w:pStyle w:val="Marginlie"/>
            </w:pPr>
          </w:p>
        </w:tc>
        <w:tc>
          <w:tcPr>
            <w:tcW w:w="210" w:type="dxa"/>
            <w:vMerge/>
          </w:tcPr>
          <w:p w14:paraId="77041ECB" w14:textId="77777777" w:rsidR="0058050D" w:rsidRPr="00995C95" w:rsidRDefault="0058050D" w:rsidP="00E87182">
            <w:pPr>
              <w:pStyle w:val="Textpoznpodarou"/>
              <w:jc w:val="both"/>
              <w:rPr>
                <w:spacing w:val="-4"/>
              </w:rPr>
            </w:pPr>
          </w:p>
        </w:tc>
        <w:tc>
          <w:tcPr>
            <w:tcW w:w="7623" w:type="dxa"/>
          </w:tcPr>
          <w:p w14:paraId="741E377F" w14:textId="0F61053E" w:rsidR="0058050D" w:rsidRPr="00995C95" w:rsidRDefault="001F775B" w:rsidP="00E87182">
            <w:pPr>
              <w:spacing w:after="0"/>
            </w:pPr>
            <w:r>
              <w:rPr>
                <w:noProof/>
              </w:rPr>
              <w:drawing>
                <wp:inline distT="0" distB="0" distL="0" distR="0" wp14:anchorId="1812C88F" wp14:editId="23A4CFCC">
                  <wp:extent cx="4734425" cy="3486525"/>
                  <wp:effectExtent l="0" t="0" r="0" b="0"/>
                  <wp:docPr id="239590249" name="Graf 1">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58050D" w:rsidRPr="00995C95" w14:paraId="32D1E406" w14:textId="77777777" w:rsidTr="00E87182">
        <w:trPr>
          <w:trHeight w:val="170"/>
        </w:trPr>
        <w:tc>
          <w:tcPr>
            <w:tcW w:w="1806" w:type="dxa"/>
            <w:vMerge/>
            <w:tcMar>
              <w:left w:w="0" w:type="dxa"/>
            </w:tcMar>
          </w:tcPr>
          <w:p w14:paraId="3A12F46C" w14:textId="77777777" w:rsidR="0058050D" w:rsidRPr="00995C95" w:rsidRDefault="0058050D" w:rsidP="00E87182">
            <w:pPr>
              <w:pStyle w:val="Marginlie"/>
            </w:pPr>
          </w:p>
        </w:tc>
        <w:tc>
          <w:tcPr>
            <w:tcW w:w="210" w:type="dxa"/>
            <w:vMerge/>
            <w:tcMar>
              <w:left w:w="0" w:type="dxa"/>
            </w:tcMar>
          </w:tcPr>
          <w:p w14:paraId="0437A8CE" w14:textId="77777777" w:rsidR="0058050D" w:rsidRPr="00995C95" w:rsidRDefault="0058050D" w:rsidP="00E87182">
            <w:pPr>
              <w:pStyle w:val="Textpoznpodarou"/>
              <w:jc w:val="both"/>
              <w:rPr>
                <w:spacing w:val="-4"/>
              </w:rPr>
            </w:pPr>
          </w:p>
        </w:tc>
        <w:tc>
          <w:tcPr>
            <w:tcW w:w="7623" w:type="dxa"/>
            <w:tcMar>
              <w:left w:w="0" w:type="dxa"/>
            </w:tcMar>
          </w:tcPr>
          <w:p w14:paraId="6653AAF2" w14:textId="017EBDC6" w:rsidR="00B65139" w:rsidRPr="00995C95" w:rsidRDefault="00133D19" w:rsidP="001F775B">
            <w:pPr>
              <w:rPr>
                <w:b/>
                <w:bCs/>
                <w:sz w:val="16"/>
                <w:szCs w:val="16"/>
              </w:rPr>
            </w:pPr>
            <w:r w:rsidRPr="00995C95">
              <w:rPr>
                <w:sz w:val="14"/>
                <w:szCs w:val="14"/>
              </w:rPr>
              <w:t>Source</w:t>
            </w:r>
            <w:r w:rsidR="0058050D" w:rsidRPr="00995C95">
              <w:rPr>
                <w:sz w:val="14"/>
                <w:szCs w:val="14"/>
              </w:rPr>
              <w:t xml:space="preserve">: </w:t>
            </w:r>
            <w:r w:rsidRPr="00995C95">
              <w:rPr>
                <w:sz w:val="14"/>
                <w:szCs w:val="14"/>
              </w:rPr>
              <w:t>CZSO</w:t>
            </w:r>
          </w:p>
        </w:tc>
      </w:tr>
      <w:bookmarkEnd w:id="11"/>
      <w:bookmarkEnd w:id="12"/>
      <w:bookmarkEnd w:id="13"/>
      <w:bookmarkEnd w:id="14"/>
    </w:tbl>
    <w:p w14:paraId="3925996A" w14:textId="77777777" w:rsidR="0058050D" w:rsidRPr="00995C95" w:rsidRDefault="0058050D" w:rsidP="0058050D">
      <w:pPr>
        <w:pStyle w:val="Nadpis1"/>
        <w:rPr>
          <w:sz w:val="2"/>
          <w:szCs w:val="2"/>
          <w:lang w:val="en-GB"/>
        </w:rPr>
      </w:pPr>
    </w:p>
    <w:bookmarkEnd w:id="15"/>
    <w:bookmarkEnd w:id="16"/>
    <w:p w14:paraId="0538E8DD" w14:textId="77777777" w:rsidR="001F775B" w:rsidRDefault="001F775B">
      <w:pPr>
        <w:spacing w:after="0" w:line="240" w:lineRule="auto"/>
        <w:jc w:val="left"/>
        <w:rPr>
          <w:rFonts w:eastAsia="MS Gothic"/>
          <w:b/>
          <w:bCs/>
          <w:color w:val="86BF5E"/>
          <w:sz w:val="32"/>
          <w:szCs w:val="28"/>
        </w:rPr>
      </w:pPr>
      <w:r>
        <w:br w:type="page"/>
      </w:r>
    </w:p>
    <w:p w14:paraId="772F2B85" w14:textId="77777777" w:rsidR="00EC2A23" w:rsidRPr="00995C95" w:rsidRDefault="00EC2A23" w:rsidP="00EC2A23">
      <w:pPr>
        <w:pStyle w:val="Nadpis1"/>
        <w:rPr>
          <w:lang w:val="en-GB"/>
        </w:rPr>
      </w:pPr>
      <w:bookmarkStart w:id="18" w:name="_Toc227235017"/>
      <w:r w:rsidRPr="00995C95">
        <w:rPr>
          <w:lang w:val="en-GB"/>
        </w:rPr>
        <w:lastRenderedPageBreak/>
        <w:t>3. Branches Performance</w:t>
      </w:r>
      <w:bookmarkEnd w:id="18"/>
    </w:p>
    <w:tbl>
      <w:tblPr>
        <w:tblW w:w="9646" w:type="dxa"/>
        <w:tblInd w:w="-20" w:type="dxa"/>
        <w:tblCellMar>
          <w:left w:w="0" w:type="dxa"/>
          <w:right w:w="0" w:type="dxa"/>
        </w:tblCellMar>
        <w:tblLook w:val="00A0" w:firstRow="1" w:lastRow="0" w:firstColumn="1" w:lastColumn="0" w:noHBand="0" w:noVBand="0"/>
      </w:tblPr>
      <w:tblGrid>
        <w:gridCol w:w="1788"/>
        <w:gridCol w:w="147"/>
        <w:gridCol w:w="7711"/>
      </w:tblGrid>
      <w:tr w:rsidR="00EC2A23" w:rsidRPr="00995C95" w14:paraId="77592892" w14:textId="77777777" w:rsidTr="00E25E8B">
        <w:trPr>
          <w:trHeight w:val="145"/>
        </w:trPr>
        <w:tc>
          <w:tcPr>
            <w:tcW w:w="1788" w:type="dxa"/>
          </w:tcPr>
          <w:p w14:paraId="67A58A5F" w14:textId="77777777" w:rsidR="00EC2A23" w:rsidRPr="00995C95" w:rsidRDefault="00EC2A23" w:rsidP="00E25E8B">
            <w:pPr>
              <w:pStyle w:val="Marginlie"/>
              <w:rPr>
                <w:color w:val="000000" w:themeColor="text1"/>
                <w:spacing w:val="0"/>
                <w:lang w:eastAsia="en-US"/>
              </w:rPr>
            </w:pPr>
            <w:r w:rsidRPr="00995C95">
              <w:rPr>
                <w:color w:val="000000" w:themeColor="text1"/>
                <w:spacing w:val="0"/>
                <w:lang w:eastAsia="en-US"/>
              </w:rPr>
              <w:t xml:space="preserve">The economy followed up on the previous recovery last year. Quarter-on-quarter GDP growth was fairly even during the year. The favourable development of industry became apparent at the end of the year. </w:t>
            </w:r>
          </w:p>
        </w:tc>
        <w:tc>
          <w:tcPr>
            <w:tcW w:w="147" w:type="dxa"/>
          </w:tcPr>
          <w:p w14:paraId="54BA3E7E" w14:textId="77777777" w:rsidR="00EC2A23" w:rsidRPr="00995C95" w:rsidRDefault="00EC2A23" w:rsidP="00E25E8B">
            <w:pPr>
              <w:pStyle w:val="Textpoznpodarou"/>
              <w:jc w:val="both"/>
              <w:rPr>
                <w:color w:val="000000" w:themeColor="text1"/>
                <w:lang w:eastAsia="en-US"/>
              </w:rPr>
            </w:pPr>
          </w:p>
        </w:tc>
        <w:tc>
          <w:tcPr>
            <w:tcW w:w="7711" w:type="dxa"/>
          </w:tcPr>
          <w:p w14:paraId="07FC5BC4" w14:textId="77777777" w:rsidR="00EC2A23" w:rsidRPr="00E16D47" w:rsidRDefault="00EC2A23" w:rsidP="00E25E8B">
            <w:pPr>
              <w:spacing w:after="220"/>
              <w:rPr>
                <w:spacing w:val="-4"/>
                <w:lang w:eastAsia="en-US"/>
              </w:rPr>
            </w:pPr>
            <w:r w:rsidRPr="00E16D47">
              <w:rPr>
                <w:spacing w:val="-4"/>
                <w:lang w:eastAsia="en-US"/>
              </w:rPr>
              <w:t>The development of the supply side of the economy confirms that the domestic economy prospered last year. Total gross value added (GVA)</w:t>
            </w:r>
            <w:r w:rsidRPr="00E16D47">
              <w:rPr>
                <w:rStyle w:val="Znakapoznpodarou"/>
                <w:color w:val="0D0D0D" w:themeColor="text1" w:themeTint="F2"/>
                <w:spacing w:val="-4"/>
              </w:rPr>
              <w:footnoteReference w:id="12"/>
            </w:r>
            <w:r w:rsidRPr="00E16D47">
              <w:rPr>
                <w:spacing w:val="-4"/>
                <w:lang w:eastAsia="en-US"/>
              </w:rPr>
              <w:t xml:space="preserve"> followed up on the recovery of the year before last and increased by 0.9%, quarter-on-quarter, in Q1 2025 (the highest in the last three years). The performance of the economy continued this growth trajectory with a similar intensity for the rest of the year. If the economy was driven mainly by trade (along with branches related to tourism) and construction in the first half of last year, this role was taken over by manufacturing in the end, which benefited from a domestic revival of investment in machinery and equipment as well as higher external demand. The total performance of the economy was thus 5.4% above the peak of the last boom (Q4 2019), largely due to services (especially ICT, advanced services for business and public services)</w:t>
            </w:r>
            <w:r w:rsidRPr="00E16D47">
              <w:rPr>
                <w:rStyle w:val="Znakapoznpodarou"/>
                <w:color w:val="0D0D0D" w:themeColor="text1" w:themeTint="F2"/>
                <w:spacing w:val="-4"/>
              </w:rPr>
              <w:footnoteReference w:id="13"/>
            </w:r>
            <w:r w:rsidRPr="00E16D47">
              <w:rPr>
                <w:color w:val="0D0D0D" w:themeColor="text1" w:themeTint="F2"/>
                <w:spacing w:val="-4"/>
              </w:rPr>
              <w:t xml:space="preserve">. </w:t>
            </w:r>
          </w:p>
        </w:tc>
      </w:tr>
      <w:tr w:rsidR="00EC2A23" w:rsidRPr="00995C95" w14:paraId="550CC0F6" w14:textId="77777777" w:rsidTr="00E25E8B">
        <w:trPr>
          <w:trHeight w:val="145"/>
        </w:trPr>
        <w:tc>
          <w:tcPr>
            <w:tcW w:w="1788" w:type="dxa"/>
            <w:tcMar>
              <w:left w:w="0" w:type="dxa"/>
            </w:tcMar>
          </w:tcPr>
          <w:p w14:paraId="327655FC" w14:textId="77777777" w:rsidR="00EC2A23" w:rsidRPr="00995C95" w:rsidRDefault="00EC2A23" w:rsidP="00E25E8B">
            <w:pPr>
              <w:pStyle w:val="Marginlie"/>
              <w:rPr>
                <w:color w:val="000000" w:themeColor="text1"/>
              </w:rPr>
            </w:pPr>
            <w:r w:rsidRPr="00995C95">
              <w:rPr>
                <w:color w:val="000000" w:themeColor="text1"/>
              </w:rPr>
              <w:t xml:space="preserve">Last year's GVA growth occurred in all major monitored economic activities. The ICT area and construction developed the fastest. </w:t>
            </w:r>
          </w:p>
          <w:p w14:paraId="00CD8296" w14:textId="77777777" w:rsidR="00EC2A23" w:rsidRPr="00995C95" w:rsidRDefault="00EC2A23" w:rsidP="00E25E8B">
            <w:pPr>
              <w:pStyle w:val="Marginlie"/>
              <w:rPr>
                <w:color w:val="000000" w:themeColor="text1"/>
              </w:rPr>
            </w:pPr>
          </w:p>
          <w:p w14:paraId="67176664" w14:textId="77777777" w:rsidR="00EC2A23" w:rsidRPr="00995C95" w:rsidRDefault="00EC2A23" w:rsidP="00E25E8B">
            <w:pPr>
              <w:pStyle w:val="Marginlie"/>
              <w:rPr>
                <w:color w:val="000000" w:themeColor="text1"/>
              </w:rPr>
            </w:pPr>
          </w:p>
          <w:p w14:paraId="07C0097D" w14:textId="77777777" w:rsidR="00EC2A23" w:rsidRPr="00995C95" w:rsidRDefault="00EC2A23" w:rsidP="00E25E8B">
            <w:pPr>
              <w:pStyle w:val="Marginlie"/>
              <w:rPr>
                <w:color w:val="000000" w:themeColor="text1"/>
              </w:rPr>
            </w:pPr>
          </w:p>
          <w:p w14:paraId="6D38A25A" w14:textId="77777777" w:rsidR="00EC2A23" w:rsidRPr="00995C95" w:rsidRDefault="00EC2A23" w:rsidP="00E25E8B">
            <w:pPr>
              <w:pStyle w:val="Marginlie"/>
              <w:rPr>
                <w:color w:val="000000" w:themeColor="text1"/>
              </w:rPr>
            </w:pPr>
          </w:p>
          <w:p w14:paraId="30B93B66" w14:textId="77777777" w:rsidR="00EC2A23" w:rsidRPr="00995C95" w:rsidRDefault="00EC2A23" w:rsidP="00E25E8B">
            <w:pPr>
              <w:pStyle w:val="Marginlie"/>
              <w:rPr>
                <w:color w:val="000000" w:themeColor="text1"/>
              </w:rPr>
            </w:pPr>
          </w:p>
          <w:p w14:paraId="4D2896B0" w14:textId="77777777" w:rsidR="00EC2A23" w:rsidRPr="00995C95" w:rsidRDefault="00EC2A23" w:rsidP="00E25E8B">
            <w:pPr>
              <w:pStyle w:val="Marginlie"/>
              <w:rPr>
                <w:color w:val="000000" w:themeColor="text1"/>
              </w:rPr>
            </w:pPr>
          </w:p>
          <w:p w14:paraId="2929C797" w14:textId="77777777" w:rsidR="00EC2A23" w:rsidRPr="00995C95" w:rsidRDefault="00EC2A23" w:rsidP="00E25E8B">
            <w:pPr>
              <w:pStyle w:val="Marginlie"/>
              <w:rPr>
                <w:color w:val="000000" w:themeColor="text1"/>
              </w:rPr>
            </w:pPr>
          </w:p>
          <w:p w14:paraId="42DAA3AD" w14:textId="77777777" w:rsidR="00EC2A23" w:rsidRPr="00995C95" w:rsidRDefault="00EC2A23" w:rsidP="00E25E8B">
            <w:pPr>
              <w:pStyle w:val="Marginlie"/>
              <w:rPr>
                <w:color w:val="000000" w:themeColor="text1"/>
                <w:spacing w:val="0"/>
              </w:rPr>
            </w:pPr>
            <w:r w:rsidRPr="00995C95">
              <w:rPr>
                <w:color w:val="000000" w:themeColor="text1"/>
              </w:rPr>
              <w:t xml:space="preserve">There was a slight recovery in industry. The growth of the output of the primary sector was of a longer-term nature. </w:t>
            </w:r>
          </w:p>
          <w:p w14:paraId="58C60A0C" w14:textId="77777777" w:rsidR="00EC2A23" w:rsidRPr="00995C95" w:rsidRDefault="00EC2A23" w:rsidP="00E25E8B">
            <w:pPr>
              <w:pStyle w:val="Marginlie"/>
              <w:rPr>
                <w:color w:val="000000" w:themeColor="text1"/>
                <w:spacing w:val="0"/>
              </w:rPr>
            </w:pPr>
          </w:p>
          <w:p w14:paraId="407C6545" w14:textId="77777777" w:rsidR="00EC2A23" w:rsidRPr="00995C95" w:rsidRDefault="00EC2A23" w:rsidP="00E25E8B">
            <w:pPr>
              <w:pStyle w:val="Marginlie"/>
              <w:rPr>
                <w:color w:val="000000" w:themeColor="text1"/>
                <w:spacing w:val="0"/>
              </w:rPr>
            </w:pPr>
          </w:p>
          <w:p w14:paraId="7F45EC04" w14:textId="77777777" w:rsidR="00EC2A23" w:rsidRPr="00995C95" w:rsidRDefault="00EC2A23" w:rsidP="00E25E8B">
            <w:pPr>
              <w:pStyle w:val="Marginlie"/>
              <w:rPr>
                <w:color w:val="000000" w:themeColor="text1"/>
                <w:spacing w:val="0"/>
              </w:rPr>
            </w:pPr>
          </w:p>
          <w:p w14:paraId="387C617F" w14:textId="77777777" w:rsidR="00EC2A23" w:rsidRPr="00995C95" w:rsidRDefault="00EC2A23" w:rsidP="00E25E8B">
            <w:pPr>
              <w:pStyle w:val="Marginlie"/>
              <w:rPr>
                <w:color w:val="000000" w:themeColor="text1"/>
                <w:spacing w:val="0"/>
              </w:rPr>
            </w:pPr>
          </w:p>
          <w:p w14:paraId="16B50B59" w14:textId="77777777" w:rsidR="00EC2A23" w:rsidRPr="00995C95" w:rsidRDefault="00EC2A23" w:rsidP="00E25E8B">
            <w:pPr>
              <w:pStyle w:val="Marginlie"/>
              <w:rPr>
                <w:color w:val="000000" w:themeColor="text1"/>
                <w:spacing w:val="0"/>
              </w:rPr>
            </w:pPr>
            <w:r w:rsidRPr="00995C95">
              <w:rPr>
                <w:color w:val="000000" w:themeColor="text1"/>
                <w:spacing w:val="0"/>
              </w:rPr>
              <w:t xml:space="preserve">The harvest of most of the main crops was very good. A slight increase of both milk and meat production continued.  </w:t>
            </w:r>
          </w:p>
          <w:p w14:paraId="3A811060" w14:textId="77777777" w:rsidR="00EC2A23" w:rsidRPr="00995C95" w:rsidRDefault="00EC2A23" w:rsidP="00E25E8B">
            <w:pPr>
              <w:pStyle w:val="Marginlie"/>
              <w:spacing w:after="240"/>
              <w:rPr>
                <w:color w:val="000000" w:themeColor="text1"/>
                <w:spacing w:val="0"/>
              </w:rPr>
            </w:pPr>
          </w:p>
        </w:tc>
        <w:tc>
          <w:tcPr>
            <w:tcW w:w="147" w:type="dxa"/>
            <w:tcMar>
              <w:left w:w="0" w:type="dxa"/>
            </w:tcMar>
          </w:tcPr>
          <w:p w14:paraId="045E11D0" w14:textId="77777777" w:rsidR="00EC2A23" w:rsidRPr="00995C95" w:rsidRDefault="00EC2A23" w:rsidP="00E25E8B">
            <w:pPr>
              <w:pStyle w:val="Textpoznpodarou"/>
              <w:spacing w:after="240"/>
              <w:jc w:val="both"/>
              <w:rPr>
                <w:color w:val="000000" w:themeColor="text1"/>
              </w:rPr>
            </w:pPr>
          </w:p>
        </w:tc>
        <w:tc>
          <w:tcPr>
            <w:tcW w:w="7711" w:type="dxa"/>
            <w:tcMar>
              <w:left w:w="0" w:type="dxa"/>
            </w:tcMar>
          </w:tcPr>
          <w:p w14:paraId="27DE115C" w14:textId="77777777" w:rsidR="00EC2A23" w:rsidRDefault="00EC2A23" w:rsidP="00E25E8B">
            <w:pPr>
              <w:spacing w:after="0"/>
              <w:rPr>
                <w:color w:val="0D0D0D" w:themeColor="text1" w:themeTint="F2"/>
                <w:spacing w:val="-2"/>
              </w:rPr>
            </w:pPr>
            <w:r w:rsidRPr="00E16D47">
              <w:rPr>
                <w:color w:val="0D0D0D" w:themeColor="text1" w:themeTint="F2"/>
                <w:spacing w:val="-2"/>
              </w:rPr>
              <w:t>The aggregate GVA increased by 2.8% for the whole year and grew the most in the last three years. It is encouraging, that there was growth in all eleven major economic activities for the first time since 2004. Information and communication were the most successful (+7.8%). However, as in 2024, the group of economic activities trade, transport, accommodation and food service, which benefited from the steadily growing purchasing power of domestic households and the continued development of inbound tourism, contributed the most to the growth of the economy (+0.7 p.p.). All other services divisions also performed well, but in total supported the growth of the economy less significantly (+0.6 p.p.). The performance of construction accelerated dramatically, GVA grew by 6.8% (it reached a higher pace in the current millennium only in 2002) and contributed 0.4 p. p. to the growth of the total economy. Industry had a similar impact last year, with its output strengthening by 1.5%, however it did not compensate for the downturn in 2024. Both manufacturing and energy sectors prospered. GVA in the primary sector strengthened (by 3.5% last year) for the fourth year in a row. As the volume of logging did not change fundamentally last year, as in the previous year, the development of the performance of the primary sector mainly reflected the results of agriculture. The preliminary results of the gross agricultural production account</w:t>
            </w:r>
            <w:r w:rsidRPr="00E16D47">
              <w:rPr>
                <w:rStyle w:val="Znakapoznpodarou"/>
                <w:color w:val="0D0D0D" w:themeColor="text1" w:themeTint="F2"/>
                <w:spacing w:val="-2"/>
              </w:rPr>
              <w:footnoteReference w:id="14"/>
            </w:r>
            <w:r w:rsidRPr="00E16D47">
              <w:rPr>
                <w:color w:val="0D0D0D" w:themeColor="text1" w:themeTint="F2"/>
                <w:spacing w:val="-2"/>
              </w:rPr>
              <w:t xml:space="preserve"> show that the increase of GVA last year was due to higher plant production. It reflected the impact of a very good harvest of most basic crops, especially cereals, fodder crops and potatoes</w:t>
            </w:r>
            <w:r w:rsidRPr="00E16D47">
              <w:rPr>
                <w:rStyle w:val="Znakapoznpodarou"/>
                <w:color w:val="0D0D0D" w:themeColor="text1" w:themeTint="F2"/>
                <w:spacing w:val="-2"/>
              </w:rPr>
              <w:footnoteReference w:id="15"/>
            </w:r>
            <w:r w:rsidRPr="00E16D47">
              <w:rPr>
                <w:color w:val="0D0D0D" w:themeColor="text1" w:themeTint="F2"/>
                <w:spacing w:val="-2"/>
              </w:rPr>
              <w:t>. A more significant recovery occurred after a very bad year 2024 in the small fruit growing segment. Production stagnated in the animal production last year. Despite persistently considerable price movements related to the main commodities (especially beef and pork meat) as well as increased sanitary risks, the situation of domestic producers remained stable. Meat production (in physical units) grew for the second year in a row</w:t>
            </w:r>
            <w:r w:rsidRPr="00E16D47">
              <w:rPr>
                <w:rStyle w:val="Znakapoznpodarou"/>
                <w:color w:val="0D0D0D" w:themeColor="text1" w:themeTint="F2"/>
                <w:spacing w:val="-2"/>
              </w:rPr>
              <w:footnoteReference w:id="16"/>
            </w:r>
            <w:r w:rsidRPr="00E16D47">
              <w:rPr>
                <w:color w:val="0D0D0D" w:themeColor="text1" w:themeTint="F2"/>
                <w:spacing w:val="-2"/>
              </w:rPr>
              <w:t xml:space="preserve">. The growth of milk </w:t>
            </w:r>
            <w:r w:rsidRPr="00E16D47">
              <w:rPr>
                <w:color w:val="0D0D0D" w:themeColor="text1" w:themeTint="F2"/>
                <w:spacing w:val="-2"/>
              </w:rPr>
              <w:lastRenderedPageBreak/>
              <w:t xml:space="preserve">production was of a longer-term nature, and it was 3.2% last year. In that, the purchase by domestic dairies as such stagnated, thus the primary producers were more successful in exporting milk at more favourable prices. </w:t>
            </w:r>
          </w:p>
          <w:p w14:paraId="0D4CC420" w14:textId="77777777" w:rsidR="00EC2A23" w:rsidRPr="00E16D47" w:rsidRDefault="00EC2A23" w:rsidP="00E25E8B">
            <w:pPr>
              <w:spacing w:after="0"/>
              <w:rPr>
                <w:color w:val="0D0D0D" w:themeColor="text1" w:themeTint="F2"/>
                <w:spacing w:val="-2"/>
              </w:rPr>
            </w:pPr>
          </w:p>
        </w:tc>
      </w:tr>
      <w:tr w:rsidR="00EC2A23" w:rsidRPr="00995C95" w14:paraId="563DA030" w14:textId="77777777" w:rsidTr="00E25E8B">
        <w:trPr>
          <w:trHeight w:val="145"/>
        </w:trPr>
        <w:tc>
          <w:tcPr>
            <w:tcW w:w="1788" w:type="dxa"/>
            <w:tcMar>
              <w:left w:w="0" w:type="dxa"/>
            </w:tcMar>
          </w:tcPr>
          <w:p w14:paraId="65538631" w14:textId="77777777" w:rsidR="00EC2A23" w:rsidRPr="00995C95" w:rsidRDefault="00EC2A23" w:rsidP="00E25E8B">
            <w:pPr>
              <w:pStyle w:val="Marginlie"/>
              <w:spacing w:after="240"/>
              <w:rPr>
                <w:color w:val="000000" w:themeColor="text1"/>
                <w:spacing w:val="0"/>
              </w:rPr>
            </w:pPr>
            <w:r w:rsidRPr="00995C95">
              <w:rPr>
                <w:color w:val="000000" w:themeColor="text1"/>
                <w:spacing w:val="0"/>
              </w:rPr>
              <w:lastRenderedPageBreak/>
              <w:t>The recovery of industry took place especially at the beginning and also at the very end of last year, when quarter-on-quarter production growth permeated the vast majority of key economic activities.</w:t>
            </w:r>
          </w:p>
        </w:tc>
        <w:tc>
          <w:tcPr>
            <w:tcW w:w="147" w:type="dxa"/>
            <w:tcMar>
              <w:left w:w="0" w:type="dxa"/>
            </w:tcMar>
          </w:tcPr>
          <w:p w14:paraId="504FE40F" w14:textId="77777777" w:rsidR="00EC2A23" w:rsidRPr="00995C95" w:rsidRDefault="00EC2A23" w:rsidP="00E25E8B">
            <w:pPr>
              <w:pStyle w:val="Textpoznpodarou"/>
              <w:spacing w:after="240"/>
              <w:jc w:val="both"/>
              <w:rPr>
                <w:color w:val="000000" w:themeColor="text1"/>
              </w:rPr>
            </w:pPr>
          </w:p>
        </w:tc>
        <w:tc>
          <w:tcPr>
            <w:tcW w:w="7711" w:type="dxa"/>
            <w:tcMar>
              <w:left w:w="0" w:type="dxa"/>
            </w:tcMar>
          </w:tcPr>
          <w:p w14:paraId="23ED009F" w14:textId="77777777" w:rsidR="00EC2A23" w:rsidRPr="00995C95" w:rsidRDefault="00EC2A23" w:rsidP="00E25E8B">
            <w:pPr>
              <w:spacing w:after="200"/>
              <w:rPr>
                <w:color w:val="0D0D0D" w:themeColor="text1" w:themeTint="F2"/>
              </w:rPr>
            </w:pPr>
            <w:r w:rsidRPr="00995C95">
              <w:rPr>
                <w:color w:val="0D0D0D" w:themeColor="text1" w:themeTint="F2"/>
              </w:rPr>
              <w:t>After years 2023 and 2024, when industry in the Czech Republic found itself in total mild recession due to weak external and domestic demand as well as strong cost pressures due to the energy crisis, the situation gradually improved last year. The industrial production</w:t>
            </w:r>
            <w:r w:rsidRPr="00995C95">
              <w:rPr>
                <w:rStyle w:val="Znakapoznpodarou"/>
                <w:color w:val="0D0D0D" w:themeColor="text1" w:themeTint="F2"/>
              </w:rPr>
              <w:footnoteReference w:id="17"/>
            </w:r>
            <w:r w:rsidRPr="00995C95">
              <w:rPr>
                <w:color w:val="0D0D0D" w:themeColor="text1" w:themeTint="F2"/>
              </w:rPr>
              <w:t xml:space="preserve"> increased by 2.1%, quarter-on-quarter, already in Q1, which was mainly caused by energy, engineering and some major industries focused on the production of intermediate products (electrical engineering, metallurgy and foundry, production of building materials, rubber and plastic industries). The strengthening of some export sectors was partly related to the efforts of trading partners to stock up ahead of the effectiveness of the US government's trade policy measures. Although this short-term stimulus faded in the following quarter, industrial output continued to grow slightly – mainly due to the production of other (especially rail) transport equipment and also due to the continuing recovery of metallurgy. Domestic industry benefited from growing external demand at the very end of the year and its output increased by 2.2%, quarter-on-quarter (the highest since the end of 2020). Favourable developments occurred in almost all investment-oriented sectors as well as in the area of intermediate products. As a result, total industrial output very slightly (by 1.1%) exceeded the level from the peak of the last boom (Q2 2019)</w:t>
            </w:r>
            <w:r w:rsidRPr="00995C95">
              <w:rPr>
                <w:rStyle w:val="Znakapoznpodarou"/>
                <w:color w:val="0D0D0D" w:themeColor="text1" w:themeTint="F2"/>
              </w:rPr>
              <w:footnoteReference w:id="18"/>
            </w:r>
            <w:r w:rsidRPr="00995C95">
              <w:rPr>
                <w:color w:val="0D0D0D" w:themeColor="text1" w:themeTint="F2"/>
              </w:rPr>
              <w:t xml:space="preserve"> production in Q4 last year and at the same time matched the absolute peak from the post-pandemic recovery period (Q3 2022).</w:t>
            </w:r>
          </w:p>
        </w:tc>
      </w:tr>
      <w:tr w:rsidR="00EC2A23" w:rsidRPr="00995C95" w14:paraId="27516861" w14:textId="77777777" w:rsidTr="00E25E8B">
        <w:trPr>
          <w:trHeight w:val="145"/>
        </w:trPr>
        <w:tc>
          <w:tcPr>
            <w:tcW w:w="1788" w:type="dxa"/>
            <w:tcMar>
              <w:left w:w="0" w:type="dxa"/>
            </w:tcMar>
          </w:tcPr>
          <w:p w14:paraId="153735C5" w14:textId="77777777" w:rsidR="00EC2A23" w:rsidRPr="00995C95" w:rsidRDefault="00EC2A23" w:rsidP="00E25E8B">
            <w:pPr>
              <w:pStyle w:val="Marginlie"/>
              <w:spacing w:after="240"/>
              <w:rPr>
                <w:color w:val="000000" w:themeColor="text1"/>
                <w:spacing w:val="0"/>
              </w:rPr>
            </w:pPr>
            <w:r w:rsidRPr="00995C95">
              <w:rPr>
                <w:color w:val="000000" w:themeColor="text1"/>
                <w:spacing w:val="0"/>
              </w:rPr>
              <w:t xml:space="preserve">The metalworking industry and the energy sector contributed the most to the slight growth of industrial production last year. There was a growing demand for arms production, and colder weather assisted notably in energy industry. </w:t>
            </w:r>
          </w:p>
        </w:tc>
        <w:tc>
          <w:tcPr>
            <w:tcW w:w="147" w:type="dxa"/>
            <w:tcMar>
              <w:left w:w="0" w:type="dxa"/>
            </w:tcMar>
          </w:tcPr>
          <w:p w14:paraId="0216825D" w14:textId="77777777" w:rsidR="00EC2A23" w:rsidRPr="00995C95" w:rsidRDefault="00EC2A23" w:rsidP="00E25E8B">
            <w:pPr>
              <w:pStyle w:val="Textpoznpodarou"/>
              <w:spacing w:after="240"/>
              <w:jc w:val="both"/>
              <w:rPr>
                <w:color w:val="000000" w:themeColor="text1"/>
              </w:rPr>
            </w:pPr>
          </w:p>
        </w:tc>
        <w:tc>
          <w:tcPr>
            <w:tcW w:w="7711" w:type="dxa"/>
            <w:tcMar>
              <w:left w:w="0" w:type="dxa"/>
            </w:tcMar>
          </w:tcPr>
          <w:p w14:paraId="3493DB50" w14:textId="77777777" w:rsidR="00EC2A23" w:rsidRPr="00995C95" w:rsidRDefault="00EC2A23" w:rsidP="00E25E8B">
            <w:pPr>
              <w:spacing w:after="200"/>
              <w:rPr>
                <w:color w:val="000000" w:themeColor="text1"/>
              </w:rPr>
            </w:pPr>
            <w:r w:rsidRPr="00995C95">
              <w:rPr>
                <w:color w:val="000000" w:themeColor="text1"/>
              </w:rPr>
              <w:t>Total industrial production increased by 2.2% for the whole 2025, which represented the best result in the last four years. Last year's growth was supported the most by the metalworking industry (growth by 7.0%, contribution to growth by +0.69 p.p.), driven by strengthening domestic and external demand, which resulted in production growth of 13.7% in this branch in Q4 (the highest in the last four and a half years). Higher production of metal structures has found application in manufacturing of motor vehicles and motorcycles and construction. In addition, rapid growth of the arms production segment was increasingly evident here. Industry was also assisted by the energy sector (+0.35 p.p.) last year, whose production increased by 4.0% after three weaker years (the highest in the last eight years). The production and consumption of electricity</w:t>
            </w:r>
            <w:r w:rsidRPr="00995C95">
              <w:rPr>
                <w:rStyle w:val="Znakapoznpodarou"/>
                <w:color w:val="000000" w:themeColor="text1"/>
              </w:rPr>
              <w:footnoteReference w:id="19"/>
            </w:r>
            <w:r w:rsidRPr="00995C95">
              <w:rPr>
                <w:color w:val="000000" w:themeColor="text1"/>
              </w:rPr>
              <w:t>, gas</w:t>
            </w:r>
            <w:r w:rsidRPr="00995C95">
              <w:rPr>
                <w:rStyle w:val="Znakapoznpodarou"/>
                <w:color w:val="000000" w:themeColor="text1"/>
              </w:rPr>
              <w:footnoteReference w:id="20"/>
            </w:r>
            <w:r w:rsidRPr="00995C95">
              <w:rPr>
                <w:color w:val="000000" w:themeColor="text1"/>
              </w:rPr>
              <w:t xml:space="preserve"> </w:t>
            </w:r>
            <w:r w:rsidRPr="00995C95">
              <w:rPr>
                <w:color w:val="000000" w:themeColor="text1"/>
              </w:rPr>
              <w:lastRenderedPageBreak/>
              <w:t>and heat</w:t>
            </w:r>
            <w:r w:rsidRPr="00995C95">
              <w:rPr>
                <w:rStyle w:val="Znakapoznpodarou"/>
                <w:color w:val="000000" w:themeColor="text1"/>
              </w:rPr>
              <w:footnoteReference w:id="21"/>
            </w:r>
            <w:r w:rsidRPr="00995C95">
              <w:rPr>
                <w:color w:val="000000" w:themeColor="text1"/>
              </w:rPr>
              <w:t xml:space="preserve"> increased. This is mainly related to the fact that the beginning of 2025 was not as above average in terms of temperature as the previous one, and it was also relatively colder last year in May, September or October. In addition, the motivation for further savings in consumption, especially in households, was also declining due to the stabilisation and subsequent reduction of energy prices, which was more noticeable especially in the case of natural gas. Higher consumption reflected the more favourable financial situation of households and a gradual recovery of economic performance, accompanied by a stabilisation of demand in some energy-intensive industries last year.  </w:t>
            </w:r>
          </w:p>
        </w:tc>
      </w:tr>
      <w:tr w:rsidR="00EC2A23" w:rsidRPr="00995C95" w14:paraId="216B4296" w14:textId="77777777" w:rsidTr="00E25E8B">
        <w:trPr>
          <w:trHeight w:val="145"/>
        </w:trPr>
        <w:tc>
          <w:tcPr>
            <w:tcW w:w="1788" w:type="dxa"/>
            <w:tcMar>
              <w:left w:w="0" w:type="dxa"/>
            </w:tcMar>
          </w:tcPr>
          <w:p w14:paraId="791E1352" w14:textId="77777777" w:rsidR="00EC2A23" w:rsidRPr="00995C95" w:rsidRDefault="00EC2A23" w:rsidP="00E25E8B">
            <w:pPr>
              <w:pStyle w:val="Marginlie"/>
              <w:spacing w:after="240"/>
              <w:rPr>
                <w:color w:val="000000" w:themeColor="text1"/>
                <w:spacing w:val="0"/>
              </w:rPr>
            </w:pPr>
            <w:r w:rsidRPr="00995C95">
              <w:rPr>
                <w:color w:val="000000" w:themeColor="text1"/>
                <w:spacing w:val="0"/>
              </w:rPr>
              <w:lastRenderedPageBreak/>
              <w:t xml:space="preserve">Some important energy-intensive industries focused on the production of intermediate products clearly revived last year. This was evident the most in metallurgy, which was aided by both domestic and external demand.  </w:t>
            </w:r>
          </w:p>
        </w:tc>
        <w:tc>
          <w:tcPr>
            <w:tcW w:w="147" w:type="dxa"/>
            <w:tcMar>
              <w:left w:w="0" w:type="dxa"/>
            </w:tcMar>
          </w:tcPr>
          <w:p w14:paraId="11D838F0" w14:textId="77777777" w:rsidR="00EC2A23" w:rsidRPr="00995C95" w:rsidRDefault="00EC2A23" w:rsidP="00E25E8B">
            <w:pPr>
              <w:pStyle w:val="Textpoznpodarou"/>
              <w:spacing w:after="240"/>
              <w:jc w:val="both"/>
              <w:rPr>
                <w:color w:val="000000" w:themeColor="text1"/>
              </w:rPr>
            </w:pPr>
          </w:p>
        </w:tc>
        <w:tc>
          <w:tcPr>
            <w:tcW w:w="7711" w:type="dxa"/>
            <w:tcMar>
              <w:left w:w="0" w:type="dxa"/>
            </w:tcMar>
          </w:tcPr>
          <w:p w14:paraId="2F0D0450" w14:textId="77777777" w:rsidR="00EC2A23" w:rsidRPr="00995C95" w:rsidRDefault="00EC2A23" w:rsidP="00E25E8B">
            <w:pPr>
              <w:spacing w:after="200"/>
              <w:rPr>
                <w:color w:val="000000" w:themeColor="text1"/>
              </w:rPr>
            </w:pPr>
            <w:r w:rsidRPr="00995C95">
              <w:rPr>
                <w:color w:val="0D0D0D" w:themeColor="text1" w:themeTint="F2"/>
              </w:rPr>
              <w:t xml:space="preserve">The industry was also aided by most of the weight-significant, mostly energy-intensive industries producing intermediate products last year. The most important role was played by the rubber and plastics industry, where production increased by 4.0% (the output gradually strengthened during the year – up to 7.7% in the Q4, which was the highest in the last four and a half years). This was solely due to the external demand, which was partly related to the development of the motor vehicle industry. Similar factors also supported the performance of the electrical engineering industry last year (+1.7%). A more significant recovery of production manifested mainly due to higher domestic demand (after a deep decline in the previous three years – the longest and deepest in the current millennium) in metallurgy and foundry (+4.9%). The dynamic development of the domestic construction was also reflected in the manufacturing of other non-metallic mineral products, where production increased by 3.4% last year. In particular, better sales abroad led to a slight increase of production in the relatively small woodworking industry (+1.0%) last year. The output of the downstream paper industry also increased slightly for the second year in a row, currently supported by higher domestic demand. Production in effect stagnated in the chemical industry last year, similarly to the average for year 2024. There was also a gradual reduction of output capacities associated with the decline of some previously traditional productions. Nevertheless, there were signs of a slight recovery of domestic and external demand during H2 2025, which translated into higher production in Q4 (+5.0%, the highest pace in the last three years). The above-mentioned sectors focused on intermediate products contributed to the year-on-year growth of the total industry by 0.76 p.p. last year. </w:t>
            </w:r>
          </w:p>
        </w:tc>
      </w:tr>
      <w:tr w:rsidR="00EC2A23" w:rsidRPr="00995C95" w14:paraId="1A8EA0E5" w14:textId="77777777" w:rsidTr="00E25E8B">
        <w:trPr>
          <w:trHeight w:val="145"/>
        </w:trPr>
        <w:tc>
          <w:tcPr>
            <w:tcW w:w="1788" w:type="dxa"/>
            <w:tcMar>
              <w:left w:w="0" w:type="dxa"/>
            </w:tcMar>
          </w:tcPr>
          <w:p w14:paraId="2AE63FF2" w14:textId="77777777" w:rsidR="00EC2A23" w:rsidRPr="00995C95" w:rsidRDefault="00EC2A23" w:rsidP="00E25E8B">
            <w:pPr>
              <w:pStyle w:val="Marginlie"/>
              <w:spacing w:after="240"/>
              <w:rPr>
                <w:color w:val="000000" w:themeColor="text1"/>
                <w:spacing w:val="0"/>
              </w:rPr>
            </w:pPr>
            <w:r w:rsidRPr="00995C95">
              <w:rPr>
                <w:color w:val="000000" w:themeColor="text1"/>
                <w:spacing w:val="0"/>
              </w:rPr>
              <w:t>Production increased the most in manufacturing of rail transport equipment last year.</w:t>
            </w:r>
          </w:p>
          <w:p w14:paraId="5E2FFD61" w14:textId="77777777" w:rsidR="00EC2A23" w:rsidRDefault="00EC2A23" w:rsidP="00E25E8B">
            <w:pPr>
              <w:pStyle w:val="Marginlie"/>
              <w:rPr>
                <w:color w:val="000000" w:themeColor="text1"/>
                <w:spacing w:val="0"/>
              </w:rPr>
            </w:pPr>
          </w:p>
          <w:p w14:paraId="7218639A" w14:textId="77777777" w:rsidR="00EC2A23" w:rsidRPr="00995C95" w:rsidRDefault="00EC2A23" w:rsidP="00E25E8B">
            <w:pPr>
              <w:pStyle w:val="Marginlie"/>
              <w:rPr>
                <w:color w:val="000000" w:themeColor="text1"/>
                <w:spacing w:val="0"/>
              </w:rPr>
            </w:pPr>
          </w:p>
          <w:p w14:paraId="2CB20455" w14:textId="77777777" w:rsidR="00EC2A23" w:rsidRPr="00995C95" w:rsidRDefault="00EC2A23" w:rsidP="00E25E8B">
            <w:pPr>
              <w:pStyle w:val="Marginlie"/>
              <w:rPr>
                <w:color w:val="000000" w:themeColor="text1"/>
                <w:spacing w:val="0"/>
              </w:rPr>
            </w:pPr>
            <w:r w:rsidRPr="00995C95">
              <w:rPr>
                <w:color w:val="000000" w:themeColor="text1"/>
                <w:spacing w:val="0"/>
              </w:rPr>
              <w:t>Production has rather stagnated despite the development of</w:t>
            </w:r>
            <w:r>
              <w:rPr>
                <w:color w:val="000000" w:themeColor="text1"/>
                <w:spacing w:val="0"/>
              </w:rPr>
              <w:t xml:space="preserve"> </w:t>
            </w:r>
            <w:r w:rsidRPr="00995C95">
              <w:rPr>
                <w:color w:val="000000" w:themeColor="text1"/>
                <w:spacing w:val="0"/>
              </w:rPr>
              <w:t xml:space="preserve">electromobility in motor vehicle industry. </w:t>
            </w:r>
          </w:p>
        </w:tc>
        <w:tc>
          <w:tcPr>
            <w:tcW w:w="147" w:type="dxa"/>
            <w:tcMar>
              <w:left w:w="0" w:type="dxa"/>
            </w:tcMar>
          </w:tcPr>
          <w:p w14:paraId="445CEE3F" w14:textId="77777777" w:rsidR="00EC2A23" w:rsidRPr="00995C95" w:rsidRDefault="00EC2A23" w:rsidP="00E25E8B">
            <w:pPr>
              <w:pStyle w:val="Textpoznpodarou"/>
              <w:spacing w:after="240"/>
              <w:jc w:val="both"/>
              <w:rPr>
                <w:color w:val="000000" w:themeColor="text1"/>
              </w:rPr>
            </w:pPr>
          </w:p>
        </w:tc>
        <w:tc>
          <w:tcPr>
            <w:tcW w:w="7711" w:type="dxa"/>
            <w:tcMar>
              <w:left w:w="0" w:type="dxa"/>
            </w:tcMar>
          </w:tcPr>
          <w:p w14:paraId="3C2CB7A9" w14:textId="77777777" w:rsidR="00EC2A23" w:rsidRPr="00995C95" w:rsidRDefault="00EC2A23" w:rsidP="00E25E8B">
            <w:pPr>
              <w:spacing w:after="200"/>
              <w:rPr>
                <w:color w:val="000000" w:themeColor="text1"/>
              </w:rPr>
            </w:pPr>
            <w:r w:rsidRPr="00995C95">
              <w:rPr>
                <w:color w:val="0D0D0D" w:themeColor="text1" w:themeTint="F2"/>
              </w:rPr>
              <w:t>Of all industrial sectors, production increased the most in the manufacturing of other transport equipment (+8.4%) last year. This was helped by a strong end of the year, when, in addition to the longer-term positive external demand, positive stimuli from the domestic market also manifested. The development of other investment-oriented activities was not so intensive last year. Production was rather stagnant in manufacturing of transport equipment last year (+0.5%), thus continuing the weaker result from 2024 (-1.5%). While the slight decline in 2024 mainly resulted from deteriorated situation of direct domestic subcontractors of car parts (operating within the motor vehicle industry), slightly worse results of final motor vehicle manufacturers also had an effect last year</w:t>
            </w:r>
            <w:r w:rsidRPr="00995C95">
              <w:rPr>
                <w:rStyle w:val="Znakapoznpodarou"/>
                <w:color w:val="0D0D0D" w:themeColor="text1" w:themeTint="F2"/>
              </w:rPr>
              <w:footnoteReference w:id="22"/>
            </w:r>
            <w:r w:rsidRPr="00995C95">
              <w:rPr>
                <w:color w:val="0D0D0D" w:themeColor="text1" w:themeTint="F2"/>
              </w:rPr>
              <w:t xml:space="preserve">. In the long-term growing branch repair and installation of machinery and equipment, </w:t>
            </w:r>
            <w:r w:rsidRPr="00995C95">
              <w:rPr>
                <w:color w:val="0D0D0D" w:themeColor="text1" w:themeTint="F2"/>
              </w:rPr>
              <w:lastRenderedPageBreak/>
              <w:t xml:space="preserve">traditionally focused more on the domestic market (e.g. repair of nuclear installations), production increased by 2.5%. Rather domestic demand then supported engineering, where production recovered slightly last year (+1.9%) after a deep downturn in year 2024. The above-mentioned </w:t>
            </w:r>
            <w:r>
              <w:rPr>
                <w:color w:val="0D0D0D" w:themeColor="text1" w:themeTint="F2"/>
              </w:rPr>
              <w:t>“</w:t>
            </w:r>
            <w:r w:rsidRPr="00995C95">
              <w:rPr>
                <w:color w:val="0D0D0D" w:themeColor="text1" w:themeTint="F2"/>
              </w:rPr>
              <w:t>investment sectors</w:t>
            </w:r>
            <w:r>
              <w:rPr>
                <w:color w:val="0D0D0D" w:themeColor="text1" w:themeTint="F2"/>
              </w:rPr>
              <w:t>”</w:t>
            </w:r>
            <w:r w:rsidRPr="00995C95">
              <w:rPr>
                <w:color w:val="0D0D0D" w:themeColor="text1" w:themeTint="F2"/>
              </w:rPr>
              <w:t xml:space="preserve"> contributed 0.47 p.p. to industrial growth last year. </w:t>
            </w:r>
          </w:p>
        </w:tc>
      </w:tr>
      <w:tr w:rsidR="00EC2A23" w:rsidRPr="00995C95" w14:paraId="706C3977" w14:textId="77777777" w:rsidTr="00E25E8B">
        <w:trPr>
          <w:trHeight w:val="145"/>
        </w:trPr>
        <w:tc>
          <w:tcPr>
            <w:tcW w:w="1788" w:type="dxa"/>
            <w:tcMar>
              <w:left w:w="0" w:type="dxa"/>
            </w:tcMar>
          </w:tcPr>
          <w:p w14:paraId="6CBF2424" w14:textId="77777777" w:rsidR="00EC2A23" w:rsidRPr="00995C95" w:rsidRDefault="00EC2A23" w:rsidP="00E25E8B">
            <w:pPr>
              <w:pStyle w:val="Marginlie"/>
              <w:spacing w:after="240"/>
              <w:rPr>
                <w:color w:val="000000" w:themeColor="text1"/>
                <w:spacing w:val="0"/>
              </w:rPr>
            </w:pPr>
            <w:r w:rsidRPr="00995C95">
              <w:rPr>
                <w:color w:val="000000" w:themeColor="text1"/>
                <w:spacing w:val="0"/>
              </w:rPr>
              <w:lastRenderedPageBreak/>
              <w:t xml:space="preserve">The rising purchasing power of households further supported the development of the food industry. However, production growth slowed slightly compared to 2024. </w:t>
            </w:r>
          </w:p>
        </w:tc>
        <w:tc>
          <w:tcPr>
            <w:tcW w:w="147" w:type="dxa"/>
            <w:tcMar>
              <w:left w:w="0" w:type="dxa"/>
            </w:tcMar>
          </w:tcPr>
          <w:p w14:paraId="7BDA66B2" w14:textId="77777777" w:rsidR="00EC2A23" w:rsidRPr="00995C95" w:rsidRDefault="00EC2A23" w:rsidP="00E25E8B">
            <w:pPr>
              <w:pStyle w:val="Textpoznpodarou"/>
              <w:spacing w:after="240"/>
              <w:jc w:val="both"/>
              <w:rPr>
                <w:color w:val="000000" w:themeColor="text1"/>
              </w:rPr>
            </w:pPr>
          </w:p>
        </w:tc>
        <w:tc>
          <w:tcPr>
            <w:tcW w:w="7711" w:type="dxa"/>
            <w:tcMar>
              <w:left w:w="0" w:type="dxa"/>
            </w:tcMar>
          </w:tcPr>
          <w:p w14:paraId="04A2B0FB" w14:textId="77777777" w:rsidR="00EC2A23" w:rsidRPr="00995C95" w:rsidRDefault="00EC2A23" w:rsidP="00E25E8B">
            <w:pPr>
              <w:spacing w:after="200"/>
              <w:rPr>
                <w:color w:val="000000" w:themeColor="text1"/>
              </w:rPr>
            </w:pPr>
            <w:r w:rsidRPr="00995C95">
              <w:rPr>
                <w:color w:val="000000" w:themeColor="text1"/>
              </w:rPr>
              <w:t xml:space="preserve">The food industry in particular benefited among the economic activities producing consumer goods last year, thanks to the growing purchasing power of households as well as their confidence in the economy. However, output growth in this sector slowed down compared to 2024 (to 3.4%). This also applies to other manufacturing industries (+2.3%), including e.g. the production of sporting goods, games, toys and jewellery. The above-mentioned sectors producing mainly consumer goods collectively supported the growth of the total industry by only 0.23 p. p. last year. </w:t>
            </w:r>
          </w:p>
        </w:tc>
      </w:tr>
      <w:tr w:rsidR="00EC2A23" w:rsidRPr="00995C95" w14:paraId="309FEF26" w14:textId="77777777" w:rsidTr="00E25E8B">
        <w:trPr>
          <w:trHeight w:val="145"/>
        </w:trPr>
        <w:tc>
          <w:tcPr>
            <w:tcW w:w="1788" w:type="dxa"/>
            <w:tcMar>
              <w:left w:w="0" w:type="dxa"/>
            </w:tcMar>
          </w:tcPr>
          <w:p w14:paraId="02E5717C" w14:textId="77777777" w:rsidR="00EC2A23" w:rsidRPr="00995C95" w:rsidRDefault="00EC2A23" w:rsidP="00E25E8B">
            <w:pPr>
              <w:pStyle w:val="Marginlie"/>
              <w:rPr>
                <w:color w:val="000000" w:themeColor="text1"/>
              </w:rPr>
            </w:pPr>
            <w:r w:rsidRPr="00995C95">
              <w:rPr>
                <w:color w:val="000000" w:themeColor="text1"/>
              </w:rPr>
              <w:t xml:space="preserve">The growth of manufacturing was mostly dampened by the production of computers, electronic and optical appliances. </w:t>
            </w:r>
          </w:p>
          <w:p w14:paraId="373F6136" w14:textId="77777777" w:rsidR="00EC2A23" w:rsidRPr="00995C95" w:rsidRDefault="00EC2A23" w:rsidP="00E25E8B">
            <w:pPr>
              <w:pStyle w:val="Marginlie"/>
              <w:spacing w:after="240"/>
              <w:rPr>
                <w:color w:val="000000" w:themeColor="text1"/>
                <w:spacing w:val="0"/>
              </w:rPr>
            </w:pPr>
          </w:p>
        </w:tc>
        <w:tc>
          <w:tcPr>
            <w:tcW w:w="147" w:type="dxa"/>
            <w:tcMar>
              <w:left w:w="0" w:type="dxa"/>
            </w:tcMar>
          </w:tcPr>
          <w:p w14:paraId="1581332F" w14:textId="77777777" w:rsidR="00EC2A23" w:rsidRPr="00995C95" w:rsidRDefault="00EC2A23" w:rsidP="00E25E8B">
            <w:pPr>
              <w:pStyle w:val="Textpoznpodarou"/>
              <w:spacing w:after="240"/>
              <w:jc w:val="both"/>
              <w:rPr>
                <w:color w:val="000000" w:themeColor="text1"/>
              </w:rPr>
            </w:pPr>
          </w:p>
        </w:tc>
        <w:tc>
          <w:tcPr>
            <w:tcW w:w="7711" w:type="dxa"/>
            <w:tcMar>
              <w:left w:w="0" w:type="dxa"/>
            </w:tcMar>
          </w:tcPr>
          <w:p w14:paraId="18953F09" w14:textId="77777777" w:rsidR="00EC2A23" w:rsidRPr="00995C95" w:rsidRDefault="00EC2A23" w:rsidP="00E25E8B">
            <w:pPr>
              <w:spacing w:after="200"/>
              <w:rPr>
                <w:color w:val="000000" w:themeColor="text1"/>
              </w:rPr>
            </w:pPr>
            <w:r w:rsidRPr="00995C95">
              <w:rPr>
                <w:color w:val="0D0D0D" w:themeColor="text1" w:themeTint="F2"/>
              </w:rPr>
              <w:t xml:space="preserve">Among investment-oriented industries, output declined only in manufacturing of computers, electronic and optical appliances last year, which is characterized by high import intensity and at the same time a significantly pro-export focus. Production in this sector, which had developed promisingly in the previous four years, fell by 2% last year (and counteracted industrial growth by 0.07 p. p., the most among manufacturing sectors). In addition to weaker external demand, domestic demand also had a negative effect here, which was still significantly supported by the continued development of photovoltaics the year before last. </w:t>
            </w:r>
          </w:p>
        </w:tc>
      </w:tr>
      <w:tr w:rsidR="00EC2A23" w:rsidRPr="00995C95" w14:paraId="36B63EAF" w14:textId="77777777" w:rsidTr="00E25E8B">
        <w:trPr>
          <w:trHeight w:val="145"/>
        </w:trPr>
        <w:tc>
          <w:tcPr>
            <w:tcW w:w="1788" w:type="dxa"/>
            <w:tcMar>
              <w:left w:w="0" w:type="dxa"/>
            </w:tcMar>
          </w:tcPr>
          <w:p w14:paraId="02A64519" w14:textId="77777777" w:rsidR="00EC2A23" w:rsidRPr="00995C95" w:rsidRDefault="00EC2A23" w:rsidP="00E25E8B">
            <w:pPr>
              <w:pStyle w:val="Marginlie"/>
              <w:spacing w:after="240"/>
              <w:rPr>
                <w:color w:val="0D0D0D" w:themeColor="text1" w:themeTint="F2"/>
                <w:spacing w:val="0"/>
              </w:rPr>
            </w:pPr>
          </w:p>
        </w:tc>
        <w:tc>
          <w:tcPr>
            <w:tcW w:w="147" w:type="dxa"/>
            <w:tcMar>
              <w:left w:w="0" w:type="dxa"/>
            </w:tcMar>
          </w:tcPr>
          <w:p w14:paraId="3FB57DB7" w14:textId="77777777" w:rsidR="00EC2A23" w:rsidRPr="00995C95" w:rsidRDefault="00EC2A23" w:rsidP="00E25E8B">
            <w:pPr>
              <w:pStyle w:val="Textpoznpodarou"/>
              <w:spacing w:after="240"/>
              <w:jc w:val="both"/>
            </w:pPr>
          </w:p>
        </w:tc>
        <w:tc>
          <w:tcPr>
            <w:tcW w:w="7711" w:type="dxa"/>
            <w:tcMar>
              <w:left w:w="0" w:type="dxa"/>
            </w:tcMar>
          </w:tcPr>
          <w:p w14:paraId="30A4A0B6" w14:textId="77777777" w:rsidR="00EC2A23" w:rsidRPr="00995C95" w:rsidRDefault="00EC2A23" w:rsidP="00E25E8B">
            <w:pPr>
              <w:spacing w:after="40"/>
              <w:rPr>
                <w:color w:val="0D0D0D" w:themeColor="text1" w:themeTint="F2"/>
              </w:rPr>
            </w:pPr>
            <w:r w:rsidRPr="00995C95">
              <w:rPr>
                <w:b/>
                <w:color w:val="0D0D0D" w:themeColor="text1" w:themeTint="F2"/>
              </w:rPr>
              <w:t xml:space="preserve">Chart 4 </w:t>
            </w:r>
            <w:r w:rsidRPr="00995C95">
              <w:rPr>
                <w:b/>
                <w:spacing w:val="-2"/>
              </w:rPr>
              <w:t xml:space="preserve">Contributions of sub-branches to the year-on-year growth of the industrial </w:t>
            </w:r>
            <w:r w:rsidRPr="00995C95">
              <w:rPr>
                <w:b/>
                <w:spacing w:val="-3"/>
              </w:rPr>
              <w:t xml:space="preserve">production in the CR </w:t>
            </w:r>
            <w:r w:rsidRPr="00995C95">
              <w:rPr>
                <w:spacing w:val="-3"/>
              </w:rPr>
              <w:t>(adjusted for calendar effects, real, in p.p.)</w:t>
            </w:r>
            <w:r>
              <w:rPr>
                <w:spacing w:val="-3"/>
              </w:rPr>
              <w:t>,</w:t>
            </w:r>
            <w:r w:rsidRPr="00995C95">
              <w:rPr>
                <w:spacing w:val="-3"/>
              </w:rPr>
              <w:t xml:space="preserve"> </w:t>
            </w:r>
            <w:r w:rsidRPr="00995C95">
              <w:rPr>
                <w:b/>
                <w:bCs/>
                <w:spacing w:val="-3"/>
              </w:rPr>
              <w:t>production (output) in the</w:t>
            </w:r>
            <w:r w:rsidRPr="00995C95">
              <w:rPr>
                <w:b/>
                <w:bCs/>
                <w:spacing w:val="-6"/>
              </w:rPr>
              <w:t xml:space="preserve"> industry of CR, Germany and E</w:t>
            </w:r>
            <w:r w:rsidRPr="00995C95">
              <w:rPr>
                <w:b/>
                <w:spacing w:val="-6"/>
              </w:rPr>
              <w:t xml:space="preserve">U27 </w:t>
            </w:r>
            <w:r w:rsidRPr="00995C95">
              <w:rPr>
                <w:spacing w:val="-6"/>
              </w:rPr>
              <w:t xml:space="preserve">(seasonally adj., base of 2021=100, right axis) </w:t>
            </w:r>
          </w:p>
        </w:tc>
      </w:tr>
      <w:tr w:rsidR="00EC2A23" w:rsidRPr="00995C95" w14:paraId="1F4BCB72" w14:textId="77777777" w:rsidTr="00E25E8B">
        <w:tblPrEx>
          <w:tblCellMar>
            <w:left w:w="70" w:type="dxa"/>
            <w:right w:w="70" w:type="dxa"/>
          </w:tblCellMar>
        </w:tblPrEx>
        <w:trPr>
          <w:trHeight w:val="145"/>
        </w:trPr>
        <w:tc>
          <w:tcPr>
            <w:tcW w:w="1788" w:type="dxa"/>
          </w:tcPr>
          <w:p w14:paraId="088F8DE1" w14:textId="77777777" w:rsidR="00EC2A23" w:rsidRPr="00995C95" w:rsidRDefault="00EC2A23" w:rsidP="00E25E8B">
            <w:pPr>
              <w:pStyle w:val="Marginlie"/>
              <w:spacing w:after="240"/>
              <w:rPr>
                <w:color w:val="0D0D0D" w:themeColor="text1" w:themeTint="F2"/>
                <w:spacing w:val="0"/>
              </w:rPr>
            </w:pPr>
          </w:p>
        </w:tc>
        <w:tc>
          <w:tcPr>
            <w:tcW w:w="147" w:type="dxa"/>
          </w:tcPr>
          <w:p w14:paraId="06429D1A" w14:textId="77777777" w:rsidR="00EC2A23" w:rsidRPr="00995C95" w:rsidRDefault="00EC2A23" w:rsidP="00E25E8B">
            <w:pPr>
              <w:pStyle w:val="Textpoznpodarou"/>
              <w:spacing w:after="240"/>
              <w:jc w:val="both"/>
            </w:pPr>
          </w:p>
        </w:tc>
        <w:tc>
          <w:tcPr>
            <w:tcW w:w="7711" w:type="dxa"/>
          </w:tcPr>
          <w:p w14:paraId="44918FF0" w14:textId="77777777" w:rsidR="00EC2A23" w:rsidRPr="00995C95" w:rsidRDefault="00EC2A23" w:rsidP="00E25E8B">
            <w:pPr>
              <w:spacing w:before="40" w:after="40"/>
              <w:rPr>
                <w:color w:val="0D0D0D" w:themeColor="text1" w:themeTint="F2"/>
              </w:rPr>
            </w:pPr>
            <w:r>
              <w:rPr>
                <w:noProof/>
              </w:rPr>
              <w:drawing>
                <wp:inline distT="0" distB="0" distL="0" distR="0" wp14:anchorId="647AA2CB" wp14:editId="4FC4268E">
                  <wp:extent cx="4774368" cy="3685442"/>
                  <wp:effectExtent l="0" t="0" r="7620" b="0"/>
                  <wp:docPr id="1177420050" name="Graf 1">
                    <a:extLst xmlns:a="http://schemas.openxmlformats.org/drawingml/2006/main">
                      <a:ext uri="{FF2B5EF4-FFF2-40B4-BE49-F238E27FC236}">
                        <a16:creationId xmlns:a16="http://schemas.microsoft.com/office/drawing/2014/main" id="{00000000-0008-0000-06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EC2A23" w:rsidRPr="00995C95" w14:paraId="7DC37338" w14:textId="77777777" w:rsidTr="00E25E8B">
        <w:trPr>
          <w:trHeight w:val="145"/>
        </w:trPr>
        <w:tc>
          <w:tcPr>
            <w:tcW w:w="1788" w:type="dxa"/>
            <w:tcMar>
              <w:left w:w="0" w:type="dxa"/>
            </w:tcMar>
          </w:tcPr>
          <w:p w14:paraId="39C8A56A" w14:textId="77777777" w:rsidR="00EC2A23" w:rsidRPr="00995C95" w:rsidRDefault="00EC2A23" w:rsidP="00E25E8B">
            <w:pPr>
              <w:pStyle w:val="Marginlie"/>
              <w:spacing w:after="240"/>
              <w:rPr>
                <w:color w:val="0D0D0D" w:themeColor="text1" w:themeTint="F2"/>
                <w:spacing w:val="0"/>
              </w:rPr>
            </w:pPr>
          </w:p>
        </w:tc>
        <w:tc>
          <w:tcPr>
            <w:tcW w:w="147" w:type="dxa"/>
            <w:tcMar>
              <w:left w:w="0" w:type="dxa"/>
            </w:tcMar>
          </w:tcPr>
          <w:p w14:paraId="617E948B" w14:textId="77777777" w:rsidR="00EC2A23" w:rsidRPr="00995C95" w:rsidRDefault="00EC2A23" w:rsidP="00E25E8B">
            <w:pPr>
              <w:pStyle w:val="Textpoznpodarou"/>
              <w:spacing w:after="240"/>
              <w:jc w:val="both"/>
            </w:pPr>
          </w:p>
        </w:tc>
        <w:tc>
          <w:tcPr>
            <w:tcW w:w="7711" w:type="dxa"/>
            <w:tcMar>
              <w:left w:w="0" w:type="dxa"/>
            </w:tcMar>
          </w:tcPr>
          <w:p w14:paraId="50158BCF" w14:textId="77777777" w:rsidR="00EC2A23" w:rsidRPr="00995C95" w:rsidRDefault="00EC2A23" w:rsidP="00E25E8B">
            <w:pPr>
              <w:tabs>
                <w:tab w:val="right" w:pos="7683"/>
              </w:tabs>
              <w:spacing w:after="0" w:line="240" w:lineRule="auto"/>
              <w:jc w:val="left"/>
              <w:rPr>
                <w:color w:val="0D0D0D" w:themeColor="text1" w:themeTint="F2"/>
                <w:sz w:val="14"/>
                <w:szCs w:val="14"/>
              </w:rPr>
            </w:pPr>
            <w:r w:rsidRPr="00995C95">
              <w:rPr>
                <w:color w:val="0D0D0D" w:themeColor="text1" w:themeTint="F2"/>
                <w:sz w:val="14"/>
                <w:szCs w:val="14"/>
              </w:rPr>
              <w:t>*</w:t>
            </w:r>
            <w:r w:rsidRPr="00995C95">
              <w:rPr>
                <w:rFonts w:cs="Arial"/>
                <w:spacing w:val="-2"/>
                <w:sz w:val="14"/>
                <w:szCs w:val="14"/>
              </w:rPr>
              <w:t xml:space="preserve"> Contribution of the remaining manufacturing industry also includes the effect of the total methodical discrepancy stemming from the change of the weights.</w:t>
            </w:r>
          </w:p>
          <w:p w14:paraId="65A172F1" w14:textId="77777777" w:rsidR="00EC2A23" w:rsidRPr="00D82193" w:rsidRDefault="00EC2A23" w:rsidP="00E25E8B">
            <w:pPr>
              <w:spacing w:after="200"/>
              <w:rPr>
                <w:color w:val="0D0D0D" w:themeColor="text1" w:themeTint="F2"/>
                <w:sz w:val="14"/>
                <w:szCs w:val="14"/>
              </w:rPr>
            </w:pPr>
            <w:r w:rsidRPr="00995C95">
              <w:rPr>
                <w:color w:val="0D0D0D" w:themeColor="text1" w:themeTint="F2"/>
                <w:sz w:val="14"/>
                <w:szCs w:val="14"/>
              </w:rPr>
              <w:t>Source: CZSO, Eurostat</w:t>
            </w:r>
          </w:p>
        </w:tc>
      </w:tr>
      <w:tr w:rsidR="00EC2A23" w:rsidRPr="00995C95" w14:paraId="510E474F" w14:textId="77777777" w:rsidTr="00E25E8B">
        <w:trPr>
          <w:trHeight w:val="145"/>
        </w:trPr>
        <w:tc>
          <w:tcPr>
            <w:tcW w:w="1788" w:type="dxa"/>
            <w:tcMar>
              <w:left w:w="0" w:type="dxa"/>
            </w:tcMar>
          </w:tcPr>
          <w:p w14:paraId="4E282C38" w14:textId="77777777" w:rsidR="00EC2A23" w:rsidRPr="00995C95" w:rsidRDefault="00EC2A23" w:rsidP="00E25E8B">
            <w:pPr>
              <w:pStyle w:val="Marginlie"/>
              <w:rPr>
                <w:color w:val="000000" w:themeColor="text1"/>
                <w:spacing w:val="0"/>
              </w:rPr>
            </w:pPr>
            <w:r w:rsidRPr="00995C95">
              <w:rPr>
                <w:color w:val="000000" w:themeColor="text1"/>
                <w:spacing w:val="0"/>
              </w:rPr>
              <w:t xml:space="preserve">Energy-intensive branches of the mining industry continued to </w:t>
            </w:r>
            <w:r w:rsidRPr="00995C95">
              <w:rPr>
                <w:color w:val="000000" w:themeColor="text1"/>
                <w:spacing w:val="0"/>
              </w:rPr>
              <w:lastRenderedPageBreak/>
              <w:t>struggle with increased production costs.</w:t>
            </w:r>
          </w:p>
        </w:tc>
        <w:tc>
          <w:tcPr>
            <w:tcW w:w="147" w:type="dxa"/>
            <w:tcMar>
              <w:left w:w="0" w:type="dxa"/>
            </w:tcMar>
          </w:tcPr>
          <w:p w14:paraId="76354A5D" w14:textId="77777777" w:rsidR="00EC2A23" w:rsidRPr="00995C95" w:rsidRDefault="00EC2A23" w:rsidP="00E25E8B">
            <w:pPr>
              <w:pStyle w:val="Textpoznpodarou"/>
              <w:spacing w:after="240"/>
              <w:jc w:val="both"/>
              <w:rPr>
                <w:color w:val="000000" w:themeColor="text1"/>
              </w:rPr>
            </w:pPr>
          </w:p>
        </w:tc>
        <w:tc>
          <w:tcPr>
            <w:tcW w:w="7711" w:type="dxa"/>
            <w:tcMar>
              <w:left w:w="0" w:type="dxa"/>
            </w:tcMar>
          </w:tcPr>
          <w:p w14:paraId="7572D2CF" w14:textId="77777777" w:rsidR="00EC2A23" w:rsidRPr="00995C95" w:rsidRDefault="00EC2A23" w:rsidP="00E25E8B">
            <w:pPr>
              <w:spacing w:after="200"/>
              <w:rPr>
                <w:color w:val="000000" w:themeColor="text1"/>
              </w:rPr>
            </w:pPr>
            <w:r w:rsidRPr="00995C95">
              <w:rPr>
                <w:color w:val="000000" w:themeColor="text1"/>
              </w:rPr>
              <w:t xml:space="preserve">Some mostly energy-intensive industries producing intermediate products were still facing deeper problems. Although production in mining and quarrying decreased less significantly, year-on-year, last year than in the previous two years, it still represented </w:t>
            </w:r>
            <w:r w:rsidRPr="00995C95">
              <w:rPr>
                <w:color w:val="000000" w:themeColor="text1"/>
              </w:rPr>
              <w:lastRenderedPageBreak/>
              <w:t xml:space="preserve">quite a significant movement (−4.1%). The management of phase-out in coal mining continued (at the turn of 2025 and 2026, hard coal mining in the Czech Republic completely ceased). On the contrary, somewhat surprisingly, the extraction of building materials also decreased noticeably (by about a tenth) last year. The expanding domestic demand is increasingly hitting the current limits set by the number of permitted dwelling unit density here, so materials are probably imported more frequently, e.g. from Poland). Output in the textile industry, the key part of which is the production of artificial textiles for use in industry or construction, fell by 3.0% last year (it decreased for the third time in a row). The above-mentioned sectors counteracted the growth of the total industry by 0.10 p.p. last year. </w:t>
            </w:r>
          </w:p>
        </w:tc>
      </w:tr>
      <w:tr w:rsidR="00EC2A23" w:rsidRPr="00995C95" w14:paraId="6D954650" w14:textId="77777777" w:rsidTr="00E25E8B">
        <w:trPr>
          <w:trHeight w:val="145"/>
        </w:trPr>
        <w:tc>
          <w:tcPr>
            <w:tcW w:w="1788" w:type="dxa"/>
            <w:tcMar>
              <w:left w:w="0" w:type="dxa"/>
            </w:tcMar>
          </w:tcPr>
          <w:p w14:paraId="2BD28222" w14:textId="77777777" w:rsidR="00EC2A23" w:rsidRDefault="00EC2A23" w:rsidP="00E25E8B">
            <w:pPr>
              <w:pStyle w:val="Marginlie"/>
              <w:rPr>
                <w:color w:val="000000" w:themeColor="text1"/>
                <w:spacing w:val="0"/>
              </w:rPr>
            </w:pPr>
            <w:r w:rsidRPr="00995C95">
              <w:rPr>
                <w:color w:val="000000" w:themeColor="text1"/>
                <w:spacing w:val="0"/>
              </w:rPr>
              <w:lastRenderedPageBreak/>
              <w:t xml:space="preserve">The largest downturn affected the small leather industry branches. The performance in manufacturing of pharmaceutical products also decreased after a long period. </w:t>
            </w:r>
          </w:p>
          <w:p w14:paraId="45D7236D" w14:textId="77777777" w:rsidR="00EC2A23" w:rsidRPr="00995C95" w:rsidRDefault="00EC2A23" w:rsidP="00E25E8B">
            <w:pPr>
              <w:pStyle w:val="Marginlie"/>
              <w:rPr>
                <w:color w:val="000000" w:themeColor="text1"/>
                <w:spacing w:val="0"/>
              </w:rPr>
            </w:pPr>
          </w:p>
          <w:p w14:paraId="6976D49A" w14:textId="77777777" w:rsidR="00EC2A23" w:rsidRPr="00995C95" w:rsidRDefault="00EC2A23" w:rsidP="00E25E8B">
            <w:pPr>
              <w:pStyle w:val="Marginlie"/>
              <w:rPr>
                <w:color w:val="000000" w:themeColor="text1"/>
                <w:spacing w:val="0"/>
              </w:rPr>
            </w:pPr>
          </w:p>
          <w:p w14:paraId="0EC70724" w14:textId="77777777" w:rsidR="00EC2A23" w:rsidRPr="00995C95" w:rsidRDefault="00EC2A23" w:rsidP="00E25E8B">
            <w:pPr>
              <w:pStyle w:val="Marginlie"/>
              <w:spacing w:after="240"/>
              <w:rPr>
                <w:color w:val="000000" w:themeColor="text1"/>
                <w:spacing w:val="0"/>
              </w:rPr>
            </w:pPr>
            <w:r w:rsidRPr="00995C95">
              <w:rPr>
                <w:color w:val="000000" w:themeColor="text1"/>
              </w:rPr>
              <w:t xml:space="preserve">In some sectors, the generally favourable development of domestic demand contrasted with weaker export performance last year. </w:t>
            </w:r>
            <w:r w:rsidRPr="00995C95">
              <w:rPr>
                <w:color w:val="000000" w:themeColor="text1"/>
                <w:spacing w:val="0"/>
              </w:rPr>
              <w:t xml:space="preserve"> </w:t>
            </w:r>
          </w:p>
        </w:tc>
        <w:tc>
          <w:tcPr>
            <w:tcW w:w="147" w:type="dxa"/>
            <w:tcMar>
              <w:left w:w="0" w:type="dxa"/>
            </w:tcMar>
          </w:tcPr>
          <w:p w14:paraId="0469B8D6" w14:textId="77777777" w:rsidR="00EC2A23" w:rsidRPr="00995C95" w:rsidRDefault="00EC2A23" w:rsidP="00E25E8B">
            <w:pPr>
              <w:pStyle w:val="Textpoznpodarou"/>
              <w:spacing w:after="240"/>
              <w:jc w:val="both"/>
              <w:rPr>
                <w:color w:val="000000" w:themeColor="text1"/>
              </w:rPr>
            </w:pPr>
          </w:p>
        </w:tc>
        <w:tc>
          <w:tcPr>
            <w:tcW w:w="7711" w:type="dxa"/>
            <w:tcMar>
              <w:left w:w="0" w:type="dxa"/>
            </w:tcMar>
          </w:tcPr>
          <w:p w14:paraId="66E4AB87" w14:textId="77777777" w:rsidR="00EC2A23" w:rsidRPr="00995C95" w:rsidRDefault="00EC2A23" w:rsidP="00E25E8B">
            <w:pPr>
              <w:spacing w:after="200"/>
              <w:rPr>
                <w:color w:val="0D0D0D" w:themeColor="text1" w:themeTint="F2"/>
              </w:rPr>
            </w:pPr>
            <w:r w:rsidRPr="00995C95">
              <w:rPr>
                <w:color w:val="000000" w:themeColor="text1"/>
              </w:rPr>
              <w:t>Growth did not continue last year in most small industries focused on the manufacturing of non-durable products. The leather industry</w:t>
            </w:r>
            <w:r w:rsidRPr="00995C95">
              <w:rPr>
                <w:rStyle w:val="Znakapoznpodarou"/>
                <w:color w:val="0D0D0D" w:themeColor="text1" w:themeTint="F2"/>
              </w:rPr>
              <w:footnoteReference w:id="23"/>
            </w:r>
            <w:r w:rsidRPr="00995C95">
              <w:rPr>
                <w:color w:val="000000" w:themeColor="text1"/>
              </w:rPr>
              <w:t xml:space="preserve"> was hit by the largest downturn (−9.2%, comparable to the downturn in 2020), solely due to a drop of external demand. This also affected the performance of the clothing manufacturing, which fell by 5.9% last year (the most after year 2009). On the contrary, the traditionally dominant domestic demand was behind the slight decrease of beverage manufacturing</w:t>
            </w:r>
            <w:r w:rsidRPr="00995C95">
              <w:rPr>
                <w:rStyle w:val="Znakapoznpodarou"/>
                <w:color w:val="0D0D0D" w:themeColor="text1" w:themeTint="F2"/>
              </w:rPr>
              <w:footnoteReference w:id="24"/>
            </w:r>
            <w:r w:rsidRPr="00995C95">
              <w:rPr>
                <w:color w:val="000000" w:themeColor="text1"/>
              </w:rPr>
              <w:t xml:space="preserve"> (by 2.0%). This also affected a similar output reduction in printing industry. The weakening of dominant external demand coupled with the simultaneous rapid growth of the domestic market (related to higher demand from the public sector in security area) resulted in a slight decline of the pharmaceutical industry performance (-0.8%), the first in the last thirteen years. On the contrary, production in manufacturing of furniture decreased for the third year in a row, albeit only slightly last year (−0.1%). Weaker domestic demand was the root cause in both 2024 and last year. In total, the above-mentioned diverse mix of consumer sectors counteracted the growth of the total industry by 0.13 p. p. last year.</w:t>
            </w:r>
          </w:p>
        </w:tc>
      </w:tr>
      <w:tr w:rsidR="00EC2A23" w:rsidRPr="00995C95" w14:paraId="532973D3" w14:textId="77777777" w:rsidTr="00E25E8B">
        <w:trPr>
          <w:trHeight w:val="145"/>
        </w:trPr>
        <w:tc>
          <w:tcPr>
            <w:tcW w:w="1788" w:type="dxa"/>
            <w:tcMar>
              <w:left w:w="0" w:type="dxa"/>
            </w:tcMar>
          </w:tcPr>
          <w:p w14:paraId="12B756F6" w14:textId="77777777" w:rsidR="00EC2A23" w:rsidRPr="00995C95" w:rsidRDefault="00EC2A23" w:rsidP="00E25E8B">
            <w:pPr>
              <w:pStyle w:val="Marginlie"/>
              <w:rPr>
                <w:color w:val="0D0D0D" w:themeColor="text1" w:themeTint="F2"/>
                <w:spacing w:val="0"/>
              </w:rPr>
            </w:pPr>
            <w:r w:rsidRPr="00995C95">
              <w:rPr>
                <w:color w:val="0D0D0D" w:themeColor="text1" w:themeTint="F2"/>
                <w:spacing w:val="0"/>
              </w:rPr>
              <w:t>The growth of the value of new orders accelerated sharply at the end of 2025, thanks to external demand in the areas of both public transport and safety.</w:t>
            </w:r>
          </w:p>
          <w:p w14:paraId="1E8FE46D" w14:textId="77777777" w:rsidR="00EC2A23" w:rsidRPr="00995C95" w:rsidRDefault="00EC2A23" w:rsidP="00E25E8B">
            <w:pPr>
              <w:pStyle w:val="Marginlie"/>
              <w:rPr>
                <w:color w:val="0D0D0D" w:themeColor="text1" w:themeTint="F2"/>
                <w:spacing w:val="0"/>
              </w:rPr>
            </w:pPr>
          </w:p>
          <w:p w14:paraId="113AE0E6" w14:textId="77777777" w:rsidR="00EC2A23" w:rsidRPr="00995C95" w:rsidRDefault="00EC2A23" w:rsidP="00E25E8B">
            <w:pPr>
              <w:pStyle w:val="Marginlie"/>
              <w:rPr>
                <w:color w:val="0D0D0D" w:themeColor="text1" w:themeTint="F2"/>
                <w:spacing w:val="0"/>
              </w:rPr>
            </w:pPr>
          </w:p>
          <w:p w14:paraId="1AD28CFB" w14:textId="77777777" w:rsidR="00EC2A23" w:rsidRPr="00995C95" w:rsidRDefault="00EC2A23" w:rsidP="00E25E8B">
            <w:pPr>
              <w:pStyle w:val="Marginlie"/>
              <w:rPr>
                <w:color w:val="0D0D0D" w:themeColor="text1" w:themeTint="F2"/>
                <w:spacing w:val="0"/>
              </w:rPr>
            </w:pPr>
          </w:p>
          <w:p w14:paraId="1A774038" w14:textId="77777777" w:rsidR="00EC2A23" w:rsidRPr="00995C95" w:rsidRDefault="00EC2A23" w:rsidP="00E25E8B">
            <w:pPr>
              <w:pStyle w:val="Marginlie"/>
              <w:rPr>
                <w:color w:val="0D0D0D" w:themeColor="text1" w:themeTint="F2"/>
                <w:spacing w:val="0"/>
              </w:rPr>
            </w:pPr>
          </w:p>
          <w:p w14:paraId="6BE75F4F" w14:textId="77777777" w:rsidR="00EC2A23" w:rsidRPr="00995C95" w:rsidRDefault="00EC2A23" w:rsidP="00E25E8B">
            <w:pPr>
              <w:pStyle w:val="Marginlie"/>
              <w:rPr>
                <w:color w:val="0D0D0D" w:themeColor="text1" w:themeTint="F2"/>
                <w:spacing w:val="0"/>
              </w:rPr>
            </w:pPr>
          </w:p>
          <w:p w14:paraId="26405808" w14:textId="77777777" w:rsidR="00EC2A23" w:rsidRPr="00995C95" w:rsidRDefault="00EC2A23" w:rsidP="00E25E8B">
            <w:pPr>
              <w:pStyle w:val="Marginlie"/>
              <w:rPr>
                <w:color w:val="0D0D0D" w:themeColor="text1" w:themeTint="F2"/>
                <w:spacing w:val="0"/>
              </w:rPr>
            </w:pPr>
            <w:r w:rsidRPr="00995C95">
              <w:rPr>
                <w:color w:val="0D0D0D" w:themeColor="text1" w:themeTint="F2"/>
                <w:spacing w:val="0"/>
              </w:rPr>
              <w:t xml:space="preserve">However, demand did not increase in a number of mostly smaller economic activities. </w:t>
            </w:r>
          </w:p>
        </w:tc>
        <w:tc>
          <w:tcPr>
            <w:tcW w:w="147" w:type="dxa"/>
            <w:tcMar>
              <w:left w:w="0" w:type="dxa"/>
            </w:tcMar>
          </w:tcPr>
          <w:p w14:paraId="0D7DE7FA" w14:textId="77777777" w:rsidR="00EC2A23" w:rsidRPr="00995C95" w:rsidRDefault="00EC2A23" w:rsidP="00E25E8B">
            <w:pPr>
              <w:pStyle w:val="Textpoznpodarou"/>
              <w:spacing w:after="240"/>
              <w:jc w:val="both"/>
              <w:rPr>
                <w:color w:val="000000" w:themeColor="text1"/>
              </w:rPr>
            </w:pPr>
          </w:p>
        </w:tc>
        <w:tc>
          <w:tcPr>
            <w:tcW w:w="7711" w:type="dxa"/>
            <w:tcMar>
              <w:left w:w="0" w:type="dxa"/>
            </w:tcMar>
          </w:tcPr>
          <w:p w14:paraId="323916B9" w14:textId="77777777" w:rsidR="00EC2A23" w:rsidRPr="00995C95" w:rsidRDefault="00EC2A23" w:rsidP="00E25E8B">
            <w:pPr>
              <w:spacing w:after="200"/>
              <w:rPr>
                <w:color w:val="000000" w:themeColor="text1"/>
              </w:rPr>
            </w:pPr>
            <w:r w:rsidRPr="00995C95">
              <w:rPr>
                <w:color w:val="000000" w:themeColor="text1"/>
              </w:rPr>
              <w:t>The development of the nominal value</w:t>
            </w:r>
            <w:r w:rsidRPr="00995C95">
              <w:rPr>
                <w:color w:val="0D0D0D" w:themeColor="text1" w:themeTint="F2"/>
                <w:vertAlign w:val="superscript"/>
              </w:rPr>
              <w:footnoteReference w:id="25"/>
            </w:r>
            <w:r w:rsidRPr="00995C95">
              <w:rPr>
                <w:color w:val="000000" w:themeColor="text1"/>
              </w:rPr>
              <w:t xml:space="preserve"> of new industrial orders was uneven in terms of individual parts of the year and sub-sectors last year. Year-on-year growth of order volumes had already slowed during the second half of the year before last and came to a complete halt in Q1 2025 (-0.1%) due to weaker demand for key export sectors. However, subsequently there was a slight recovery that continued throughout the summer, and a more significant growth impulse came at the very end of the year. The volume of orders increased by a tenth in Q4 (the most in the last three years). However, only external demand contributed to it (mainly in manufacturing of other transport equipment</w:t>
            </w:r>
            <w:r w:rsidRPr="00995C95">
              <w:rPr>
                <w:rStyle w:val="Znakapoznpodarou"/>
                <w:color w:val="000000" w:themeColor="text1"/>
              </w:rPr>
              <w:footnoteReference w:id="26"/>
            </w:r>
            <w:r w:rsidRPr="00995C95">
              <w:rPr>
                <w:color w:val="000000" w:themeColor="text1"/>
              </w:rPr>
              <w:t xml:space="preserve"> and in electrical engineering and the metalworking industry). External demand also grew more moderately in manufacturing of motor vehicles and motorcycles (+5.6%, by 3.7% annually). The value of all orders in total industry increased by 3.9% for the whole last year, of which by 54.1% in manufacturing of other transport equipment</w:t>
            </w:r>
            <w:r w:rsidRPr="00995C95">
              <w:rPr>
                <w:rStyle w:val="Znakapoznpodarou"/>
                <w:color w:val="000000" w:themeColor="text1"/>
              </w:rPr>
              <w:footnoteReference w:id="27"/>
            </w:r>
            <w:r w:rsidRPr="00995C95">
              <w:rPr>
                <w:color w:val="000000" w:themeColor="text1"/>
              </w:rPr>
              <w:t xml:space="preserve">, by 9.4% in the metalworking industry and also for instance in engineering (+4.0%). On the contrary, they fell the most in the electronics industry (−4.6%). Taking into account producer prices, orders also fell more slightly in real terms in the textile, clothing, paper and pharmaceutical industries. On the contrary, they grew through this lens very slightly in the metallurgical and chemical industries. </w:t>
            </w:r>
          </w:p>
        </w:tc>
      </w:tr>
      <w:tr w:rsidR="00EC2A23" w:rsidRPr="00995C95" w14:paraId="7DA78674" w14:textId="77777777" w:rsidTr="00E25E8B">
        <w:trPr>
          <w:trHeight w:val="145"/>
        </w:trPr>
        <w:tc>
          <w:tcPr>
            <w:tcW w:w="1788" w:type="dxa"/>
            <w:tcMar>
              <w:left w:w="0" w:type="dxa"/>
            </w:tcMar>
          </w:tcPr>
          <w:p w14:paraId="784D3D77" w14:textId="77777777" w:rsidR="00EC2A23" w:rsidRPr="00995C95" w:rsidRDefault="00EC2A23" w:rsidP="00E25E8B">
            <w:pPr>
              <w:pStyle w:val="Marginlie"/>
              <w:rPr>
                <w:color w:val="0D0D0D" w:themeColor="text1" w:themeTint="F2"/>
                <w:spacing w:val="0"/>
              </w:rPr>
            </w:pPr>
            <w:r w:rsidRPr="00995C95">
              <w:rPr>
                <w:color w:val="0D0D0D" w:themeColor="text1" w:themeTint="F2"/>
                <w:spacing w:val="0"/>
              </w:rPr>
              <w:t>Business confidence in industry remained in a slightly negative band. Half of the companies were plagued by insufficient demand.</w:t>
            </w:r>
          </w:p>
          <w:p w14:paraId="463BF9F0" w14:textId="77777777" w:rsidR="00EC2A23" w:rsidRPr="00995C95" w:rsidRDefault="00EC2A23" w:rsidP="00E25E8B">
            <w:pPr>
              <w:pStyle w:val="Marginlie"/>
              <w:rPr>
                <w:color w:val="0D0D0D" w:themeColor="text1" w:themeTint="F2"/>
                <w:spacing w:val="0"/>
              </w:rPr>
            </w:pPr>
            <w:r w:rsidRPr="00995C95">
              <w:rPr>
                <w:color w:val="0D0D0D" w:themeColor="text1" w:themeTint="F2"/>
              </w:rPr>
              <w:lastRenderedPageBreak/>
              <w:t xml:space="preserve">A noticeable improvement of demand, expectations of production, employment and also the economic situation of businesses was apparent in the year-on-year terms.   </w:t>
            </w:r>
          </w:p>
          <w:p w14:paraId="05F041D6" w14:textId="77777777" w:rsidR="00EC2A23" w:rsidRPr="00995C95" w:rsidRDefault="00EC2A23" w:rsidP="00E25E8B">
            <w:pPr>
              <w:pStyle w:val="Marginlie"/>
              <w:rPr>
                <w:color w:val="0D0D0D" w:themeColor="text1" w:themeTint="F2"/>
                <w:spacing w:val="0"/>
              </w:rPr>
            </w:pPr>
          </w:p>
        </w:tc>
        <w:tc>
          <w:tcPr>
            <w:tcW w:w="147" w:type="dxa"/>
            <w:tcMar>
              <w:left w:w="0" w:type="dxa"/>
            </w:tcMar>
          </w:tcPr>
          <w:p w14:paraId="6D1A5374" w14:textId="77777777" w:rsidR="00EC2A23" w:rsidRPr="00995C95" w:rsidRDefault="00EC2A23" w:rsidP="00E25E8B">
            <w:pPr>
              <w:pStyle w:val="Textpoznpodarou"/>
              <w:spacing w:after="240"/>
              <w:jc w:val="both"/>
              <w:rPr>
                <w:color w:val="000000" w:themeColor="text1"/>
              </w:rPr>
            </w:pPr>
          </w:p>
        </w:tc>
        <w:tc>
          <w:tcPr>
            <w:tcW w:w="7711" w:type="dxa"/>
            <w:tcMar>
              <w:left w:w="0" w:type="dxa"/>
            </w:tcMar>
          </w:tcPr>
          <w:p w14:paraId="2600897F" w14:textId="77777777" w:rsidR="00EC2A23" w:rsidRPr="00995C95" w:rsidRDefault="00EC2A23" w:rsidP="00E25E8B">
            <w:pPr>
              <w:spacing w:after="200"/>
              <w:rPr>
                <w:color w:val="000000" w:themeColor="text1"/>
              </w:rPr>
            </w:pPr>
            <w:r w:rsidRPr="00995C95">
              <w:rPr>
                <w:color w:val="0D0D0D" w:themeColor="text1" w:themeTint="F2"/>
              </w:rPr>
              <w:t xml:space="preserve">Business confidence in industry did not change much during 2025 and remained in a slightly negative zone. Nevertheless, there were signs of a partial recovery already last autumn and at the beginning of this year. The confidence balance was −2 p. p. in February 2026 (it also remained slightly below the long-term average). The negative </w:t>
            </w:r>
            <w:r w:rsidRPr="00995C95">
              <w:rPr>
                <w:color w:val="0D0D0D" w:themeColor="text1" w:themeTint="F2"/>
              </w:rPr>
              <w:lastRenderedPageBreak/>
              <w:t>view of current demand, especially external demand, was softening. Fifth of businesses already anticipated a demand growth with a view to this spring period (a decrease of only 3%), which was reflected in the prevailing positive expectations of production. The number of companies planning layoffs was decreasing, and the reduction of number of registered employees also slowed down during 2025</w:t>
            </w:r>
            <w:r w:rsidRPr="00995C95">
              <w:rPr>
                <w:rStyle w:val="Znakapoznpodarou"/>
                <w:color w:val="0D0D0D" w:themeColor="text1" w:themeTint="F2"/>
              </w:rPr>
              <w:footnoteReference w:id="28"/>
            </w:r>
            <w:r w:rsidRPr="00995C95">
              <w:rPr>
                <w:color w:val="0D0D0D" w:themeColor="text1" w:themeTint="F2"/>
              </w:rPr>
              <w:t>. The current economic situation of businesses improved at the turn of the year and their outlook was also slightly positive</w:t>
            </w:r>
            <w:r w:rsidRPr="00995C95">
              <w:rPr>
                <w:rStyle w:val="Znakapoznpodarou"/>
                <w:color w:val="0D0D0D" w:themeColor="text1" w:themeTint="F2"/>
              </w:rPr>
              <w:footnoteReference w:id="29"/>
            </w:r>
            <w:r w:rsidRPr="00995C95">
              <w:rPr>
                <w:color w:val="0D0D0D" w:themeColor="text1" w:themeTint="F2"/>
              </w:rPr>
              <w:t>. The insufficient demand remains a key growth barrier in industry for the third year in a row</w:t>
            </w:r>
            <w:r w:rsidRPr="00995C95">
              <w:rPr>
                <w:rStyle w:val="Znakapoznpodarou"/>
                <w:rFonts w:eastAsia="MS Gothic"/>
                <w:szCs w:val="20"/>
              </w:rPr>
              <w:footnoteReference w:id="30"/>
            </w:r>
            <w:r w:rsidRPr="00995C95">
              <w:rPr>
                <w:color w:val="0D0D0D" w:themeColor="text1" w:themeTint="F2"/>
              </w:rPr>
              <w:t>. 53% of businesses reported it in January this year, nevertheless its role decreased, year-on-year (by 10 p. p.). On the contrary, a tenth of businesses are constantly troubled by a lack of labour force, alternatively materials or equipment. On a positive note, the share of businesses that did not report any significant barriers has almost doubled, year-on-year (to 26%, the most in the last five years). Utilisation of production capacities in industry reached 82% in January this year, was almost unchanged, year-on-year, and was lower by 2.5 p. p. compared to the 2015-2019 boom period. Their use was traditionally high (90%) in manufacturing of motor vehicles and motorcycles, nevertheless it lagged slightly behind the period of the last boom even here</w:t>
            </w:r>
            <w:r w:rsidRPr="00995C95">
              <w:rPr>
                <w:rStyle w:val="Znakapoznpodarou"/>
                <w:rFonts w:eastAsia="MS Gothic"/>
                <w:szCs w:val="20"/>
              </w:rPr>
              <w:footnoteReference w:id="31"/>
            </w:r>
            <w:r w:rsidRPr="00995C95">
              <w:rPr>
                <w:rStyle w:val="normaltextrun"/>
                <w:rFonts w:eastAsia="MS Gothic" w:cs="Arial"/>
                <w:szCs w:val="20"/>
              </w:rPr>
              <w:t xml:space="preserve">. </w:t>
            </w:r>
          </w:p>
        </w:tc>
      </w:tr>
      <w:tr w:rsidR="00EC2A23" w:rsidRPr="00995C95" w14:paraId="39F518A8" w14:textId="77777777" w:rsidTr="00E25E8B">
        <w:trPr>
          <w:trHeight w:val="145"/>
        </w:trPr>
        <w:tc>
          <w:tcPr>
            <w:tcW w:w="1788" w:type="dxa"/>
            <w:tcMar>
              <w:left w:w="0" w:type="dxa"/>
            </w:tcMar>
          </w:tcPr>
          <w:p w14:paraId="1EDE0E9F" w14:textId="77777777" w:rsidR="00EC2A23" w:rsidRPr="00995C95" w:rsidRDefault="00EC2A23" w:rsidP="00E25E8B">
            <w:pPr>
              <w:pStyle w:val="Marginlie"/>
              <w:spacing w:after="240"/>
              <w:rPr>
                <w:color w:val="0D0D0D" w:themeColor="text1" w:themeTint="F2"/>
                <w:spacing w:val="0"/>
              </w:rPr>
            </w:pPr>
          </w:p>
        </w:tc>
        <w:tc>
          <w:tcPr>
            <w:tcW w:w="147" w:type="dxa"/>
            <w:tcMar>
              <w:left w:w="0" w:type="dxa"/>
            </w:tcMar>
          </w:tcPr>
          <w:p w14:paraId="47E3B49D" w14:textId="77777777" w:rsidR="00EC2A23" w:rsidRPr="00995C95" w:rsidRDefault="00EC2A23" w:rsidP="00E25E8B">
            <w:pPr>
              <w:pStyle w:val="Textpoznpodarou"/>
              <w:spacing w:after="240"/>
              <w:jc w:val="both"/>
            </w:pPr>
          </w:p>
        </w:tc>
        <w:tc>
          <w:tcPr>
            <w:tcW w:w="7711" w:type="dxa"/>
            <w:tcMar>
              <w:left w:w="0" w:type="dxa"/>
            </w:tcMar>
          </w:tcPr>
          <w:p w14:paraId="0594D67C" w14:textId="77777777" w:rsidR="00EC2A23" w:rsidRPr="00995C95" w:rsidRDefault="00EC2A23" w:rsidP="00E25E8B">
            <w:pPr>
              <w:spacing w:after="40"/>
              <w:rPr>
                <w:color w:val="0D0D0D" w:themeColor="text1" w:themeTint="F2"/>
              </w:rPr>
            </w:pPr>
            <w:r w:rsidRPr="00995C95">
              <w:rPr>
                <w:b/>
                <w:color w:val="0D0D0D" w:themeColor="text1" w:themeTint="F2"/>
              </w:rPr>
              <w:t xml:space="preserve">Chart 5 </w:t>
            </w:r>
            <w:r w:rsidRPr="00995C95">
              <w:rPr>
                <w:b/>
              </w:rPr>
              <w:t xml:space="preserve">New orders in industry </w:t>
            </w:r>
            <w:r w:rsidRPr="00995C95">
              <w:rPr>
                <w:bCs/>
              </w:rPr>
              <w:t xml:space="preserve">(nominal, year-on-year change in %), </w:t>
            </w:r>
            <w:r w:rsidRPr="00995C95">
              <w:rPr>
                <w:b/>
              </w:rPr>
              <w:t>utilisation of production capacities in industry, selected growth barriers*</w:t>
            </w:r>
            <w:r w:rsidRPr="00995C95">
              <w:t xml:space="preserve"> (in %, right axis)</w:t>
            </w:r>
            <w:r>
              <w:t>,</w:t>
            </w:r>
            <w:r w:rsidRPr="00995C95">
              <w:rPr>
                <w:b/>
                <w:bCs/>
              </w:rPr>
              <w:t xml:space="preserve"> balance of business confidence indicator in industry*</w:t>
            </w:r>
            <w:r w:rsidRPr="00995C95">
              <w:t xml:space="preserve"> (in p.p., right axis) </w:t>
            </w:r>
          </w:p>
        </w:tc>
      </w:tr>
      <w:tr w:rsidR="00EC2A23" w:rsidRPr="00995C95" w14:paraId="6ECA238A" w14:textId="77777777" w:rsidTr="00E25E8B">
        <w:tblPrEx>
          <w:tblCellMar>
            <w:left w:w="70" w:type="dxa"/>
            <w:right w:w="70" w:type="dxa"/>
          </w:tblCellMar>
        </w:tblPrEx>
        <w:trPr>
          <w:trHeight w:val="145"/>
        </w:trPr>
        <w:tc>
          <w:tcPr>
            <w:tcW w:w="1788" w:type="dxa"/>
          </w:tcPr>
          <w:p w14:paraId="0ABFB50F" w14:textId="77777777" w:rsidR="00EC2A23" w:rsidRPr="00995C95" w:rsidRDefault="00EC2A23" w:rsidP="00E25E8B">
            <w:pPr>
              <w:pStyle w:val="Marginlie"/>
              <w:spacing w:after="240"/>
              <w:rPr>
                <w:color w:val="0D0D0D" w:themeColor="text1" w:themeTint="F2"/>
                <w:spacing w:val="0"/>
              </w:rPr>
            </w:pPr>
          </w:p>
        </w:tc>
        <w:tc>
          <w:tcPr>
            <w:tcW w:w="147" w:type="dxa"/>
          </w:tcPr>
          <w:p w14:paraId="7791B39F" w14:textId="77777777" w:rsidR="00EC2A23" w:rsidRPr="00995C95" w:rsidRDefault="00EC2A23" w:rsidP="00E25E8B">
            <w:pPr>
              <w:pStyle w:val="Textpoznpodarou"/>
              <w:spacing w:after="240"/>
              <w:jc w:val="both"/>
            </w:pPr>
          </w:p>
        </w:tc>
        <w:tc>
          <w:tcPr>
            <w:tcW w:w="7711" w:type="dxa"/>
          </w:tcPr>
          <w:p w14:paraId="2BA4DD4A" w14:textId="77777777" w:rsidR="00EC2A23" w:rsidRPr="00995C95" w:rsidRDefault="00EC2A23" w:rsidP="00E25E8B">
            <w:pPr>
              <w:spacing w:before="40" w:after="40"/>
              <w:rPr>
                <w:color w:val="0D0D0D" w:themeColor="text1" w:themeTint="F2"/>
              </w:rPr>
            </w:pPr>
            <w:r>
              <w:rPr>
                <w:noProof/>
              </w:rPr>
              <w:drawing>
                <wp:inline distT="0" distB="0" distL="0" distR="0" wp14:anchorId="3307E323" wp14:editId="50A18F7A">
                  <wp:extent cx="4801870" cy="3600450"/>
                  <wp:effectExtent l="0" t="0" r="0" b="0"/>
                  <wp:docPr id="592213122" name="Graf 1">
                    <a:extLst xmlns:a="http://schemas.openxmlformats.org/drawingml/2006/main">
                      <a:ext uri="{FF2B5EF4-FFF2-40B4-BE49-F238E27FC236}">
                        <a16:creationId xmlns:a16="http://schemas.microsoft.com/office/drawing/2014/main" id="{00000000-0008-0000-07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r w:rsidR="00EC2A23" w:rsidRPr="00995C95" w14:paraId="0EDAAC4B" w14:textId="77777777" w:rsidTr="00E25E8B">
        <w:trPr>
          <w:trHeight w:val="145"/>
        </w:trPr>
        <w:tc>
          <w:tcPr>
            <w:tcW w:w="1788" w:type="dxa"/>
            <w:tcMar>
              <w:left w:w="0" w:type="dxa"/>
            </w:tcMar>
          </w:tcPr>
          <w:p w14:paraId="5BC26628" w14:textId="77777777" w:rsidR="00EC2A23" w:rsidRPr="00995C95" w:rsidRDefault="00EC2A23" w:rsidP="00E25E8B">
            <w:pPr>
              <w:pStyle w:val="Marginlie"/>
              <w:spacing w:after="240"/>
              <w:rPr>
                <w:color w:val="0D0D0D" w:themeColor="text1" w:themeTint="F2"/>
                <w:spacing w:val="0"/>
              </w:rPr>
            </w:pPr>
          </w:p>
        </w:tc>
        <w:tc>
          <w:tcPr>
            <w:tcW w:w="147" w:type="dxa"/>
            <w:tcMar>
              <w:left w:w="0" w:type="dxa"/>
            </w:tcMar>
          </w:tcPr>
          <w:p w14:paraId="4BD604A4" w14:textId="77777777" w:rsidR="00EC2A23" w:rsidRPr="00995C95" w:rsidRDefault="00EC2A23" w:rsidP="00E25E8B">
            <w:pPr>
              <w:pStyle w:val="Textpoznpodarou"/>
              <w:spacing w:after="240"/>
              <w:jc w:val="both"/>
            </w:pPr>
          </w:p>
        </w:tc>
        <w:tc>
          <w:tcPr>
            <w:tcW w:w="7711" w:type="dxa"/>
            <w:tcMar>
              <w:left w:w="0" w:type="dxa"/>
            </w:tcMar>
          </w:tcPr>
          <w:p w14:paraId="6C7CE7EF" w14:textId="77777777" w:rsidR="00EC2A23" w:rsidRPr="00995C95" w:rsidRDefault="00EC2A23" w:rsidP="00E25E8B">
            <w:pPr>
              <w:spacing w:after="220"/>
              <w:jc w:val="left"/>
              <w:rPr>
                <w:color w:val="0D0D0D" w:themeColor="text1" w:themeTint="F2"/>
                <w:sz w:val="14"/>
                <w:szCs w:val="14"/>
              </w:rPr>
            </w:pPr>
            <w:r w:rsidRPr="00995C95">
              <w:rPr>
                <w:color w:val="0D0D0D" w:themeColor="text1" w:themeTint="F2"/>
                <w:sz w:val="14"/>
                <w:szCs w:val="14"/>
              </w:rPr>
              <w:t>*</w:t>
            </w:r>
            <w:r w:rsidRPr="00995C95">
              <w:rPr>
                <w:color w:val="0D0D0D" w:themeColor="text1" w:themeTint="F2"/>
                <w:spacing w:val="-5"/>
                <w:sz w:val="14"/>
                <w:szCs w:val="14"/>
              </w:rPr>
              <w:t xml:space="preserve"> Both utilisation of production capacities and growth barriers express the level in the first month of the given quarter, business confidence balance relates to the second month in the quarter. Orders are adjusted for calendar effects; other indicators are seasonally adjusted. Businesses could have indicated more key growth barriers simultaneously. </w:t>
            </w:r>
            <w:r w:rsidRPr="00995C95">
              <w:rPr>
                <w:color w:val="0D0D0D" w:themeColor="text1" w:themeTint="F2"/>
                <w:sz w:val="14"/>
                <w:szCs w:val="14"/>
              </w:rPr>
              <w:t xml:space="preserve">                                                                                                                                Source:</w:t>
            </w:r>
            <w:r>
              <w:rPr>
                <w:color w:val="0D0D0D" w:themeColor="text1" w:themeTint="F2"/>
                <w:sz w:val="14"/>
                <w:szCs w:val="14"/>
              </w:rPr>
              <w:t xml:space="preserve"> </w:t>
            </w:r>
            <w:r w:rsidRPr="00995C95">
              <w:rPr>
                <w:color w:val="0D0D0D" w:themeColor="text1" w:themeTint="F2"/>
                <w:sz w:val="14"/>
                <w:szCs w:val="14"/>
              </w:rPr>
              <w:t>CZSO, Eurostat</w:t>
            </w:r>
          </w:p>
        </w:tc>
      </w:tr>
      <w:tr w:rsidR="00EC2A23" w:rsidRPr="00995C95" w14:paraId="738E2CF2" w14:textId="77777777" w:rsidTr="00E25E8B">
        <w:trPr>
          <w:trHeight w:val="145"/>
        </w:trPr>
        <w:tc>
          <w:tcPr>
            <w:tcW w:w="1788" w:type="dxa"/>
            <w:tcMar>
              <w:left w:w="0" w:type="dxa"/>
            </w:tcMar>
          </w:tcPr>
          <w:p w14:paraId="76108572" w14:textId="77777777" w:rsidR="00EC2A23" w:rsidRPr="00995C95" w:rsidRDefault="00EC2A23" w:rsidP="00E25E8B">
            <w:pPr>
              <w:pStyle w:val="Marginlie"/>
              <w:rPr>
                <w:color w:val="0D0D0D" w:themeColor="text1" w:themeTint="F2"/>
                <w:spacing w:val="0"/>
              </w:rPr>
            </w:pPr>
            <w:r w:rsidRPr="00995C95">
              <w:rPr>
                <w:color w:val="0D0D0D" w:themeColor="text1" w:themeTint="F2"/>
                <w:spacing w:val="0"/>
              </w:rPr>
              <w:lastRenderedPageBreak/>
              <w:t>Industrial production in the EU grew at a similar pace to the Czech Republic last year. However, there was no clear sign of acceleration at the end of the year in the Union.</w:t>
            </w:r>
          </w:p>
          <w:p w14:paraId="72DC5C33" w14:textId="77777777" w:rsidR="00EC2A23" w:rsidRPr="00995C95" w:rsidRDefault="00EC2A23" w:rsidP="00E25E8B">
            <w:pPr>
              <w:pStyle w:val="Marginlie"/>
              <w:rPr>
                <w:color w:val="0D0D0D" w:themeColor="text1" w:themeTint="F2"/>
                <w:spacing w:val="0"/>
              </w:rPr>
            </w:pPr>
          </w:p>
          <w:p w14:paraId="0AC9FF0D" w14:textId="77777777" w:rsidR="00EC2A23" w:rsidRPr="00995C95" w:rsidRDefault="00EC2A23" w:rsidP="00E25E8B">
            <w:pPr>
              <w:pStyle w:val="Marginlie"/>
              <w:rPr>
                <w:color w:val="0D0D0D" w:themeColor="text1" w:themeTint="F2"/>
                <w:spacing w:val="0"/>
              </w:rPr>
            </w:pPr>
          </w:p>
          <w:p w14:paraId="024A4635" w14:textId="77777777" w:rsidR="00EC2A23" w:rsidRPr="00995C95" w:rsidRDefault="00EC2A23" w:rsidP="00E25E8B">
            <w:pPr>
              <w:pStyle w:val="Marginlie"/>
              <w:rPr>
                <w:color w:val="0D0D0D" w:themeColor="text1" w:themeTint="F2"/>
                <w:spacing w:val="0"/>
              </w:rPr>
            </w:pPr>
          </w:p>
          <w:p w14:paraId="7674005F" w14:textId="77777777" w:rsidR="00EC2A23" w:rsidRPr="00995C95" w:rsidRDefault="00EC2A23" w:rsidP="00E25E8B">
            <w:pPr>
              <w:pStyle w:val="Marginlie"/>
              <w:rPr>
                <w:color w:val="0D0D0D" w:themeColor="text1" w:themeTint="F2"/>
                <w:spacing w:val="0"/>
              </w:rPr>
            </w:pPr>
          </w:p>
          <w:p w14:paraId="5B3F214B" w14:textId="77777777" w:rsidR="00EC2A23" w:rsidRPr="00995C95" w:rsidRDefault="00EC2A23" w:rsidP="00E25E8B">
            <w:pPr>
              <w:pStyle w:val="Marginlie"/>
              <w:rPr>
                <w:color w:val="0D0D0D" w:themeColor="text1" w:themeTint="F2"/>
                <w:spacing w:val="0"/>
              </w:rPr>
            </w:pPr>
          </w:p>
          <w:p w14:paraId="1FED107E" w14:textId="77777777" w:rsidR="00EC2A23" w:rsidRPr="00995C95" w:rsidRDefault="00EC2A23" w:rsidP="00E25E8B">
            <w:pPr>
              <w:pStyle w:val="Marginlie"/>
              <w:rPr>
                <w:color w:val="0D0D0D" w:themeColor="text1" w:themeTint="F2"/>
                <w:spacing w:val="0"/>
              </w:rPr>
            </w:pPr>
          </w:p>
          <w:p w14:paraId="649E67DF" w14:textId="77777777" w:rsidR="00EC2A23" w:rsidRPr="00995C95" w:rsidRDefault="00EC2A23" w:rsidP="00E25E8B">
            <w:pPr>
              <w:pStyle w:val="Marginlie"/>
              <w:rPr>
                <w:color w:val="0D0D0D" w:themeColor="text1" w:themeTint="F2"/>
                <w:spacing w:val="0"/>
              </w:rPr>
            </w:pPr>
            <w:r w:rsidRPr="00995C95">
              <w:rPr>
                <w:color w:val="0D0D0D" w:themeColor="text1" w:themeTint="F2"/>
                <w:spacing w:val="0"/>
              </w:rPr>
              <w:t xml:space="preserve">Moderate production growth resumed only at the end of last year in Germany, however the unfavourable development of industrial employment persisted. </w:t>
            </w:r>
          </w:p>
        </w:tc>
        <w:tc>
          <w:tcPr>
            <w:tcW w:w="147" w:type="dxa"/>
            <w:tcMar>
              <w:left w:w="0" w:type="dxa"/>
            </w:tcMar>
          </w:tcPr>
          <w:p w14:paraId="2C03B566" w14:textId="77777777" w:rsidR="00EC2A23" w:rsidRPr="00995C95" w:rsidRDefault="00EC2A23" w:rsidP="00E25E8B">
            <w:pPr>
              <w:pStyle w:val="Textpoznpodarou"/>
              <w:spacing w:after="240"/>
              <w:jc w:val="both"/>
              <w:rPr>
                <w:color w:val="0D0D0D" w:themeColor="text1" w:themeTint="F2"/>
              </w:rPr>
            </w:pPr>
          </w:p>
        </w:tc>
        <w:tc>
          <w:tcPr>
            <w:tcW w:w="7711" w:type="dxa"/>
            <w:tcMar>
              <w:left w:w="0" w:type="dxa"/>
            </w:tcMar>
          </w:tcPr>
          <w:p w14:paraId="2552C64D" w14:textId="77777777" w:rsidR="00EC2A23" w:rsidRPr="00995C95" w:rsidRDefault="00EC2A23" w:rsidP="00E25E8B">
            <w:pPr>
              <w:spacing w:after="200"/>
              <w:rPr>
                <w:color w:val="0D0D0D" w:themeColor="text1" w:themeTint="F2"/>
              </w:rPr>
            </w:pPr>
            <w:r w:rsidRPr="00995C95">
              <w:rPr>
                <w:color w:val="0D0D0D" w:themeColor="text1" w:themeTint="F2"/>
              </w:rPr>
              <w:t>Industry in the EU had already emerged from a mild recession at the end of 2024 and its recovery in Q1 2025 was linked to sectors focused on investment products. There was a slight quarter-on-quarter growth of production (0.2 to 0.3%) in the second part of the year, driven mainly by investment sectors and partly by higher demand for consumer goods. The recovery of industry was more pronounced in the Czech Republic at the end of last year and resulted mainly from higher production of industries focused on investments and intermediate products. The output of the total industry in the EU increased by 1.5% for the whole year 2025 (by 2.2% in the Czech Republic). Higher output of consumer goods (+4.8%) had the largest impact, especially of non-durable consumer goods. On the contrary, the performance of industries focused on intermediate products decreased (−0.3%) for the fourth year in a row, e.g. the chemical industry, rubber and plastics industry, or the production of building materials. Among the Member States, Ireland (+17.7%), Sweden (+4.7%) and Latvia (+4.0%) achieved the highest industrial growth for the fourth year in a row, among the major economies then Poland (+2.5%), Spain (+1.2%) and France (+0.7%). On the contrary, the largest decrease was recorded in Bulgaria (−7.3%, amid a decline in energy and metallurgy), production also went down in Hungary for the third year in a row (by 3.6% last year, amid a deeper downturn in the petro-chemical industry, motor vehicle and other investment sectors, and the production of most intermediate products), and there was also a decline in Slovakia (−3.0%, with a noticeable slump in energy output). Among the major producers, industrial output fell last year in Italy (−0.3%) and Germany (−0.9%</w:t>
            </w:r>
            <w:r w:rsidRPr="00995C95">
              <w:rPr>
                <w:rStyle w:val="Znakapoznpodarou"/>
                <w:color w:val="0D0D0D" w:themeColor="text1" w:themeTint="F2"/>
              </w:rPr>
              <w:footnoteReference w:id="32"/>
            </w:r>
            <w:r w:rsidRPr="00995C95">
              <w:rPr>
                <w:color w:val="0D0D0D" w:themeColor="text1" w:themeTint="F2"/>
              </w:rPr>
              <w:t xml:space="preserve">), where the recession in this sector was not as pronounced as in 2023 and 2024, but lasted for the fourth year in a row. Decline mainly in traditional export areas (motor vehicle, engineering) was evident here last year, and in addition to energy, production fell in all other important branches.    </w:t>
            </w:r>
          </w:p>
        </w:tc>
      </w:tr>
      <w:tr w:rsidR="00EC2A23" w:rsidRPr="00995C95" w14:paraId="29A27D01" w14:textId="77777777" w:rsidTr="00E25E8B">
        <w:trPr>
          <w:trHeight w:val="145"/>
        </w:trPr>
        <w:tc>
          <w:tcPr>
            <w:tcW w:w="1788" w:type="dxa"/>
            <w:tcMar>
              <w:left w:w="0" w:type="dxa"/>
            </w:tcMar>
          </w:tcPr>
          <w:p w14:paraId="305F29DD" w14:textId="77777777" w:rsidR="00EC2A23" w:rsidRPr="00995C95" w:rsidRDefault="00EC2A23" w:rsidP="00E25E8B">
            <w:pPr>
              <w:pStyle w:val="Marginlie"/>
              <w:rPr>
                <w:color w:val="0D0D0D" w:themeColor="text1" w:themeTint="F2"/>
                <w:spacing w:val="0"/>
              </w:rPr>
            </w:pPr>
            <w:r w:rsidRPr="00995C95">
              <w:rPr>
                <w:color w:val="0D0D0D" w:themeColor="text1" w:themeTint="F2"/>
                <w:spacing w:val="0"/>
              </w:rPr>
              <w:t>At the turn of 2024 and 2025, there was a significant recovery in construction. However, further continuation of rapid development may be limited by persistent growth barriers, especially on the labour market.</w:t>
            </w:r>
          </w:p>
          <w:p w14:paraId="4DD5D721" w14:textId="77777777" w:rsidR="00EC2A23" w:rsidRPr="00995C95" w:rsidRDefault="00EC2A23" w:rsidP="00E25E8B">
            <w:pPr>
              <w:pStyle w:val="Marginlie"/>
              <w:rPr>
                <w:color w:val="0D0D0D" w:themeColor="text1" w:themeTint="F2"/>
                <w:spacing w:val="0"/>
              </w:rPr>
            </w:pPr>
          </w:p>
        </w:tc>
        <w:tc>
          <w:tcPr>
            <w:tcW w:w="147" w:type="dxa"/>
            <w:tcMar>
              <w:left w:w="0" w:type="dxa"/>
            </w:tcMar>
          </w:tcPr>
          <w:p w14:paraId="1FAAF0A5" w14:textId="77777777" w:rsidR="00EC2A23" w:rsidRPr="00995C95" w:rsidRDefault="00EC2A23" w:rsidP="00E25E8B">
            <w:pPr>
              <w:pStyle w:val="Textpoznpodarou"/>
              <w:spacing w:after="240"/>
              <w:jc w:val="both"/>
              <w:rPr>
                <w:color w:val="0D0D0D" w:themeColor="text1" w:themeTint="F2"/>
              </w:rPr>
            </w:pPr>
          </w:p>
        </w:tc>
        <w:tc>
          <w:tcPr>
            <w:tcW w:w="7711" w:type="dxa"/>
            <w:tcMar>
              <w:left w:w="0" w:type="dxa"/>
            </w:tcMar>
          </w:tcPr>
          <w:p w14:paraId="7BDEB3BE" w14:textId="77777777" w:rsidR="00EC2A23" w:rsidRPr="00995C95" w:rsidRDefault="00EC2A23" w:rsidP="00E25E8B">
            <w:pPr>
              <w:spacing w:after="200"/>
              <w:rPr>
                <w:color w:val="0D0D0D" w:themeColor="text1" w:themeTint="F2"/>
              </w:rPr>
            </w:pPr>
            <w:r w:rsidRPr="00995C95">
              <w:rPr>
                <w:color w:val="0D0D0D" w:themeColor="text1" w:themeTint="F2"/>
              </w:rPr>
              <w:t>Construction prospered last year. Clear signs of a positive turnaround were already evident in H2 2024. Construction production</w:t>
            </w:r>
            <w:r w:rsidRPr="00995C95">
              <w:rPr>
                <w:rStyle w:val="Znakapoznpodarou"/>
                <w:color w:val="0D0D0D" w:themeColor="text1" w:themeTint="F2"/>
              </w:rPr>
              <w:footnoteReference w:id="33"/>
            </w:r>
            <w:r w:rsidRPr="00995C95">
              <w:rPr>
                <w:color w:val="0D0D0D" w:themeColor="text1" w:themeTint="F2"/>
              </w:rPr>
              <w:t xml:space="preserve"> increased by 6.5%, quarter-on-quarter, after the beginning of last year, with a significant recovery in all segments of the industry. This continued in lower intensity in the rest of the year. However, the quarter-on-quarter growth of production stopped (−1.4%) in Q4 2025 and there was a slight </w:t>
            </w:r>
            <w:r>
              <w:rPr>
                <w:color w:val="0D0D0D" w:themeColor="text1" w:themeTint="F2"/>
              </w:rPr>
              <w:t>“</w:t>
            </w:r>
            <w:r w:rsidRPr="00995C95">
              <w:rPr>
                <w:color w:val="0D0D0D" w:themeColor="text1" w:themeTint="F2"/>
              </w:rPr>
              <w:t>cooling</w:t>
            </w:r>
            <w:r>
              <w:rPr>
                <w:color w:val="0D0D0D" w:themeColor="text1" w:themeTint="F2"/>
              </w:rPr>
              <w:t>”</w:t>
            </w:r>
            <w:r w:rsidRPr="00995C95">
              <w:rPr>
                <w:color w:val="0D0D0D" w:themeColor="text1" w:themeTint="F2"/>
              </w:rPr>
              <w:t xml:space="preserve"> in building and civil engineering construction. It cannot be ruled out that the construction market has temporarily become saturated to some extent after a stronger recovery in previous quarters and that its further development has been increasingly limited by persistent barriers (e.g. labour force shortages).  </w:t>
            </w:r>
          </w:p>
        </w:tc>
      </w:tr>
      <w:tr w:rsidR="00EC2A23" w:rsidRPr="00995C95" w14:paraId="35376C6B" w14:textId="77777777" w:rsidTr="00E25E8B">
        <w:trPr>
          <w:trHeight w:val="145"/>
        </w:trPr>
        <w:tc>
          <w:tcPr>
            <w:tcW w:w="1788" w:type="dxa"/>
            <w:tcMar>
              <w:left w:w="0" w:type="dxa"/>
            </w:tcMar>
          </w:tcPr>
          <w:p w14:paraId="59A2684D" w14:textId="77777777" w:rsidR="00EC2A23" w:rsidRPr="00995C95" w:rsidRDefault="00EC2A23" w:rsidP="00E25E8B">
            <w:pPr>
              <w:pStyle w:val="Marginlie"/>
              <w:rPr>
                <w:color w:val="0D0D0D" w:themeColor="text1" w:themeTint="F2"/>
                <w:spacing w:val="0"/>
              </w:rPr>
            </w:pPr>
            <w:r w:rsidRPr="00995C95">
              <w:rPr>
                <w:color w:val="0D0D0D" w:themeColor="text1" w:themeTint="F2"/>
                <w:spacing w:val="0"/>
              </w:rPr>
              <w:t xml:space="preserve">The year-on-year growth of construction production recorded record numbers last year. All construction segments grew at double-digit rates. </w:t>
            </w:r>
          </w:p>
          <w:p w14:paraId="4688431D" w14:textId="77777777" w:rsidR="00EC2A23" w:rsidRPr="00995C95" w:rsidRDefault="00EC2A23" w:rsidP="00E25E8B">
            <w:pPr>
              <w:pStyle w:val="Marginlie"/>
              <w:rPr>
                <w:color w:val="0D0D0D" w:themeColor="text1" w:themeTint="F2"/>
                <w:spacing w:val="0"/>
              </w:rPr>
            </w:pPr>
          </w:p>
          <w:p w14:paraId="74839403" w14:textId="77777777" w:rsidR="00EC2A23" w:rsidRPr="00995C95" w:rsidRDefault="00EC2A23" w:rsidP="00E25E8B">
            <w:pPr>
              <w:pStyle w:val="Marginlie"/>
              <w:rPr>
                <w:color w:val="0D0D0D" w:themeColor="text1" w:themeTint="F2"/>
                <w:spacing w:val="0"/>
              </w:rPr>
            </w:pPr>
          </w:p>
          <w:p w14:paraId="76D2272E" w14:textId="77777777" w:rsidR="00EC2A23" w:rsidRPr="00995C95" w:rsidRDefault="00EC2A23" w:rsidP="00E25E8B">
            <w:pPr>
              <w:pStyle w:val="Marginlie"/>
              <w:spacing w:after="240"/>
              <w:rPr>
                <w:color w:val="0D0D0D" w:themeColor="text1" w:themeTint="F2"/>
                <w:spacing w:val="0"/>
              </w:rPr>
            </w:pPr>
            <w:r w:rsidRPr="00995C95">
              <w:rPr>
                <w:color w:val="0D0D0D" w:themeColor="text1" w:themeTint="F2"/>
                <w:spacing w:val="0"/>
              </w:rPr>
              <w:t xml:space="preserve">The construction of both family and residential dwellings has decreased. However, a </w:t>
            </w:r>
            <w:r w:rsidRPr="00995C95">
              <w:rPr>
                <w:color w:val="0D0D0D" w:themeColor="text1" w:themeTint="F2"/>
                <w:spacing w:val="0"/>
              </w:rPr>
              <w:lastRenderedPageBreak/>
              <w:t xml:space="preserve">small segment of conversions of existing residential buildings and non-residential buildings developed rapidly. </w:t>
            </w:r>
          </w:p>
        </w:tc>
        <w:tc>
          <w:tcPr>
            <w:tcW w:w="147" w:type="dxa"/>
            <w:tcMar>
              <w:left w:w="0" w:type="dxa"/>
            </w:tcMar>
          </w:tcPr>
          <w:p w14:paraId="773605B8" w14:textId="77777777" w:rsidR="00EC2A23" w:rsidRPr="00995C95" w:rsidRDefault="00EC2A23" w:rsidP="00E25E8B">
            <w:pPr>
              <w:pStyle w:val="Textpoznpodarou"/>
              <w:spacing w:after="240"/>
              <w:jc w:val="both"/>
            </w:pPr>
          </w:p>
        </w:tc>
        <w:tc>
          <w:tcPr>
            <w:tcW w:w="7711" w:type="dxa"/>
            <w:tcMar>
              <w:left w:w="0" w:type="dxa"/>
            </w:tcMar>
          </w:tcPr>
          <w:p w14:paraId="6E866757" w14:textId="77777777" w:rsidR="00EC2A23" w:rsidRPr="00995C95" w:rsidRDefault="00EC2A23" w:rsidP="00E25E8B">
            <w:pPr>
              <w:spacing w:after="200"/>
              <w:rPr>
                <w:rFonts w:eastAsiaTheme="majorEastAsia" w:cs="Arial"/>
                <w:szCs w:val="20"/>
              </w:rPr>
            </w:pPr>
            <w:r w:rsidRPr="00995C95">
              <w:rPr>
                <w:rFonts w:eastAsiaTheme="majorEastAsia" w:cs="Arial"/>
                <w:szCs w:val="20"/>
              </w:rPr>
              <w:t>The construction output increased by 10.9% for the whole last year (the most in the available series since 2001) and at the same time exceeded the level of the peak of the pre-pandemic boom (2019) for the first time. Building construction accounted for almost two-thirds of last year's growth, where both building construction (+10.2%) and specialised construction activities (+10.7%), which are usually the domain of smaller enterprises and small entrepreneurs, achieved a significant recovery. A partial recovery of private investment has become apparent (owing to strengthening economic growth and confidence) and price effects</w:t>
            </w:r>
            <w:r w:rsidRPr="00995C95">
              <w:rPr>
                <w:rStyle w:val="Znakapoznpodarou"/>
                <w:color w:val="0D0D0D" w:themeColor="text1" w:themeTint="F2"/>
              </w:rPr>
              <w:footnoteReference w:id="34"/>
            </w:r>
            <w:r w:rsidRPr="00995C95">
              <w:rPr>
                <w:rFonts w:eastAsiaTheme="majorEastAsia" w:cs="Arial"/>
                <w:szCs w:val="20"/>
              </w:rPr>
              <w:t xml:space="preserve"> also play an important role here. The ongoing growth of public investment in transport infrastructure was reflected in more than 11.5% growth of civil engineering production. Subdued residential construction did not assist the </w:t>
            </w:r>
            <w:r w:rsidRPr="00995C95">
              <w:rPr>
                <w:rFonts w:eastAsiaTheme="majorEastAsia" w:cs="Arial"/>
                <w:szCs w:val="20"/>
              </w:rPr>
              <w:lastRenderedPageBreak/>
              <w:t>development of building construction much (other areas, such as manufacturing plants and warehouses, as well as public buildings, are likely developing more). The number of dwellings started last year (35.8 thousand) corresponded to the long-term average and slightly decreased, year-on-year (−2.2%) in almost all segments (except for extensions and upward extensions to residential buildings). Although 10.8% more dwellings were completed, year-on-year, their number (33.6 thousand) was the second lowest in the last eight years last year. The reduction of completion in key segments (new family houses</w:t>
            </w:r>
            <w:r w:rsidRPr="00995C95">
              <w:rPr>
                <w:rStyle w:val="Znakapoznpodarou"/>
                <w:rFonts w:eastAsiaTheme="majorEastAsia"/>
                <w:szCs w:val="20"/>
              </w:rPr>
              <w:footnoteReference w:id="35"/>
            </w:r>
            <w:r w:rsidRPr="00995C95">
              <w:rPr>
                <w:rFonts w:eastAsiaTheme="majorEastAsia" w:cs="Arial"/>
                <w:szCs w:val="20"/>
              </w:rPr>
              <w:t xml:space="preserve"> and residential buildings) continued, while the number of dwellings created by modification of existing family houses as well as residential buildings and non-residential buildings increased almost two and a half times, year-on-year. This may be connected to the relatively simpler administrative complexity of the execution of these constructions. A third of all commenced and completed dwellings were in Prague and the </w:t>
            </w:r>
            <w:r>
              <w:rPr>
                <w:rFonts w:eastAsiaTheme="majorEastAsia" w:cs="Arial"/>
                <w:szCs w:val="20"/>
              </w:rPr>
              <w:t>“</w:t>
            </w:r>
            <w:proofErr w:type="spellStart"/>
            <w:r w:rsidRPr="00995C95">
              <w:rPr>
                <w:rFonts w:eastAsiaTheme="majorEastAsia" w:cs="Arial"/>
                <w:i/>
                <w:iCs/>
                <w:szCs w:val="20"/>
              </w:rPr>
              <w:t>Středočeský</w:t>
            </w:r>
            <w:proofErr w:type="spellEnd"/>
            <w:r w:rsidRPr="00995C95">
              <w:rPr>
                <w:rFonts w:eastAsiaTheme="majorEastAsia" w:cs="Arial"/>
                <w:szCs w:val="20"/>
              </w:rPr>
              <w:t xml:space="preserve"> region” last year. </w:t>
            </w:r>
          </w:p>
        </w:tc>
      </w:tr>
      <w:tr w:rsidR="00EC2A23" w:rsidRPr="00995C95" w14:paraId="7831C8F3" w14:textId="77777777" w:rsidTr="00E25E8B">
        <w:trPr>
          <w:trHeight w:val="145"/>
        </w:trPr>
        <w:tc>
          <w:tcPr>
            <w:tcW w:w="1788" w:type="dxa"/>
            <w:tcMar>
              <w:left w:w="0" w:type="dxa"/>
            </w:tcMar>
          </w:tcPr>
          <w:p w14:paraId="2A47096F" w14:textId="77777777" w:rsidR="00EC2A23" w:rsidRPr="00995C95" w:rsidRDefault="00EC2A23" w:rsidP="00E25E8B">
            <w:pPr>
              <w:pStyle w:val="Marginlie"/>
              <w:rPr>
                <w:color w:val="0D0D0D" w:themeColor="text1" w:themeTint="F2"/>
              </w:rPr>
            </w:pPr>
            <w:r w:rsidRPr="00995C95">
              <w:rPr>
                <w:color w:val="0D0D0D" w:themeColor="text1" w:themeTint="F2"/>
                <w:spacing w:val="0"/>
              </w:rPr>
              <w:lastRenderedPageBreak/>
              <w:t>Volume of new construction contracts grew for most of last year, albeit at a slower pace than in 2024.</w:t>
            </w:r>
          </w:p>
          <w:p w14:paraId="0241A286" w14:textId="77777777" w:rsidR="00EC2A23" w:rsidRPr="00995C95" w:rsidRDefault="00EC2A23" w:rsidP="00E25E8B">
            <w:pPr>
              <w:pStyle w:val="Marginlie"/>
              <w:rPr>
                <w:color w:val="0D0D0D" w:themeColor="text1" w:themeTint="F2"/>
              </w:rPr>
            </w:pPr>
          </w:p>
          <w:p w14:paraId="2B048ED3" w14:textId="77777777" w:rsidR="00EC2A23" w:rsidRPr="00995C95" w:rsidRDefault="00EC2A23" w:rsidP="00E25E8B">
            <w:pPr>
              <w:pStyle w:val="Marginlie"/>
              <w:rPr>
                <w:color w:val="0D0D0D" w:themeColor="text1" w:themeTint="F2"/>
              </w:rPr>
            </w:pPr>
          </w:p>
          <w:p w14:paraId="68E80B92" w14:textId="77777777" w:rsidR="00EC2A23" w:rsidRPr="00995C95" w:rsidRDefault="00EC2A23" w:rsidP="00E25E8B">
            <w:pPr>
              <w:pStyle w:val="Marginlie"/>
              <w:rPr>
                <w:color w:val="0D0D0D" w:themeColor="text1" w:themeTint="F2"/>
              </w:rPr>
            </w:pPr>
          </w:p>
          <w:p w14:paraId="2910C57E" w14:textId="77777777" w:rsidR="00EC2A23" w:rsidRPr="00995C95" w:rsidRDefault="00EC2A23" w:rsidP="00E25E8B">
            <w:pPr>
              <w:pStyle w:val="Marginlie"/>
              <w:rPr>
                <w:color w:val="0D0D0D" w:themeColor="text1" w:themeTint="F2"/>
              </w:rPr>
            </w:pPr>
          </w:p>
          <w:p w14:paraId="03754A5E" w14:textId="77777777" w:rsidR="00EC2A23" w:rsidRPr="00995C95" w:rsidRDefault="00EC2A23" w:rsidP="00E25E8B">
            <w:pPr>
              <w:pStyle w:val="Marginlie"/>
              <w:rPr>
                <w:color w:val="0D0D0D" w:themeColor="text1" w:themeTint="F2"/>
                <w:spacing w:val="0"/>
              </w:rPr>
            </w:pPr>
            <w:r w:rsidRPr="00995C95">
              <w:rPr>
                <w:color w:val="0D0D0D" w:themeColor="text1" w:themeTint="F2"/>
                <w:spacing w:val="0"/>
              </w:rPr>
              <w:t xml:space="preserve">The value of permitted constructions fell for the second year in a row, last year in the vast majority of categories of both constructions and regions. </w:t>
            </w:r>
          </w:p>
          <w:p w14:paraId="45B2B896" w14:textId="77777777" w:rsidR="00EC2A23" w:rsidRPr="00995C95" w:rsidRDefault="00EC2A23" w:rsidP="00E25E8B">
            <w:pPr>
              <w:pStyle w:val="Marginlie"/>
              <w:rPr>
                <w:color w:val="0D0D0D" w:themeColor="text1" w:themeTint="F2"/>
                <w:spacing w:val="0"/>
              </w:rPr>
            </w:pPr>
          </w:p>
        </w:tc>
        <w:tc>
          <w:tcPr>
            <w:tcW w:w="147" w:type="dxa"/>
            <w:tcMar>
              <w:left w:w="0" w:type="dxa"/>
            </w:tcMar>
          </w:tcPr>
          <w:p w14:paraId="7460346C" w14:textId="77777777" w:rsidR="00EC2A23" w:rsidRPr="00995C95" w:rsidRDefault="00EC2A23" w:rsidP="00E25E8B">
            <w:pPr>
              <w:pStyle w:val="Textpoznpodarou"/>
              <w:spacing w:after="240"/>
              <w:jc w:val="both"/>
            </w:pPr>
          </w:p>
        </w:tc>
        <w:tc>
          <w:tcPr>
            <w:tcW w:w="7711" w:type="dxa"/>
            <w:tcMar>
              <w:left w:w="0" w:type="dxa"/>
            </w:tcMar>
          </w:tcPr>
          <w:p w14:paraId="29C7FC96" w14:textId="77777777" w:rsidR="00EC2A23" w:rsidRPr="00995C95" w:rsidRDefault="00EC2A23" w:rsidP="00E25E8B">
            <w:pPr>
              <w:spacing w:after="200"/>
              <w:rPr>
                <w:rStyle w:val="normaltextrun"/>
                <w:rFonts w:eastAsiaTheme="majorEastAsia" w:cs="Arial"/>
                <w:szCs w:val="20"/>
              </w:rPr>
            </w:pPr>
            <w:r w:rsidRPr="00995C95">
              <w:rPr>
                <w:rFonts w:eastAsiaTheme="majorEastAsia"/>
              </w:rPr>
              <w:t>The value of newly concluded construction contracts</w:t>
            </w:r>
            <w:r w:rsidRPr="00995C95">
              <w:rPr>
                <w:rStyle w:val="Znakapoznpodarou"/>
                <w:rFonts w:eastAsiaTheme="majorEastAsia"/>
                <w:color w:val="0D0D0D" w:themeColor="text1" w:themeTint="F2"/>
              </w:rPr>
              <w:footnoteReference w:id="36"/>
            </w:r>
            <w:r w:rsidRPr="00995C95">
              <w:rPr>
                <w:rFonts w:eastAsiaTheme="majorEastAsia"/>
              </w:rPr>
              <w:t xml:space="preserve"> increased by 9.8%, year-on-year, in the Czech Republic last year. Both major segments of the industry contributed to the growth, with civil engineering contracts playing a decisive role as in 2024. However, the total volume of orders decreased slightly (by 2.6%) in Q4 2025 alone, partly due to the high comparison base in civil engineering the year before last. Thanks to the high inflow of orders from previous quarters and the longer-term horizon of their implementation, the total stock of work of domestic construction companies remains high. The value of all contracts that have not yet been implemented amounted to 401 bn CZK at the end of last year (of which 68% were from the domestic public contracting authorities and 2% of all contracts abroad) and was higher by more than a fifth, year-on-year (similarly for both public and private domestic contracts). According to another leading indicator, the outlook of construction industry is worse. The approximate value of granted building permit decreased by 13.3%</w:t>
            </w:r>
            <w:r w:rsidRPr="00995C95">
              <w:rPr>
                <w:rStyle w:val="Znakapoznpodarou"/>
                <w:rFonts w:eastAsiaTheme="majorEastAsia"/>
              </w:rPr>
              <w:footnoteReference w:id="37"/>
            </w:r>
            <w:r w:rsidRPr="00995C95">
              <w:rPr>
                <w:rFonts w:eastAsiaTheme="majorEastAsia"/>
              </w:rPr>
              <w:t>, year-on-year, last year and deepened the decrease from the previous year. The value of permits was falling, except for Q3, throughout last year. The annual decrease was mainly caused by the new civil engineering constructions (both transport and other) and non-residential buildings. In comparison, only modernisation or reconstruction of transport structures grew significantly last year (+40%). “</w:t>
            </w:r>
            <w:proofErr w:type="spellStart"/>
            <w:r w:rsidRPr="00995C95">
              <w:rPr>
                <w:rStyle w:val="normaltextrun"/>
                <w:rFonts w:eastAsiaTheme="majorEastAsia"/>
                <w:i/>
                <w:iCs/>
              </w:rPr>
              <w:t>Moravskoslezský</w:t>
            </w:r>
            <w:proofErr w:type="spellEnd"/>
            <w:r w:rsidRPr="00995C95">
              <w:rPr>
                <w:rStyle w:val="normaltextrun"/>
                <w:rFonts w:eastAsiaTheme="majorEastAsia"/>
              </w:rPr>
              <w:t xml:space="preserve"> region</w:t>
            </w:r>
            <w:r>
              <w:rPr>
                <w:rStyle w:val="normaltextrun"/>
                <w:rFonts w:eastAsiaTheme="majorEastAsia"/>
              </w:rPr>
              <w:t>”</w:t>
            </w:r>
            <w:r w:rsidRPr="00995C95">
              <w:rPr>
                <w:rStyle w:val="normaltextrun"/>
                <w:rFonts w:eastAsiaTheme="majorEastAsia"/>
              </w:rPr>
              <w:t xml:space="preserve"> a</w:t>
            </w:r>
            <w:r w:rsidRPr="00995C95">
              <w:rPr>
                <w:rFonts w:eastAsiaTheme="majorEastAsia"/>
              </w:rPr>
              <w:t>nd “</w:t>
            </w:r>
            <w:proofErr w:type="spellStart"/>
            <w:r w:rsidRPr="00995C95">
              <w:rPr>
                <w:rStyle w:val="normaltextrun"/>
                <w:rFonts w:eastAsiaTheme="majorEastAsia"/>
                <w:i/>
                <w:iCs/>
              </w:rPr>
              <w:t>Středočeský</w:t>
            </w:r>
            <w:proofErr w:type="spellEnd"/>
            <w:r w:rsidRPr="00995C95">
              <w:rPr>
                <w:rFonts w:eastAsiaTheme="majorEastAsia"/>
              </w:rPr>
              <w:t xml:space="preserve"> region” participated the most in the total decrease, while in contrast the value of all permits increased only in the “</w:t>
            </w:r>
            <w:proofErr w:type="spellStart"/>
            <w:r w:rsidRPr="00995C95">
              <w:rPr>
                <w:rStyle w:val="normaltextrun"/>
                <w:rFonts w:eastAsiaTheme="majorEastAsia"/>
                <w:i/>
                <w:iCs/>
              </w:rPr>
              <w:t>Ústecký</w:t>
            </w:r>
            <w:proofErr w:type="spellEnd"/>
            <w:r w:rsidRPr="00995C95">
              <w:rPr>
                <w:rStyle w:val="normaltextrun"/>
                <w:rFonts w:eastAsiaTheme="majorEastAsia"/>
              </w:rPr>
              <w:t xml:space="preserve"> region</w:t>
            </w:r>
            <w:r>
              <w:rPr>
                <w:rStyle w:val="normaltextrun"/>
                <w:rFonts w:eastAsiaTheme="majorEastAsia"/>
              </w:rPr>
              <w:t>”</w:t>
            </w:r>
            <w:r w:rsidRPr="00995C95">
              <w:rPr>
                <w:rFonts w:eastAsiaTheme="majorEastAsia"/>
              </w:rPr>
              <w:t xml:space="preserve">. </w:t>
            </w:r>
          </w:p>
        </w:tc>
      </w:tr>
      <w:tr w:rsidR="00EC2A23" w:rsidRPr="00995C95" w14:paraId="7773952E" w14:textId="77777777" w:rsidTr="00E25E8B">
        <w:trPr>
          <w:trHeight w:val="145"/>
        </w:trPr>
        <w:tc>
          <w:tcPr>
            <w:tcW w:w="1788" w:type="dxa"/>
            <w:tcMar>
              <w:left w:w="0" w:type="dxa"/>
            </w:tcMar>
          </w:tcPr>
          <w:p w14:paraId="28F716E7" w14:textId="77777777" w:rsidR="00EC2A23" w:rsidRPr="00995C95" w:rsidRDefault="00EC2A23" w:rsidP="00E25E8B">
            <w:pPr>
              <w:pStyle w:val="Marginlie"/>
              <w:rPr>
                <w:spacing w:val="0"/>
              </w:rPr>
            </w:pPr>
            <w:r w:rsidRPr="00995C95">
              <w:rPr>
                <w:spacing w:val="0"/>
              </w:rPr>
              <w:t xml:space="preserve">The balance of business confidence in construction was rising for most of the year. The assessment of demand, outlook as well as real employment situation improved. </w:t>
            </w:r>
          </w:p>
          <w:p w14:paraId="2A3662E0" w14:textId="77777777" w:rsidR="00EC2A23" w:rsidRPr="00995C95" w:rsidRDefault="00EC2A23" w:rsidP="00E25E8B">
            <w:pPr>
              <w:pStyle w:val="Marginlie"/>
              <w:rPr>
                <w:spacing w:val="0"/>
              </w:rPr>
            </w:pPr>
          </w:p>
          <w:p w14:paraId="037C05BE" w14:textId="77777777" w:rsidR="00EC2A23" w:rsidRPr="00995C95" w:rsidRDefault="00EC2A23" w:rsidP="00E25E8B">
            <w:pPr>
              <w:pStyle w:val="Marginlie"/>
              <w:rPr>
                <w:spacing w:val="0"/>
              </w:rPr>
            </w:pPr>
          </w:p>
          <w:p w14:paraId="47F4FFBF" w14:textId="77777777" w:rsidR="00EC2A23" w:rsidRPr="00995C95" w:rsidRDefault="00EC2A23" w:rsidP="00E25E8B">
            <w:pPr>
              <w:pStyle w:val="Marginlie"/>
              <w:rPr>
                <w:color w:val="0D0D0D" w:themeColor="text1" w:themeTint="F2"/>
                <w:spacing w:val="0"/>
              </w:rPr>
            </w:pPr>
            <w:r w:rsidRPr="00995C95">
              <w:rPr>
                <w:spacing w:val="0"/>
              </w:rPr>
              <w:t>The most growth barriers of the branch remain in the building construction segment.</w:t>
            </w:r>
          </w:p>
        </w:tc>
        <w:tc>
          <w:tcPr>
            <w:tcW w:w="147" w:type="dxa"/>
            <w:tcMar>
              <w:left w:w="0" w:type="dxa"/>
            </w:tcMar>
          </w:tcPr>
          <w:p w14:paraId="1D04254B" w14:textId="77777777" w:rsidR="00EC2A23" w:rsidRPr="00995C95" w:rsidRDefault="00EC2A23" w:rsidP="00E25E8B">
            <w:pPr>
              <w:pStyle w:val="Textpoznpodarou"/>
              <w:spacing w:after="240"/>
              <w:jc w:val="both"/>
            </w:pPr>
          </w:p>
        </w:tc>
        <w:tc>
          <w:tcPr>
            <w:tcW w:w="7711" w:type="dxa"/>
            <w:tcMar>
              <w:left w:w="0" w:type="dxa"/>
            </w:tcMar>
          </w:tcPr>
          <w:p w14:paraId="43177F18" w14:textId="77777777" w:rsidR="00EC2A23" w:rsidRPr="00995C95" w:rsidRDefault="00EC2A23" w:rsidP="00E25E8B">
            <w:pPr>
              <w:spacing w:after="200"/>
              <w:rPr>
                <w:rStyle w:val="normaltextrun"/>
                <w:rFonts w:eastAsiaTheme="majorEastAsia" w:cs="Arial"/>
                <w:szCs w:val="20"/>
              </w:rPr>
            </w:pPr>
            <w:r w:rsidRPr="00995C95">
              <w:rPr>
                <w:color w:val="0D0D0D" w:themeColor="text1" w:themeTint="F2"/>
              </w:rPr>
              <w:t>Pessimism in construction has been easing since autumn 2024, and the balance of business confidence returned to the positive band last year after more than three years. Although there was a slight correction at the turn of 2025 and 2026, when the confidence balance reached −2.0 points in February, it was still slightly more favourable in year-on-year terms, while at the same time significantly exceeding the long-term average. Slightly positive expectations of the nearest development of construction activity (with a view to this spring months) were reflected in the recruitment plans</w:t>
            </w:r>
            <w:r w:rsidRPr="00995C95">
              <w:rPr>
                <w:rStyle w:val="Znakapoznpodarou"/>
                <w:rFonts w:eastAsia="MS Gothic"/>
                <w:szCs w:val="20"/>
              </w:rPr>
              <w:footnoteReference w:id="38"/>
            </w:r>
            <w:r w:rsidRPr="00995C95">
              <w:rPr>
                <w:color w:val="0D0D0D" w:themeColor="text1" w:themeTint="F2"/>
              </w:rPr>
              <w:t>. 35% of companies have currently assessed their financial situation favourably (only 3% unfavourably), and every fourth company expects an improvement in the six-month outlook (only one in twenty expects deterioration). However, the current demand is still perceived unfavourably by a fifth of companies. The performance of the total industry is limited by chronic growth barriers</w:t>
            </w:r>
            <w:r w:rsidRPr="00995C95">
              <w:rPr>
                <w:rStyle w:val="Znakapoznpodarou"/>
                <w:rFonts w:eastAsia="MS Gothic"/>
              </w:rPr>
              <w:footnoteReference w:id="39"/>
            </w:r>
            <w:r w:rsidRPr="00995C95">
              <w:rPr>
                <w:color w:val="0D0D0D" w:themeColor="text1" w:themeTint="F2"/>
              </w:rPr>
              <w:t xml:space="preserve">. In fact, shortage (especially of qualified) employees have been the most </w:t>
            </w:r>
            <w:r w:rsidRPr="00995C95">
              <w:rPr>
                <w:color w:val="0D0D0D" w:themeColor="text1" w:themeTint="F2"/>
              </w:rPr>
              <w:lastRenderedPageBreak/>
              <w:t>significant barrier for more than seven years in a row. About 50% of companies cited it as one of the barriers (similarly to the beginning of last year). Insufficient demand plagued almost a third of businesses</w:t>
            </w:r>
            <w:r w:rsidRPr="00995C95">
              <w:rPr>
                <w:rStyle w:val="Znakapoznpodarou"/>
                <w:rFonts w:eastAsia="MS Gothic"/>
              </w:rPr>
              <w:footnoteReference w:id="40"/>
            </w:r>
            <w:r w:rsidRPr="00995C95">
              <w:rPr>
                <w:color w:val="0D0D0D" w:themeColor="text1" w:themeTint="F2"/>
              </w:rPr>
              <w:t xml:space="preserve"> and this share increased slightly, year-on-year. On the contrary, it is positive that the difficulty with the material or equipment shortages, which was acute between years 2021 and 2024, has largely disappeared during last year. This contributed to the stabilisation of prices of construction materials and the moderation of the expected growth of prices of total construction production</w:t>
            </w:r>
            <w:r w:rsidRPr="00995C95">
              <w:rPr>
                <w:rStyle w:val="Znakapoznpodarou"/>
                <w:rFonts w:eastAsia="MS Gothic"/>
              </w:rPr>
              <w:footnoteReference w:id="41"/>
            </w:r>
            <w:r w:rsidRPr="00995C95">
              <w:rPr>
                <w:rStyle w:val="normaltextrun"/>
                <w:rFonts w:eastAsia="MS Gothic"/>
              </w:rPr>
              <w:t>.</w:t>
            </w:r>
          </w:p>
        </w:tc>
      </w:tr>
      <w:tr w:rsidR="00EC2A23" w:rsidRPr="00995C95" w14:paraId="5560267D" w14:textId="77777777" w:rsidTr="00E25E8B">
        <w:trPr>
          <w:trHeight w:val="145"/>
        </w:trPr>
        <w:tc>
          <w:tcPr>
            <w:tcW w:w="1788" w:type="dxa"/>
            <w:tcMar>
              <w:left w:w="0" w:type="dxa"/>
            </w:tcMar>
          </w:tcPr>
          <w:p w14:paraId="282F0145" w14:textId="77777777" w:rsidR="00EC2A23" w:rsidRPr="00995C95" w:rsidRDefault="00EC2A23" w:rsidP="00E25E8B">
            <w:pPr>
              <w:pStyle w:val="Marginlie"/>
              <w:spacing w:after="240"/>
              <w:rPr>
                <w:color w:val="0D0D0D" w:themeColor="text1" w:themeTint="F2"/>
                <w:spacing w:val="0"/>
              </w:rPr>
            </w:pPr>
          </w:p>
        </w:tc>
        <w:tc>
          <w:tcPr>
            <w:tcW w:w="147" w:type="dxa"/>
            <w:tcMar>
              <w:left w:w="0" w:type="dxa"/>
            </w:tcMar>
          </w:tcPr>
          <w:p w14:paraId="2E507BC6" w14:textId="77777777" w:rsidR="00EC2A23" w:rsidRPr="00995C95" w:rsidRDefault="00EC2A23" w:rsidP="00E25E8B">
            <w:pPr>
              <w:pStyle w:val="Textpoznpodarou"/>
              <w:spacing w:after="240"/>
              <w:jc w:val="both"/>
            </w:pPr>
          </w:p>
        </w:tc>
        <w:tc>
          <w:tcPr>
            <w:tcW w:w="7711" w:type="dxa"/>
            <w:tcMar>
              <w:left w:w="0" w:type="dxa"/>
            </w:tcMar>
          </w:tcPr>
          <w:p w14:paraId="60A92E40" w14:textId="77777777" w:rsidR="00EC2A23" w:rsidRPr="00995C95" w:rsidRDefault="00EC2A23" w:rsidP="00E25E8B">
            <w:pPr>
              <w:spacing w:after="40"/>
              <w:rPr>
                <w:color w:val="0D0D0D" w:themeColor="text1" w:themeTint="F2"/>
              </w:rPr>
            </w:pPr>
            <w:r w:rsidRPr="00995C95">
              <w:rPr>
                <w:b/>
                <w:color w:val="0D0D0D" w:themeColor="text1" w:themeTint="F2"/>
              </w:rPr>
              <w:t xml:space="preserve">Chart 6 </w:t>
            </w:r>
            <w:r w:rsidRPr="00995C95">
              <w:rPr>
                <w:b/>
                <w:spacing w:val="-2"/>
              </w:rPr>
              <w:t xml:space="preserve">Contributions of sub-branches to year-on-year growth of construction output </w:t>
            </w:r>
            <w:r w:rsidRPr="00995C95">
              <w:rPr>
                <w:spacing w:val="-2"/>
              </w:rPr>
              <w:t>(real, in p.p.)</w:t>
            </w:r>
            <w:r w:rsidRPr="00995C95">
              <w:rPr>
                <w:b/>
                <w:bCs/>
                <w:spacing w:val="-2"/>
              </w:rPr>
              <w:t xml:space="preserve">, </w:t>
            </w:r>
            <w:r w:rsidRPr="00995C95">
              <w:rPr>
                <w:b/>
                <w:spacing w:val="-2"/>
              </w:rPr>
              <w:t xml:space="preserve">new construction orders </w:t>
            </w:r>
            <w:r w:rsidRPr="00995C95">
              <w:rPr>
                <w:spacing w:val="-2"/>
              </w:rPr>
              <w:t>(</w:t>
            </w:r>
            <w:r w:rsidRPr="00995C95">
              <w:rPr>
                <w:bCs/>
                <w:spacing w:val="-2"/>
              </w:rPr>
              <w:t>nominal, year-on-year, in %)</w:t>
            </w:r>
            <w:r w:rsidRPr="00995C95">
              <w:rPr>
                <w:b/>
                <w:spacing w:val="-2"/>
              </w:rPr>
              <w:t>, balance of business confidence indicator in construction*</w:t>
            </w:r>
            <w:r w:rsidRPr="00995C95">
              <w:rPr>
                <w:spacing w:val="-2"/>
              </w:rPr>
              <w:t xml:space="preserve"> (in p. p., right axis)</w:t>
            </w:r>
            <w:r>
              <w:rPr>
                <w:spacing w:val="-2"/>
              </w:rPr>
              <w:t>,</w:t>
            </w:r>
            <w:r w:rsidRPr="00995C95">
              <w:rPr>
                <w:b/>
                <w:bCs/>
                <w:spacing w:val="-2"/>
              </w:rPr>
              <w:t xml:space="preserve"> s</w:t>
            </w:r>
            <w:r w:rsidRPr="00995C95">
              <w:rPr>
                <w:b/>
                <w:spacing w:val="-2"/>
              </w:rPr>
              <w:t>elected barriers to growth in construction</w:t>
            </w:r>
            <w:r w:rsidRPr="00995C95">
              <w:rPr>
                <w:spacing w:val="-2"/>
              </w:rPr>
              <w:t xml:space="preserve">* (in %, right axis) </w:t>
            </w:r>
          </w:p>
        </w:tc>
      </w:tr>
      <w:tr w:rsidR="00EC2A23" w:rsidRPr="00995C95" w14:paraId="64E7BE85" w14:textId="77777777" w:rsidTr="00E25E8B">
        <w:tblPrEx>
          <w:tblCellMar>
            <w:left w:w="70" w:type="dxa"/>
            <w:right w:w="70" w:type="dxa"/>
          </w:tblCellMar>
        </w:tblPrEx>
        <w:trPr>
          <w:trHeight w:val="145"/>
        </w:trPr>
        <w:tc>
          <w:tcPr>
            <w:tcW w:w="1788" w:type="dxa"/>
          </w:tcPr>
          <w:p w14:paraId="64B1700F" w14:textId="77777777" w:rsidR="00EC2A23" w:rsidRPr="00995C95" w:rsidRDefault="00EC2A23" w:rsidP="00E25E8B">
            <w:pPr>
              <w:pStyle w:val="Marginlie"/>
              <w:spacing w:after="240"/>
              <w:rPr>
                <w:color w:val="0D0D0D" w:themeColor="text1" w:themeTint="F2"/>
                <w:spacing w:val="0"/>
              </w:rPr>
            </w:pPr>
          </w:p>
        </w:tc>
        <w:tc>
          <w:tcPr>
            <w:tcW w:w="147" w:type="dxa"/>
          </w:tcPr>
          <w:p w14:paraId="0624E9D0" w14:textId="77777777" w:rsidR="00EC2A23" w:rsidRPr="00995C95" w:rsidRDefault="00EC2A23" w:rsidP="00E25E8B">
            <w:pPr>
              <w:pStyle w:val="Textpoznpodarou"/>
              <w:spacing w:after="240"/>
              <w:jc w:val="both"/>
            </w:pPr>
          </w:p>
        </w:tc>
        <w:tc>
          <w:tcPr>
            <w:tcW w:w="7711" w:type="dxa"/>
          </w:tcPr>
          <w:p w14:paraId="512A756D" w14:textId="77777777" w:rsidR="00EC2A23" w:rsidRPr="00995C95" w:rsidRDefault="00EC2A23" w:rsidP="00E25E8B">
            <w:pPr>
              <w:spacing w:before="40" w:after="40"/>
              <w:rPr>
                <w:color w:val="0D0D0D" w:themeColor="text1" w:themeTint="F2"/>
              </w:rPr>
            </w:pPr>
            <w:r>
              <w:rPr>
                <w:noProof/>
              </w:rPr>
              <w:drawing>
                <wp:inline distT="0" distB="0" distL="0" distR="0" wp14:anchorId="610A2C63" wp14:editId="5E55AF79">
                  <wp:extent cx="4776470" cy="3571875"/>
                  <wp:effectExtent l="0" t="0" r="5080" b="0"/>
                  <wp:docPr id="1187152093" name="Graf 1">
                    <a:extLst xmlns:a="http://schemas.openxmlformats.org/drawingml/2006/main">
                      <a:ext uri="{FF2B5EF4-FFF2-40B4-BE49-F238E27FC236}">
                        <a16:creationId xmlns:a16="http://schemas.microsoft.com/office/drawing/2014/main" id="{00000000-0008-0000-0E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EC2A23" w:rsidRPr="00995C95" w14:paraId="133B6039" w14:textId="77777777" w:rsidTr="00E25E8B">
        <w:trPr>
          <w:trHeight w:val="145"/>
        </w:trPr>
        <w:tc>
          <w:tcPr>
            <w:tcW w:w="1788" w:type="dxa"/>
            <w:tcMar>
              <w:left w:w="0" w:type="dxa"/>
            </w:tcMar>
          </w:tcPr>
          <w:p w14:paraId="2984F20C" w14:textId="77777777" w:rsidR="00EC2A23" w:rsidRPr="00995C95" w:rsidRDefault="00EC2A23" w:rsidP="00E25E8B">
            <w:pPr>
              <w:pStyle w:val="Marginlie"/>
              <w:spacing w:after="240"/>
              <w:rPr>
                <w:color w:val="0D0D0D" w:themeColor="text1" w:themeTint="F2"/>
                <w:spacing w:val="0"/>
              </w:rPr>
            </w:pPr>
          </w:p>
        </w:tc>
        <w:tc>
          <w:tcPr>
            <w:tcW w:w="147" w:type="dxa"/>
            <w:tcMar>
              <w:left w:w="0" w:type="dxa"/>
            </w:tcMar>
          </w:tcPr>
          <w:p w14:paraId="6C468841" w14:textId="77777777" w:rsidR="00EC2A23" w:rsidRPr="00995C95" w:rsidRDefault="00EC2A23" w:rsidP="00E25E8B">
            <w:pPr>
              <w:pStyle w:val="Textpoznpodarou"/>
              <w:spacing w:after="240"/>
              <w:jc w:val="both"/>
            </w:pPr>
          </w:p>
        </w:tc>
        <w:tc>
          <w:tcPr>
            <w:tcW w:w="7711" w:type="dxa"/>
            <w:tcMar>
              <w:left w:w="0" w:type="dxa"/>
            </w:tcMar>
          </w:tcPr>
          <w:p w14:paraId="68E613E8" w14:textId="77777777" w:rsidR="00EC2A23" w:rsidRPr="00995C95" w:rsidRDefault="00EC2A23" w:rsidP="00E25E8B">
            <w:pPr>
              <w:spacing w:after="0"/>
              <w:rPr>
                <w:rFonts w:cs="Arial"/>
                <w:sz w:val="14"/>
                <w:szCs w:val="14"/>
              </w:rPr>
            </w:pPr>
            <w:r w:rsidRPr="00995C95">
              <w:rPr>
                <w:rFonts w:cs="Arial"/>
                <w:sz w:val="14"/>
                <w:szCs w:val="14"/>
              </w:rPr>
              <w:t>Note: Data related to construction output are adjusted for calendar effects.</w:t>
            </w:r>
          </w:p>
          <w:p w14:paraId="5D969381" w14:textId="77777777" w:rsidR="00EC2A23" w:rsidRPr="00995C95" w:rsidRDefault="00EC2A23" w:rsidP="00E25E8B">
            <w:pPr>
              <w:pStyle w:val="Textpoznpodarou"/>
              <w:jc w:val="both"/>
              <w:rPr>
                <w:rFonts w:cs="Arial"/>
                <w:sz w:val="14"/>
                <w:szCs w:val="14"/>
              </w:rPr>
            </w:pPr>
            <w:r w:rsidRPr="00995C95">
              <w:rPr>
                <w:rFonts w:cs="Arial"/>
                <w:sz w:val="14"/>
                <w:szCs w:val="14"/>
              </w:rPr>
              <w:t>* Balance of business confidence as well as barriers to growth are seasonally adjusted and express the level in the second month of the given quarter. Businesses could have indicated more main barriers simultaneously.</w:t>
            </w:r>
          </w:p>
          <w:p w14:paraId="74A5AF1A" w14:textId="77777777" w:rsidR="00EC2A23" w:rsidRPr="00EB4F28" w:rsidRDefault="00EC2A23" w:rsidP="00E25E8B">
            <w:pPr>
              <w:spacing w:after="200"/>
              <w:rPr>
                <w:color w:val="0D0D0D" w:themeColor="text1" w:themeTint="F2"/>
                <w:sz w:val="14"/>
                <w:szCs w:val="14"/>
              </w:rPr>
            </w:pPr>
            <w:r w:rsidRPr="00995C95">
              <w:rPr>
                <w:color w:val="0D0D0D" w:themeColor="text1" w:themeTint="F2"/>
                <w:sz w:val="14"/>
                <w:szCs w:val="14"/>
              </w:rPr>
              <w:t>Source: CZSO, Eurostat</w:t>
            </w:r>
          </w:p>
        </w:tc>
      </w:tr>
      <w:tr w:rsidR="00EC2A23" w:rsidRPr="00995C95" w14:paraId="4BA6A622" w14:textId="77777777" w:rsidTr="00E25E8B">
        <w:trPr>
          <w:trHeight w:val="170"/>
        </w:trPr>
        <w:tc>
          <w:tcPr>
            <w:tcW w:w="1788" w:type="dxa"/>
            <w:tcMar>
              <w:left w:w="0" w:type="dxa"/>
            </w:tcMar>
          </w:tcPr>
          <w:p w14:paraId="67E73436" w14:textId="77777777" w:rsidR="00EC2A23" w:rsidRPr="00995C95" w:rsidRDefault="00EC2A23" w:rsidP="00E25E8B">
            <w:pPr>
              <w:pStyle w:val="Marginlie"/>
              <w:rPr>
                <w:spacing w:val="0"/>
              </w:rPr>
            </w:pPr>
            <w:r w:rsidRPr="00995C95">
              <w:rPr>
                <w:spacing w:val="0"/>
              </w:rPr>
              <w:t>A slight increase of demand for services persisted last year. The quarter-on-quarter development of sales was influenced by fluctuating developments in branches linked to the situation in industry.</w:t>
            </w:r>
          </w:p>
        </w:tc>
        <w:tc>
          <w:tcPr>
            <w:tcW w:w="147" w:type="dxa"/>
            <w:tcMar>
              <w:left w:w="0" w:type="dxa"/>
            </w:tcMar>
          </w:tcPr>
          <w:p w14:paraId="2BCADCBA" w14:textId="77777777" w:rsidR="00EC2A23" w:rsidRPr="00995C95" w:rsidRDefault="00EC2A23" w:rsidP="00E25E8B">
            <w:pPr>
              <w:pStyle w:val="Textpoznpodarou"/>
              <w:jc w:val="both"/>
            </w:pPr>
          </w:p>
        </w:tc>
        <w:tc>
          <w:tcPr>
            <w:tcW w:w="7711" w:type="dxa"/>
            <w:tcMar>
              <w:left w:w="0" w:type="dxa"/>
            </w:tcMar>
          </w:tcPr>
          <w:p w14:paraId="20828EA2" w14:textId="77777777" w:rsidR="00EC2A23" w:rsidRPr="00995C95" w:rsidRDefault="00EC2A23" w:rsidP="00E25E8B">
            <w:pPr>
              <w:spacing w:after="200"/>
              <w:rPr>
                <w:rStyle w:val="normaltextrun"/>
                <w:rFonts w:eastAsiaTheme="majorEastAsia"/>
              </w:rPr>
            </w:pPr>
            <w:r w:rsidRPr="00995C95">
              <w:rPr>
                <w:rFonts w:eastAsiaTheme="majorEastAsia"/>
              </w:rPr>
              <w:t>Services sustained the slight recovery from 2024 last year. The stabilisation of the level of consumer prices helped to restart growth of real wages of employees, which was mirrored in a more favourable financial situation of households and subsequently stimulated their consumption. Services were also positively affected by slightly growing corporate demand. The quarter-on-quarter growth of services sales</w:t>
            </w:r>
            <w:r w:rsidRPr="00995C95">
              <w:rPr>
                <w:color w:val="0D0D0D" w:themeColor="text1" w:themeTint="F2"/>
                <w:vertAlign w:val="superscript"/>
              </w:rPr>
              <w:footnoteReference w:id="42"/>
            </w:r>
            <w:r w:rsidRPr="00995C95">
              <w:rPr>
                <w:rFonts w:cs="Arial"/>
                <w:color w:val="0D0D0D" w:themeColor="text1" w:themeTint="F2"/>
              </w:rPr>
              <w:t xml:space="preserve"> </w:t>
            </w:r>
            <w:r w:rsidRPr="00995C95">
              <w:rPr>
                <w:rFonts w:eastAsiaTheme="majorEastAsia"/>
              </w:rPr>
              <w:t xml:space="preserve">accelerated at the beginning of last year (to 1.5%) mainly due to professional, scientific and technical activities. However, the total growth stalled in Q2 and Q3, as weaker demand in transportation and storage materialised in response to the volatile industrial situation. At the very end of the year, demand in industry and related service branches grew due to a significant strengthening of firms' investment activity in the economy. This led to an increase in transportation and storage, nevertheless sales grew in all major service </w:t>
            </w:r>
            <w:r w:rsidRPr="00995C95">
              <w:rPr>
                <w:rFonts w:eastAsiaTheme="majorEastAsia"/>
              </w:rPr>
              <w:lastRenderedPageBreak/>
              <w:t>branches (except for real estate activities). Total sales in services were thus slightly above the level from the peak of the pre-pandemic boom</w:t>
            </w:r>
            <w:r w:rsidRPr="00995C95">
              <w:rPr>
                <w:rStyle w:val="Znakapoznpodarou"/>
                <w:color w:val="0D0D0D" w:themeColor="text1" w:themeTint="F2"/>
              </w:rPr>
              <w:footnoteReference w:id="43"/>
            </w:r>
            <w:r w:rsidRPr="00995C95">
              <w:rPr>
                <w:rFonts w:eastAsiaTheme="majorEastAsia"/>
              </w:rPr>
              <w:t>.</w:t>
            </w:r>
          </w:p>
        </w:tc>
      </w:tr>
      <w:tr w:rsidR="00EC2A23" w:rsidRPr="00995C95" w14:paraId="04B6BFA8" w14:textId="77777777" w:rsidTr="00E25E8B">
        <w:trPr>
          <w:trHeight w:val="170"/>
        </w:trPr>
        <w:tc>
          <w:tcPr>
            <w:tcW w:w="1788" w:type="dxa"/>
            <w:tcMar>
              <w:left w:w="0" w:type="dxa"/>
            </w:tcMar>
          </w:tcPr>
          <w:p w14:paraId="5340328E" w14:textId="77777777" w:rsidR="00EC2A23" w:rsidRPr="00995C95" w:rsidRDefault="00EC2A23" w:rsidP="00E25E8B">
            <w:pPr>
              <w:pStyle w:val="Marginlie"/>
            </w:pPr>
            <w:r w:rsidRPr="00995C95">
              <w:lastRenderedPageBreak/>
              <w:t xml:space="preserve">Advanced business support service activities, driven by higher demand for engineering and architectural activities, contributed the most to the last year's year-on-year growth of sales. </w:t>
            </w:r>
          </w:p>
        </w:tc>
        <w:tc>
          <w:tcPr>
            <w:tcW w:w="0" w:type="auto"/>
            <w:tcMar>
              <w:left w:w="0" w:type="dxa"/>
            </w:tcMar>
          </w:tcPr>
          <w:p w14:paraId="60E04102" w14:textId="77777777" w:rsidR="00EC2A23" w:rsidRPr="00995C95" w:rsidRDefault="00EC2A23" w:rsidP="00E25E8B">
            <w:pPr>
              <w:pStyle w:val="Textpoznpodarou"/>
              <w:jc w:val="both"/>
              <w:rPr>
                <w:color w:val="0D0D0D" w:themeColor="text1" w:themeTint="F2"/>
                <w:spacing w:val="-4"/>
              </w:rPr>
            </w:pPr>
          </w:p>
        </w:tc>
        <w:tc>
          <w:tcPr>
            <w:tcW w:w="7711" w:type="dxa"/>
            <w:tcMar>
              <w:left w:w="0" w:type="dxa"/>
            </w:tcMar>
          </w:tcPr>
          <w:p w14:paraId="162AD840" w14:textId="77777777" w:rsidR="00EC2A23" w:rsidRPr="00995C95" w:rsidRDefault="00EC2A23" w:rsidP="00E25E8B">
            <w:pPr>
              <w:spacing w:after="200"/>
              <w:rPr>
                <w:color w:val="0D0D0D" w:themeColor="text1" w:themeTint="F2"/>
              </w:rPr>
            </w:pPr>
            <w:r w:rsidRPr="00995C95">
              <w:rPr>
                <w:bCs/>
                <w:color w:val="0D0D0D" w:themeColor="text1" w:themeTint="F2"/>
              </w:rPr>
              <w:t>Sales in services increased by 1.9%, year-on-year, for the whole 2025. Compared to the pace the year before, this presented a very slight slowdown (related to fluctuating demand in transportation and storage). More than a third of last year's growth was accounted for by professional, scientific and technical activities. With the exception of advertising activities (whose performance stagnated)</w:t>
            </w:r>
            <w:r w:rsidRPr="00995C95">
              <w:rPr>
                <w:rStyle w:val="Znakapoznpodarou"/>
                <w:color w:val="0D0D0D" w:themeColor="text1" w:themeTint="F2"/>
                <w:szCs w:val="20"/>
              </w:rPr>
              <w:footnoteReference w:id="44"/>
            </w:r>
            <w:r w:rsidRPr="00995C95">
              <w:rPr>
                <w:bCs/>
                <w:color w:val="0D0D0D" w:themeColor="text1" w:themeTint="F2"/>
              </w:rPr>
              <w:t>, sales increased in all sub-sectors. The development of the entire branch was driven by architectural and engineering activities, where growth accelerated (to 3.3%) due to the rapidly developing construction sector. Activities of head offices and management consultancy activities also performed well (+6.2%, a four-year high) as well as legal and accounting activities, with sales exceeding the level of the pre-crisis year 2019 by almost a fifth. More dynamic demand growth continued for the second year in a row in the diversified segment of other professional, scientific and technical activities (+4.9%)</w:t>
            </w:r>
            <w:r w:rsidRPr="00995C95">
              <w:rPr>
                <w:rStyle w:val="Znakapoznpodarou"/>
              </w:rPr>
              <w:footnoteReference w:id="45"/>
            </w:r>
            <w:r w:rsidRPr="00995C95">
              <w:rPr>
                <w:bCs/>
                <w:color w:val="0D0D0D" w:themeColor="text1" w:themeTint="F2"/>
              </w:rPr>
              <w:t xml:space="preserve">, and sales matched the level of 2019 here for the first time last year. </w:t>
            </w:r>
          </w:p>
        </w:tc>
      </w:tr>
      <w:tr w:rsidR="00EC2A23" w:rsidRPr="00995C95" w14:paraId="165FA06C" w14:textId="77777777" w:rsidTr="00E25E8B">
        <w:trPr>
          <w:trHeight w:val="170"/>
        </w:trPr>
        <w:tc>
          <w:tcPr>
            <w:tcW w:w="1788" w:type="dxa"/>
            <w:tcMar>
              <w:left w:w="0" w:type="dxa"/>
            </w:tcMar>
          </w:tcPr>
          <w:p w14:paraId="71E3508B" w14:textId="77777777" w:rsidR="00EC2A23" w:rsidRPr="00995C95" w:rsidRDefault="00EC2A23" w:rsidP="00E25E8B">
            <w:pPr>
              <w:pStyle w:val="Marginlie"/>
              <w:rPr>
                <w:spacing w:val="-4"/>
              </w:rPr>
            </w:pPr>
            <w:r w:rsidRPr="00995C95">
              <w:rPr>
                <w:spacing w:val="-4"/>
              </w:rPr>
              <w:t>Revenues in the ICT area grew mainly due to the dynamic telecommunications segment. Demand has recovered in information activities.</w:t>
            </w:r>
          </w:p>
        </w:tc>
        <w:tc>
          <w:tcPr>
            <w:tcW w:w="0" w:type="auto"/>
            <w:tcMar>
              <w:left w:w="0" w:type="dxa"/>
            </w:tcMar>
          </w:tcPr>
          <w:p w14:paraId="3895CD65" w14:textId="77777777" w:rsidR="00EC2A23" w:rsidRPr="00995C95" w:rsidRDefault="00EC2A23" w:rsidP="00E25E8B">
            <w:pPr>
              <w:pStyle w:val="Textpoznpodarou"/>
              <w:jc w:val="both"/>
              <w:rPr>
                <w:color w:val="0D0D0D" w:themeColor="text1" w:themeTint="F2"/>
                <w:spacing w:val="-4"/>
              </w:rPr>
            </w:pPr>
          </w:p>
        </w:tc>
        <w:tc>
          <w:tcPr>
            <w:tcW w:w="7711" w:type="dxa"/>
            <w:tcMar>
              <w:left w:w="0" w:type="dxa"/>
            </w:tcMar>
          </w:tcPr>
          <w:p w14:paraId="65F580EB" w14:textId="77777777" w:rsidR="00EC2A23" w:rsidRPr="00995C95" w:rsidRDefault="00EC2A23" w:rsidP="00E25E8B">
            <w:pPr>
              <w:spacing w:after="200"/>
              <w:rPr>
                <w:rFonts w:cs="Arial"/>
                <w:color w:val="0D0D0D" w:themeColor="text1" w:themeTint="F2"/>
                <w:szCs w:val="20"/>
              </w:rPr>
            </w:pPr>
            <w:r w:rsidRPr="00995C95">
              <w:rPr>
                <w:rFonts w:cs="Arial"/>
                <w:color w:val="0D0D0D" w:themeColor="text1" w:themeTint="F2"/>
                <w:szCs w:val="20"/>
              </w:rPr>
              <w:t>Information and communication activities (ICT), whose sales increased by 2.7% last year (the highest in the last three years) also significantly supported the development of services. The ICT sector benefited mainly from a significant increase of telecommunications performance (to +5.8%, the highest after year 2007), however sales also increased rapidly in information activities</w:t>
            </w:r>
            <w:r w:rsidRPr="00995C95">
              <w:rPr>
                <w:rStyle w:val="Znakapoznpodarou"/>
                <w:color w:val="0D0D0D" w:themeColor="text1" w:themeTint="F2"/>
              </w:rPr>
              <w:footnoteReference w:id="46"/>
            </w:r>
            <w:r w:rsidRPr="00995C95">
              <w:rPr>
                <w:rFonts w:cs="Arial"/>
                <w:color w:val="0D0D0D" w:themeColor="text1" w:themeTint="F2"/>
              </w:rPr>
              <w:t>,</w:t>
            </w:r>
            <w:r w:rsidRPr="00995C95">
              <w:rPr>
                <w:rFonts w:cs="Arial"/>
                <w:color w:val="0D0D0D" w:themeColor="text1" w:themeTint="F2"/>
                <w:szCs w:val="20"/>
              </w:rPr>
              <w:t xml:space="preserve"> in which the previously dynamic growth of demand had effectively stopped in the previous three years. In the long-term strongly developing IT</w:t>
            </w:r>
            <w:r w:rsidRPr="00995C95">
              <w:rPr>
                <w:rStyle w:val="Znakapoznpodarou"/>
                <w:color w:val="0D0D0D" w:themeColor="text1" w:themeTint="F2"/>
              </w:rPr>
              <w:footnoteReference w:id="47"/>
            </w:r>
            <w:r w:rsidRPr="00995C95">
              <w:rPr>
                <w:rFonts w:cs="Arial"/>
                <w:color w:val="0D0D0D" w:themeColor="text1" w:themeTint="F2"/>
                <w:szCs w:val="20"/>
              </w:rPr>
              <w:t xml:space="preserve"> activities, sales grew more moderately last year (+2.3%, about half less than in 2024). On the contrary, publishing activities revived very slightly after the downturn in 2023 and 2024 (mostly in the SW area). Sales stabilized after a slump in the previous two years</w:t>
            </w:r>
            <w:r w:rsidRPr="00995C95">
              <w:rPr>
                <w:rStyle w:val="Znakapoznpodarou"/>
                <w:color w:val="0D0D0D" w:themeColor="text1" w:themeTint="F2"/>
              </w:rPr>
              <w:footnoteReference w:id="48"/>
            </w:r>
            <w:r w:rsidRPr="00995C95">
              <w:rPr>
                <w:rFonts w:cs="Arial"/>
                <w:color w:val="0D0D0D" w:themeColor="text1" w:themeTint="F2"/>
                <w:szCs w:val="20"/>
              </w:rPr>
              <w:t xml:space="preserve"> (+3.4%</w:t>
            </w:r>
            <w:r w:rsidRPr="00995C95">
              <w:rPr>
                <w:rStyle w:val="Znakapoznpodarou"/>
                <w:color w:val="0D0D0D" w:themeColor="text1" w:themeTint="F2"/>
              </w:rPr>
              <w:footnoteReference w:id="49"/>
            </w:r>
            <w:r w:rsidRPr="00995C95">
              <w:rPr>
                <w:rFonts w:cs="Arial"/>
                <w:color w:val="0D0D0D" w:themeColor="text1" w:themeTint="F2"/>
                <w:szCs w:val="20"/>
              </w:rPr>
              <w:t>) in the small ICT segment – the motion picture and music publishing activities – and were 29% lower than in 2019. Sales fell by 13.5%</w:t>
            </w:r>
            <w:r w:rsidRPr="00995C95">
              <w:rPr>
                <w:rStyle w:val="Znakapoznpodarou"/>
                <w:color w:val="0D0D0D" w:themeColor="text1" w:themeTint="F2"/>
              </w:rPr>
              <w:footnoteReference w:id="50"/>
            </w:r>
            <w:r w:rsidRPr="00995C95">
              <w:rPr>
                <w:rFonts w:cs="Arial"/>
                <w:color w:val="0D0D0D" w:themeColor="text1" w:themeTint="F2"/>
                <w:szCs w:val="20"/>
              </w:rPr>
              <w:t xml:space="preserve"> in the television programme production and radio broadcasting last year, in which, as one of the few sub-sectors of services, demand did not drop significantly during the </w:t>
            </w:r>
            <w:r>
              <w:rPr>
                <w:rFonts w:cs="Arial"/>
                <w:color w:val="0D0D0D" w:themeColor="text1" w:themeTint="F2"/>
                <w:szCs w:val="20"/>
              </w:rPr>
              <w:t>“</w:t>
            </w:r>
            <w:r w:rsidRPr="00995C95">
              <w:rPr>
                <w:rFonts w:cs="Arial"/>
                <w:color w:val="0D0D0D" w:themeColor="text1" w:themeTint="F2"/>
                <w:szCs w:val="20"/>
              </w:rPr>
              <w:t>pandemic year</w:t>
            </w:r>
            <w:r>
              <w:rPr>
                <w:rFonts w:cs="Arial"/>
                <w:color w:val="0D0D0D" w:themeColor="text1" w:themeTint="F2"/>
                <w:szCs w:val="20"/>
              </w:rPr>
              <w:t>”</w:t>
            </w:r>
            <w:r w:rsidRPr="00995C95">
              <w:rPr>
                <w:rFonts w:cs="Arial"/>
                <w:color w:val="0D0D0D" w:themeColor="text1" w:themeTint="F2"/>
                <w:szCs w:val="20"/>
              </w:rPr>
              <w:t xml:space="preserve"> of 2020, which was the highest after year 2009.</w:t>
            </w:r>
            <w:r w:rsidRPr="00995C95">
              <w:rPr>
                <w:rFonts w:cs="Arial"/>
                <w:color w:val="0D0D0D" w:themeColor="text1" w:themeTint="F2"/>
              </w:rPr>
              <w:t xml:space="preserve"> </w:t>
            </w:r>
          </w:p>
        </w:tc>
      </w:tr>
      <w:tr w:rsidR="00EC2A23" w:rsidRPr="00995C95" w14:paraId="6B115DB0" w14:textId="77777777" w:rsidTr="00E25E8B">
        <w:trPr>
          <w:trHeight w:val="170"/>
        </w:trPr>
        <w:tc>
          <w:tcPr>
            <w:tcW w:w="1788" w:type="dxa"/>
            <w:tcMar>
              <w:left w:w="0" w:type="dxa"/>
            </w:tcMar>
          </w:tcPr>
          <w:p w14:paraId="6D9A1C09" w14:textId="77777777" w:rsidR="00EC2A23" w:rsidRPr="00995C95" w:rsidRDefault="00EC2A23" w:rsidP="00E25E8B">
            <w:pPr>
              <w:pStyle w:val="Marginlie"/>
            </w:pPr>
            <w:r w:rsidRPr="00995C95">
              <w:t xml:space="preserve">Last year, all sub-sectors apart from the air transport contributed to a slight sales increase in transportation and storage. </w:t>
            </w:r>
          </w:p>
        </w:tc>
        <w:tc>
          <w:tcPr>
            <w:tcW w:w="0" w:type="auto"/>
            <w:tcMar>
              <w:left w:w="0" w:type="dxa"/>
            </w:tcMar>
          </w:tcPr>
          <w:p w14:paraId="4C326614" w14:textId="77777777" w:rsidR="00EC2A23" w:rsidRPr="00995C95" w:rsidRDefault="00EC2A23" w:rsidP="00E25E8B">
            <w:pPr>
              <w:pStyle w:val="Textpoznpodarou"/>
              <w:jc w:val="both"/>
              <w:rPr>
                <w:color w:val="0D0D0D" w:themeColor="text1" w:themeTint="F2"/>
                <w:spacing w:val="-4"/>
              </w:rPr>
            </w:pPr>
          </w:p>
        </w:tc>
        <w:tc>
          <w:tcPr>
            <w:tcW w:w="7711" w:type="dxa"/>
            <w:tcMar>
              <w:left w:w="0" w:type="dxa"/>
            </w:tcMar>
          </w:tcPr>
          <w:p w14:paraId="4482DAD1" w14:textId="77777777" w:rsidR="00EC2A23" w:rsidRPr="00995C95" w:rsidRDefault="00EC2A23" w:rsidP="00E25E8B">
            <w:pPr>
              <w:spacing w:after="200"/>
              <w:rPr>
                <w:rFonts w:cs="Arial"/>
                <w:color w:val="0D0D0D" w:themeColor="text1" w:themeTint="F2"/>
                <w:szCs w:val="20"/>
              </w:rPr>
            </w:pPr>
            <w:r w:rsidRPr="00995C95">
              <w:rPr>
                <w:rFonts w:cs="Arial"/>
                <w:color w:val="0D0D0D" w:themeColor="text1" w:themeTint="F2"/>
                <w:szCs w:val="20"/>
              </w:rPr>
              <w:t xml:space="preserve">The last sector that significantly supported service growth last year was transportation and storage, where sales increased by 1.5%, year-on-year, and contributed 0.4 p. p. to service growth (the relatively weaker pace was mainly due to Q3 2025, when sales growth in this economic activity ceased for the first time since the end of 2023). While the industry's growth was mainly driven by the weight-important warehousing segment (including other transportation support activities) in 2024, land transport took over this role last year. Last year's slight sales growth (+1.8%) reflected higher transport </w:t>
            </w:r>
            <w:r w:rsidRPr="00995C95">
              <w:rPr>
                <w:rFonts w:cs="Arial"/>
                <w:color w:val="0D0D0D" w:themeColor="text1" w:themeTint="F2"/>
                <w:szCs w:val="20"/>
              </w:rPr>
              <w:lastRenderedPageBreak/>
              <w:t>performance in both passenger and freight transport</w:t>
            </w:r>
            <w:r w:rsidRPr="00995C95">
              <w:rPr>
                <w:rStyle w:val="Znakapoznpodarou"/>
                <w:color w:val="0D0D0D" w:themeColor="text1" w:themeTint="F2"/>
                <w:szCs w:val="20"/>
              </w:rPr>
              <w:footnoteReference w:id="51"/>
            </w:r>
            <w:r w:rsidRPr="00995C95">
              <w:rPr>
                <w:rFonts w:cs="Arial"/>
                <w:color w:val="0D0D0D" w:themeColor="text1" w:themeTint="F2"/>
                <w:szCs w:val="20"/>
              </w:rPr>
              <w:t xml:space="preserve"> here. Sales growth slowed in storage, nevertheless in real terms they were almost a sixth above the 2019 level. Postal and courier activities were from a longer-term perspective in a similar situation. However, their sales grew only slightly last year (+2.0%) despite the continued rapid development of sales via internet. In the marginal segment of air transport, the rapid recovery of demand from previous years did not continue and the sales of domestic carriers decreased slightly, year-on-year, (by 3.0%)</w:t>
            </w:r>
            <w:r w:rsidRPr="00995C95">
              <w:rPr>
                <w:rStyle w:val="Znakapoznpodarou"/>
                <w:color w:val="0D0D0D" w:themeColor="text1" w:themeTint="F2"/>
                <w:szCs w:val="20"/>
              </w:rPr>
              <w:footnoteReference w:id="52"/>
            </w:r>
            <w:r w:rsidRPr="00995C95">
              <w:rPr>
                <w:rFonts w:cs="Arial"/>
                <w:color w:val="0D0D0D" w:themeColor="text1" w:themeTint="F2"/>
                <w:szCs w:val="20"/>
              </w:rPr>
              <w:t xml:space="preserve"> last year. However, sales increased by 12.2% in Q4 alone and, seasonally adjusted, matched the peak level of the previous decade for the first time (Q2 2019). On the contrary, sales of water transport still lagged behind 2019 by about a tenth despite last year's recovery (+7.2%).</w:t>
            </w:r>
          </w:p>
        </w:tc>
      </w:tr>
      <w:tr w:rsidR="00EC2A23" w:rsidRPr="00995C95" w14:paraId="68614A3C" w14:textId="77777777" w:rsidTr="00E25E8B">
        <w:trPr>
          <w:trHeight w:val="170"/>
        </w:trPr>
        <w:tc>
          <w:tcPr>
            <w:tcW w:w="1788" w:type="dxa"/>
            <w:tcMar>
              <w:left w:w="0" w:type="dxa"/>
            </w:tcMar>
          </w:tcPr>
          <w:p w14:paraId="14441A02" w14:textId="77777777" w:rsidR="00EC2A23" w:rsidRPr="00995C95" w:rsidRDefault="00EC2A23" w:rsidP="00E25E8B">
            <w:pPr>
              <w:pStyle w:val="Marginlie"/>
            </w:pPr>
            <w:r w:rsidRPr="00995C95">
              <w:lastRenderedPageBreak/>
              <w:t xml:space="preserve">Sales in accommodation, food service and restaurants increased only slightly. Higher demand growth was counteracted by worse summer weather and, in the longer term, by rapid price growth in these services. </w:t>
            </w:r>
          </w:p>
        </w:tc>
        <w:tc>
          <w:tcPr>
            <w:tcW w:w="0" w:type="auto"/>
            <w:tcMar>
              <w:left w:w="0" w:type="dxa"/>
            </w:tcMar>
          </w:tcPr>
          <w:p w14:paraId="13A675F4" w14:textId="77777777" w:rsidR="00EC2A23" w:rsidRPr="00995C95" w:rsidRDefault="00EC2A23" w:rsidP="00E25E8B">
            <w:pPr>
              <w:pStyle w:val="Textpoznpodarou"/>
              <w:jc w:val="both"/>
              <w:rPr>
                <w:color w:val="0D0D0D" w:themeColor="text1" w:themeTint="F2"/>
                <w:spacing w:val="-4"/>
              </w:rPr>
            </w:pPr>
          </w:p>
        </w:tc>
        <w:tc>
          <w:tcPr>
            <w:tcW w:w="7711" w:type="dxa"/>
            <w:tcMar>
              <w:left w:w="0" w:type="dxa"/>
            </w:tcMar>
          </w:tcPr>
          <w:p w14:paraId="7407C018" w14:textId="77777777" w:rsidR="00EC2A23" w:rsidRPr="00E16D47" w:rsidRDefault="00EC2A23" w:rsidP="00E25E8B">
            <w:pPr>
              <w:spacing w:after="200"/>
              <w:rPr>
                <w:bCs/>
                <w:spacing w:val="-2"/>
              </w:rPr>
            </w:pPr>
            <w:r w:rsidRPr="00E16D47">
              <w:rPr>
                <w:bCs/>
                <w:spacing w:val="-2"/>
              </w:rPr>
              <w:t>Sales increased by 1.3% in accommodation, food service and restaurants last year (and their growth was subdued for the third time in a row). This happened despite the relatively rapidly growing purchasing power of domestic households and the continuing development of inbound tourism. This may also be related to the rapid hike of the prices of these services</w:t>
            </w:r>
            <w:r w:rsidRPr="00E16D47">
              <w:rPr>
                <w:rStyle w:val="Znakapoznpodarou"/>
                <w:color w:val="0D0D0D" w:themeColor="text1" w:themeTint="F2"/>
                <w:spacing w:val="-2"/>
              </w:rPr>
              <w:footnoteReference w:id="53"/>
            </w:r>
            <w:r w:rsidRPr="00E16D47">
              <w:rPr>
                <w:bCs/>
                <w:spacing w:val="-2"/>
              </w:rPr>
              <w:t>. Physical indicators in the area of inbound tourism indicate slightly better results than real sales. Domestic providers of mass accommodation facilities (MAF) registered 23.55 million guests last year (in that 12.64 million were from the Czech Republic) with an average number of 2.51 nights per guest. The number of overnight stays increased by 3.3%, year-on-year, and, in contrast to the number of guests (which grew similarly last year), its growth rate increased slightly compared to 2024 (2.5%). Demand from non-residents grew faster last year (+5.0%), while overnight stays by domestic guests increased by only 2.0%. The summer season was again marked by worse weather – while the year before last it was exclusively the September floods; it was more long-term changeable weather with a higher frequency of precipitation and relatively slightly below average temperatures in July and September last year. This was reflected in lower demand from domestic guests, especially in campsites</w:t>
            </w:r>
            <w:r w:rsidRPr="00E16D47">
              <w:rPr>
                <w:rStyle w:val="Znakapoznpodarou"/>
                <w:rFonts w:eastAsia="Arial"/>
                <w:spacing w:val="-2"/>
                <w:szCs w:val="20"/>
              </w:rPr>
              <w:footnoteReference w:id="54"/>
            </w:r>
            <w:r w:rsidRPr="00E16D47">
              <w:rPr>
                <w:bCs/>
                <w:spacing w:val="-2"/>
              </w:rPr>
              <w:t>. For the second year in a row, the year-round number of visitors to MAF was above the level of the pre-covid year 2019, both in terms of the number of accommodated guests (+7.1%) and overnight stays (+3.7%)</w:t>
            </w:r>
            <w:r w:rsidRPr="00E16D47">
              <w:rPr>
                <w:rStyle w:val="Znakapoznpodarou"/>
                <w:rFonts w:eastAsia="Arial"/>
                <w:spacing w:val="-2"/>
                <w:szCs w:val="20"/>
              </w:rPr>
              <w:footnoteReference w:id="55"/>
            </w:r>
            <w:r w:rsidRPr="00E16D47">
              <w:rPr>
                <w:rFonts w:eastAsia="Arial" w:cs="Arial"/>
                <w:spacing w:val="-2"/>
                <w:szCs w:val="20"/>
              </w:rPr>
              <w:t xml:space="preserve">. </w:t>
            </w:r>
            <w:r w:rsidRPr="00E16D47">
              <w:rPr>
                <w:bCs/>
                <w:spacing w:val="-2"/>
              </w:rPr>
              <w:t xml:space="preserve"> </w:t>
            </w:r>
          </w:p>
        </w:tc>
      </w:tr>
      <w:tr w:rsidR="00EC2A23" w:rsidRPr="00995C95" w14:paraId="46B356BB" w14:textId="77777777" w:rsidTr="00E25E8B">
        <w:trPr>
          <w:trHeight w:val="170"/>
        </w:trPr>
        <w:tc>
          <w:tcPr>
            <w:tcW w:w="1788" w:type="dxa"/>
            <w:tcMar>
              <w:left w:w="0" w:type="dxa"/>
            </w:tcMar>
          </w:tcPr>
          <w:p w14:paraId="7769C0D3" w14:textId="77777777" w:rsidR="00EC2A23" w:rsidRPr="00995C95" w:rsidRDefault="00EC2A23" w:rsidP="00E25E8B">
            <w:pPr>
              <w:pStyle w:val="Marginlie"/>
            </w:pPr>
            <w:r w:rsidRPr="00995C95">
              <w:t xml:space="preserve">Demand continued to decline in most segments of administrative and support service activities due to the transformation of the labour market as well as the advancing </w:t>
            </w:r>
            <w:r w:rsidRPr="00995C95">
              <w:lastRenderedPageBreak/>
              <w:t>digitalisation</w:t>
            </w:r>
            <w:r>
              <w:t>.</w:t>
            </w:r>
            <w:r w:rsidRPr="00995C95">
              <w:br/>
              <w:t xml:space="preserve"> </w:t>
            </w:r>
          </w:p>
          <w:p w14:paraId="2F176779" w14:textId="77777777" w:rsidR="00EC2A23" w:rsidRPr="00995C95" w:rsidRDefault="00EC2A23" w:rsidP="00E25E8B">
            <w:pPr>
              <w:pStyle w:val="Marginlie"/>
            </w:pPr>
          </w:p>
          <w:p w14:paraId="2FE95A82" w14:textId="77777777" w:rsidR="00EC2A23" w:rsidRPr="00995C95" w:rsidRDefault="00EC2A23" w:rsidP="00E25E8B">
            <w:pPr>
              <w:pStyle w:val="Marginlie"/>
            </w:pPr>
          </w:p>
          <w:p w14:paraId="264206FE" w14:textId="77777777" w:rsidR="00EC2A23" w:rsidRPr="00995C95" w:rsidRDefault="00EC2A23" w:rsidP="00E25E8B">
            <w:pPr>
              <w:pStyle w:val="Marginlie"/>
            </w:pPr>
            <w:r w:rsidRPr="00995C95">
              <w:t>Rental and operating leasing activities maintained stable demand.</w:t>
            </w:r>
          </w:p>
        </w:tc>
        <w:tc>
          <w:tcPr>
            <w:tcW w:w="0" w:type="auto"/>
            <w:tcMar>
              <w:left w:w="0" w:type="dxa"/>
            </w:tcMar>
          </w:tcPr>
          <w:p w14:paraId="4E1308FA" w14:textId="77777777" w:rsidR="00EC2A23" w:rsidRPr="00995C95" w:rsidRDefault="00EC2A23" w:rsidP="00E25E8B">
            <w:pPr>
              <w:pStyle w:val="Textpoznpodarou"/>
              <w:jc w:val="both"/>
              <w:rPr>
                <w:color w:val="0D0D0D" w:themeColor="text1" w:themeTint="F2"/>
                <w:spacing w:val="-4"/>
              </w:rPr>
            </w:pPr>
          </w:p>
        </w:tc>
        <w:tc>
          <w:tcPr>
            <w:tcW w:w="7711" w:type="dxa"/>
            <w:tcMar>
              <w:left w:w="0" w:type="dxa"/>
            </w:tcMar>
          </w:tcPr>
          <w:p w14:paraId="4B4C3C55" w14:textId="77777777" w:rsidR="00EC2A23" w:rsidRPr="00995C95" w:rsidRDefault="00EC2A23" w:rsidP="00E25E8B">
            <w:pPr>
              <w:spacing w:after="200"/>
              <w:rPr>
                <w:bCs/>
              </w:rPr>
            </w:pPr>
            <w:r w:rsidRPr="00995C95">
              <w:rPr>
                <w:bCs/>
              </w:rPr>
              <w:t xml:space="preserve">Sales increased only very slightly in real estate activities, year-on-year, last year (+0.6%), building on the lacklustre results from 2024. Sales in fact stagnated last year (+0.1%) in the branch administrative and support service activities, which usually provide services with lower added value mainly to enterprises, which was the worst result in the last five years. The slight growth was mostly driven by higher sales in office </w:t>
            </w:r>
            <w:r w:rsidRPr="00995C95">
              <w:rPr>
                <w:bCs/>
              </w:rPr>
              <w:lastRenderedPageBreak/>
              <w:t>administrative, office support and other business support activities (+6.8%</w:t>
            </w:r>
            <w:r w:rsidRPr="00995C95">
              <w:rPr>
                <w:rStyle w:val="Znakapoznpodarou"/>
                <w:color w:val="0D0D0D" w:themeColor="text1" w:themeTint="F2"/>
              </w:rPr>
              <w:footnoteReference w:id="56"/>
            </w:r>
            <w:r w:rsidRPr="00995C95">
              <w:rPr>
                <w:bCs/>
              </w:rPr>
              <w:t>). Higher demand from both households and businesses was reflected in sales growth of rental and operating leasing activities (+4.8%</w:t>
            </w:r>
            <w:r w:rsidRPr="00995C95">
              <w:rPr>
                <w:rStyle w:val="Znakapoznpodarou"/>
                <w:color w:val="0D0D0D" w:themeColor="text1" w:themeTint="F2"/>
              </w:rPr>
              <w:footnoteReference w:id="57"/>
            </w:r>
            <w:r w:rsidRPr="00995C95">
              <w:rPr>
                <w:bCs/>
              </w:rPr>
              <w:t>), which thus followed up on the recovery the year before last. On the contrary, a deeper sales decrease of activities of employment placement agencies continued for the fourth year, by 8.7%</w:t>
            </w:r>
            <w:r w:rsidRPr="00995C95">
              <w:rPr>
                <w:rStyle w:val="Znakapoznpodarou"/>
                <w:color w:val="0D0D0D" w:themeColor="text1" w:themeTint="F2"/>
              </w:rPr>
              <w:footnoteReference w:id="58"/>
            </w:r>
            <w:r w:rsidRPr="00995C95">
              <w:rPr>
                <w:bCs/>
              </w:rPr>
              <w:t xml:space="preserve"> last year. The pressure to reduce costs associated with the development of digitalization was reflected in a reduced sales of security and investigation activities. This has been going on for the third year, and it deepened to 7.6% last year (comparably the last time in 2009). For the first time since the retreat of the COVID-19 pandemic, the growth of demand for travel agency services stopped last year (however, sales exceeded the 2019 level by 5% here). </w:t>
            </w:r>
          </w:p>
        </w:tc>
      </w:tr>
      <w:tr w:rsidR="00EC2A23" w:rsidRPr="00995C95" w14:paraId="53F953E0" w14:textId="77777777" w:rsidTr="00E25E8B">
        <w:trPr>
          <w:trHeight w:val="170"/>
        </w:trPr>
        <w:tc>
          <w:tcPr>
            <w:tcW w:w="1788" w:type="dxa"/>
            <w:tcMar>
              <w:left w:w="0" w:type="dxa"/>
            </w:tcMar>
          </w:tcPr>
          <w:p w14:paraId="69131335" w14:textId="77777777" w:rsidR="00EC2A23" w:rsidRPr="00995C95" w:rsidRDefault="00EC2A23" w:rsidP="00E25E8B">
            <w:pPr>
              <w:pStyle w:val="Marginlie"/>
            </w:pPr>
          </w:p>
        </w:tc>
        <w:tc>
          <w:tcPr>
            <w:tcW w:w="0" w:type="auto"/>
            <w:tcMar>
              <w:left w:w="0" w:type="dxa"/>
            </w:tcMar>
          </w:tcPr>
          <w:p w14:paraId="1BD4B8D7" w14:textId="77777777" w:rsidR="00EC2A23" w:rsidRPr="00995C95" w:rsidRDefault="00EC2A23" w:rsidP="00E25E8B">
            <w:pPr>
              <w:pStyle w:val="Textpoznpodarou"/>
              <w:jc w:val="both"/>
              <w:rPr>
                <w:spacing w:val="-4"/>
              </w:rPr>
            </w:pPr>
          </w:p>
        </w:tc>
        <w:tc>
          <w:tcPr>
            <w:tcW w:w="7711" w:type="dxa"/>
            <w:tcMar>
              <w:left w:w="0" w:type="dxa"/>
            </w:tcMar>
          </w:tcPr>
          <w:p w14:paraId="4AC3C8C0" w14:textId="77777777" w:rsidR="00EC2A23" w:rsidRPr="00995C95" w:rsidRDefault="00EC2A23" w:rsidP="00E25E8B">
            <w:pPr>
              <w:spacing w:after="40"/>
              <w:rPr>
                <w:b/>
              </w:rPr>
            </w:pPr>
            <w:r w:rsidRPr="00995C95">
              <w:rPr>
                <w:b/>
              </w:rPr>
              <w:t xml:space="preserve">Chart 7 </w:t>
            </w:r>
            <w:r w:rsidRPr="00995C95">
              <w:rPr>
                <w:b/>
                <w:spacing w:val="-2"/>
              </w:rPr>
              <w:t>Contributions of sub-branches to year-on-year change of sales in services</w:t>
            </w:r>
            <w:r w:rsidRPr="00995C95">
              <w:rPr>
                <w:b/>
                <w:bCs/>
                <w:spacing w:val="-2"/>
              </w:rPr>
              <w:t>*</w:t>
            </w:r>
            <w:r w:rsidRPr="00995C95">
              <w:rPr>
                <w:b/>
                <w:spacing w:val="-2"/>
              </w:rPr>
              <w:br/>
            </w:r>
            <w:r w:rsidRPr="00995C95">
              <w:rPr>
                <w:spacing w:val="-2"/>
              </w:rPr>
              <w:t>(real, in p. p),</w:t>
            </w:r>
            <w:r w:rsidRPr="00995C95">
              <w:rPr>
                <w:b/>
                <w:spacing w:val="-2"/>
              </w:rPr>
              <w:t xml:space="preserve"> total sales in services</w:t>
            </w:r>
            <w:r w:rsidRPr="00995C95">
              <w:rPr>
                <w:b/>
                <w:bCs/>
                <w:spacing w:val="-2"/>
              </w:rPr>
              <w:t xml:space="preserve">* </w:t>
            </w:r>
            <w:r w:rsidRPr="00995C95">
              <w:rPr>
                <w:spacing w:val="-2"/>
              </w:rPr>
              <w:t>(2021=100, right axis),</w:t>
            </w:r>
            <w:r w:rsidRPr="00995C95">
              <w:rPr>
                <w:b/>
                <w:spacing w:val="-2"/>
              </w:rPr>
              <w:t xml:space="preserve"> balance of business </w:t>
            </w:r>
            <w:r w:rsidRPr="00031283">
              <w:rPr>
                <w:b/>
                <w:spacing w:val="-6"/>
              </w:rPr>
              <w:t>confidence indicator in services</w:t>
            </w:r>
            <w:r w:rsidRPr="00031283">
              <w:rPr>
                <w:b/>
                <w:bCs/>
                <w:spacing w:val="-6"/>
              </w:rPr>
              <w:t>**</w:t>
            </w:r>
            <w:r w:rsidRPr="00031283">
              <w:rPr>
                <w:b/>
                <w:spacing w:val="-6"/>
              </w:rPr>
              <w:t xml:space="preserve"> </w:t>
            </w:r>
            <w:r w:rsidRPr="00031283">
              <w:rPr>
                <w:spacing w:val="-6"/>
              </w:rPr>
              <w:t>(in p. p., right axis),</w:t>
            </w:r>
            <w:r w:rsidRPr="00031283">
              <w:rPr>
                <w:b/>
                <w:bCs/>
                <w:spacing w:val="-6"/>
              </w:rPr>
              <w:t xml:space="preserve"> </w:t>
            </w:r>
            <w:r w:rsidRPr="00031283">
              <w:rPr>
                <w:b/>
                <w:spacing w:val="-6"/>
              </w:rPr>
              <w:t>barriers to growth</w:t>
            </w:r>
            <w:r w:rsidRPr="00031283">
              <w:rPr>
                <w:b/>
                <w:bCs/>
                <w:spacing w:val="-6"/>
              </w:rPr>
              <w:t>**</w:t>
            </w:r>
            <w:r w:rsidRPr="00031283">
              <w:rPr>
                <w:b/>
                <w:spacing w:val="-6"/>
              </w:rPr>
              <w:t xml:space="preserve"> </w:t>
            </w:r>
            <w:r w:rsidRPr="00031283">
              <w:rPr>
                <w:spacing w:val="-6"/>
              </w:rPr>
              <w:t>(in %, right axis</w:t>
            </w:r>
            <w:r w:rsidRPr="00995C95">
              <w:rPr>
                <w:spacing w:val="-8"/>
              </w:rPr>
              <w:t>)</w:t>
            </w:r>
            <w:r w:rsidRPr="00995C95">
              <w:t xml:space="preserve"> </w:t>
            </w:r>
          </w:p>
        </w:tc>
      </w:tr>
      <w:tr w:rsidR="00EC2A23" w:rsidRPr="00995C95" w14:paraId="200F7A7E" w14:textId="77777777" w:rsidTr="00E25E8B">
        <w:tblPrEx>
          <w:tblCellMar>
            <w:left w:w="70" w:type="dxa"/>
            <w:right w:w="70" w:type="dxa"/>
          </w:tblCellMar>
        </w:tblPrEx>
        <w:trPr>
          <w:trHeight w:val="170"/>
        </w:trPr>
        <w:tc>
          <w:tcPr>
            <w:tcW w:w="1788" w:type="dxa"/>
          </w:tcPr>
          <w:p w14:paraId="1F13A852" w14:textId="77777777" w:rsidR="00EC2A23" w:rsidRPr="00995C95" w:rsidRDefault="00EC2A23" w:rsidP="00E25E8B">
            <w:pPr>
              <w:pStyle w:val="Marginlie"/>
            </w:pPr>
          </w:p>
        </w:tc>
        <w:tc>
          <w:tcPr>
            <w:tcW w:w="147" w:type="dxa"/>
          </w:tcPr>
          <w:p w14:paraId="502D1380" w14:textId="77777777" w:rsidR="00EC2A23" w:rsidRPr="00995C95" w:rsidRDefault="00EC2A23" w:rsidP="00E25E8B">
            <w:pPr>
              <w:pStyle w:val="Textpoznpodarou"/>
              <w:jc w:val="both"/>
              <w:rPr>
                <w:spacing w:val="-4"/>
              </w:rPr>
            </w:pPr>
          </w:p>
        </w:tc>
        <w:tc>
          <w:tcPr>
            <w:tcW w:w="7711" w:type="dxa"/>
          </w:tcPr>
          <w:p w14:paraId="6C51FACD" w14:textId="77777777" w:rsidR="00EC2A23" w:rsidRPr="00995C95" w:rsidRDefault="00EC2A23" w:rsidP="00E25E8B">
            <w:pPr>
              <w:spacing w:before="40" w:after="40"/>
              <w:rPr>
                <w:rFonts w:cs="Arial"/>
                <w:sz w:val="14"/>
                <w:szCs w:val="14"/>
              </w:rPr>
            </w:pPr>
            <w:r>
              <w:rPr>
                <w:noProof/>
              </w:rPr>
              <w:drawing>
                <wp:inline distT="0" distB="0" distL="0" distR="0" wp14:anchorId="1839A92C" wp14:editId="771BCC41">
                  <wp:extent cx="4776716" cy="3622675"/>
                  <wp:effectExtent l="0" t="0" r="5080" b="0"/>
                  <wp:docPr id="1101732829" name="Graf 1">
                    <a:extLst xmlns:a="http://schemas.openxmlformats.org/drawingml/2006/main">
                      <a:ext uri="{FF2B5EF4-FFF2-40B4-BE49-F238E27FC236}">
                        <a16:creationId xmlns:a16="http://schemas.microsoft.com/office/drawing/2014/main" id="{CB80320E-451A-4FD4-B128-C587F6B59D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EC2A23" w:rsidRPr="00995C95" w14:paraId="785CC95C" w14:textId="77777777" w:rsidTr="00E25E8B">
        <w:trPr>
          <w:trHeight w:val="170"/>
        </w:trPr>
        <w:tc>
          <w:tcPr>
            <w:tcW w:w="1788" w:type="dxa"/>
            <w:tcMar>
              <w:left w:w="0" w:type="dxa"/>
            </w:tcMar>
          </w:tcPr>
          <w:p w14:paraId="0CDAFC88" w14:textId="77777777" w:rsidR="00EC2A23" w:rsidRPr="00995C95" w:rsidRDefault="00EC2A23" w:rsidP="00E25E8B">
            <w:pPr>
              <w:pStyle w:val="Marginlie"/>
            </w:pPr>
          </w:p>
        </w:tc>
        <w:tc>
          <w:tcPr>
            <w:tcW w:w="0" w:type="auto"/>
            <w:tcMar>
              <w:left w:w="0" w:type="dxa"/>
            </w:tcMar>
          </w:tcPr>
          <w:p w14:paraId="4816AF31" w14:textId="77777777" w:rsidR="00EC2A23" w:rsidRPr="00995C95" w:rsidRDefault="00EC2A23" w:rsidP="00E25E8B">
            <w:pPr>
              <w:pStyle w:val="Textpoznpodarou"/>
              <w:jc w:val="both"/>
              <w:rPr>
                <w:spacing w:val="-4"/>
              </w:rPr>
            </w:pPr>
          </w:p>
        </w:tc>
        <w:tc>
          <w:tcPr>
            <w:tcW w:w="7711" w:type="dxa"/>
            <w:tcMar>
              <w:left w:w="0" w:type="dxa"/>
            </w:tcMar>
          </w:tcPr>
          <w:p w14:paraId="294BD713" w14:textId="77777777" w:rsidR="00EC2A23" w:rsidRPr="00995C95" w:rsidRDefault="00EC2A23" w:rsidP="00E25E8B">
            <w:pPr>
              <w:spacing w:after="0" w:line="240" w:lineRule="auto"/>
              <w:rPr>
                <w:rFonts w:cs="Arial"/>
                <w:spacing w:val="-6"/>
                <w:sz w:val="14"/>
                <w:szCs w:val="14"/>
              </w:rPr>
            </w:pPr>
            <w:r w:rsidRPr="00995C95">
              <w:rPr>
                <w:rFonts w:cs="Arial"/>
                <w:spacing w:val="-6"/>
                <w:sz w:val="14"/>
                <w:szCs w:val="14"/>
              </w:rPr>
              <w:t xml:space="preserve">Note: All data are seasonally adjusted, only contributions of sub-branches to the growth of sales are adjusted solely for calendar effects. </w:t>
            </w:r>
          </w:p>
          <w:p w14:paraId="5D86B96F" w14:textId="77777777" w:rsidR="00EC2A23" w:rsidRPr="00995C95" w:rsidRDefault="00EC2A23" w:rsidP="00E25E8B">
            <w:pPr>
              <w:spacing w:after="0" w:line="240" w:lineRule="auto"/>
              <w:rPr>
                <w:rFonts w:cs="Arial"/>
                <w:sz w:val="14"/>
                <w:szCs w:val="14"/>
              </w:rPr>
            </w:pPr>
            <w:r w:rsidRPr="00995C95">
              <w:rPr>
                <w:rFonts w:cs="Arial"/>
                <w:sz w:val="14"/>
                <w:szCs w:val="14"/>
              </w:rPr>
              <w:t xml:space="preserve">*Without branches trade, </w:t>
            </w:r>
            <w:r w:rsidRPr="00995C95">
              <w:rPr>
                <w:color w:val="0D0D0D" w:themeColor="text1" w:themeTint="F2"/>
                <w:sz w:val="14"/>
                <w:szCs w:val="14"/>
              </w:rPr>
              <w:t xml:space="preserve">financial activities, insurance activities, science, research and public services. </w:t>
            </w:r>
          </w:p>
          <w:p w14:paraId="1484C6BF" w14:textId="77777777" w:rsidR="00EC2A23" w:rsidRPr="00995C95" w:rsidRDefault="00EC2A23" w:rsidP="00E25E8B">
            <w:pPr>
              <w:spacing w:after="0" w:line="240" w:lineRule="auto"/>
              <w:rPr>
                <w:rFonts w:cs="Arial"/>
                <w:spacing w:val="-4"/>
                <w:sz w:val="14"/>
                <w:szCs w:val="14"/>
              </w:rPr>
            </w:pPr>
            <w:r w:rsidRPr="00995C95">
              <w:rPr>
                <w:rFonts w:cs="Arial"/>
                <w:sz w:val="14"/>
                <w:szCs w:val="14"/>
              </w:rPr>
              <w:t xml:space="preserve">**Also involves the financial sector. Barrier to growth express the level in the first month of the given quarter, balance of confidence is related to the second month of the quarter. </w:t>
            </w:r>
            <w:r w:rsidRPr="00995C95">
              <w:rPr>
                <w:rFonts w:cs="Arial"/>
                <w:spacing w:val="-2"/>
                <w:sz w:val="14"/>
                <w:szCs w:val="14"/>
              </w:rPr>
              <w:t>Businesses could have indicated more key barriers simultaneously</w:t>
            </w:r>
            <w:r w:rsidRPr="00995C95">
              <w:rPr>
                <w:rFonts w:cs="Arial"/>
                <w:sz w:val="14"/>
                <w:szCs w:val="14"/>
              </w:rPr>
              <w:t xml:space="preserve">. </w:t>
            </w:r>
          </w:p>
          <w:p w14:paraId="44C944AF" w14:textId="77777777" w:rsidR="00EC2A23" w:rsidRPr="005E39B6" w:rsidRDefault="00EC2A23" w:rsidP="00E25E8B">
            <w:pPr>
              <w:spacing w:line="240" w:lineRule="auto"/>
              <w:rPr>
                <w:rFonts w:cs="Arial"/>
                <w:sz w:val="14"/>
                <w:szCs w:val="14"/>
              </w:rPr>
            </w:pPr>
            <w:r w:rsidRPr="00995C95">
              <w:rPr>
                <w:rFonts w:cs="Arial"/>
                <w:sz w:val="14"/>
                <w:szCs w:val="14"/>
              </w:rPr>
              <w:t>Source: CZSO, Eurostat</w:t>
            </w:r>
          </w:p>
        </w:tc>
      </w:tr>
      <w:tr w:rsidR="00EC2A23" w:rsidRPr="00995C95" w14:paraId="3C2135B5" w14:textId="77777777" w:rsidTr="00E25E8B">
        <w:trPr>
          <w:trHeight w:val="155"/>
        </w:trPr>
        <w:tc>
          <w:tcPr>
            <w:tcW w:w="1788" w:type="dxa"/>
            <w:tcMar>
              <w:left w:w="0" w:type="dxa"/>
            </w:tcMar>
          </w:tcPr>
          <w:p w14:paraId="1AA5BBD2" w14:textId="77777777" w:rsidR="00EC2A23" w:rsidRPr="00995C95" w:rsidRDefault="00EC2A23" w:rsidP="00E25E8B">
            <w:pPr>
              <w:pStyle w:val="Marginlie"/>
            </w:pPr>
            <w:r w:rsidRPr="00995C95">
              <w:t xml:space="preserve">The development of retail continued last year. However, quarter-on-quarter sales rates </w:t>
            </w:r>
            <w:r w:rsidRPr="00995C95">
              <w:lastRenderedPageBreak/>
              <w:t>indicated a possible slowdown of growth.</w:t>
            </w:r>
          </w:p>
          <w:p w14:paraId="63232241" w14:textId="77777777" w:rsidR="00EC2A23" w:rsidRPr="00995C95" w:rsidRDefault="00EC2A23" w:rsidP="00E25E8B">
            <w:pPr>
              <w:pStyle w:val="Marginlie"/>
            </w:pPr>
          </w:p>
        </w:tc>
        <w:tc>
          <w:tcPr>
            <w:tcW w:w="0" w:type="auto"/>
            <w:tcMar>
              <w:left w:w="0" w:type="dxa"/>
            </w:tcMar>
          </w:tcPr>
          <w:p w14:paraId="55E615F1" w14:textId="77777777" w:rsidR="00EC2A23" w:rsidRPr="00995C95" w:rsidRDefault="00EC2A23" w:rsidP="00E25E8B">
            <w:pPr>
              <w:pStyle w:val="Textpoznpodarou"/>
              <w:jc w:val="both"/>
              <w:rPr>
                <w:spacing w:val="-4"/>
              </w:rPr>
            </w:pPr>
          </w:p>
        </w:tc>
        <w:tc>
          <w:tcPr>
            <w:tcW w:w="7711" w:type="dxa"/>
            <w:tcMar>
              <w:left w:w="0" w:type="dxa"/>
            </w:tcMar>
          </w:tcPr>
          <w:p w14:paraId="76E4A1D4" w14:textId="77777777" w:rsidR="00EC2A23" w:rsidRPr="00995C95" w:rsidRDefault="00EC2A23" w:rsidP="00E25E8B">
            <w:pPr>
              <w:spacing w:after="200"/>
              <w:rPr>
                <w:rFonts w:cs="Arial"/>
                <w:color w:val="0D0D0D" w:themeColor="text1" w:themeTint="F2"/>
                <w:szCs w:val="20"/>
              </w:rPr>
            </w:pPr>
            <w:r w:rsidRPr="00995C95">
              <w:rPr>
                <w:rFonts w:cs="Arial"/>
                <w:color w:val="0D0D0D" w:themeColor="text1" w:themeTint="F2"/>
                <w:szCs w:val="20"/>
              </w:rPr>
              <w:t>Retail growth continued in 2025, benefiting from growing household confidence in the economy</w:t>
            </w:r>
            <w:r w:rsidRPr="00995C95">
              <w:rPr>
                <w:rStyle w:val="Znakapoznpodarou"/>
                <w:color w:val="0D0D0D" w:themeColor="text1" w:themeTint="F2"/>
                <w:szCs w:val="20"/>
              </w:rPr>
              <w:footnoteReference w:id="59"/>
            </w:r>
            <w:r w:rsidRPr="00995C95">
              <w:rPr>
                <w:rFonts w:cs="Arial"/>
                <w:color w:val="0D0D0D" w:themeColor="text1" w:themeTint="F2"/>
                <w:szCs w:val="20"/>
              </w:rPr>
              <w:t xml:space="preserve">, supported by favourable labour market developments. Nevertheless, </w:t>
            </w:r>
            <w:r w:rsidRPr="00995C95">
              <w:rPr>
                <w:rFonts w:cs="Arial"/>
                <w:color w:val="0D0D0D" w:themeColor="text1" w:themeTint="F2"/>
                <w:szCs w:val="20"/>
              </w:rPr>
              <w:lastRenderedPageBreak/>
              <w:t>quarter-on-quarter sales rates in retail</w:t>
            </w:r>
            <w:r w:rsidRPr="00995C95">
              <w:rPr>
                <w:rStyle w:val="Znakapoznpodarou"/>
                <w:color w:val="0D0D0D" w:themeColor="text1" w:themeTint="F2"/>
              </w:rPr>
              <w:footnoteReference w:id="60"/>
            </w:r>
            <w:r w:rsidRPr="00995C95">
              <w:rPr>
                <w:rFonts w:cs="Arial"/>
                <w:color w:val="0D0D0D" w:themeColor="text1" w:themeTint="F2"/>
                <w:szCs w:val="20"/>
              </w:rPr>
              <w:t xml:space="preserve"> indicated a tendency towards a slight growth slowdown in H2. Although households' assessment of their own financial situation (and its outlook for 2026) gradually improved, people's willingness to make larger purchases (especially investments and durable goods) did not increase much, and at the same time there was a higher tendency to create financial savings. Retail performance was slightly above the peak of the pre-pandemic boom (+1.6%) in Q4 last year, however it has not yet fully compensated for the downturn in 2023 and 2024 (associated with a fall of real wages). </w:t>
            </w:r>
          </w:p>
        </w:tc>
      </w:tr>
      <w:tr w:rsidR="00EC2A23" w:rsidRPr="00995C95" w14:paraId="46F3484C" w14:textId="77777777" w:rsidTr="00E25E8B">
        <w:trPr>
          <w:trHeight w:val="155"/>
        </w:trPr>
        <w:tc>
          <w:tcPr>
            <w:tcW w:w="1788" w:type="dxa"/>
            <w:tcMar>
              <w:left w:w="0" w:type="dxa"/>
            </w:tcMar>
          </w:tcPr>
          <w:p w14:paraId="6116259C" w14:textId="77777777" w:rsidR="00EC2A23" w:rsidRPr="00995C95" w:rsidRDefault="00EC2A23" w:rsidP="00E25E8B">
            <w:pPr>
              <w:pStyle w:val="Marginlie"/>
              <w:rPr>
                <w:spacing w:val="-4"/>
              </w:rPr>
            </w:pPr>
            <w:r w:rsidRPr="00995C95">
              <w:rPr>
                <w:spacing w:val="-4"/>
              </w:rPr>
              <w:lastRenderedPageBreak/>
              <w:t xml:space="preserve">The year-on-year retail growth was mainly driven by sales via internet and higher demand for fuel, stimulated by last year's favourable price developments. </w:t>
            </w:r>
          </w:p>
          <w:p w14:paraId="29ADCF1B" w14:textId="77777777" w:rsidR="00EC2A23" w:rsidRPr="00995C95" w:rsidRDefault="00EC2A23" w:rsidP="00E25E8B">
            <w:pPr>
              <w:pStyle w:val="Marginlie"/>
              <w:rPr>
                <w:spacing w:val="-4"/>
              </w:rPr>
            </w:pPr>
          </w:p>
          <w:p w14:paraId="0BEEF4D6" w14:textId="77777777" w:rsidR="00EC2A23" w:rsidRPr="00995C95" w:rsidRDefault="00EC2A23" w:rsidP="00E25E8B">
            <w:pPr>
              <w:pStyle w:val="Marginlie"/>
              <w:rPr>
                <w:spacing w:val="-4"/>
              </w:rPr>
            </w:pPr>
          </w:p>
          <w:p w14:paraId="693367CB" w14:textId="77777777" w:rsidR="00EC2A23" w:rsidRPr="00995C95" w:rsidRDefault="00EC2A23" w:rsidP="00E25E8B">
            <w:pPr>
              <w:pStyle w:val="Marginlie"/>
              <w:rPr>
                <w:spacing w:val="-4"/>
              </w:rPr>
            </w:pPr>
          </w:p>
          <w:p w14:paraId="7421BD78" w14:textId="77777777" w:rsidR="00EC2A23" w:rsidRPr="00995C95" w:rsidRDefault="00EC2A23" w:rsidP="00E25E8B">
            <w:pPr>
              <w:pStyle w:val="Marginlie"/>
              <w:rPr>
                <w:spacing w:val="-4"/>
              </w:rPr>
            </w:pPr>
          </w:p>
          <w:p w14:paraId="4D6EA5EB" w14:textId="77777777" w:rsidR="00EC2A23" w:rsidRPr="00995C95" w:rsidRDefault="00EC2A23" w:rsidP="00E25E8B">
            <w:pPr>
              <w:pStyle w:val="Marginlie"/>
              <w:rPr>
                <w:spacing w:val="-4"/>
              </w:rPr>
            </w:pPr>
          </w:p>
          <w:p w14:paraId="28E015FE" w14:textId="77777777" w:rsidR="00EC2A23" w:rsidRPr="00995C95" w:rsidRDefault="00EC2A23" w:rsidP="00E25E8B">
            <w:pPr>
              <w:pStyle w:val="Marginlie"/>
              <w:rPr>
                <w:spacing w:val="-4"/>
              </w:rPr>
            </w:pPr>
          </w:p>
          <w:p w14:paraId="37B88126" w14:textId="77777777" w:rsidR="00EC2A23" w:rsidRPr="00995C95" w:rsidRDefault="00EC2A23" w:rsidP="00E25E8B">
            <w:pPr>
              <w:pStyle w:val="Marginlie"/>
              <w:rPr>
                <w:spacing w:val="-4"/>
              </w:rPr>
            </w:pPr>
          </w:p>
          <w:p w14:paraId="3C3F5A68" w14:textId="77777777" w:rsidR="00EC2A23" w:rsidRPr="00995C95" w:rsidRDefault="00EC2A23" w:rsidP="00E25E8B">
            <w:pPr>
              <w:pStyle w:val="Marginlie"/>
              <w:rPr>
                <w:spacing w:val="-4"/>
              </w:rPr>
            </w:pPr>
          </w:p>
          <w:p w14:paraId="657C2C2F" w14:textId="77777777" w:rsidR="00EC2A23" w:rsidRPr="00995C95" w:rsidRDefault="00EC2A23" w:rsidP="00E25E8B">
            <w:pPr>
              <w:pStyle w:val="Marginlie"/>
              <w:rPr>
                <w:spacing w:val="-4"/>
              </w:rPr>
            </w:pPr>
            <w:r w:rsidRPr="00995C95">
              <w:rPr>
                <w:spacing w:val="-4"/>
              </w:rPr>
              <w:t>Growth of food sales slowed down last year. Households have probably reduced their consumption of some foodstuffs also due to their raised prices.</w:t>
            </w:r>
          </w:p>
        </w:tc>
        <w:tc>
          <w:tcPr>
            <w:tcW w:w="0" w:type="auto"/>
            <w:tcMar>
              <w:left w:w="0" w:type="dxa"/>
            </w:tcMar>
          </w:tcPr>
          <w:p w14:paraId="67B7F032" w14:textId="77777777" w:rsidR="00EC2A23" w:rsidRPr="00995C95" w:rsidRDefault="00EC2A23" w:rsidP="00E25E8B">
            <w:pPr>
              <w:pStyle w:val="Textpoznpodarou"/>
              <w:jc w:val="both"/>
              <w:rPr>
                <w:spacing w:val="-4"/>
              </w:rPr>
            </w:pPr>
          </w:p>
        </w:tc>
        <w:tc>
          <w:tcPr>
            <w:tcW w:w="7711" w:type="dxa"/>
            <w:tcMar>
              <w:left w:w="0" w:type="dxa"/>
            </w:tcMar>
          </w:tcPr>
          <w:p w14:paraId="1686A84D" w14:textId="77777777" w:rsidR="00EC2A23" w:rsidRPr="00995C95" w:rsidRDefault="00EC2A23" w:rsidP="00E25E8B">
            <w:pPr>
              <w:spacing w:after="0"/>
              <w:rPr>
                <w:rFonts w:cs="Arial"/>
                <w:color w:val="0D0D0D" w:themeColor="text1" w:themeTint="F2"/>
                <w:szCs w:val="20"/>
              </w:rPr>
            </w:pPr>
            <w:r w:rsidRPr="00995C95">
              <w:rPr>
                <w:rFonts w:cs="Arial"/>
                <w:color w:val="0D0D0D" w:themeColor="text1" w:themeTint="F2"/>
                <w:szCs w:val="20"/>
              </w:rPr>
              <w:t>Retail sales increased by 3.3% for the whole last year (and the pace slowed slightly compared to 2024). Higher demand for non-food goods (growth by 4.2%, contribution to the growth of the total retail trade +2.2 p.p.) still maintained a dominant influence, which was essentially influenced by sales in the area of sales via internet or mail order houses, which strengthened by almost a tenth and, as in 2024, represented the most dynamic segment of total retail. Sales of cosmetic and toilet products continued to increase the most in specialized stores</w:t>
            </w:r>
            <w:r w:rsidRPr="00995C95">
              <w:rPr>
                <w:rStyle w:val="Znakapoznpodarou"/>
                <w:color w:val="0D0D0D" w:themeColor="text1" w:themeTint="F2"/>
                <w:szCs w:val="20"/>
              </w:rPr>
              <w:footnoteReference w:id="61"/>
            </w:r>
            <w:r w:rsidRPr="00995C95">
              <w:rPr>
                <w:rFonts w:cs="Arial"/>
                <w:color w:val="0D0D0D" w:themeColor="text1" w:themeTint="F2"/>
                <w:szCs w:val="20"/>
              </w:rPr>
              <w:t xml:space="preserve"> (+9.2%), while sales of pharmaceutical and medical goods also performed well (+5.4%)</w:t>
            </w:r>
            <w:r w:rsidRPr="00995C95">
              <w:rPr>
                <w:rStyle w:val="Znakapoznpodarou"/>
                <w:color w:val="0D0D0D" w:themeColor="text1" w:themeTint="F2"/>
                <w:szCs w:val="20"/>
              </w:rPr>
              <w:footnoteReference w:id="62"/>
            </w:r>
            <w:r w:rsidRPr="00995C95">
              <w:rPr>
                <w:rFonts w:cs="Arial"/>
                <w:color w:val="0D0D0D" w:themeColor="text1" w:themeTint="F2"/>
                <w:szCs w:val="20"/>
              </w:rPr>
              <w:t>. Demand for fuels was growing, which stemmed mainly from their favourable price developments</w:t>
            </w:r>
            <w:r w:rsidRPr="00995C95">
              <w:rPr>
                <w:rStyle w:val="Znakapoznpodarou"/>
                <w:color w:val="0D0D0D" w:themeColor="text1" w:themeTint="F2"/>
                <w:szCs w:val="20"/>
              </w:rPr>
              <w:footnoteReference w:id="63"/>
            </w:r>
            <w:r w:rsidRPr="00995C95">
              <w:rPr>
                <w:rFonts w:cs="Arial"/>
                <w:color w:val="0D0D0D" w:themeColor="text1" w:themeTint="F2"/>
                <w:szCs w:val="20"/>
              </w:rPr>
              <w:t>. Year-on-year growth of their sales reached 8.0%</w:t>
            </w:r>
            <w:r w:rsidRPr="00995C95">
              <w:rPr>
                <w:rStyle w:val="Znakapoznpodarou"/>
                <w:color w:val="0D0D0D" w:themeColor="text1" w:themeTint="F2"/>
                <w:szCs w:val="20"/>
              </w:rPr>
              <w:footnoteReference w:id="64"/>
            </w:r>
            <w:r w:rsidRPr="00995C95">
              <w:rPr>
                <w:rFonts w:cs="Arial"/>
                <w:color w:val="0D0D0D" w:themeColor="text1" w:themeTint="F2"/>
                <w:szCs w:val="20"/>
              </w:rPr>
              <w:t xml:space="preserve"> (the highest pace since 2008) and contributed 1.0 p. p. to the growth of the total retail last year. A positive turnaround was recorded in the retail sale of cultural and recreation goods, where sales increased by 3.2% last year after three years of declines, mainly due to higher demand for sports equipment. On the contrary, despite favourable price developments, there was no change regarding the demand for clothing, footwear and leather goods, and sales grew only slightly here for the second year in a row (and were still lower by almost a quarter compared to 2019). In addition, sales in some assortment groups of stores continued to decrease last year – by 2.5%</w:t>
            </w:r>
            <w:r w:rsidRPr="00995C95">
              <w:rPr>
                <w:rStyle w:val="Znakapoznpodarou"/>
                <w:color w:val="0D0D0D" w:themeColor="text1" w:themeTint="F2"/>
                <w:szCs w:val="20"/>
              </w:rPr>
              <w:footnoteReference w:id="65"/>
            </w:r>
            <w:r w:rsidRPr="00995C95">
              <w:rPr>
                <w:rFonts w:cs="Arial"/>
                <w:color w:val="0D0D0D" w:themeColor="text1" w:themeTint="F2"/>
                <w:szCs w:val="20"/>
              </w:rPr>
              <w:t xml:space="preserve"> in the rather marginal segment of stores with computer and communication equipment, by 0.3% with products mainly for households</w:t>
            </w:r>
            <w:r w:rsidRPr="00995C95">
              <w:rPr>
                <w:rStyle w:val="Znakapoznpodarou"/>
                <w:color w:val="0D0D0D" w:themeColor="text1" w:themeTint="F2"/>
                <w:szCs w:val="20"/>
              </w:rPr>
              <w:footnoteReference w:id="66"/>
            </w:r>
            <w:r w:rsidRPr="00995C95">
              <w:rPr>
                <w:rFonts w:cs="Arial"/>
                <w:color w:val="0D0D0D" w:themeColor="text1" w:themeTint="F2"/>
                <w:szCs w:val="20"/>
              </w:rPr>
              <w:t>. Sales increased only very slightly in food retail (+0.4%, contribution to the growth of the total retail sector +0.2 p.p.), while they grew at an almost identical pace for large chains</w:t>
            </w:r>
            <w:r w:rsidRPr="00995C95">
              <w:rPr>
                <w:rStyle w:val="Znakapoznpodarou"/>
                <w:color w:val="0D0D0D" w:themeColor="text1" w:themeTint="F2"/>
                <w:szCs w:val="20"/>
              </w:rPr>
              <w:footnoteReference w:id="67"/>
            </w:r>
            <w:r w:rsidRPr="00995C95">
              <w:rPr>
                <w:rFonts w:cs="Arial"/>
                <w:color w:val="0D0D0D" w:themeColor="text1" w:themeTint="F2"/>
                <w:szCs w:val="20"/>
              </w:rPr>
              <w:t>. In specialized (usually small) stores</w:t>
            </w:r>
            <w:r w:rsidRPr="00995C95">
              <w:rPr>
                <w:rStyle w:val="Znakapoznpodarou"/>
                <w:color w:val="0D0D0D" w:themeColor="text1" w:themeTint="F2"/>
                <w:szCs w:val="20"/>
              </w:rPr>
              <w:footnoteReference w:id="68"/>
            </w:r>
            <w:r w:rsidRPr="00995C95">
              <w:rPr>
                <w:rFonts w:cs="Arial"/>
                <w:color w:val="0D0D0D" w:themeColor="text1" w:themeTint="F2"/>
                <w:szCs w:val="20"/>
              </w:rPr>
              <w:t xml:space="preserve">, they slightly fell. While demand growth moderated (to +0.5%) last year compared to the 2024 pace (+2.8%) in chains, the fall of demand for specialized grocery stores continued for the seventh year in a row (by 0.2% last year).  </w:t>
            </w:r>
          </w:p>
        </w:tc>
      </w:tr>
      <w:tr w:rsidR="00EC2A23" w:rsidRPr="00995C95" w14:paraId="48320CCE" w14:textId="77777777" w:rsidTr="00E25E8B">
        <w:trPr>
          <w:trHeight w:val="155"/>
        </w:trPr>
        <w:tc>
          <w:tcPr>
            <w:tcW w:w="1788" w:type="dxa"/>
            <w:tcMar>
              <w:left w:w="0" w:type="dxa"/>
            </w:tcMar>
          </w:tcPr>
          <w:p w14:paraId="7E295988" w14:textId="77777777" w:rsidR="00EC2A23" w:rsidRPr="00995C95" w:rsidRDefault="00EC2A23" w:rsidP="00E25E8B">
            <w:pPr>
              <w:pStyle w:val="Marginlie"/>
            </w:pPr>
            <w:r w:rsidRPr="00995C95">
              <w:rPr>
                <w:spacing w:val="-4"/>
              </w:rPr>
              <w:lastRenderedPageBreak/>
              <w:t>Growth of motor vehicles sales accelerated. However, the demand for parts and accessories for vehicles continued to decline.</w:t>
            </w:r>
          </w:p>
        </w:tc>
        <w:tc>
          <w:tcPr>
            <w:tcW w:w="0" w:type="auto"/>
            <w:tcMar>
              <w:left w:w="0" w:type="dxa"/>
            </w:tcMar>
          </w:tcPr>
          <w:p w14:paraId="135CB304" w14:textId="77777777" w:rsidR="00EC2A23" w:rsidRPr="00995C95" w:rsidRDefault="00EC2A23" w:rsidP="00E25E8B">
            <w:pPr>
              <w:pStyle w:val="Textpoznpodarou"/>
              <w:jc w:val="both"/>
              <w:rPr>
                <w:spacing w:val="-4"/>
              </w:rPr>
            </w:pPr>
          </w:p>
        </w:tc>
        <w:tc>
          <w:tcPr>
            <w:tcW w:w="7711" w:type="dxa"/>
            <w:tcMar>
              <w:left w:w="0" w:type="dxa"/>
            </w:tcMar>
          </w:tcPr>
          <w:p w14:paraId="664C56A0" w14:textId="77777777" w:rsidR="00EC2A23" w:rsidRPr="00995C95" w:rsidRDefault="00EC2A23" w:rsidP="00E25E8B">
            <w:pPr>
              <w:spacing w:after="0"/>
              <w:rPr>
                <w:rFonts w:cs="Arial"/>
                <w:color w:val="0D0D0D" w:themeColor="text1" w:themeTint="F2"/>
                <w:szCs w:val="20"/>
              </w:rPr>
            </w:pPr>
            <w:r w:rsidRPr="00995C95">
              <w:rPr>
                <w:rFonts w:cs="Arial"/>
                <w:color w:val="0D0D0D" w:themeColor="text1" w:themeTint="F2"/>
                <w:szCs w:val="20"/>
              </w:rPr>
              <w:t xml:space="preserve">In the automotive segment of trade, demand increased for the third year in a row last year, when sales increased by 2.5%. Growth accelerated in the key segment of the motor vehicle sales (excluding motorcycles) to 3.9%. This was mainly due to higher corporate demand, which is decisive for this segment of trade. Sales for repairs and maintenance of motor vehicles also grew at a moderate but more stable pace. By contrast, sales in the trade of parts and accessories for motor vehicles decreased by 1.5%, demand declined slightly here for the fourth year in a row and was lower by more than 15% compared to 2019 (by almost 5% in the total automotive segment of trade). </w:t>
            </w:r>
          </w:p>
          <w:p w14:paraId="19A41E7B" w14:textId="77777777" w:rsidR="00EC2A23" w:rsidRPr="00995C95" w:rsidRDefault="00EC2A23" w:rsidP="00E25E8B">
            <w:pPr>
              <w:spacing w:after="0"/>
              <w:rPr>
                <w:rFonts w:cs="Arial"/>
                <w:color w:val="0D0D0D" w:themeColor="text1" w:themeTint="F2"/>
                <w:szCs w:val="20"/>
              </w:rPr>
            </w:pPr>
          </w:p>
        </w:tc>
      </w:tr>
      <w:tr w:rsidR="00EC2A23" w:rsidRPr="00995C95" w14:paraId="3F09A00C" w14:textId="77777777" w:rsidTr="00E25E8B">
        <w:trPr>
          <w:trHeight w:val="155"/>
        </w:trPr>
        <w:tc>
          <w:tcPr>
            <w:tcW w:w="1788" w:type="dxa"/>
            <w:vMerge w:val="restart"/>
            <w:tcMar>
              <w:left w:w="0" w:type="dxa"/>
            </w:tcMar>
          </w:tcPr>
          <w:p w14:paraId="4322168C" w14:textId="77777777" w:rsidR="00EC2A23" w:rsidRPr="00995C95" w:rsidRDefault="00EC2A23" w:rsidP="00E25E8B">
            <w:pPr>
              <w:pStyle w:val="Marginlie"/>
            </w:pPr>
          </w:p>
        </w:tc>
        <w:tc>
          <w:tcPr>
            <w:tcW w:w="0" w:type="auto"/>
            <w:vMerge w:val="restart"/>
            <w:tcMar>
              <w:left w:w="0" w:type="dxa"/>
            </w:tcMar>
          </w:tcPr>
          <w:p w14:paraId="0DC7DF4A" w14:textId="77777777" w:rsidR="00EC2A23" w:rsidRPr="00995C95" w:rsidRDefault="00EC2A23" w:rsidP="00E25E8B">
            <w:pPr>
              <w:pStyle w:val="Textpoznpodarou"/>
              <w:jc w:val="both"/>
              <w:rPr>
                <w:spacing w:val="-4"/>
              </w:rPr>
            </w:pPr>
          </w:p>
        </w:tc>
        <w:tc>
          <w:tcPr>
            <w:tcW w:w="7711" w:type="dxa"/>
            <w:tcMar>
              <w:left w:w="0" w:type="dxa"/>
            </w:tcMar>
          </w:tcPr>
          <w:p w14:paraId="47CDD8F9" w14:textId="77777777" w:rsidR="00EC2A23" w:rsidRPr="00995C95" w:rsidRDefault="00EC2A23" w:rsidP="00E25E8B">
            <w:pPr>
              <w:spacing w:after="0"/>
              <w:rPr>
                <w:rFonts w:cs="Arial"/>
                <w:color w:val="0D0D0D" w:themeColor="text1" w:themeTint="F2"/>
                <w:spacing w:val="-4"/>
                <w:szCs w:val="20"/>
              </w:rPr>
            </w:pPr>
            <w:r w:rsidRPr="00995C95">
              <w:rPr>
                <w:b/>
                <w:spacing w:val="-2"/>
              </w:rPr>
              <w:t xml:space="preserve">Chart 8 </w:t>
            </w:r>
            <w:r w:rsidRPr="00995C95">
              <w:rPr>
                <w:b/>
                <w:spacing w:val="-4"/>
              </w:rPr>
              <w:t>Contributions of sub-branches to year-on-year change of sales in retail trade</w:t>
            </w:r>
            <w:r w:rsidRPr="00995C95">
              <w:rPr>
                <w:rFonts w:cs="Arial"/>
                <w:b/>
                <w:bCs/>
                <w:color w:val="0D0D0D" w:themeColor="text1" w:themeTint="F2"/>
                <w:spacing w:val="-4"/>
              </w:rPr>
              <w:t xml:space="preserve">* </w:t>
            </w:r>
            <w:r w:rsidRPr="00995C95">
              <w:rPr>
                <w:rFonts w:cs="Arial"/>
                <w:color w:val="0D0D0D" w:themeColor="text1" w:themeTint="F2"/>
                <w:spacing w:val="-4"/>
              </w:rPr>
              <w:t>(</w:t>
            </w:r>
            <w:r w:rsidRPr="00995C95">
              <w:rPr>
                <w:rFonts w:cs="Arial"/>
                <w:color w:val="0D0D0D" w:themeColor="text1" w:themeTint="F2"/>
                <w:spacing w:val="-6"/>
              </w:rPr>
              <w:t xml:space="preserve">real, in p.p.), </w:t>
            </w:r>
            <w:r w:rsidRPr="00995C95">
              <w:rPr>
                <w:rFonts w:cs="Arial"/>
                <w:b/>
                <w:bCs/>
                <w:color w:val="0D0D0D" w:themeColor="text1" w:themeTint="F2"/>
                <w:spacing w:val="-6"/>
                <w:szCs w:val="20"/>
              </w:rPr>
              <w:t xml:space="preserve">sales in retail trade and motorist segment of trade** </w:t>
            </w:r>
            <w:r w:rsidRPr="00995C95">
              <w:rPr>
                <w:rFonts w:cs="Arial"/>
                <w:color w:val="0D0D0D" w:themeColor="text1" w:themeTint="F2"/>
                <w:spacing w:val="-6"/>
                <w:szCs w:val="20"/>
              </w:rPr>
              <w:t xml:space="preserve">(real, </w:t>
            </w:r>
            <w:r w:rsidRPr="00995C95">
              <w:rPr>
                <w:spacing w:val="-6"/>
              </w:rPr>
              <w:t>base of</w:t>
            </w:r>
            <w:r w:rsidRPr="00995C95">
              <w:rPr>
                <w:rFonts w:cs="Arial"/>
                <w:color w:val="0D0D0D" w:themeColor="text1" w:themeTint="F2"/>
                <w:spacing w:val="-6"/>
                <w:szCs w:val="20"/>
              </w:rPr>
              <w:t xml:space="preserve"> 2021=100</w:t>
            </w:r>
            <w:r w:rsidRPr="00995C95">
              <w:rPr>
                <w:rFonts w:cs="Arial"/>
                <w:color w:val="0D0D0D" w:themeColor="text1" w:themeTint="F2"/>
                <w:spacing w:val="-4"/>
                <w:szCs w:val="20"/>
              </w:rPr>
              <w:t>, right axis),</w:t>
            </w:r>
            <w:r w:rsidRPr="00995C95">
              <w:rPr>
                <w:rFonts w:cs="Arial"/>
                <w:b/>
                <w:color w:val="0D0D0D" w:themeColor="text1" w:themeTint="F2"/>
                <w:spacing w:val="-4"/>
                <w:szCs w:val="20"/>
              </w:rPr>
              <w:t xml:space="preserve"> balance of business and consumer confidence indicator</w:t>
            </w:r>
            <w:r w:rsidRPr="00995C95">
              <w:rPr>
                <w:rFonts w:cs="Arial"/>
                <w:b/>
                <w:bCs/>
                <w:color w:val="0D0D0D" w:themeColor="text1" w:themeTint="F2"/>
                <w:spacing w:val="-4"/>
              </w:rPr>
              <w:t xml:space="preserve">*** </w:t>
            </w:r>
            <w:r w:rsidRPr="00995C95">
              <w:rPr>
                <w:rFonts w:cs="Arial"/>
                <w:color w:val="0D0D0D" w:themeColor="text1" w:themeTint="F2"/>
                <w:spacing w:val="-4"/>
              </w:rPr>
              <w:t xml:space="preserve">(in p. p, right axis) </w:t>
            </w:r>
          </w:p>
        </w:tc>
      </w:tr>
      <w:tr w:rsidR="00EC2A23" w:rsidRPr="00995C95" w14:paraId="4028058C" w14:textId="77777777" w:rsidTr="00E25E8B">
        <w:tblPrEx>
          <w:tblCellMar>
            <w:left w:w="70" w:type="dxa"/>
            <w:right w:w="70" w:type="dxa"/>
          </w:tblCellMar>
        </w:tblPrEx>
        <w:trPr>
          <w:trHeight w:val="155"/>
        </w:trPr>
        <w:tc>
          <w:tcPr>
            <w:tcW w:w="1788" w:type="dxa"/>
            <w:vMerge/>
          </w:tcPr>
          <w:p w14:paraId="6F4DD329" w14:textId="77777777" w:rsidR="00EC2A23" w:rsidRPr="00995C95" w:rsidRDefault="00EC2A23" w:rsidP="00E25E8B">
            <w:pPr>
              <w:pStyle w:val="Marginlie"/>
            </w:pPr>
          </w:p>
        </w:tc>
        <w:tc>
          <w:tcPr>
            <w:tcW w:w="147" w:type="dxa"/>
            <w:vMerge/>
          </w:tcPr>
          <w:p w14:paraId="17AAADD4" w14:textId="77777777" w:rsidR="00EC2A23" w:rsidRPr="00995C95" w:rsidRDefault="00EC2A23" w:rsidP="00E25E8B">
            <w:pPr>
              <w:pStyle w:val="Textpoznpodarou"/>
              <w:jc w:val="both"/>
              <w:rPr>
                <w:spacing w:val="-4"/>
              </w:rPr>
            </w:pPr>
          </w:p>
        </w:tc>
        <w:tc>
          <w:tcPr>
            <w:tcW w:w="7711" w:type="dxa"/>
          </w:tcPr>
          <w:p w14:paraId="09DB6115" w14:textId="77777777" w:rsidR="00EC2A23" w:rsidRPr="00995C95" w:rsidRDefault="00EC2A23" w:rsidP="00E25E8B">
            <w:pPr>
              <w:spacing w:before="40" w:after="40"/>
              <w:rPr>
                <w:rFonts w:cs="Arial"/>
                <w:color w:val="0D0D0D" w:themeColor="text1" w:themeTint="F2"/>
                <w:spacing w:val="-4"/>
                <w:szCs w:val="20"/>
              </w:rPr>
            </w:pPr>
            <w:r>
              <w:rPr>
                <w:noProof/>
              </w:rPr>
              <w:drawing>
                <wp:inline distT="0" distB="0" distL="0" distR="0" wp14:anchorId="0077E090" wp14:editId="11EEAD09">
                  <wp:extent cx="4783540" cy="3716020"/>
                  <wp:effectExtent l="0" t="0" r="0" b="0"/>
                  <wp:docPr id="1442798012" name="Graf 1">
                    <a:extLst xmlns:a="http://schemas.openxmlformats.org/drawingml/2006/main">
                      <a:ext uri="{FF2B5EF4-FFF2-40B4-BE49-F238E27FC236}">
                        <a16:creationId xmlns:a16="http://schemas.microsoft.com/office/drawing/2014/main" id="{00000000-0008-0000-1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EC2A23" w:rsidRPr="00995C95" w14:paraId="10040A9E" w14:textId="77777777" w:rsidTr="00E25E8B">
        <w:trPr>
          <w:trHeight w:val="155"/>
        </w:trPr>
        <w:tc>
          <w:tcPr>
            <w:tcW w:w="1788" w:type="dxa"/>
            <w:vMerge/>
            <w:tcMar>
              <w:left w:w="0" w:type="dxa"/>
            </w:tcMar>
          </w:tcPr>
          <w:p w14:paraId="5A69980F" w14:textId="77777777" w:rsidR="00EC2A23" w:rsidRPr="00995C95" w:rsidRDefault="00EC2A23" w:rsidP="00E25E8B">
            <w:pPr>
              <w:pStyle w:val="Marginlie"/>
            </w:pPr>
          </w:p>
        </w:tc>
        <w:tc>
          <w:tcPr>
            <w:tcW w:w="0" w:type="auto"/>
            <w:vMerge/>
            <w:tcMar>
              <w:left w:w="0" w:type="dxa"/>
            </w:tcMar>
          </w:tcPr>
          <w:p w14:paraId="1FFB6D3D" w14:textId="77777777" w:rsidR="00EC2A23" w:rsidRPr="00995C95" w:rsidRDefault="00EC2A23" w:rsidP="00E25E8B">
            <w:pPr>
              <w:pStyle w:val="Textpoznpodarou"/>
              <w:jc w:val="both"/>
              <w:rPr>
                <w:spacing w:val="-4"/>
              </w:rPr>
            </w:pPr>
          </w:p>
        </w:tc>
        <w:tc>
          <w:tcPr>
            <w:tcW w:w="7711" w:type="dxa"/>
            <w:tcMar>
              <w:left w:w="0" w:type="dxa"/>
            </w:tcMar>
          </w:tcPr>
          <w:p w14:paraId="0B9A8552" w14:textId="77777777" w:rsidR="00EC2A23" w:rsidRDefault="00EC2A23" w:rsidP="00E25E8B">
            <w:pPr>
              <w:spacing w:after="0" w:line="240" w:lineRule="auto"/>
              <w:rPr>
                <w:rFonts w:cs="Arial"/>
                <w:sz w:val="14"/>
                <w:szCs w:val="14"/>
              </w:rPr>
            </w:pPr>
            <w:r w:rsidRPr="00995C95">
              <w:rPr>
                <w:rFonts w:cs="Arial"/>
                <w:color w:val="0D0D0D" w:themeColor="text1" w:themeTint="F2"/>
                <w:spacing w:val="-6"/>
              </w:rPr>
              <w:t>*</w:t>
            </w:r>
            <w:r w:rsidRPr="00995C95">
              <w:rPr>
                <w:rFonts w:cs="Arial"/>
                <w:sz w:val="14"/>
                <w:szCs w:val="14"/>
              </w:rPr>
              <w:t xml:space="preserve"> Sales are adjusted for calendar effects.</w:t>
            </w:r>
          </w:p>
          <w:p w14:paraId="41F94B31" w14:textId="77777777" w:rsidR="00EC2A23" w:rsidRPr="00995C95" w:rsidRDefault="00EC2A23" w:rsidP="00E25E8B">
            <w:pPr>
              <w:spacing w:after="0" w:line="240" w:lineRule="auto"/>
              <w:rPr>
                <w:rFonts w:cs="Arial"/>
                <w:sz w:val="14"/>
                <w:szCs w:val="14"/>
              </w:rPr>
            </w:pPr>
            <w:r w:rsidRPr="00995C95">
              <w:rPr>
                <w:rFonts w:cs="Arial"/>
                <w:sz w:val="14"/>
                <w:szCs w:val="14"/>
              </w:rPr>
              <w:t xml:space="preserve">** Sales are adjusted for both seasonal and calendar effects. </w:t>
            </w:r>
          </w:p>
          <w:p w14:paraId="13C67DAE" w14:textId="77777777" w:rsidR="00EC2A23" w:rsidRPr="00995C95" w:rsidRDefault="00EC2A23" w:rsidP="00E25E8B">
            <w:pPr>
              <w:spacing w:after="0" w:line="240" w:lineRule="auto"/>
              <w:rPr>
                <w:rFonts w:cs="Arial"/>
                <w:color w:val="0D0D0D" w:themeColor="text1" w:themeTint="F2"/>
              </w:rPr>
            </w:pPr>
            <w:r w:rsidRPr="00995C95">
              <w:rPr>
                <w:rFonts w:cs="Arial"/>
                <w:color w:val="0D0D0D" w:themeColor="text1" w:themeTint="F2"/>
                <w:spacing w:val="-4"/>
                <w:sz w:val="14"/>
                <w:szCs w:val="14"/>
              </w:rPr>
              <w:t xml:space="preserve">*** </w:t>
            </w:r>
            <w:r w:rsidRPr="00995C95">
              <w:rPr>
                <w:rFonts w:cs="Arial"/>
                <w:color w:val="0D0D0D" w:themeColor="text1" w:themeTint="F2"/>
                <w:spacing w:val="-5"/>
                <w:sz w:val="14"/>
                <w:szCs w:val="14"/>
              </w:rPr>
              <w:t xml:space="preserve">Consumer confidence indicator balance is seasonally adjusted and expresses the position in the second month of the given quarter. </w:t>
            </w:r>
            <w:r w:rsidRPr="00995C95">
              <w:rPr>
                <w:rFonts w:cs="Arial"/>
                <w:color w:val="0D0D0D" w:themeColor="text1" w:themeTint="F2"/>
                <w:spacing w:val="-4"/>
                <w:sz w:val="14"/>
                <w:szCs w:val="14"/>
              </w:rPr>
              <w:t xml:space="preserve">                              Source: CZSO</w:t>
            </w:r>
          </w:p>
          <w:p w14:paraId="40D03EBF" w14:textId="77777777" w:rsidR="00EC2A23" w:rsidRPr="00995C95" w:rsidRDefault="00EC2A23" w:rsidP="00E25E8B">
            <w:pPr>
              <w:spacing w:after="0" w:line="240" w:lineRule="auto"/>
              <w:rPr>
                <w:rFonts w:cs="Arial"/>
                <w:b/>
                <w:bCs/>
                <w:color w:val="0D0D0D" w:themeColor="text1" w:themeTint="F2"/>
                <w:spacing w:val="-4"/>
                <w:sz w:val="16"/>
                <w:szCs w:val="16"/>
              </w:rPr>
            </w:pPr>
          </w:p>
        </w:tc>
      </w:tr>
    </w:tbl>
    <w:p w14:paraId="06181217" w14:textId="77777777" w:rsidR="00EC2A23" w:rsidRPr="009E36B8" w:rsidRDefault="00EC2A23" w:rsidP="00EC2A23">
      <w:pPr>
        <w:spacing w:after="0" w:line="240" w:lineRule="auto"/>
        <w:jc w:val="left"/>
        <w:rPr>
          <w:rFonts w:eastAsia="MS Gothic"/>
          <w:b/>
          <w:bCs/>
          <w:color w:val="86BF5E"/>
          <w:szCs w:val="20"/>
        </w:rPr>
      </w:pPr>
      <w:r w:rsidRPr="00995C95">
        <w:br w:type="page"/>
      </w:r>
    </w:p>
    <w:p w14:paraId="6ECF8F72" w14:textId="37314ADD" w:rsidR="00605D96" w:rsidRPr="00995C95" w:rsidRDefault="00605D96" w:rsidP="00605D96">
      <w:pPr>
        <w:pStyle w:val="Nadpis1"/>
        <w:rPr>
          <w:lang w:val="en-GB"/>
        </w:rPr>
      </w:pPr>
      <w:bookmarkStart w:id="20" w:name="_Toc227235018"/>
      <w:r w:rsidRPr="00995C95">
        <w:rPr>
          <w:lang w:val="en-GB"/>
        </w:rPr>
        <w:lastRenderedPageBreak/>
        <w:t>4</w:t>
      </w:r>
      <w:bookmarkStart w:id="21" w:name="_Toc19090679"/>
      <w:bookmarkStart w:id="22" w:name="_Toc74643856"/>
      <w:bookmarkStart w:id="23" w:name="_Toc42852411"/>
      <w:bookmarkStart w:id="24" w:name="_Toc74643857"/>
      <w:bookmarkEnd w:id="21"/>
      <w:r w:rsidRPr="00995C95">
        <w:rPr>
          <w:lang w:val="en-GB"/>
        </w:rPr>
        <w:t>. </w:t>
      </w:r>
      <w:r w:rsidR="00F16122" w:rsidRPr="00995C95">
        <w:rPr>
          <w:lang w:val="en-GB"/>
        </w:rPr>
        <w:t>External Relations</w:t>
      </w:r>
      <w:bookmarkEnd w:id="20"/>
    </w:p>
    <w:tbl>
      <w:tblPr>
        <w:tblW w:w="9677" w:type="dxa"/>
        <w:tblInd w:w="-15" w:type="dxa"/>
        <w:tblLayout w:type="fixed"/>
        <w:tblCellMar>
          <w:left w:w="0" w:type="dxa"/>
          <w:right w:w="0" w:type="dxa"/>
        </w:tblCellMar>
        <w:tblLook w:val="00A0" w:firstRow="1" w:lastRow="0" w:firstColumn="1" w:lastColumn="0" w:noHBand="0" w:noVBand="0"/>
      </w:tblPr>
      <w:tblGrid>
        <w:gridCol w:w="1748"/>
        <w:gridCol w:w="252"/>
        <w:gridCol w:w="2811"/>
        <w:gridCol w:w="57"/>
        <w:gridCol w:w="4809"/>
      </w:tblGrid>
      <w:tr w:rsidR="00605D96" w:rsidRPr="00995C95" w14:paraId="17C4FF81" w14:textId="77777777" w:rsidTr="008B207B">
        <w:trPr>
          <w:trHeight w:val="145"/>
        </w:trPr>
        <w:tc>
          <w:tcPr>
            <w:tcW w:w="1748" w:type="dxa"/>
            <w:hideMark/>
          </w:tcPr>
          <w:p w14:paraId="2BBEFEA7" w14:textId="2734C11F" w:rsidR="00605D96" w:rsidRPr="00995C95" w:rsidRDefault="0056516B" w:rsidP="008B207B">
            <w:pPr>
              <w:pStyle w:val="Marginlie"/>
              <w:rPr>
                <w:lang w:eastAsia="en-US"/>
              </w:rPr>
            </w:pPr>
            <w:r w:rsidRPr="00995C95">
              <w:rPr>
                <w:lang w:eastAsia="en-US"/>
              </w:rPr>
              <w:t>Exports of goods increased last year, but their year-on-year dynamics weakened during the year.</w:t>
            </w:r>
          </w:p>
        </w:tc>
        <w:tc>
          <w:tcPr>
            <w:tcW w:w="252" w:type="dxa"/>
          </w:tcPr>
          <w:p w14:paraId="593C186B" w14:textId="77777777" w:rsidR="00605D96" w:rsidRPr="00995C95" w:rsidRDefault="00605D96" w:rsidP="008B207B">
            <w:pPr>
              <w:pStyle w:val="Textpoznpodarou"/>
              <w:jc w:val="both"/>
              <w:rPr>
                <w:spacing w:val="-4"/>
                <w:lang w:eastAsia="en-US"/>
              </w:rPr>
            </w:pPr>
          </w:p>
        </w:tc>
        <w:tc>
          <w:tcPr>
            <w:tcW w:w="7677" w:type="dxa"/>
            <w:gridSpan w:val="3"/>
            <w:hideMark/>
          </w:tcPr>
          <w:p w14:paraId="7181B335" w14:textId="64501792" w:rsidR="00605D96" w:rsidRPr="00995C95" w:rsidRDefault="002B7440" w:rsidP="008B207B">
            <w:pPr>
              <w:spacing w:after="180"/>
              <w:rPr>
                <w:spacing w:val="-4"/>
                <w:lang w:eastAsia="en-US"/>
              </w:rPr>
            </w:pPr>
            <w:r w:rsidRPr="00995C95">
              <w:rPr>
                <w:spacing w:val="-4"/>
                <w:lang w:eastAsia="en-US"/>
              </w:rPr>
              <w:t>The value of exports of goods</w:t>
            </w:r>
            <w:r w:rsidRPr="00995C95">
              <w:rPr>
                <w:rStyle w:val="Znakapoznpodarou"/>
                <w:spacing w:val="-4"/>
                <w:lang w:eastAsia="en-US"/>
              </w:rPr>
              <w:footnoteReference w:id="69"/>
            </w:r>
            <w:r w:rsidRPr="00995C95">
              <w:rPr>
                <w:spacing w:val="-4"/>
                <w:lang w:eastAsia="en-US"/>
              </w:rPr>
              <w:t xml:space="preserve"> totalled 4,789.5 bn CZK in 2025 and increased by 126.4 bn CZK (2.7%) compared to the previous year. Nominal growth of exports was more moderate than in 2024, mainly due to price developments</w:t>
            </w:r>
            <w:r w:rsidRPr="00995C95">
              <w:rPr>
                <w:rStyle w:val="Znakapoznpodarou"/>
                <w:spacing w:val="-4"/>
                <w:lang w:eastAsia="en-US"/>
              </w:rPr>
              <w:footnoteReference w:id="70"/>
            </w:r>
            <w:r w:rsidRPr="00995C95">
              <w:rPr>
                <w:spacing w:val="-4"/>
                <w:lang w:eastAsia="en-US"/>
              </w:rPr>
              <w:t>. Global international trade was affected by the introduction of tariffs between the United States and the rest of the world last year. Exports received a strong impetus especially at the beginning of the year</w:t>
            </w:r>
            <w:r w:rsidRPr="00995C95">
              <w:rPr>
                <w:rStyle w:val="Znakapoznpodarou"/>
                <w:spacing w:val="-4"/>
                <w:lang w:eastAsia="en-US"/>
              </w:rPr>
              <w:footnoteReference w:id="71"/>
            </w:r>
            <w:r w:rsidRPr="00995C95">
              <w:rPr>
                <w:spacing w:val="-4"/>
                <w:lang w:eastAsia="en-US"/>
              </w:rPr>
              <w:t>, and the year-on-year pace weakened during last year. In Q4 alone, the value of exports increased by 1.7 bn CZK (0.1%), year-on-year, and reached 1,191.1 bn CZK. According to seasonally adjusted data, the value of exports increased by 1.5%, quarter-on-quarter, in Q4.</w:t>
            </w:r>
          </w:p>
        </w:tc>
      </w:tr>
      <w:tr w:rsidR="00605D96" w:rsidRPr="00995C95" w14:paraId="7B959E1A" w14:textId="77777777" w:rsidTr="008B207B">
        <w:trPr>
          <w:trHeight w:val="126"/>
        </w:trPr>
        <w:tc>
          <w:tcPr>
            <w:tcW w:w="1748" w:type="dxa"/>
            <w:vMerge w:val="restart"/>
          </w:tcPr>
          <w:p w14:paraId="7B8AA617" w14:textId="77777777" w:rsidR="00605D96" w:rsidRPr="00995C95" w:rsidRDefault="00605D96" w:rsidP="008B207B">
            <w:pPr>
              <w:pStyle w:val="Marginlie"/>
              <w:rPr>
                <w:lang w:eastAsia="en-US"/>
              </w:rPr>
            </w:pPr>
          </w:p>
        </w:tc>
        <w:tc>
          <w:tcPr>
            <w:tcW w:w="252" w:type="dxa"/>
            <w:vMerge w:val="restart"/>
          </w:tcPr>
          <w:p w14:paraId="1112C355" w14:textId="77777777" w:rsidR="00605D96" w:rsidRPr="00995C95" w:rsidRDefault="00605D96" w:rsidP="008B207B">
            <w:pPr>
              <w:pStyle w:val="Textpoznpodarou"/>
              <w:jc w:val="both"/>
              <w:rPr>
                <w:spacing w:val="-4"/>
                <w:lang w:eastAsia="en-US"/>
              </w:rPr>
            </w:pPr>
          </w:p>
        </w:tc>
        <w:tc>
          <w:tcPr>
            <w:tcW w:w="7677" w:type="dxa"/>
            <w:gridSpan w:val="3"/>
          </w:tcPr>
          <w:p w14:paraId="17DC5AD7" w14:textId="61174A5B" w:rsidR="00605D96" w:rsidRPr="00995C95" w:rsidRDefault="00B03033" w:rsidP="008B207B">
            <w:pPr>
              <w:spacing w:after="0"/>
              <w:rPr>
                <w:spacing w:val="-4"/>
                <w:lang w:eastAsia="en-US"/>
              </w:rPr>
            </w:pPr>
            <w:r w:rsidRPr="00995C95">
              <w:rPr>
                <w:rFonts w:cs="Arial"/>
                <w:b/>
                <w:bCs/>
                <w:color w:val="000000"/>
                <w:szCs w:val="20"/>
                <w:lang w:eastAsia="en-US"/>
              </w:rPr>
              <w:t xml:space="preserve">Chart 9 </w:t>
            </w:r>
            <w:r w:rsidRPr="00995C95">
              <w:rPr>
                <w:b/>
                <w:bCs/>
                <w:spacing w:val="-4"/>
                <w:lang w:eastAsia="en-US"/>
              </w:rPr>
              <w:t xml:space="preserve">Export and import of goods </w:t>
            </w:r>
            <w:r w:rsidRPr="00995C95">
              <w:rPr>
                <w:spacing w:val="-4"/>
                <w:lang w:eastAsia="en-US"/>
              </w:rPr>
              <w:t>(y-o-y change, in %)</w:t>
            </w:r>
            <w:r w:rsidRPr="00995C95">
              <w:rPr>
                <w:b/>
                <w:bCs/>
                <w:spacing w:val="-4"/>
                <w:lang w:eastAsia="en-US"/>
              </w:rPr>
              <w:t xml:space="preserve"> and balance of international trade with goods </w:t>
            </w:r>
            <w:r w:rsidRPr="00995C95">
              <w:rPr>
                <w:spacing w:val="-4"/>
                <w:lang w:eastAsia="en-US"/>
              </w:rPr>
              <w:t>(in bn CZK, right axis</w:t>
            </w:r>
            <w:r w:rsidRPr="00995C95">
              <w:rPr>
                <w:rFonts w:cs="Arial"/>
                <w:bCs/>
                <w:color w:val="000000"/>
                <w:szCs w:val="20"/>
                <w:lang w:eastAsia="en-US"/>
              </w:rPr>
              <w:t>)</w:t>
            </w:r>
          </w:p>
        </w:tc>
      </w:tr>
      <w:tr w:rsidR="00605D96" w:rsidRPr="00995C95" w14:paraId="49AD35D1" w14:textId="77777777" w:rsidTr="00A0156B">
        <w:tblPrEx>
          <w:tblCellMar>
            <w:left w:w="70" w:type="dxa"/>
            <w:right w:w="70" w:type="dxa"/>
          </w:tblCellMar>
        </w:tblPrEx>
        <w:trPr>
          <w:trHeight w:val="125"/>
        </w:trPr>
        <w:tc>
          <w:tcPr>
            <w:tcW w:w="1748" w:type="dxa"/>
            <w:vMerge/>
          </w:tcPr>
          <w:p w14:paraId="35DF4DE5" w14:textId="77777777" w:rsidR="00605D96" w:rsidRPr="00995C95" w:rsidRDefault="00605D96" w:rsidP="008B207B">
            <w:pPr>
              <w:pStyle w:val="Marginlie"/>
              <w:rPr>
                <w:lang w:eastAsia="en-US"/>
              </w:rPr>
            </w:pPr>
          </w:p>
        </w:tc>
        <w:tc>
          <w:tcPr>
            <w:tcW w:w="252" w:type="dxa"/>
            <w:vMerge/>
          </w:tcPr>
          <w:p w14:paraId="52BC2D2C" w14:textId="77777777" w:rsidR="00605D96" w:rsidRPr="00995C95" w:rsidRDefault="00605D96" w:rsidP="008B207B">
            <w:pPr>
              <w:pStyle w:val="Textpoznpodarou"/>
              <w:jc w:val="both"/>
              <w:rPr>
                <w:spacing w:val="-4"/>
                <w:lang w:eastAsia="en-US"/>
              </w:rPr>
            </w:pPr>
          </w:p>
        </w:tc>
        <w:tc>
          <w:tcPr>
            <w:tcW w:w="7677" w:type="dxa"/>
            <w:gridSpan w:val="3"/>
          </w:tcPr>
          <w:p w14:paraId="181DC8CE" w14:textId="300149C0" w:rsidR="00605D96" w:rsidRPr="00995C95" w:rsidRDefault="00A0156B" w:rsidP="008B207B">
            <w:pPr>
              <w:spacing w:after="0"/>
              <w:rPr>
                <w:spacing w:val="-4"/>
                <w:lang w:eastAsia="en-US"/>
              </w:rPr>
            </w:pPr>
            <w:r>
              <w:rPr>
                <w:noProof/>
              </w:rPr>
              <w:drawing>
                <wp:inline distT="0" distB="0" distL="0" distR="0" wp14:anchorId="3C772484" wp14:editId="4E888045">
                  <wp:extent cx="4773175" cy="3534275"/>
                  <wp:effectExtent l="0" t="0" r="8890" b="0"/>
                  <wp:docPr id="1891375532" name="Graf 1">
                    <a:extLst xmlns:a="http://schemas.openxmlformats.org/drawingml/2006/main">
                      <a:ext uri="{FF2B5EF4-FFF2-40B4-BE49-F238E27FC236}">
                        <a16:creationId xmlns:a16="http://schemas.microsoft.com/office/drawing/2014/main" id="{8E34A376-5955-451A-B8E8-536A257FF3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605D96" w:rsidRPr="00995C95" w14:paraId="5D849FDE" w14:textId="77777777" w:rsidTr="008B207B">
        <w:trPr>
          <w:trHeight w:val="125"/>
        </w:trPr>
        <w:tc>
          <w:tcPr>
            <w:tcW w:w="1748" w:type="dxa"/>
            <w:vMerge/>
          </w:tcPr>
          <w:p w14:paraId="14F6687F" w14:textId="77777777" w:rsidR="00605D96" w:rsidRPr="00995C95" w:rsidRDefault="00605D96" w:rsidP="008B207B">
            <w:pPr>
              <w:pStyle w:val="Marginlie"/>
              <w:rPr>
                <w:lang w:eastAsia="en-US"/>
              </w:rPr>
            </w:pPr>
          </w:p>
        </w:tc>
        <w:tc>
          <w:tcPr>
            <w:tcW w:w="252" w:type="dxa"/>
            <w:vMerge/>
          </w:tcPr>
          <w:p w14:paraId="4C13943F" w14:textId="77777777" w:rsidR="00605D96" w:rsidRPr="00995C95" w:rsidRDefault="00605D96" w:rsidP="008B207B">
            <w:pPr>
              <w:pStyle w:val="Textpoznpodarou"/>
              <w:jc w:val="both"/>
              <w:rPr>
                <w:spacing w:val="-4"/>
                <w:lang w:eastAsia="en-US"/>
              </w:rPr>
            </w:pPr>
          </w:p>
        </w:tc>
        <w:tc>
          <w:tcPr>
            <w:tcW w:w="7677" w:type="dxa"/>
            <w:gridSpan w:val="3"/>
          </w:tcPr>
          <w:p w14:paraId="262B1300" w14:textId="5D79A279" w:rsidR="00512F82" w:rsidRPr="00995C95" w:rsidRDefault="00512F82" w:rsidP="00D43F40">
            <w:pPr>
              <w:spacing w:after="180"/>
              <w:rPr>
                <w:spacing w:val="-4"/>
                <w:lang w:eastAsia="en-US"/>
              </w:rPr>
            </w:pPr>
            <w:r w:rsidRPr="00995C95">
              <w:rPr>
                <w:sz w:val="16"/>
                <w:szCs w:val="16"/>
                <w:lang w:eastAsia="en-US"/>
              </w:rPr>
              <w:t>Source: CZSO</w:t>
            </w:r>
          </w:p>
        </w:tc>
      </w:tr>
      <w:tr w:rsidR="00605D96" w:rsidRPr="00995C95" w14:paraId="2D3A14DE" w14:textId="77777777" w:rsidTr="008B207B">
        <w:trPr>
          <w:trHeight w:val="145"/>
        </w:trPr>
        <w:tc>
          <w:tcPr>
            <w:tcW w:w="1748" w:type="dxa"/>
          </w:tcPr>
          <w:p w14:paraId="43F602AE" w14:textId="1D557AEF" w:rsidR="00605D96" w:rsidRPr="00995C95" w:rsidRDefault="008A3D77" w:rsidP="008B207B">
            <w:pPr>
              <w:pStyle w:val="Marginlie"/>
              <w:rPr>
                <w:lang w:eastAsia="en-US"/>
              </w:rPr>
            </w:pPr>
            <w:r w:rsidRPr="00995C95">
              <w:rPr>
                <w:lang w:eastAsia="en-US"/>
              </w:rPr>
              <w:t>The growth of exports to some non-EU countries has slowed down.</w:t>
            </w:r>
          </w:p>
        </w:tc>
        <w:tc>
          <w:tcPr>
            <w:tcW w:w="252" w:type="dxa"/>
          </w:tcPr>
          <w:p w14:paraId="4FD1B0CA" w14:textId="77777777" w:rsidR="00605D96" w:rsidRPr="00995C95" w:rsidRDefault="00605D96" w:rsidP="008B207B">
            <w:pPr>
              <w:pStyle w:val="Textpoznpodarou"/>
              <w:jc w:val="both"/>
              <w:rPr>
                <w:spacing w:val="-4"/>
                <w:lang w:eastAsia="en-US"/>
              </w:rPr>
            </w:pPr>
          </w:p>
        </w:tc>
        <w:tc>
          <w:tcPr>
            <w:tcW w:w="7677" w:type="dxa"/>
            <w:gridSpan w:val="3"/>
          </w:tcPr>
          <w:p w14:paraId="3A781E95" w14:textId="5F55EE40" w:rsidR="00605D96" w:rsidRPr="00995C95" w:rsidRDefault="000B2870" w:rsidP="008B207B">
            <w:pPr>
              <w:spacing w:after="180"/>
              <w:rPr>
                <w:spacing w:val="-4"/>
                <w:lang w:eastAsia="en-US"/>
              </w:rPr>
            </w:pPr>
            <w:r w:rsidRPr="00995C95">
              <w:rPr>
                <w:spacing w:val="-4"/>
                <w:lang w:eastAsia="en-US"/>
              </w:rPr>
              <w:t xml:space="preserve">The value of exports of goods to the EU (+77.7 bn CZK, 2.1%) and outside the EU (+48.3 million, 4.7%) increased last year. However, a significant growth slowdown compared to the previous year was evident for non-EU exports. The main contribution to this moderation last year was due to the development of exports to the United States of America, Great Britain and Singapore. Massive exports from year 2024 were followed by stagnation </w:t>
            </w:r>
            <w:r w:rsidR="00B104EC" w:rsidRPr="00995C95">
              <w:rPr>
                <w:spacing w:val="-4"/>
                <w:lang w:eastAsia="en-US"/>
              </w:rPr>
              <w:t>here last year</w:t>
            </w:r>
            <w:r w:rsidR="00B104EC" w:rsidRPr="00995C95">
              <w:rPr>
                <w:rStyle w:val="Znakapoznpodarou"/>
                <w:spacing w:val="-4"/>
                <w:lang w:eastAsia="en-US"/>
              </w:rPr>
              <w:footnoteReference w:id="72"/>
            </w:r>
            <w:r w:rsidR="00B104EC" w:rsidRPr="00995C95">
              <w:rPr>
                <w:spacing w:val="-4"/>
                <w:lang w:eastAsia="en-US"/>
              </w:rPr>
              <w:t xml:space="preserve">. Exports increased the most to Germany (+34.8 bn CZK, 2.5%), Slovakia (+13.6 bn CZK, 3.2%) and France (+13.4 bn, 6.0%) last year. Significant increases were also recorded for exports to Turkey (+7.7 bn, 10.0%), Ukraine (+7.6 bn CZK, 16.9%), Denmark (+7.0 bn, 18.8%), Austria (+6.9 bn, 3.9%), Sweden (+6.2 bn, 9.0%), Belgium (+6.3 bn, 6.1%) and </w:t>
            </w:r>
            <w:r w:rsidR="00B104EC" w:rsidRPr="00995C95">
              <w:rPr>
                <w:spacing w:val="-4"/>
                <w:lang w:eastAsia="en-US"/>
              </w:rPr>
              <w:lastRenderedPageBreak/>
              <w:t>Switzerland (+5.6 bn, 7.2%). There was also a significant percentage increase of exports in the Philippines (+1.1 bn CZK, 73.4%) and South Korea (+4.8 bn, 38.0%) last year. The recorded decreases were generally moderate last year, with exports to the Netherlands (−4.8 bn CZK, −3.2%), Hungary (−3.6 bn, −2.5%) and Russia (−3.4 bn, −23.3%) declining the most last year. Exports to the EU (+2.6 bn CZK, 0.3%) and outside the EU (−1.0 bn, −0.4%) stagnated, year-on-year, in Q4 alone. The favourable development of exports to France, Slovakia, Switzerland or Sweden (see Table 2) was offset by export decreases to Poland, the United States of America, Germany and Great Britain.</w:t>
            </w:r>
          </w:p>
        </w:tc>
      </w:tr>
      <w:tr w:rsidR="00605D96" w:rsidRPr="00995C95" w14:paraId="5225B47A" w14:textId="77777777" w:rsidTr="008B207B">
        <w:trPr>
          <w:trHeight w:val="170"/>
        </w:trPr>
        <w:tc>
          <w:tcPr>
            <w:tcW w:w="4811" w:type="dxa"/>
            <w:gridSpan w:val="3"/>
            <w:hideMark/>
          </w:tcPr>
          <w:p w14:paraId="22814948" w14:textId="62EAF25F" w:rsidR="00605D96" w:rsidRPr="00995C95" w:rsidRDefault="00605D96" w:rsidP="00F241FB">
            <w:pPr>
              <w:spacing w:after="0"/>
              <w:rPr>
                <w:spacing w:val="-4"/>
                <w:lang w:eastAsia="en-US"/>
              </w:rPr>
            </w:pPr>
            <w:r w:rsidRPr="00995C95">
              <w:rPr>
                <w:rFonts w:cs="Arial"/>
                <w:b/>
                <w:bCs/>
                <w:color w:val="000000"/>
                <w:sz w:val="18"/>
                <w:szCs w:val="18"/>
                <w:lang w:eastAsia="en-US"/>
              </w:rPr>
              <w:lastRenderedPageBreak/>
              <w:t xml:space="preserve">Tabulka č. 1 </w:t>
            </w:r>
            <w:r w:rsidR="00F241FB" w:rsidRPr="00995C95">
              <w:rPr>
                <w:rFonts w:cs="Arial"/>
                <w:b/>
                <w:bCs/>
                <w:color w:val="000000"/>
                <w:sz w:val="18"/>
                <w:szCs w:val="18"/>
                <w:lang w:eastAsia="en-US"/>
              </w:rPr>
              <w:t xml:space="preserve">Sections of CPA classification with impact on goods exports in Q4 2025 </w:t>
            </w:r>
            <w:r w:rsidR="00F241FB" w:rsidRPr="00995C95">
              <w:rPr>
                <w:rFonts w:cs="Arial"/>
                <w:bCs/>
                <w:color w:val="000000"/>
                <w:sz w:val="18"/>
                <w:szCs w:val="18"/>
                <w:lang w:eastAsia="en-US"/>
              </w:rPr>
              <w:t>(year-on-year)</w:t>
            </w:r>
          </w:p>
        </w:tc>
        <w:tc>
          <w:tcPr>
            <w:tcW w:w="57" w:type="dxa"/>
          </w:tcPr>
          <w:p w14:paraId="54E521E0" w14:textId="77777777" w:rsidR="00605D96" w:rsidRPr="00995C95" w:rsidRDefault="00605D96" w:rsidP="008B207B">
            <w:pPr>
              <w:spacing w:after="0"/>
              <w:rPr>
                <w:spacing w:val="-4"/>
                <w:lang w:eastAsia="en-US"/>
              </w:rPr>
            </w:pPr>
          </w:p>
        </w:tc>
        <w:tc>
          <w:tcPr>
            <w:tcW w:w="4809" w:type="dxa"/>
            <w:hideMark/>
          </w:tcPr>
          <w:p w14:paraId="75517C97" w14:textId="1B209217" w:rsidR="00605D96" w:rsidRPr="00995C95" w:rsidRDefault="00605D96" w:rsidP="008B207B">
            <w:pPr>
              <w:spacing w:after="0"/>
              <w:jc w:val="left"/>
              <w:rPr>
                <w:spacing w:val="-4"/>
                <w:sz w:val="18"/>
                <w:szCs w:val="18"/>
                <w:lang w:eastAsia="en-US"/>
              </w:rPr>
            </w:pPr>
            <w:r w:rsidRPr="00995C95">
              <w:rPr>
                <w:rFonts w:cs="Arial"/>
                <w:b/>
                <w:bCs/>
                <w:color w:val="000000"/>
                <w:sz w:val="18"/>
                <w:szCs w:val="18"/>
                <w:lang w:eastAsia="en-US"/>
              </w:rPr>
              <w:t xml:space="preserve">Tabulka č. 2 </w:t>
            </w:r>
            <w:r w:rsidR="00F241FB" w:rsidRPr="00995C95">
              <w:rPr>
                <w:rFonts w:cs="Arial"/>
                <w:b/>
                <w:bCs/>
                <w:color w:val="000000"/>
                <w:sz w:val="18"/>
                <w:szCs w:val="18"/>
                <w:lang w:eastAsia="en-US"/>
              </w:rPr>
              <w:t xml:space="preserve">Countries with largest impact on exports of goods in Q4 2025 </w:t>
            </w:r>
            <w:r w:rsidR="00F241FB" w:rsidRPr="00995C95">
              <w:rPr>
                <w:rFonts w:cs="Arial"/>
                <w:bCs/>
                <w:color w:val="000000"/>
                <w:sz w:val="18"/>
                <w:szCs w:val="18"/>
                <w:lang w:eastAsia="en-US"/>
              </w:rPr>
              <w:t>(year-on-year)</w:t>
            </w:r>
          </w:p>
        </w:tc>
      </w:tr>
      <w:tr w:rsidR="00605D96" w:rsidRPr="00995C95" w14:paraId="5C069F6E" w14:textId="77777777" w:rsidTr="008B207B">
        <w:trPr>
          <w:trHeight w:val="170"/>
        </w:trPr>
        <w:tc>
          <w:tcPr>
            <w:tcW w:w="4811" w:type="dxa"/>
            <w:gridSpan w:val="3"/>
            <w:hideMark/>
          </w:tcPr>
          <w:tbl>
            <w:tblPr>
              <w:tblW w:w="4817" w:type="dxa"/>
              <w:tblLayout w:type="fixed"/>
              <w:tblCellMar>
                <w:left w:w="70" w:type="dxa"/>
                <w:right w:w="70" w:type="dxa"/>
              </w:tblCellMar>
              <w:tblLook w:val="04A0" w:firstRow="1" w:lastRow="0" w:firstColumn="1" w:lastColumn="0" w:noHBand="0" w:noVBand="1"/>
            </w:tblPr>
            <w:tblGrid>
              <w:gridCol w:w="3417"/>
              <w:gridCol w:w="700"/>
              <w:gridCol w:w="700"/>
            </w:tblGrid>
            <w:tr w:rsidR="00605D96" w:rsidRPr="00995C95" w14:paraId="01E38AE2" w14:textId="77777777" w:rsidTr="008B207B">
              <w:trPr>
                <w:trHeight w:val="255"/>
              </w:trPr>
              <w:tc>
                <w:tcPr>
                  <w:tcW w:w="3417" w:type="dxa"/>
                  <w:tcBorders>
                    <w:top w:val="nil"/>
                    <w:left w:val="nil"/>
                    <w:bottom w:val="nil"/>
                    <w:right w:val="nil"/>
                  </w:tcBorders>
                  <w:noWrap/>
                  <w:vAlign w:val="bottom"/>
                  <w:hideMark/>
                </w:tcPr>
                <w:p w14:paraId="0B897D79" w14:textId="77777777" w:rsidR="00605D96" w:rsidRPr="00995C95" w:rsidRDefault="00605D96" w:rsidP="008B207B">
                  <w:pPr>
                    <w:spacing w:after="0" w:line="240" w:lineRule="auto"/>
                    <w:jc w:val="left"/>
                    <w:rPr>
                      <w:rFonts w:ascii="Times New Roman" w:hAnsi="Times New Roman"/>
                      <w:sz w:val="24"/>
                      <w:szCs w:val="20"/>
                    </w:rPr>
                  </w:pPr>
                </w:p>
              </w:tc>
              <w:tc>
                <w:tcPr>
                  <w:tcW w:w="700" w:type="dxa"/>
                  <w:tcBorders>
                    <w:top w:val="nil"/>
                    <w:left w:val="nil"/>
                    <w:bottom w:val="nil"/>
                    <w:right w:val="nil"/>
                  </w:tcBorders>
                  <w:noWrap/>
                  <w:vAlign w:val="bottom"/>
                  <w:hideMark/>
                </w:tcPr>
                <w:p w14:paraId="349F3392" w14:textId="2935ECA8" w:rsidR="00605D96" w:rsidRPr="00995C95" w:rsidRDefault="00F241FB" w:rsidP="008B207B">
                  <w:pPr>
                    <w:spacing w:after="0" w:line="240" w:lineRule="auto"/>
                    <w:jc w:val="right"/>
                    <w:rPr>
                      <w:rFonts w:cs="Arial"/>
                      <w:color w:val="000000"/>
                      <w:sz w:val="16"/>
                      <w:szCs w:val="16"/>
                    </w:rPr>
                  </w:pPr>
                  <w:r w:rsidRPr="00995C95">
                    <w:rPr>
                      <w:rFonts w:cs="Arial"/>
                      <w:color w:val="000000"/>
                      <w:sz w:val="16"/>
                      <w:szCs w:val="16"/>
                    </w:rPr>
                    <w:t>bn CZK</w:t>
                  </w:r>
                </w:p>
              </w:tc>
              <w:tc>
                <w:tcPr>
                  <w:tcW w:w="700" w:type="dxa"/>
                  <w:tcBorders>
                    <w:top w:val="nil"/>
                    <w:left w:val="nil"/>
                    <w:bottom w:val="nil"/>
                    <w:right w:val="nil"/>
                  </w:tcBorders>
                  <w:noWrap/>
                  <w:vAlign w:val="bottom"/>
                  <w:hideMark/>
                </w:tcPr>
                <w:p w14:paraId="5A8A2CBF" w14:textId="7777777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w:t>
                  </w:r>
                </w:p>
              </w:tc>
            </w:tr>
            <w:tr w:rsidR="00605D96" w:rsidRPr="00995C95" w14:paraId="6276F2FC" w14:textId="77777777" w:rsidTr="008B207B">
              <w:trPr>
                <w:trHeight w:val="255"/>
              </w:trPr>
              <w:tc>
                <w:tcPr>
                  <w:tcW w:w="3417" w:type="dxa"/>
                  <w:tcBorders>
                    <w:top w:val="single" w:sz="4" w:space="0" w:color="auto"/>
                    <w:left w:val="nil"/>
                    <w:bottom w:val="nil"/>
                    <w:right w:val="nil"/>
                  </w:tcBorders>
                  <w:vAlign w:val="bottom"/>
                  <w:hideMark/>
                </w:tcPr>
                <w:p w14:paraId="1153BE5F" w14:textId="2ACA9474" w:rsidR="00605D96" w:rsidRPr="00995C95" w:rsidRDefault="00634573" w:rsidP="008B207B">
                  <w:pPr>
                    <w:spacing w:after="0" w:line="240" w:lineRule="auto"/>
                    <w:jc w:val="left"/>
                    <w:rPr>
                      <w:rFonts w:cs="Arial"/>
                      <w:color w:val="000000"/>
                      <w:sz w:val="16"/>
                      <w:szCs w:val="16"/>
                    </w:rPr>
                  </w:pPr>
                  <w:r w:rsidRPr="00995C95">
                    <w:rPr>
                      <w:rFonts w:cs="Arial"/>
                      <w:color w:val="000000"/>
                      <w:sz w:val="16"/>
                      <w:szCs w:val="16"/>
                    </w:rPr>
                    <w:t xml:space="preserve">Machinery and equipment, n.c.e </w:t>
                  </w:r>
                </w:p>
              </w:tc>
              <w:tc>
                <w:tcPr>
                  <w:tcW w:w="700" w:type="dxa"/>
                  <w:tcBorders>
                    <w:top w:val="single" w:sz="4" w:space="0" w:color="auto"/>
                    <w:left w:val="nil"/>
                    <w:bottom w:val="nil"/>
                    <w:right w:val="nil"/>
                  </w:tcBorders>
                  <w:noWrap/>
                  <w:vAlign w:val="bottom"/>
                  <w:hideMark/>
                </w:tcPr>
                <w:p w14:paraId="54BAF3D1" w14:textId="21329318"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+6</w:t>
                  </w:r>
                  <w:r w:rsidR="008E6F8B" w:rsidRPr="00995C95">
                    <w:rPr>
                      <w:rFonts w:cs="Arial"/>
                      <w:color w:val="000000"/>
                      <w:sz w:val="16"/>
                      <w:szCs w:val="16"/>
                    </w:rPr>
                    <w:t>.</w:t>
                  </w:r>
                  <w:r w:rsidRPr="00995C95">
                    <w:rPr>
                      <w:rFonts w:cs="Arial"/>
                      <w:color w:val="000000"/>
                      <w:sz w:val="16"/>
                      <w:szCs w:val="16"/>
                    </w:rPr>
                    <w:t>2</w:t>
                  </w:r>
                </w:p>
              </w:tc>
              <w:tc>
                <w:tcPr>
                  <w:tcW w:w="700" w:type="dxa"/>
                  <w:tcBorders>
                    <w:top w:val="single" w:sz="4" w:space="0" w:color="auto"/>
                    <w:left w:val="nil"/>
                    <w:bottom w:val="nil"/>
                    <w:right w:val="nil"/>
                  </w:tcBorders>
                  <w:noWrap/>
                  <w:vAlign w:val="bottom"/>
                  <w:hideMark/>
                </w:tcPr>
                <w:p w14:paraId="23287756" w14:textId="465742AD"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+4</w:t>
                  </w:r>
                  <w:r w:rsidR="008E6F8B" w:rsidRPr="00995C95">
                    <w:rPr>
                      <w:rFonts w:cs="Arial"/>
                      <w:color w:val="000000"/>
                      <w:sz w:val="16"/>
                      <w:szCs w:val="16"/>
                    </w:rPr>
                    <w:t>.</w:t>
                  </w:r>
                  <w:r w:rsidRPr="00995C95">
                    <w:rPr>
                      <w:rFonts w:cs="Arial"/>
                      <w:color w:val="000000"/>
                      <w:sz w:val="16"/>
                      <w:szCs w:val="16"/>
                    </w:rPr>
                    <w:t>9</w:t>
                  </w:r>
                </w:p>
              </w:tc>
            </w:tr>
            <w:tr w:rsidR="00605D96" w:rsidRPr="00995C95" w14:paraId="23AC15C1" w14:textId="77777777" w:rsidTr="008B207B">
              <w:trPr>
                <w:trHeight w:val="255"/>
              </w:trPr>
              <w:tc>
                <w:tcPr>
                  <w:tcW w:w="3417" w:type="dxa"/>
                  <w:tcBorders>
                    <w:top w:val="nil"/>
                    <w:left w:val="nil"/>
                    <w:bottom w:val="nil"/>
                    <w:right w:val="nil"/>
                  </w:tcBorders>
                  <w:vAlign w:val="bottom"/>
                  <w:hideMark/>
                </w:tcPr>
                <w:p w14:paraId="08549819" w14:textId="17E1D43A" w:rsidR="00605D96" w:rsidRPr="00995C95" w:rsidRDefault="00634573" w:rsidP="008B207B">
                  <w:pPr>
                    <w:spacing w:after="0" w:line="240" w:lineRule="auto"/>
                    <w:jc w:val="left"/>
                    <w:rPr>
                      <w:rFonts w:cs="Arial"/>
                      <w:color w:val="000000"/>
                      <w:sz w:val="16"/>
                      <w:szCs w:val="16"/>
                    </w:rPr>
                  </w:pPr>
                  <w:r w:rsidRPr="00995C95">
                    <w:rPr>
                      <w:rFonts w:cs="Arial"/>
                      <w:color w:val="000000"/>
                      <w:sz w:val="16"/>
                      <w:szCs w:val="16"/>
                    </w:rPr>
                    <w:t>Motor vehicles (excl. motorcycles) and parts</w:t>
                  </w:r>
                </w:p>
              </w:tc>
              <w:tc>
                <w:tcPr>
                  <w:tcW w:w="700" w:type="dxa"/>
                  <w:tcBorders>
                    <w:top w:val="nil"/>
                    <w:left w:val="nil"/>
                    <w:bottom w:val="nil"/>
                    <w:right w:val="nil"/>
                  </w:tcBorders>
                  <w:noWrap/>
                  <w:vAlign w:val="bottom"/>
                  <w:hideMark/>
                </w:tcPr>
                <w:p w14:paraId="305BB5CC" w14:textId="74B17B3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+5</w:t>
                  </w:r>
                  <w:r w:rsidR="008E6F8B" w:rsidRPr="00995C95">
                    <w:rPr>
                      <w:rFonts w:cs="Arial"/>
                      <w:color w:val="000000"/>
                      <w:sz w:val="16"/>
                      <w:szCs w:val="16"/>
                    </w:rPr>
                    <w:t>.</w:t>
                  </w:r>
                  <w:r w:rsidRPr="00995C95">
                    <w:rPr>
                      <w:rFonts w:cs="Arial"/>
                      <w:color w:val="000000"/>
                      <w:sz w:val="16"/>
                      <w:szCs w:val="16"/>
                    </w:rPr>
                    <w:t>1</w:t>
                  </w:r>
                </w:p>
              </w:tc>
              <w:tc>
                <w:tcPr>
                  <w:tcW w:w="700" w:type="dxa"/>
                  <w:tcBorders>
                    <w:top w:val="nil"/>
                    <w:left w:val="nil"/>
                    <w:bottom w:val="nil"/>
                    <w:right w:val="nil"/>
                  </w:tcBorders>
                  <w:noWrap/>
                  <w:vAlign w:val="bottom"/>
                  <w:hideMark/>
                </w:tcPr>
                <w:p w14:paraId="495A2E39" w14:textId="1EDAE63B"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w:t>
                  </w:r>
                  <w:r w:rsidR="008E6F8B" w:rsidRPr="00995C95">
                    <w:rPr>
                      <w:rFonts w:cs="Arial"/>
                      <w:color w:val="000000"/>
                      <w:sz w:val="16"/>
                      <w:szCs w:val="16"/>
                    </w:rPr>
                    <w:t>.</w:t>
                  </w:r>
                  <w:r w:rsidRPr="00995C95">
                    <w:rPr>
                      <w:rFonts w:cs="Arial"/>
                      <w:color w:val="000000"/>
                      <w:sz w:val="16"/>
                      <w:szCs w:val="16"/>
                    </w:rPr>
                    <w:t>6</w:t>
                  </w:r>
                </w:p>
              </w:tc>
            </w:tr>
            <w:tr w:rsidR="00605D96" w:rsidRPr="00995C95" w14:paraId="0DCE7762" w14:textId="77777777" w:rsidTr="008B207B">
              <w:trPr>
                <w:trHeight w:val="255"/>
              </w:trPr>
              <w:tc>
                <w:tcPr>
                  <w:tcW w:w="3417" w:type="dxa"/>
                  <w:tcBorders>
                    <w:top w:val="nil"/>
                    <w:left w:val="nil"/>
                    <w:bottom w:val="nil"/>
                    <w:right w:val="nil"/>
                  </w:tcBorders>
                  <w:vAlign w:val="bottom"/>
                  <w:hideMark/>
                </w:tcPr>
                <w:p w14:paraId="1BCB46D0" w14:textId="541362D9" w:rsidR="00605D96" w:rsidRPr="00995C95" w:rsidRDefault="00634573" w:rsidP="008B207B">
                  <w:pPr>
                    <w:spacing w:after="0" w:line="240" w:lineRule="auto"/>
                    <w:jc w:val="left"/>
                    <w:rPr>
                      <w:rFonts w:cs="Arial"/>
                      <w:color w:val="000000"/>
                      <w:sz w:val="16"/>
                      <w:szCs w:val="16"/>
                    </w:rPr>
                  </w:pPr>
                  <w:r w:rsidRPr="00995C95">
                    <w:rPr>
                      <w:sz w:val="16"/>
                      <w:szCs w:val="16"/>
                    </w:rPr>
                    <w:t>Crude petroleum and natural gas</w:t>
                  </w:r>
                </w:p>
              </w:tc>
              <w:tc>
                <w:tcPr>
                  <w:tcW w:w="700" w:type="dxa"/>
                  <w:tcBorders>
                    <w:top w:val="nil"/>
                    <w:left w:val="nil"/>
                    <w:bottom w:val="nil"/>
                    <w:right w:val="nil"/>
                  </w:tcBorders>
                  <w:noWrap/>
                  <w:vAlign w:val="bottom"/>
                  <w:hideMark/>
                </w:tcPr>
                <w:p w14:paraId="606847CB" w14:textId="02173935"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+2</w:t>
                  </w:r>
                  <w:r w:rsidR="008E6F8B" w:rsidRPr="00995C95">
                    <w:rPr>
                      <w:rFonts w:cs="Arial"/>
                      <w:color w:val="000000"/>
                      <w:sz w:val="16"/>
                      <w:szCs w:val="16"/>
                    </w:rPr>
                    <w:t>.</w:t>
                  </w:r>
                  <w:r w:rsidRPr="00995C95">
                    <w:rPr>
                      <w:rFonts w:cs="Arial"/>
                      <w:color w:val="000000"/>
                      <w:sz w:val="16"/>
                      <w:szCs w:val="16"/>
                    </w:rPr>
                    <w:t>5</w:t>
                  </w:r>
                </w:p>
              </w:tc>
              <w:tc>
                <w:tcPr>
                  <w:tcW w:w="700" w:type="dxa"/>
                  <w:tcBorders>
                    <w:top w:val="nil"/>
                    <w:left w:val="nil"/>
                    <w:bottom w:val="nil"/>
                    <w:right w:val="nil"/>
                  </w:tcBorders>
                  <w:noWrap/>
                  <w:vAlign w:val="bottom"/>
                  <w:hideMark/>
                </w:tcPr>
                <w:p w14:paraId="1B97135C" w14:textId="173F10E2"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+943</w:t>
                  </w:r>
                  <w:r w:rsidR="008E6F8B" w:rsidRPr="00995C95">
                    <w:rPr>
                      <w:rFonts w:cs="Arial"/>
                      <w:color w:val="000000"/>
                      <w:sz w:val="16"/>
                      <w:szCs w:val="16"/>
                    </w:rPr>
                    <w:t>.</w:t>
                  </w:r>
                  <w:r w:rsidRPr="00995C95">
                    <w:rPr>
                      <w:rFonts w:cs="Arial"/>
                      <w:color w:val="000000"/>
                      <w:sz w:val="16"/>
                      <w:szCs w:val="16"/>
                    </w:rPr>
                    <w:t>7</w:t>
                  </w:r>
                </w:p>
              </w:tc>
            </w:tr>
            <w:tr w:rsidR="00605D96" w:rsidRPr="00995C95" w14:paraId="2B202369" w14:textId="77777777" w:rsidTr="008B207B">
              <w:trPr>
                <w:trHeight w:val="255"/>
              </w:trPr>
              <w:tc>
                <w:tcPr>
                  <w:tcW w:w="3417" w:type="dxa"/>
                  <w:tcBorders>
                    <w:top w:val="nil"/>
                    <w:left w:val="nil"/>
                    <w:bottom w:val="nil"/>
                    <w:right w:val="nil"/>
                  </w:tcBorders>
                  <w:vAlign w:val="bottom"/>
                  <w:hideMark/>
                </w:tcPr>
                <w:p w14:paraId="44C69E9A" w14:textId="57FF0590" w:rsidR="00605D96" w:rsidRPr="00995C95" w:rsidRDefault="00634573" w:rsidP="008B207B">
                  <w:pPr>
                    <w:spacing w:after="0" w:line="240" w:lineRule="auto"/>
                    <w:jc w:val="left"/>
                    <w:rPr>
                      <w:rFonts w:cs="Arial"/>
                      <w:color w:val="000000"/>
                      <w:sz w:val="16"/>
                      <w:szCs w:val="16"/>
                    </w:rPr>
                  </w:pPr>
                  <w:r w:rsidRPr="00995C95">
                    <w:rPr>
                      <w:rFonts w:cs="Arial"/>
                      <w:color w:val="000000"/>
                      <w:sz w:val="16"/>
                      <w:szCs w:val="16"/>
                    </w:rPr>
                    <w:t>Basic pharmaceutical products</w:t>
                  </w:r>
                </w:p>
              </w:tc>
              <w:tc>
                <w:tcPr>
                  <w:tcW w:w="700" w:type="dxa"/>
                  <w:tcBorders>
                    <w:top w:val="nil"/>
                    <w:left w:val="nil"/>
                    <w:bottom w:val="nil"/>
                    <w:right w:val="nil"/>
                  </w:tcBorders>
                  <w:noWrap/>
                  <w:vAlign w:val="bottom"/>
                  <w:hideMark/>
                </w:tcPr>
                <w:p w14:paraId="12BF5609" w14:textId="5076E1F2"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w:t>
                  </w:r>
                  <w:r w:rsidR="008E6F8B" w:rsidRPr="00995C95">
                    <w:rPr>
                      <w:rFonts w:cs="Arial"/>
                      <w:color w:val="000000"/>
                      <w:sz w:val="16"/>
                      <w:szCs w:val="16"/>
                    </w:rPr>
                    <w:t>.</w:t>
                  </w:r>
                  <w:r w:rsidRPr="00995C95">
                    <w:rPr>
                      <w:rFonts w:cs="Arial"/>
                      <w:color w:val="000000"/>
                      <w:sz w:val="16"/>
                      <w:szCs w:val="16"/>
                    </w:rPr>
                    <w:t>8</w:t>
                  </w:r>
                </w:p>
              </w:tc>
              <w:tc>
                <w:tcPr>
                  <w:tcW w:w="700" w:type="dxa"/>
                  <w:tcBorders>
                    <w:top w:val="nil"/>
                    <w:left w:val="nil"/>
                    <w:bottom w:val="nil"/>
                    <w:right w:val="nil"/>
                  </w:tcBorders>
                  <w:noWrap/>
                  <w:vAlign w:val="bottom"/>
                  <w:hideMark/>
                </w:tcPr>
                <w:p w14:paraId="515453D0" w14:textId="271797B6"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+10</w:t>
                  </w:r>
                  <w:r w:rsidR="008E6F8B" w:rsidRPr="00995C95">
                    <w:rPr>
                      <w:rFonts w:cs="Arial"/>
                      <w:color w:val="000000"/>
                      <w:sz w:val="16"/>
                      <w:szCs w:val="16"/>
                    </w:rPr>
                    <w:t>.</w:t>
                  </w:r>
                  <w:r w:rsidRPr="00995C95">
                    <w:rPr>
                      <w:rFonts w:cs="Arial"/>
                      <w:color w:val="000000"/>
                      <w:sz w:val="16"/>
                      <w:szCs w:val="16"/>
                    </w:rPr>
                    <w:t>4</w:t>
                  </w:r>
                </w:p>
              </w:tc>
            </w:tr>
            <w:tr w:rsidR="00605D96" w:rsidRPr="00995C95" w14:paraId="14710B83" w14:textId="77777777" w:rsidTr="008B207B">
              <w:trPr>
                <w:trHeight w:val="255"/>
              </w:trPr>
              <w:tc>
                <w:tcPr>
                  <w:tcW w:w="3417" w:type="dxa"/>
                  <w:tcBorders>
                    <w:top w:val="nil"/>
                    <w:left w:val="nil"/>
                    <w:bottom w:val="nil"/>
                    <w:right w:val="nil"/>
                  </w:tcBorders>
                  <w:vAlign w:val="bottom"/>
                  <w:hideMark/>
                </w:tcPr>
                <w:p w14:paraId="0AFB4C9D" w14:textId="071513B5" w:rsidR="00605D96" w:rsidRPr="00995C95" w:rsidRDefault="00634573" w:rsidP="008B207B">
                  <w:pPr>
                    <w:spacing w:after="0" w:line="240" w:lineRule="auto"/>
                    <w:jc w:val="left"/>
                    <w:rPr>
                      <w:rFonts w:cs="Arial"/>
                      <w:color w:val="000000"/>
                      <w:sz w:val="16"/>
                      <w:szCs w:val="16"/>
                    </w:rPr>
                  </w:pPr>
                  <w:r w:rsidRPr="00995C95">
                    <w:rPr>
                      <w:rFonts w:cs="Arial"/>
                      <w:color w:val="000000"/>
                      <w:sz w:val="16"/>
                      <w:szCs w:val="16"/>
                    </w:rPr>
                    <w:t>Other transport equipment</w:t>
                  </w:r>
                </w:p>
              </w:tc>
              <w:tc>
                <w:tcPr>
                  <w:tcW w:w="700" w:type="dxa"/>
                  <w:tcBorders>
                    <w:top w:val="nil"/>
                    <w:left w:val="nil"/>
                    <w:bottom w:val="nil"/>
                    <w:right w:val="nil"/>
                  </w:tcBorders>
                  <w:noWrap/>
                  <w:vAlign w:val="bottom"/>
                  <w:hideMark/>
                </w:tcPr>
                <w:p w14:paraId="65B6D1DD" w14:textId="188EDB19"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w:t>
                  </w:r>
                  <w:r w:rsidR="008E6F8B" w:rsidRPr="00995C95">
                    <w:rPr>
                      <w:rFonts w:cs="Arial"/>
                      <w:color w:val="000000"/>
                      <w:sz w:val="16"/>
                      <w:szCs w:val="16"/>
                    </w:rPr>
                    <w:t>.</w:t>
                  </w:r>
                  <w:r w:rsidRPr="00995C95">
                    <w:rPr>
                      <w:rFonts w:cs="Arial"/>
                      <w:color w:val="000000"/>
                      <w:sz w:val="16"/>
                      <w:szCs w:val="16"/>
                    </w:rPr>
                    <w:t>4</w:t>
                  </w:r>
                </w:p>
              </w:tc>
              <w:tc>
                <w:tcPr>
                  <w:tcW w:w="700" w:type="dxa"/>
                  <w:tcBorders>
                    <w:top w:val="nil"/>
                    <w:left w:val="nil"/>
                    <w:bottom w:val="nil"/>
                    <w:right w:val="nil"/>
                  </w:tcBorders>
                  <w:noWrap/>
                  <w:vAlign w:val="bottom"/>
                  <w:hideMark/>
                </w:tcPr>
                <w:p w14:paraId="319DF948" w14:textId="2F62BD14"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+6</w:t>
                  </w:r>
                  <w:r w:rsidR="008E6F8B" w:rsidRPr="00995C95">
                    <w:rPr>
                      <w:rFonts w:cs="Arial"/>
                      <w:color w:val="000000"/>
                      <w:sz w:val="16"/>
                      <w:szCs w:val="16"/>
                    </w:rPr>
                    <w:t>.</w:t>
                  </w:r>
                  <w:r w:rsidRPr="00995C95">
                    <w:rPr>
                      <w:rFonts w:cs="Arial"/>
                      <w:color w:val="000000"/>
                      <w:sz w:val="16"/>
                      <w:szCs w:val="16"/>
                    </w:rPr>
                    <w:t>4</w:t>
                  </w:r>
                </w:p>
              </w:tc>
            </w:tr>
            <w:tr w:rsidR="00605D96" w:rsidRPr="00995C95" w14:paraId="3000E177" w14:textId="77777777" w:rsidTr="008B207B">
              <w:trPr>
                <w:trHeight w:val="255"/>
              </w:trPr>
              <w:tc>
                <w:tcPr>
                  <w:tcW w:w="3417" w:type="dxa"/>
                  <w:tcBorders>
                    <w:top w:val="nil"/>
                    <w:left w:val="nil"/>
                    <w:bottom w:val="nil"/>
                    <w:right w:val="nil"/>
                  </w:tcBorders>
                  <w:vAlign w:val="bottom"/>
                  <w:hideMark/>
                </w:tcPr>
                <w:p w14:paraId="4FD35796" w14:textId="34F3C657" w:rsidR="00605D96" w:rsidRPr="00995C95" w:rsidRDefault="00634573" w:rsidP="008B207B">
                  <w:pPr>
                    <w:spacing w:after="0" w:line="240" w:lineRule="auto"/>
                    <w:jc w:val="left"/>
                    <w:rPr>
                      <w:rFonts w:cs="Arial"/>
                      <w:color w:val="000000"/>
                      <w:sz w:val="16"/>
                      <w:szCs w:val="16"/>
                    </w:rPr>
                  </w:pPr>
                  <w:r w:rsidRPr="00995C95">
                    <w:rPr>
                      <w:rFonts w:cs="Arial"/>
                      <w:color w:val="000000"/>
                      <w:sz w:val="16"/>
                      <w:szCs w:val="16"/>
                    </w:rPr>
                    <w:t>Basic metals</w:t>
                  </w:r>
                </w:p>
              </w:tc>
              <w:tc>
                <w:tcPr>
                  <w:tcW w:w="700" w:type="dxa"/>
                  <w:tcBorders>
                    <w:top w:val="nil"/>
                    <w:left w:val="nil"/>
                    <w:bottom w:val="nil"/>
                    <w:right w:val="nil"/>
                  </w:tcBorders>
                  <w:noWrap/>
                  <w:vAlign w:val="bottom"/>
                  <w:hideMark/>
                </w:tcPr>
                <w:p w14:paraId="79D3FBC4" w14:textId="04C1298F"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w:t>
                  </w:r>
                  <w:r w:rsidR="008E6F8B" w:rsidRPr="00995C95">
                    <w:rPr>
                      <w:rFonts w:cs="Arial"/>
                      <w:color w:val="000000"/>
                      <w:sz w:val="16"/>
                      <w:szCs w:val="16"/>
                    </w:rPr>
                    <w:t>.</w:t>
                  </w:r>
                  <w:r w:rsidRPr="00995C95">
                    <w:rPr>
                      <w:rFonts w:cs="Arial"/>
                      <w:color w:val="000000"/>
                      <w:sz w:val="16"/>
                      <w:szCs w:val="16"/>
                    </w:rPr>
                    <w:t>2</w:t>
                  </w:r>
                </w:p>
              </w:tc>
              <w:tc>
                <w:tcPr>
                  <w:tcW w:w="700" w:type="dxa"/>
                  <w:tcBorders>
                    <w:top w:val="nil"/>
                    <w:left w:val="nil"/>
                    <w:bottom w:val="nil"/>
                    <w:right w:val="nil"/>
                  </w:tcBorders>
                  <w:noWrap/>
                  <w:vAlign w:val="bottom"/>
                  <w:hideMark/>
                </w:tcPr>
                <w:p w14:paraId="546E8C15" w14:textId="64943473"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+3</w:t>
                  </w:r>
                  <w:r w:rsidR="008E6F8B" w:rsidRPr="00995C95">
                    <w:rPr>
                      <w:rFonts w:cs="Arial"/>
                      <w:color w:val="000000"/>
                      <w:sz w:val="16"/>
                      <w:szCs w:val="16"/>
                    </w:rPr>
                    <w:t>.</w:t>
                  </w:r>
                  <w:r w:rsidRPr="00995C95">
                    <w:rPr>
                      <w:rFonts w:cs="Arial"/>
                      <w:color w:val="000000"/>
                      <w:sz w:val="16"/>
                      <w:szCs w:val="16"/>
                    </w:rPr>
                    <w:t>6</w:t>
                  </w:r>
                </w:p>
              </w:tc>
            </w:tr>
            <w:tr w:rsidR="00605D96" w:rsidRPr="00995C95" w14:paraId="26981130" w14:textId="77777777" w:rsidTr="008B207B">
              <w:trPr>
                <w:trHeight w:val="255"/>
              </w:trPr>
              <w:tc>
                <w:tcPr>
                  <w:tcW w:w="3417" w:type="dxa"/>
                  <w:tcBorders>
                    <w:top w:val="nil"/>
                    <w:left w:val="nil"/>
                    <w:bottom w:val="nil"/>
                    <w:right w:val="nil"/>
                  </w:tcBorders>
                  <w:vAlign w:val="bottom"/>
                  <w:hideMark/>
                </w:tcPr>
                <w:p w14:paraId="2CD651EC" w14:textId="2956E678" w:rsidR="00605D96" w:rsidRPr="00995C95" w:rsidRDefault="00634573" w:rsidP="008B207B">
                  <w:pPr>
                    <w:spacing w:after="0" w:line="240" w:lineRule="auto"/>
                    <w:jc w:val="left"/>
                    <w:rPr>
                      <w:rFonts w:cs="Arial"/>
                      <w:color w:val="000000"/>
                      <w:sz w:val="16"/>
                      <w:szCs w:val="16"/>
                    </w:rPr>
                  </w:pPr>
                  <w:r w:rsidRPr="00995C95">
                    <w:rPr>
                      <w:rFonts w:cs="Arial"/>
                      <w:color w:val="000000"/>
                      <w:sz w:val="16"/>
                      <w:szCs w:val="16"/>
                    </w:rPr>
                    <w:t>Food products</w:t>
                  </w:r>
                </w:p>
              </w:tc>
              <w:tc>
                <w:tcPr>
                  <w:tcW w:w="700" w:type="dxa"/>
                  <w:tcBorders>
                    <w:top w:val="nil"/>
                    <w:left w:val="nil"/>
                    <w:bottom w:val="nil"/>
                    <w:right w:val="nil"/>
                  </w:tcBorders>
                  <w:noWrap/>
                  <w:vAlign w:val="bottom"/>
                  <w:hideMark/>
                </w:tcPr>
                <w:p w14:paraId="35118D59" w14:textId="73CAA71D"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w:t>
                  </w:r>
                  <w:r w:rsidR="008E6F8B" w:rsidRPr="00995C95">
                    <w:rPr>
                      <w:rFonts w:cs="Arial"/>
                      <w:color w:val="000000"/>
                      <w:sz w:val="16"/>
                      <w:szCs w:val="16"/>
                    </w:rPr>
                    <w:t>.</w:t>
                  </w:r>
                  <w:r w:rsidRPr="00995C95">
                    <w:rPr>
                      <w:rFonts w:cs="Arial"/>
                      <w:color w:val="000000"/>
                      <w:sz w:val="16"/>
                      <w:szCs w:val="16"/>
                    </w:rPr>
                    <w:t>1</w:t>
                  </w:r>
                </w:p>
              </w:tc>
              <w:tc>
                <w:tcPr>
                  <w:tcW w:w="700" w:type="dxa"/>
                  <w:tcBorders>
                    <w:top w:val="nil"/>
                    <w:left w:val="nil"/>
                    <w:bottom w:val="nil"/>
                    <w:right w:val="nil"/>
                  </w:tcBorders>
                  <w:noWrap/>
                  <w:vAlign w:val="bottom"/>
                  <w:hideMark/>
                </w:tcPr>
                <w:p w14:paraId="7D685529" w14:textId="1B417074"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+2</w:t>
                  </w:r>
                  <w:r w:rsidR="008E6F8B" w:rsidRPr="00995C95">
                    <w:rPr>
                      <w:rFonts w:cs="Arial"/>
                      <w:color w:val="000000"/>
                      <w:sz w:val="16"/>
                      <w:szCs w:val="16"/>
                    </w:rPr>
                    <w:t>.</w:t>
                  </w:r>
                  <w:r w:rsidRPr="00995C95">
                    <w:rPr>
                      <w:rFonts w:cs="Arial"/>
                      <w:color w:val="000000"/>
                      <w:sz w:val="16"/>
                      <w:szCs w:val="16"/>
                    </w:rPr>
                    <w:t>2</w:t>
                  </w:r>
                </w:p>
              </w:tc>
            </w:tr>
            <w:tr w:rsidR="00605D96" w:rsidRPr="00995C95" w14:paraId="4CCE2AEC" w14:textId="77777777" w:rsidTr="008B207B">
              <w:trPr>
                <w:trHeight w:val="255"/>
              </w:trPr>
              <w:tc>
                <w:tcPr>
                  <w:tcW w:w="3417" w:type="dxa"/>
                  <w:tcBorders>
                    <w:top w:val="nil"/>
                    <w:left w:val="nil"/>
                    <w:bottom w:val="nil"/>
                    <w:right w:val="nil"/>
                  </w:tcBorders>
                  <w:vAlign w:val="bottom"/>
                  <w:hideMark/>
                </w:tcPr>
                <w:p w14:paraId="32D82BB1" w14:textId="721EECC4" w:rsidR="00605D96" w:rsidRPr="00995C95" w:rsidRDefault="00634573" w:rsidP="008B207B">
                  <w:pPr>
                    <w:spacing w:after="0" w:line="240" w:lineRule="auto"/>
                    <w:jc w:val="left"/>
                    <w:rPr>
                      <w:rFonts w:cs="Arial"/>
                      <w:color w:val="000000"/>
                      <w:sz w:val="16"/>
                      <w:szCs w:val="16"/>
                    </w:rPr>
                  </w:pPr>
                  <w:r w:rsidRPr="00995C95">
                    <w:rPr>
                      <w:rFonts w:cs="Arial"/>
                      <w:color w:val="000000"/>
                      <w:sz w:val="16"/>
                      <w:szCs w:val="16"/>
                    </w:rPr>
                    <w:t>Computers, electron. and opt. appliances and equipment</w:t>
                  </w:r>
                </w:p>
              </w:tc>
              <w:tc>
                <w:tcPr>
                  <w:tcW w:w="700" w:type="dxa"/>
                  <w:tcBorders>
                    <w:top w:val="nil"/>
                    <w:left w:val="nil"/>
                    <w:bottom w:val="nil"/>
                    <w:right w:val="nil"/>
                  </w:tcBorders>
                  <w:noWrap/>
                  <w:vAlign w:val="bottom"/>
                  <w:hideMark/>
                </w:tcPr>
                <w:p w14:paraId="2A10E331" w14:textId="22DA535D"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w:t>
                  </w:r>
                  <w:r w:rsidR="008E6F8B" w:rsidRPr="00995C95">
                    <w:rPr>
                      <w:rFonts w:cs="Arial"/>
                      <w:color w:val="000000"/>
                      <w:sz w:val="16"/>
                      <w:szCs w:val="16"/>
                    </w:rPr>
                    <w:t>.</w:t>
                  </w:r>
                  <w:r w:rsidRPr="00995C95">
                    <w:rPr>
                      <w:rFonts w:cs="Arial"/>
                      <w:color w:val="000000"/>
                      <w:sz w:val="16"/>
                      <w:szCs w:val="16"/>
                    </w:rPr>
                    <w:t>0</w:t>
                  </w:r>
                </w:p>
              </w:tc>
              <w:tc>
                <w:tcPr>
                  <w:tcW w:w="700" w:type="dxa"/>
                  <w:tcBorders>
                    <w:top w:val="nil"/>
                    <w:left w:val="nil"/>
                    <w:bottom w:val="nil"/>
                    <w:right w:val="nil"/>
                  </w:tcBorders>
                  <w:noWrap/>
                  <w:vAlign w:val="bottom"/>
                  <w:hideMark/>
                </w:tcPr>
                <w:p w14:paraId="64E8A9FD" w14:textId="3224515D"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+0</w:t>
                  </w:r>
                  <w:r w:rsidR="008E6F8B" w:rsidRPr="00995C95">
                    <w:rPr>
                      <w:rFonts w:cs="Arial"/>
                      <w:color w:val="000000"/>
                      <w:sz w:val="16"/>
                      <w:szCs w:val="16"/>
                    </w:rPr>
                    <w:t>.</w:t>
                  </w:r>
                  <w:r w:rsidRPr="00995C95">
                    <w:rPr>
                      <w:rFonts w:cs="Arial"/>
                      <w:color w:val="000000"/>
                      <w:sz w:val="16"/>
                      <w:szCs w:val="16"/>
                    </w:rPr>
                    <w:t>8</w:t>
                  </w:r>
                </w:p>
              </w:tc>
            </w:tr>
            <w:tr w:rsidR="00605D96" w:rsidRPr="00995C95" w14:paraId="7F413938" w14:textId="77777777" w:rsidTr="008B207B">
              <w:trPr>
                <w:trHeight w:val="255"/>
              </w:trPr>
              <w:tc>
                <w:tcPr>
                  <w:tcW w:w="3417" w:type="dxa"/>
                  <w:tcBorders>
                    <w:top w:val="nil"/>
                    <w:left w:val="nil"/>
                    <w:bottom w:val="nil"/>
                    <w:right w:val="nil"/>
                  </w:tcBorders>
                  <w:vAlign w:val="bottom"/>
                  <w:hideMark/>
                </w:tcPr>
                <w:p w14:paraId="1C517BAD" w14:textId="7264F2F2" w:rsidR="00605D96" w:rsidRPr="00995C95" w:rsidRDefault="00634573" w:rsidP="008B207B">
                  <w:pPr>
                    <w:spacing w:after="0" w:line="240" w:lineRule="auto"/>
                    <w:jc w:val="left"/>
                    <w:rPr>
                      <w:rFonts w:cs="Arial"/>
                      <w:color w:val="000000"/>
                      <w:sz w:val="16"/>
                      <w:szCs w:val="16"/>
                    </w:rPr>
                  </w:pPr>
                  <w:r w:rsidRPr="00995C95">
                    <w:rPr>
                      <w:rFonts w:cs="Arial"/>
                      <w:color w:val="000000"/>
                      <w:sz w:val="16"/>
                      <w:szCs w:val="16"/>
                    </w:rPr>
                    <w:t>Furniture</w:t>
                  </w:r>
                </w:p>
              </w:tc>
              <w:tc>
                <w:tcPr>
                  <w:tcW w:w="700" w:type="dxa"/>
                  <w:tcBorders>
                    <w:top w:val="nil"/>
                    <w:left w:val="nil"/>
                    <w:bottom w:val="nil"/>
                    <w:right w:val="nil"/>
                  </w:tcBorders>
                  <w:noWrap/>
                  <w:vAlign w:val="bottom"/>
                  <w:hideMark/>
                </w:tcPr>
                <w:p w14:paraId="7D024A73" w14:textId="6445FFE0"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w:t>
                  </w:r>
                  <w:r w:rsidR="008E6F8B" w:rsidRPr="00995C95">
                    <w:rPr>
                      <w:rFonts w:cs="Arial"/>
                      <w:color w:val="000000"/>
                      <w:sz w:val="16"/>
                      <w:szCs w:val="16"/>
                    </w:rPr>
                    <w:t>.</w:t>
                  </w:r>
                  <w:r w:rsidRPr="00995C95">
                    <w:rPr>
                      <w:rFonts w:cs="Arial"/>
                      <w:color w:val="000000"/>
                      <w:sz w:val="16"/>
                      <w:szCs w:val="16"/>
                    </w:rPr>
                    <w:t>1</w:t>
                  </w:r>
                </w:p>
              </w:tc>
              <w:tc>
                <w:tcPr>
                  <w:tcW w:w="700" w:type="dxa"/>
                  <w:tcBorders>
                    <w:top w:val="nil"/>
                    <w:left w:val="nil"/>
                    <w:bottom w:val="nil"/>
                    <w:right w:val="nil"/>
                  </w:tcBorders>
                  <w:noWrap/>
                  <w:vAlign w:val="bottom"/>
                  <w:hideMark/>
                </w:tcPr>
                <w:p w14:paraId="5BEF1D3B" w14:textId="0B6265A9"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−12</w:t>
                  </w:r>
                  <w:r w:rsidR="008E6F8B" w:rsidRPr="00995C95">
                    <w:rPr>
                      <w:rFonts w:cs="Arial"/>
                      <w:color w:val="000000"/>
                      <w:sz w:val="16"/>
                      <w:szCs w:val="16"/>
                    </w:rPr>
                    <w:t>.</w:t>
                  </w:r>
                  <w:r w:rsidRPr="00995C95">
                    <w:rPr>
                      <w:rFonts w:cs="Arial"/>
                      <w:color w:val="000000"/>
                      <w:sz w:val="16"/>
                      <w:szCs w:val="16"/>
                    </w:rPr>
                    <w:t>8</w:t>
                  </w:r>
                </w:p>
              </w:tc>
            </w:tr>
            <w:tr w:rsidR="00605D96" w:rsidRPr="00995C95" w14:paraId="61FB44AE" w14:textId="77777777" w:rsidTr="008B207B">
              <w:trPr>
                <w:trHeight w:val="255"/>
              </w:trPr>
              <w:tc>
                <w:tcPr>
                  <w:tcW w:w="3417" w:type="dxa"/>
                  <w:tcBorders>
                    <w:top w:val="nil"/>
                    <w:left w:val="nil"/>
                    <w:bottom w:val="nil"/>
                    <w:right w:val="nil"/>
                  </w:tcBorders>
                  <w:vAlign w:val="bottom"/>
                  <w:hideMark/>
                </w:tcPr>
                <w:p w14:paraId="043D22EB" w14:textId="4C45BE46" w:rsidR="00605D96" w:rsidRPr="00995C95" w:rsidRDefault="00605D96" w:rsidP="008B207B">
                  <w:pPr>
                    <w:spacing w:after="0" w:line="240" w:lineRule="auto"/>
                    <w:jc w:val="left"/>
                    <w:rPr>
                      <w:rFonts w:cs="Arial"/>
                      <w:color w:val="000000"/>
                      <w:sz w:val="16"/>
                      <w:szCs w:val="16"/>
                    </w:rPr>
                  </w:pPr>
                  <w:r w:rsidRPr="00995C95">
                    <w:rPr>
                      <w:rFonts w:cs="Arial"/>
                      <w:color w:val="000000"/>
                      <w:sz w:val="16"/>
                      <w:szCs w:val="16"/>
                    </w:rPr>
                    <w:t>O</w:t>
                  </w:r>
                  <w:r w:rsidR="00634573" w:rsidRPr="00995C95">
                    <w:rPr>
                      <w:rFonts w:cs="Arial"/>
                      <w:color w:val="000000"/>
                      <w:sz w:val="16"/>
                      <w:szCs w:val="16"/>
                    </w:rPr>
                    <w:t>ther non-metal mineral products</w:t>
                  </w:r>
                </w:p>
              </w:tc>
              <w:tc>
                <w:tcPr>
                  <w:tcW w:w="700" w:type="dxa"/>
                  <w:tcBorders>
                    <w:top w:val="nil"/>
                    <w:left w:val="nil"/>
                    <w:bottom w:val="nil"/>
                    <w:right w:val="nil"/>
                  </w:tcBorders>
                  <w:noWrap/>
                  <w:vAlign w:val="bottom"/>
                  <w:hideMark/>
                </w:tcPr>
                <w:p w14:paraId="3871315E" w14:textId="0D8F8628"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w:t>
                  </w:r>
                  <w:r w:rsidR="008E6F8B" w:rsidRPr="00995C95">
                    <w:rPr>
                      <w:rFonts w:cs="Arial"/>
                      <w:color w:val="000000"/>
                      <w:sz w:val="16"/>
                      <w:szCs w:val="16"/>
                    </w:rPr>
                    <w:t>.</w:t>
                  </w:r>
                  <w:r w:rsidRPr="00995C95">
                    <w:rPr>
                      <w:rFonts w:cs="Arial"/>
                      <w:color w:val="000000"/>
                      <w:sz w:val="16"/>
                      <w:szCs w:val="16"/>
                    </w:rPr>
                    <w:t>1</w:t>
                  </w:r>
                </w:p>
              </w:tc>
              <w:tc>
                <w:tcPr>
                  <w:tcW w:w="700" w:type="dxa"/>
                  <w:tcBorders>
                    <w:top w:val="nil"/>
                    <w:left w:val="nil"/>
                    <w:bottom w:val="nil"/>
                    <w:right w:val="nil"/>
                  </w:tcBorders>
                  <w:noWrap/>
                  <w:vAlign w:val="bottom"/>
                  <w:hideMark/>
                </w:tcPr>
                <w:p w14:paraId="697FAC20" w14:textId="0FDF5338"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−5</w:t>
                  </w:r>
                  <w:r w:rsidR="008E6F8B" w:rsidRPr="00995C95">
                    <w:rPr>
                      <w:rFonts w:cs="Arial"/>
                      <w:color w:val="000000"/>
                      <w:sz w:val="16"/>
                      <w:szCs w:val="16"/>
                    </w:rPr>
                    <w:t>.</w:t>
                  </w:r>
                  <w:r w:rsidRPr="00995C95">
                    <w:rPr>
                      <w:rFonts w:cs="Arial"/>
                      <w:color w:val="000000"/>
                      <w:sz w:val="16"/>
                      <w:szCs w:val="16"/>
                    </w:rPr>
                    <w:t>6</w:t>
                  </w:r>
                </w:p>
              </w:tc>
            </w:tr>
            <w:tr w:rsidR="00605D96" w:rsidRPr="00995C95" w14:paraId="667FC939" w14:textId="77777777" w:rsidTr="008B207B">
              <w:trPr>
                <w:trHeight w:val="255"/>
              </w:trPr>
              <w:tc>
                <w:tcPr>
                  <w:tcW w:w="3417" w:type="dxa"/>
                  <w:tcBorders>
                    <w:top w:val="nil"/>
                    <w:left w:val="nil"/>
                    <w:bottom w:val="nil"/>
                    <w:right w:val="nil"/>
                  </w:tcBorders>
                  <w:vAlign w:val="bottom"/>
                  <w:hideMark/>
                </w:tcPr>
                <w:p w14:paraId="7F86A71E" w14:textId="6ABBE9BE" w:rsidR="00605D96" w:rsidRPr="00995C95" w:rsidRDefault="008E6F8B" w:rsidP="008B207B">
                  <w:pPr>
                    <w:spacing w:after="0" w:line="240" w:lineRule="auto"/>
                    <w:jc w:val="left"/>
                    <w:rPr>
                      <w:rFonts w:cs="Arial"/>
                      <w:color w:val="000000"/>
                      <w:sz w:val="16"/>
                      <w:szCs w:val="16"/>
                    </w:rPr>
                  </w:pPr>
                  <w:r w:rsidRPr="00995C95">
                    <w:rPr>
                      <w:rFonts w:cs="Arial"/>
                      <w:color w:val="000000"/>
                      <w:sz w:val="16"/>
                      <w:szCs w:val="16"/>
                    </w:rPr>
                    <w:t>Metalworking products except for machinery and equipment</w:t>
                  </w:r>
                </w:p>
              </w:tc>
              <w:tc>
                <w:tcPr>
                  <w:tcW w:w="700" w:type="dxa"/>
                  <w:tcBorders>
                    <w:top w:val="nil"/>
                    <w:left w:val="nil"/>
                    <w:bottom w:val="nil"/>
                    <w:right w:val="nil"/>
                  </w:tcBorders>
                  <w:noWrap/>
                  <w:vAlign w:val="bottom"/>
                  <w:hideMark/>
                </w:tcPr>
                <w:p w14:paraId="6BC616EB" w14:textId="4E4C2E1A"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w:t>
                  </w:r>
                  <w:r w:rsidR="008E6F8B" w:rsidRPr="00995C95">
                    <w:rPr>
                      <w:rFonts w:cs="Arial"/>
                      <w:color w:val="000000"/>
                      <w:sz w:val="16"/>
                      <w:szCs w:val="16"/>
                    </w:rPr>
                    <w:t>.</w:t>
                  </w:r>
                  <w:r w:rsidRPr="00995C95">
                    <w:rPr>
                      <w:rFonts w:cs="Arial"/>
                      <w:color w:val="000000"/>
                      <w:sz w:val="16"/>
                      <w:szCs w:val="16"/>
                    </w:rPr>
                    <w:t>3</w:t>
                  </w:r>
                </w:p>
              </w:tc>
              <w:tc>
                <w:tcPr>
                  <w:tcW w:w="700" w:type="dxa"/>
                  <w:tcBorders>
                    <w:top w:val="nil"/>
                    <w:left w:val="nil"/>
                    <w:bottom w:val="nil"/>
                    <w:right w:val="nil"/>
                  </w:tcBorders>
                  <w:noWrap/>
                  <w:vAlign w:val="bottom"/>
                  <w:hideMark/>
                </w:tcPr>
                <w:p w14:paraId="296A1A4D" w14:textId="551E6423"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w:t>
                  </w:r>
                  <w:r w:rsidR="008E6F8B" w:rsidRPr="00995C95">
                    <w:rPr>
                      <w:rFonts w:cs="Arial"/>
                      <w:color w:val="000000"/>
                      <w:sz w:val="16"/>
                      <w:szCs w:val="16"/>
                    </w:rPr>
                    <w:t>.</w:t>
                  </w:r>
                  <w:r w:rsidRPr="00995C95">
                    <w:rPr>
                      <w:rFonts w:cs="Arial"/>
                      <w:color w:val="000000"/>
                      <w:sz w:val="16"/>
                      <w:szCs w:val="16"/>
                    </w:rPr>
                    <w:t>9</w:t>
                  </w:r>
                </w:p>
              </w:tc>
            </w:tr>
            <w:tr w:rsidR="00605D96" w:rsidRPr="00995C95" w14:paraId="062B3786" w14:textId="77777777" w:rsidTr="008B207B">
              <w:trPr>
                <w:trHeight w:val="255"/>
              </w:trPr>
              <w:tc>
                <w:tcPr>
                  <w:tcW w:w="3417" w:type="dxa"/>
                  <w:tcBorders>
                    <w:top w:val="nil"/>
                    <w:left w:val="nil"/>
                    <w:bottom w:val="nil"/>
                    <w:right w:val="nil"/>
                  </w:tcBorders>
                  <w:vAlign w:val="bottom"/>
                  <w:hideMark/>
                </w:tcPr>
                <w:p w14:paraId="4F5773F6" w14:textId="38B2C9C4" w:rsidR="00605D96" w:rsidRPr="00995C95" w:rsidRDefault="00605D96" w:rsidP="008B207B">
                  <w:pPr>
                    <w:spacing w:after="0" w:line="240" w:lineRule="auto"/>
                    <w:jc w:val="left"/>
                    <w:rPr>
                      <w:rFonts w:cs="Arial"/>
                      <w:color w:val="000000"/>
                      <w:sz w:val="16"/>
                      <w:szCs w:val="16"/>
                    </w:rPr>
                  </w:pPr>
                  <w:r w:rsidRPr="00995C95">
                    <w:rPr>
                      <w:rFonts w:cs="Arial"/>
                      <w:color w:val="000000"/>
                      <w:sz w:val="16"/>
                      <w:szCs w:val="16"/>
                    </w:rPr>
                    <w:t>Pap</w:t>
                  </w:r>
                  <w:r w:rsidR="00634573" w:rsidRPr="00995C95">
                    <w:rPr>
                      <w:rFonts w:cs="Arial"/>
                      <w:color w:val="000000"/>
                      <w:sz w:val="16"/>
                      <w:szCs w:val="16"/>
                    </w:rPr>
                    <w:t>er and paper products</w:t>
                  </w:r>
                </w:p>
              </w:tc>
              <w:tc>
                <w:tcPr>
                  <w:tcW w:w="700" w:type="dxa"/>
                  <w:tcBorders>
                    <w:top w:val="nil"/>
                    <w:left w:val="nil"/>
                    <w:bottom w:val="nil"/>
                    <w:right w:val="nil"/>
                  </w:tcBorders>
                  <w:noWrap/>
                  <w:vAlign w:val="bottom"/>
                  <w:hideMark/>
                </w:tcPr>
                <w:p w14:paraId="69087F8E" w14:textId="78E8252F"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w:t>
                  </w:r>
                  <w:r w:rsidR="008E6F8B" w:rsidRPr="00995C95">
                    <w:rPr>
                      <w:rFonts w:cs="Arial"/>
                      <w:color w:val="000000"/>
                      <w:sz w:val="16"/>
                      <w:szCs w:val="16"/>
                    </w:rPr>
                    <w:t>.</w:t>
                  </w:r>
                  <w:r w:rsidRPr="00995C95">
                    <w:rPr>
                      <w:rFonts w:cs="Arial"/>
                      <w:color w:val="000000"/>
                      <w:sz w:val="16"/>
                      <w:szCs w:val="16"/>
                    </w:rPr>
                    <w:t>3</w:t>
                  </w:r>
                </w:p>
              </w:tc>
              <w:tc>
                <w:tcPr>
                  <w:tcW w:w="700" w:type="dxa"/>
                  <w:tcBorders>
                    <w:top w:val="nil"/>
                    <w:left w:val="nil"/>
                    <w:bottom w:val="nil"/>
                    <w:right w:val="nil"/>
                  </w:tcBorders>
                  <w:noWrap/>
                  <w:vAlign w:val="bottom"/>
                  <w:hideMark/>
                </w:tcPr>
                <w:p w14:paraId="0612469A" w14:textId="7F7FA611"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−6</w:t>
                  </w:r>
                  <w:r w:rsidR="008E6F8B" w:rsidRPr="00995C95">
                    <w:rPr>
                      <w:rFonts w:cs="Arial"/>
                      <w:color w:val="000000"/>
                      <w:sz w:val="16"/>
                      <w:szCs w:val="16"/>
                    </w:rPr>
                    <w:t>.</w:t>
                  </w:r>
                  <w:r w:rsidRPr="00995C95">
                    <w:rPr>
                      <w:rFonts w:cs="Arial"/>
                      <w:color w:val="000000"/>
                      <w:sz w:val="16"/>
                      <w:szCs w:val="16"/>
                    </w:rPr>
                    <w:t>5</w:t>
                  </w:r>
                </w:p>
              </w:tc>
            </w:tr>
            <w:tr w:rsidR="00605D96" w:rsidRPr="00995C95" w14:paraId="4930EE34" w14:textId="77777777" w:rsidTr="008B207B">
              <w:trPr>
                <w:trHeight w:val="255"/>
              </w:trPr>
              <w:tc>
                <w:tcPr>
                  <w:tcW w:w="3417" w:type="dxa"/>
                  <w:tcBorders>
                    <w:top w:val="nil"/>
                    <w:left w:val="nil"/>
                    <w:bottom w:val="nil"/>
                    <w:right w:val="nil"/>
                  </w:tcBorders>
                  <w:vAlign w:val="bottom"/>
                  <w:hideMark/>
                </w:tcPr>
                <w:p w14:paraId="42FDBE49" w14:textId="141D04BE" w:rsidR="00605D96" w:rsidRPr="00995C95" w:rsidRDefault="00605D96" w:rsidP="008B207B">
                  <w:pPr>
                    <w:spacing w:after="0" w:line="240" w:lineRule="auto"/>
                    <w:jc w:val="left"/>
                    <w:rPr>
                      <w:rFonts w:cs="Arial"/>
                      <w:color w:val="000000"/>
                      <w:sz w:val="16"/>
                      <w:szCs w:val="16"/>
                    </w:rPr>
                  </w:pPr>
                  <w:r w:rsidRPr="00995C95">
                    <w:rPr>
                      <w:rFonts w:cs="Arial"/>
                      <w:color w:val="000000"/>
                      <w:sz w:val="16"/>
                      <w:szCs w:val="16"/>
                    </w:rPr>
                    <w:t>Ele</w:t>
                  </w:r>
                  <w:r w:rsidR="00634573" w:rsidRPr="00995C95">
                    <w:rPr>
                      <w:rFonts w:cs="Arial"/>
                      <w:color w:val="000000"/>
                      <w:sz w:val="16"/>
                      <w:szCs w:val="16"/>
                    </w:rPr>
                    <w:t>ctricity, gas, steam and air-conditioning</w:t>
                  </w:r>
                </w:p>
              </w:tc>
              <w:tc>
                <w:tcPr>
                  <w:tcW w:w="700" w:type="dxa"/>
                  <w:tcBorders>
                    <w:top w:val="nil"/>
                    <w:left w:val="nil"/>
                    <w:bottom w:val="nil"/>
                    <w:right w:val="nil"/>
                  </w:tcBorders>
                  <w:noWrap/>
                  <w:vAlign w:val="bottom"/>
                  <w:hideMark/>
                </w:tcPr>
                <w:p w14:paraId="1B79CF9D" w14:textId="57F93D24"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−4</w:t>
                  </w:r>
                  <w:r w:rsidR="008E6F8B" w:rsidRPr="00995C95">
                    <w:rPr>
                      <w:rFonts w:cs="Arial"/>
                      <w:color w:val="000000"/>
                      <w:sz w:val="16"/>
                      <w:szCs w:val="16"/>
                    </w:rPr>
                    <w:t>.</w:t>
                  </w:r>
                  <w:r w:rsidRPr="00995C95">
                    <w:rPr>
                      <w:rFonts w:cs="Arial"/>
                      <w:color w:val="000000"/>
                      <w:sz w:val="16"/>
                      <w:szCs w:val="16"/>
                    </w:rPr>
                    <w:t>1</w:t>
                  </w:r>
                </w:p>
              </w:tc>
              <w:tc>
                <w:tcPr>
                  <w:tcW w:w="700" w:type="dxa"/>
                  <w:tcBorders>
                    <w:top w:val="nil"/>
                    <w:left w:val="nil"/>
                    <w:bottom w:val="nil"/>
                    <w:right w:val="nil"/>
                  </w:tcBorders>
                  <w:noWrap/>
                  <w:vAlign w:val="bottom"/>
                  <w:hideMark/>
                </w:tcPr>
                <w:p w14:paraId="2B1E6C63" w14:textId="710B9016"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−20</w:t>
                  </w:r>
                  <w:r w:rsidR="008E6F8B" w:rsidRPr="00995C95">
                    <w:rPr>
                      <w:rFonts w:cs="Arial"/>
                      <w:color w:val="000000"/>
                      <w:sz w:val="16"/>
                      <w:szCs w:val="16"/>
                    </w:rPr>
                    <w:t>.</w:t>
                  </w:r>
                  <w:r w:rsidRPr="00995C95">
                    <w:rPr>
                      <w:rFonts w:cs="Arial"/>
                      <w:color w:val="000000"/>
                      <w:sz w:val="16"/>
                      <w:szCs w:val="16"/>
                    </w:rPr>
                    <w:t>9</w:t>
                  </w:r>
                </w:p>
              </w:tc>
            </w:tr>
            <w:tr w:rsidR="00605D96" w:rsidRPr="00995C95" w14:paraId="15027F8F" w14:textId="77777777" w:rsidTr="008B207B">
              <w:trPr>
                <w:trHeight w:val="255"/>
              </w:trPr>
              <w:tc>
                <w:tcPr>
                  <w:tcW w:w="3417" w:type="dxa"/>
                  <w:tcBorders>
                    <w:top w:val="nil"/>
                    <w:left w:val="nil"/>
                    <w:bottom w:val="nil"/>
                    <w:right w:val="nil"/>
                  </w:tcBorders>
                  <w:vAlign w:val="bottom"/>
                  <w:hideMark/>
                </w:tcPr>
                <w:p w14:paraId="752F0B5E" w14:textId="25B72BDA" w:rsidR="00605D96" w:rsidRPr="00995C95" w:rsidRDefault="00634573" w:rsidP="008B207B">
                  <w:pPr>
                    <w:spacing w:after="0" w:line="240" w:lineRule="auto"/>
                    <w:jc w:val="left"/>
                    <w:rPr>
                      <w:rFonts w:cs="Arial"/>
                      <w:color w:val="000000"/>
                      <w:sz w:val="16"/>
                      <w:szCs w:val="16"/>
                    </w:rPr>
                  </w:pPr>
                  <w:r w:rsidRPr="00995C95">
                    <w:rPr>
                      <w:sz w:val="16"/>
                      <w:szCs w:val="16"/>
                    </w:rPr>
                    <w:t>Chemicals and chemical products</w:t>
                  </w:r>
                </w:p>
              </w:tc>
              <w:tc>
                <w:tcPr>
                  <w:tcW w:w="700" w:type="dxa"/>
                  <w:tcBorders>
                    <w:top w:val="nil"/>
                    <w:left w:val="nil"/>
                    <w:bottom w:val="nil"/>
                    <w:right w:val="nil"/>
                  </w:tcBorders>
                  <w:noWrap/>
                  <w:vAlign w:val="bottom"/>
                  <w:hideMark/>
                </w:tcPr>
                <w:p w14:paraId="28D4041E" w14:textId="40BB11A4"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−4</w:t>
                  </w:r>
                  <w:r w:rsidR="008E6F8B" w:rsidRPr="00995C95">
                    <w:rPr>
                      <w:rFonts w:cs="Arial"/>
                      <w:color w:val="000000"/>
                      <w:sz w:val="16"/>
                      <w:szCs w:val="16"/>
                    </w:rPr>
                    <w:t>.</w:t>
                  </w:r>
                  <w:r w:rsidRPr="00995C95">
                    <w:rPr>
                      <w:rFonts w:cs="Arial"/>
                      <w:color w:val="000000"/>
                      <w:sz w:val="16"/>
                      <w:szCs w:val="16"/>
                    </w:rPr>
                    <w:t>8</w:t>
                  </w:r>
                </w:p>
              </w:tc>
              <w:tc>
                <w:tcPr>
                  <w:tcW w:w="700" w:type="dxa"/>
                  <w:tcBorders>
                    <w:top w:val="nil"/>
                    <w:left w:val="nil"/>
                    <w:bottom w:val="nil"/>
                    <w:right w:val="nil"/>
                  </w:tcBorders>
                  <w:noWrap/>
                  <w:vAlign w:val="bottom"/>
                  <w:hideMark/>
                </w:tcPr>
                <w:p w14:paraId="68AECD2F" w14:textId="15392CAC"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−8</w:t>
                  </w:r>
                  <w:r w:rsidR="008E6F8B" w:rsidRPr="00995C95">
                    <w:rPr>
                      <w:rFonts w:cs="Arial"/>
                      <w:color w:val="000000"/>
                      <w:sz w:val="16"/>
                      <w:szCs w:val="16"/>
                    </w:rPr>
                    <w:t>.</w:t>
                  </w:r>
                  <w:r w:rsidRPr="00995C95">
                    <w:rPr>
                      <w:rFonts w:cs="Arial"/>
                      <w:color w:val="000000"/>
                      <w:sz w:val="16"/>
                      <w:szCs w:val="16"/>
                    </w:rPr>
                    <w:t>3</w:t>
                  </w:r>
                </w:p>
              </w:tc>
            </w:tr>
            <w:tr w:rsidR="00605D96" w:rsidRPr="00995C95" w14:paraId="7D65DD6A" w14:textId="77777777" w:rsidTr="008B207B">
              <w:trPr>
                <w:trHeight w:val="255"/>
              </w:trPr>
              <w:tc>
                <w:tcPr>
                  <w:tcW w:w="3417" w:type="dxa"/>
                  <w:tcBorders>
                    <w:top w:val="nil"/>
                    <w:left w:val="nil"/>
                    <w:bottom w:val="nil"/>
                    <w:right w:val="nil"/>
                  </w:tcBorders>
                  <w:vAlign w:val="bottom"/>
                  <w:hideMark/>
                </w:tcPr>
                <w:p w14:paraId="1BE4519D" w14:textId="08910A23" w:rsidR="00605D96" w:rsidRPr="00995C95" w:rsidRDefault="00605D96" w:rsidP="008B207B">
                  <w:pPr>
                    <w:spacing w:after="0" w:line="240" w:lineRule="auto"/>
                    <w:jc w:val="left"/>
                    <w:rPr>
                      <w:rFonts w:cs="Arial"/>
                      <w:color w:val="000000"/>
                      <w:sz w:val="16"/>
                      <w:szCs w:val="16"/>
                    </w:rPr>
                  </w:pPr>
                  <w:r w:rsidRPr="00995C95">
                    <w:rPr>
                      <w:rFonts w:cs="Arial"/>
                      <w:color w:val="000000"/>
                      <w:sz w:val="16"/>
                      <w:szCs w:val="16"/>
                    </w:rPr>
                    <w:t>Ele</w:t>
                  </w:r>
                  <w:r w:rsidR="00634573" w:rsidRPr="00995C95">
                    <w:rPr>
                      <w:rFonts w:cs="Arial"/>
                      <w:color w:val="000000"/>
                      <w:sz w:val="16"/>
                      <w:szCs w:val="16"/>
                    </w:rPr>
                    <w:t>ctrical equipment</w:t>
                  </w:r>
                </w:p>
              </w:tc>
              <w:tc>
                <w:tcPr>
                  <w:tcW w:w="700" w:type="dxa"/>
                  <w:tcBorders>
                    <w:top w:val="nil"/>
                    <w:left w:val="nil"/>
                    <w:bottom w:val="nil"/>
                    <w:right w:val="nil"/>
                  </w:tcBorders>
                  <w:noWrap/>
                  <w:vAlign w:val="bottom"/>
                  <w:hideMark/>
                </w:tcPr>
                <w:p w14:paraId="211BC483" w14:textId="25B23121"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−6</w:t>
                  </w:r>
                  <w:r w:rsidR="008E6F8B" w:rsidRPr="00995C95">
                    <w:rPr>
                      <w:rFonts w:cs="Arial"/>
                      <w:color w:val="000000"/>
                      <w:sz w:val="16"/>
                      <w:szCs w:val="16"/>
                    </w:rPr>
                    <w:t>.</w:t>
                  </w:r>
                  <w:r w:rsidRPr="00995C95">
                    <w:rPr>
                      <w:rFonts w:cs="Arial"/>
                      <w:color w:val="000000"/>
                      <w:sz w:val="16"/>
                      <w:szCs w:val="16"/>
                    </w:rPr>
                    <w:t>4</w:t>
                  </w:r>
                </w:p>
              </w:tc>
              <w:tc>
                <w:tcPr>
                  <w:tcW w:w="700" w:type="dxa"/>
                  <w:tcBorders>
                    <w:top w:val="nil"/>
                    <w:left w:val="nil"/>
                    <w:bottom w:val="nil"/>
                    <w:right w:val="nil"/>
                  </w:tcBorders>
                  <w:noWrap/>
                  <w:vAlign w:val="bottom"/>
                  <w:hideMark/>
                </w:tcPr>
                <w:p w14:paraId="414E8C36" w14:textId="62B4C233"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−5</w:t>
                  </w:r>
                  <w:r w:rsidR="008E6F8B" w:rsidRPr="00995C95">
                    <w:rPr>
                      <w:rFonts w:cs="Arial"/>
                      <w:color w:val="000000"/>
                      <w:sz w:val="16"/>
                      <w:szCs w:val="16"/>
                    </w:rPr>
                    <w:t>.</w:t>
                  </w:r>
                  <w:r w:rsidRPr="00995C95">
                    <w:rPr>
                      <w:rFonts w:cs="Arial"/>
                      <w:color w:val="000000"/>
                      <w:sz w:val="16"/>
                      <w:szCs w:val="16"/>
                    </w:rPr>
                    <w:t>4</w:t>
                  </w:r>
                </w:p>
              </w:tc>
            </w:tr>
          </w:tbl>
          <w:p w14:paraId="47EC17A1" w14:textId="77777777" w:rsidR="00605D96" w:rsidRPr="00995C95" w:rsidRDefault="00605D96" w:rsidP="008B207B">
            <w:pPr>
              <w:spacing w:after="0"/>
              <w:rPr>
                <w:spacing w:val="-4"/>
                <w:lang w:eastAsia="en-US"/>
              </w:rPr>
            </w:pPr>
          </w:p>
        </w:tc>
        <w:tc>
          <w:tcPr>
            <w:tcW w:w="57" w:type="dxa"/>
          </w:tcPr>
          <w:p w14:paraId="47535986" w14:textId="77777777" w:rsidR="00605D96" w:rsidRPr="00995C95" w:rsidRDefault="00605D96" w:rsidP="008B207B">
            <w:pPr>
              <w:spacing w:after="0"/>
              <w:rPr>
                <w:spacing w:val="-4"/>
                <w:lang w:eastAsia="en-US"/>
              </w:rPr>
            </w:pPr>
          </w:p>
        </w:tc>
        <w:tc>
          <w:tcPr>
            <w:tcW w:w="4809" w:type="dxa"/>
            <w:hideMark/>
          </w:tcPr>
          <w:tbl>
            <w:tblPr>
              <w:tblW w:w="4762" w:type="dxa"/>
              <w:tblLayout w:type="fixed"/>
              <w:tblCellMar>
                <w:left w:w="70" w:type="dxa"/>
                <w:right w:w="70" w:type="dxa"/>
              </w:tblCellMar>
              <w:tblLook w:val="04A0" w:firstRow="1" w:lastRow="0" w:firstColumn="1" w:lastColumn="0" w:noHBand="0" w:noVBand="1"/>
            </w:tblPr>
            <w:tblGrid>
              <w:gridCol w:w="3362"/>
              <w:gridCol w:w="700"/>
              <w:gridCol w:w="700"/>
            </w:tblGrid>
            <w:tr w:rsidR="00605D96" w:rsidRPr="00995C95" w14:paraId="0A60E0F1" w14:textId="77777777" w:rsidTr="008B207B">
              <w:trPr>
                <w:trHeight w:val="255"/>
              </w:trPr>
              <w:tc>
                <w:tcPr>
                  <w:tcW w:w="3362" w:type="dxa"/>
                  <w:tcBorders>
                    <w:top w:val="nil"/>
                    <w:left w:val="nil"/>
                    <w:bottom w:val="nil"/>
                    <w:right w:val="nil"/>
                  </w:tcBorders>
                  <w:noWrap/>
                  <w:vAlign w:val="bottom"/>
                  <w:hideMark/>
                </w:tcPr>
                <w:p w14:paraId="639E41F2" w14:textId="77777777" w:rsidR="00605D96" w:rsidRPr="00995C95" w:rsidRDefault="00605D96" w:rsidP="008B207B">
                  <w:pPr>
                    <w:spacing w:after="0" w:line="240" w:lineRule="auto"/>
                    <w:jc w:val="left"/>
                    <w:rPr>
                      <w:rFonts w:cs="Arial"/>
                      <w:sz w:val="22"/>
                      <w:szCs w:val="22"/>
                    </w:rPr>
                  </w:pPr>
                </w:p>
              </w:tc>
              <w:tc>
                <w:tcPr>
                  <w:tcW w:w="700" w:type="dxa"/>
                  <w:tcBorders>
                    <w:top w:val="nil"/>
                    <w:left w:val="nil"/>
                    <w:bottom w:val="nil"/>
                    <w:right w:val="nil"/>
                  </w:tcBorders>
                  <w:noWrap/>
                  <w:vAlign w:val="bottom"/>
                  <w:hideMark/>
                </w:tcPr>
                <w:p w14:paraId="4954B9B4" w14:textId="572C2B75" w:rsidR="00605D96" w:rsidRPr="00995C95" w:rsidRDefault="00F241FB" w:rsidP="008B207B">
                  <w:pPr>
                    <w:spacing w:after="0" w:line="240" w:lineRule="auto"/>
                    <w:jc w:val="right"/>
                    <w:rPr>
                      <w:rFonts w:cs="Arial"/>
                      <w:color w:val="000000"/>
                      <w:sz w:val="16"/>
                      <w:szCs w:val="16"/>
                    </w:rPr>
                  </w:pPr>
                  <w:r w:rsidRPr="00995C95">
                    <w:rPr>
                      <w:rFonts w:cs="Arial"/>
                      <w:color w:val="000000"/>
                      <w:sz w:val="16"/>
                      <w:szCs w:val="16"/>
                    </w:rPr>
                    <w:t>bn CZK</w:t>
                  </w:r>
                </w:p>
              </w:tc>
              <w:tc>
                <w:tcPr>
                  <w:tcW w:w="700" w:type="dxa"/>
                  <w:tcBorders>
                    <w:top w:val="nil"/>
                    <w:left w:val="nil"/>
                    <w:bottom w:val="nil"/>
                    <w:right w:val="nil"/>
                  </w:tcBorders>
                  <w:noWrap/>
                  <w:vAlign w:val="bottom"/>
                  <w:hideMark/>
                </w:tcPr>
                <w:p w14:paraId="52651198" w14:textId="7777777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w:t>
                  </w:r>
                </w:p>
              </w:tc>
            </w:tr>
            <w:tr w:rsidR="00605D96" w:rsidRPr="00995C95" w14:paraId="43F892EE" w14:textId="77777777" w:rsidTr="008B207B">
              <w:trPr>
                <w:trHeight w:val="255"/>
              </w:trPr>
              <w:tc>
                <w:tcPr>
                  <w:tcW w:w="3362" w:type="dxa"/>
                  <w:tcBorders>
                    <w:top w:val="single" w:sz="4" w:space="0" w:color="auto"/>
                    <w:left w:val="nil"/>
                    <w:bottom w:val="nil"/>
                    <w:right w:val="nil"/>
                  </w:tcBorders>
                  <w:noWrap/>
                  <w:vAlign w:val="bottom"/>
                  <w:hideMark/>
                </w:tcPr>
                <w:p w14:paraId="41A24688" w14:textId="12862473" w:rsidR="00605D96" w:rsidRPr="00995C95" w:rsidRDefault="00605D96" w:rsidP="008B207B">
                  <w:pPr>
                    <w:spacing w:after="0" w:line="240" w:lineRule="auto"/>
                    <w:jc w:val="left"/>
                    <w:rPr>
                      <w:rFonts w:cs="Arial"/>
                      <w:color w:val="000000"/>
                      <w:sz w:val="16"/>
                      <w:szCs w:val="16"/>
                    </w:rPr>
                  </w:pPr>
                  <w:r w:rsidRPr="00995C95">
                    <w:rPr>
                      <w:rFonts w:cs="Arial"/>
                      <w:color w:val="000000"/>
                      <w:sz w:val="16"/>
                      <w:szCs w:val="16"/>
                    </w:rPr>
                    <w:t>Franc</w:t>
                  </w:r>
                  <w:r w:rsidR="00F241FB" w:rsidRPr="00995C95">
                    <w:rPr>
                      <w:rFonts w:cs="Arial"/>
                      <w:color w:val="000000"/>
                      <w:sz w:val="16"/>
                      <w:szCs w:val="16"/>
                    </w:rPr>
                    <w:t>e</w:t>
                  </w:r>
                </w:p>
              </w:tc>
              <w:tc>
                <w:tcPr>
                  <w:tcW w:w="700" w:type="dxa"/>
                  <w:tcBorders>
                    <w:top w:val="single" w:sz="4" w:space="0" w:color="auto"/>
                    <w:left w:val="nil"/>
                    <w:bottom w:val="nil"/>
                    <w:right w:val="nil"/>
                  </w:tcBorders>
                  <w:noWrap/>
                  <w:vAlign w:val="bottom"/>
                  <w:hideMark/>
                </w:tcPr>
                <w:p w14:paraId="0978A61A" w14:textId="303E3F1A"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+6</w:t>
                  </w:r>
                  <w:r w:rsidR="008E6F8B" w:rsidRPr="00995C95">
                    <w:rPr>
                      <w:rFonts w:cs="Arial"/>
                      <w:color w:val="000000"/>
                      <w:sz w:val="16"/>
                      <w:szCs w:val="16"/>
                    </w:rPr>
                    <w:t>.</w:t>
                  </w:r>
                  <w:r w:rsidRPr="00995C95">
                    <w:rPr>
                      <w:rFonts w:cs="Arial"/>
                      <w:color w:val="000000"/>
                      <w:sz w:val="16"/>
                      <w:szCs w:val="16"/>
                    </w:rPr>
                    <w:t>4</w:t>
                  </w:r>
                </w:p>
              </w:tc>
              <w:tc>
                <w:tcPr>
                  <w:tcW w:w="700" w:type="dxa"/>
                  <w:tcBorders>
                    <w:top w:val="single" w:sz="4" w:space="0" w:color="auto"/>
                    <w:left w:val="nil"/>
                    <w:bottom w:val="nil"/>
                    <w:right w:val="nil"/>
                  </w:tcBorders>
                  <w:noWrap/>
                  <w:vAlign w:val="bottom"/>
                  <w:hideMark/>
                </w:tcPr>
                <w:p w14:paraId="7488ECFD" w14:textId="28527A75"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+11</w:t>
                  </w:r>
                  <w:r w:rsidR="008E6F8B" w:rsidRPr="00995C95">
                    <w:rPr>
                      <w:rFonts w:cs="Arial"/>
                      <w:color w:val="000000"/>
                      <w:sz w:val="16"/>
                      <w:szCs w:val="16"/>
                    </w:rPr>
                    <w:t>.</w:t>
                  </w:r>
                  <w:r w:rsidRPr="00995C95">
                    <w:rPr>
                      <w:rFonts w:cs="Arial"/>
                      <w:color w:val="000000"/>
                      <w:sz w:val="16"/>
                      <w:szCs w:val="16"/>
                    </w:rPr>
                    <w:t>8</w:t>
                  </w:r>
                </w:p>
              </w:tc>
            </w:tr>
            <w:tr w:rsidR="00605D96" w:rsidRPr="00995C95" w14:paraId="15BE891E" w14:textId="77777777" w:rsidTr="008B207B">
              <w:trPr>
                <w:trHeight w:val="255"/>
              </w:trPr>
              <w:tc>
                <w:tcPr>
                  <w:tcW w:w="3362" w:type="dxa"/>
                  <w:tcBorders>
                    <w:top w:val="nil"/>
                    <w:left w:val="nil"/>
                    <w:bottom w:val="nil"/>
                    <w:right w:val="nil"/>
                  </w:tcBorders>
                  <w:noWrap/>
                  <w:vAlign w:val="bottom"/>
                  <w:hideMark/>
                </w:tcPr>
                <w:p w14:paraId="32299964" w14:textId="2097468A" w:rsidR="00605D96" w:rsidRPr="00995C95" w:rsidRDefault="00605D96" w:rsidP="008B207B">
                  <w:pPr>
                    <w:spacing w:after="0" w:line="240" w:lineRule="auto"/>
                    <w:jc w:val="left"/>
                    <w:rPr>
                      <w:rFonts w:cs="Arial"/>
                      <w:color w:val="000000"/>
                      <w:sz w:val="16"/>
                      <w:szCs w:val="16"/>
                    </w:rPr>
                  </w:pPr>
                  <w:r w:rsidRPr="00995C95">
                    <w:rPr>
                      <w:rFonts w:cs="Arial"/>
                      <w:color w:val="000000"/>
                      <w:sz w:val="16"/>
                      <w:szCs w:val="16"/>
                    </w:rPr>
                    <w:t>Slov</w:t>
                  </w:r>
                  <w:r w:rsidR="00F241FB" w:rsidRPr="00995C95">
                    <w:rPr>
                      <w:rFonts w:cs="Arial"/>
                      <w:color w:val="000000"/>
                      <w:sz w:val="16"/>
                      <w:szCs w:val="16"/>
                    </w:rPr>
                    <w:t>akia</w:t>
                  </w:r>
                </w:p>
              </w:tc>
              <w:tc>
                <w:tcPr>
                  <w:tcW w:w="700" w:type="dxa"/>
                  <w:tcBorders>
                    <w:top w:val="nil"/>
                    <w:left w:val="nil"/>
                    <w:bottom w:val="nil"/>
                    <w:right w:val="nil"/>
                  </w:tcBorders>
                  <w:noWrap/>
                  <w:vAlign w:val="bottom"/>
                  <w:hideMark/>
                </w:tcPr>
                <w:p w14:paraId="00EE5E82" w14:textId="41D2C8BC"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+5</w:t>
                  </w:r>
                  <w:r w:rsidR="008E6F8B" w:rsidRPr="00995C95">
                    <w:rPr>
                      <w:rFonts w:cs="Arial"/>
                      <w:color w:val="000000"/>
                      <w:sz w:val="16"/>
                      <w:szCs w:val="16"/>
                    </w:rPr>
                    <w:t>.</w:t>
                  </w:r>
                  <w:r w:rsidRPr="00995C95">
                    <w:rPr>
                      <w:rFonts w:cs="Arial"/>
                      <w:color w:val="000000"/>
                      <w:sz w:val="16"/>
                      <w:szCs w:val="16"/>
                    </w:rPr>
                    <w:t>4</w:t>
                  </w:r>
                </w:p>
              </w:tc>
              <w:tc>
                <w:tcPr>
                  <w:tcW w:w="700" w:type="dxa"/>
                  <w:tcBorders>
                    <w:top w:val="nil"/>
                    <w:left w:val="nil"/>
                    <w:bottom w:val="nil"/>
                    <w:right w:val="nil"/>
                  </w:tcBorders>
                  <w:noWrap/>
                  <w:vAlign w:val="bottom"/>
                  <w:hideMark/>
                </w:tcPr>
                <w:p w14:paraId="53AC5826" w14:textId="066D14B8"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+4</w:t>
                  </w:r>
                  <w:r w:rsidR="008E6F8B" w:rsidRPr="00995C95">
                    <w:rPr>
                      <w:rFonts w:cs="Arial"/>
                      <w:color w:val="000000"/>
                      <w:sz w:val="16"/>
                      <w:szCs w:val="16"/>
                    </w:rPr>
                    <w:t>.</w:t>
                  </w:r>
                  <w:r w:rsidRPr="00995C95">
                    <w:rPr>
                      <w:rFonts w:cs="Arial"/>
                      <w:color w:val="000000"/>
                      <w:sz w:val="16"/>
                      <w:szCs w:val="16"/>
                    </w:rPr>
                    <w:t>7</w:t>
                  </w:r>
                </w:p>
              </w:tc>
            </w:tr>
            <w:tr w:rsidR="00605D96" w:rsidRPr="00995C95" w14:paraId="236E8484" w14:textId="77777777" w:rsidTr="008B207B">
              <w:trPr>
                <w:trHeight w:val="255"/>
              </w:trPr>
              <w:tc>
                <w:tcPr>
                  <w:tcW w:w="3362" w:type="dxa"/>
                  <w:tcBorders>
                    <w:top w:val="nil"/>
                    <w:left w:val="nil"/>
                    <w:bottom w:val="nil"/>
                    <w:right w:val="nil"/>
                  </w:tcBorders>
                  <w:noWrap/>
                  <w:vAlign w:val="bottom"/>
                  <w:hideMark/>
                </w:tcPr>
                <w:p w14:paraId="499F04A3" w14:textId="74B26682" w:rsidR="00605D96" w:rsidRPr="00995C95" w:rsidRDefault="00F241FB" w:rsidP="008B207B">
                  <w:pPr>
                    <w:spacing w:after="0" w:line="240" w:lineRule="auto"/>
                    <w:jc w:val="left"/>
                    <w:rPr>
                      <w:rFonts w:cs="Arial"/>
                      <w:color w:val="000000"/>
                      <w:sz w:val="16"/>
                      <w:szCs w:val="16"/>
                    </w:rPr>
                  </w:pPr>
                  <w:r w:rsidRPr="00995C95">
                    <w:rPr>
                      <w:rFonts w:cs="Arial"/>
                      <w:color w:val="000000"/>
                      <w:sz w:val="16"/>
                      <w:szCs w:val="16"/>
                    </w:rPr>
                    <w:t>Switzerland</w:t>
                  </w:r>
                </w:p>
              </w:tc>
              <w:tc>
                <w:tcPr>
                  <w:tcW w:w="700" w:type="dxa"/>
                  <w:tcBorders>
                    <w:top w:val="nil"/>
                    <w:left w:val="nil"/>
                    <w:bottom w:val="nil"/>
                    <w:right w:val="nil"/>
                  </w:tcBorders>
                  <w:noWrap/>
                  <w:vAlign w:val="bottom"/>
                  <w:hideMark/>
                </w:tcPr>
                <w:p w14:paraId="7481B8A7" w14:textId="165D0B5C"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+3</w:t>
                  </w:r>
                  <w:r w:rsidR="008E6F8B" w:rsidRPr="00995C95">
                    <w:rPr>
                      <w:rFonts w:cs="Arial"/>
                      <w:color w:val="000000"/>
                      <w:sz w:val="16"/>
                      <w:szCs w:val="16"/>
                    </w:rPr>
                    <w:t>.</w:t>
                  </w:r>
                  <w:r w:rsidRPr="00995C95">
                    <w:rPr>
                      <w:rFonts w:cs="Arial"/>
                      <w:color w:val="000000"/>
                      <w:sz w:val="16"/>
                      <w:szCs w:val="16"/>
                    </w:rPr>
                    <w:t>1</w:t>
                  </w:r>
                </w:p>
              </w:tc>
              <w:tc>
                <w:tcPr>
                  <w:tcW w:w="700" w:type="dxa"/>
                  <w:tcBorders>
                    <w:top w:val="nil"/>
                    <w:left w:val="nil"/>
                    <w:bottom w:val="nil"/>
                    <w:right w:val="nil"/>
                  </w:tcBorders>
                  <w:noWrap/>
                  <w:vAlign w:val="bottom"/>
                  <w:hideMark/>
                </w:tcPr>
                <w:p w14:paraId="2F95DDE6" w14:textId="73113740"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+16</w:t>
                  </w:r>
                  <w:r w:rsidR="008E6F8B" w:rsidRPr="00995C95">
                    <w:rPr>
                      <w:rFonts w:cs="Arial"/>
                      <w:color w:val="000000"/>
                      <w:sz w:val="16"/>
                      <w:szCs w:val="16"/>
                    </w:rPr>
                    <w:t>.</w:t>
                  </w:r>
                  <w:r w:rsidRPr="00995C95">
                    <w:rPr>
                      <w:rFonts w:cs="Arial"/>
                      <w:color w:val="000000"/>
                      <w:sz w:val="16"/>
                      <w:szCs w:val="16"/>
                    </w:rPr>
                    <w:t>1</w:t>
                  </w:r>
                </w:p>
              </w:tc>
            </w:tr>
            <w:tr w:rsidR="00605D96" w:rsidRPr="00995C95" w14:paraId="75695668" w14:textId="77777777" w:rsidTr="008B207B">
              <w:trPr>
                <w:trHeight w:val="255"/>
              </w:trPr>
              <w:tc>
                <w:tcPr>
                  <w:tcW w:w="3362" w:type="dxa"/>
                  <w:tcBorders>
                    <w:top w:val="nil"/>
                    <w:left w:val="nil"/>
                    <w:bottom w:val="nil"/>
                    <w:right w:val="nil"/>
                  </w:tcBorders>
                  <w:noWrap/>
                  <w:vAlign w:val="bottom"/>
                  <w:hideMark/>
                </w:tcPr>
                <w:p w14:paraId="61DE8C20" w14:textId="7FF4D1A8" w:rsidR="00605D96" w:rsidRPr="00995C95" w:rsidRDefault="00F241FB" w:rsidP="008B207B">
                  <w:pPr>
                    <w:spacing w:after="0" w:line="240" w:lineRule="auto"/>
                    <w:jc w:val="left"/>
                    <w:rPr>
                      <w:rFonts w:cs="Arial"/>
                      <w:color w:val="000000"/>
                      <w:sz w:val="16"/>
                      <w:szCs w:val="16"/>
                    </w:rPr>
                  </w:pPr>
                  <w:r w:rsidRPr="00995C95">
                    <w:rPr>
                      <w:rFonts w:cs="Arial"/>
                      <w:color w:val="000000"/>
                      <w:sz w:val="16"/>
                      <w:szCs w:val="16"/>
                    </w:rPr>
                    <w:t>Sweden</w:t>
                  </w:r>
                </w:p>
              </w:tc>
              <w:tc>
                <w:tcPr>
                  <w:tcW w:w="700" w:type="dxa"/>
                  <w:tcBorders>
                    <w:top w:val="nil"/>
                    <w:left w:val="nil"/>
                    <w:bottom w:val="nil"/>
                    <w:right w:val="nil"/>
                  </w:tcBorders>
                  <w:noWrap/>
                  <w:vAlign w:val="bottom"/>
                  <w:hideMark/>
                </w:tcPr>
                <w:p w14:paraId="31B28F1A" w14:textId="5A7974A9"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+2</w:t>
                  </w:r>
                  <w:r w:rsidR="008E6F8B" w:rsidRPr="00995C95">
                    <w:rPr>
                      <w:rFonts w:cs="Arial"/>
                      <w:color w:val="000000"/>
                      <w:sz w:val="16"/>
                      <w:szCs w:val="16"/>
                    </w:rPr>
                    <w:t>.</w:t>
                  </w:r>
                  <w:r w:rsidRPr="00995C95">
                    <w:rPr>
                      <w:rFonts w:cs="Arial"/>
                      <w:color w:val="000000"/>
                      <w:sz w:val="16"/>
                      <w:szCs w:val="16"/>
                    </w:rPr>
                    <w:t>1</w:t>
                  </w:r>
                </w:p>
              </w:tc>
              <w:tc>
                <w:tcPr>
                  <w:tcW w:w="700" w:type="dxa"/>
                  <w:tcBorders>
                    <w:top w:val="nil"/>
                    <w:left w:val="nil"/>
                    <w:bottom w:val="nil"/>
                    <w:right w:val="nil"/>
                  </w:tcBorders>
                  <w:noWrap/>
                  <w:vAlign w:val="bottom"/>
                  <w:hideMark/>
                </w:tcPr>
                <w:p w14:paraId="2A28AC5E" w14:textId="62E50902"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+12</w:t>
                  </w:r>
                  <w:r w:rsidR="008E6F8B" w:rsidRPr="00995C95">
                    <w:rPr>
                      <w:rFonts w:cs="Arial"/>
                      <w:color w:val="000000"/>
                      <w:sz w:val="16"/>
                      <w:szCs w:val="16"/>
                    </w:rPr>
                    <w:t>.</w:t>
                  </w:r>
                  <w:r w:rsidRPr="00995C95">
                    <w:rPr>
                      <w:rFonts w:cs="Arial"/>
                      <w:color w:val="000000"/>
                      <w:sz w:val="16"/>
                      <w:szCs w:val="16"/>
                    </w:rPr>
                    <w:t>5</w:t>
                  </w:r>
                </w:p>
              </w:tc>
            </w:tr>
            <w:tr w:rsidR="00605D96" w:rsidRPr="00995C95" w14:paraId="0392CCC3" w14:textId="77777777" w:rsidTr="008B207B">
              <w:trPr>
                <w:trHeight w:val="255"/>
              </w:trPr>
              <w:tc>
                <w:tcPr>
                  <w:tcW w:w="3362" w:type="dxa"/>
                  <w:tcBorders>
                    <w:top w:val="nil"/>
                    <w:left w:val="nil"/>
                    <w:bottom w:val="nil"/>
                    <w:right w:val="nil"/>
                  </w:tcBorders>
                  <w:noWrap/>
                  <w:vAlign w:val="bottom"/>
                  <w:hideMark/>
                </w:tcPr>
                <w:p w14:paraId="6524BFD3" w14:textId="718E65BF" w:rsidR="00605D96" w:rsidRPr="00995C95" w:rsidRDefault="00F241FB" w:rsidP="008B207B">
                  <w:pPr>
                    <w:spacing w:after="0" w:line="240" w:lineRule="auto"/>
                    <w:jc w:val="left"/>
                    <w:rPr>
                      <w:rFonts w:cs="Arial"/>
                      <w:color w:val="000000"/>
                      <w:sz w:val="16"/>
                      <w:szCs w:val="16"/>
                    </w:rPr>
                  </w:pPr>
                  <w:r w:rsidRPr="00995C95">
                    <w:rPr>
                      <w:rFonts w:cs="Arial"/>
                      <w:color w:val="000000"/>
                      <w:sz w:val="16"/>
                      <w:szCs w:val="16"/>
                    </w:rPr>
                    <w:t>Austria</w:t>
                  </w:r>
                </w:p>
              </w:tc>
              <w:tc>
                <w:tcPr>
                  <w:tcW w:w="700" w:type="dxa"/>
                  <w:tcBorders>
                    <w:top w:val="nil"/>
                    <w:left w:val="nil"/>
                    <w:bottom w:val="nil"/>
                    <w:right w:val="nil"/>
                  </w:tcBorders>
                  <w:noWrap/>
                  <w:vAlign w:val="bottom"/>
                  <w:hideMark/>
                </w:tcPr>
                <w:p w14:paraId="4DDFFF28" w14:textId="65347EDA"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w:t>
                  </w:r>
                  <w:r w:rsidR="008E6F8B" w:rsidRPr="00995C95">
                    <w:rPr>
                      <w:rFonts w:cs="Arial"/>
                      <w:color w:val="000000"/>
                      <w:sz w:val="16"/>
                      <w:szCs w:val="16"/>
                    </w:rPr>
                    <w:t>.</w:t>
                  </w:r>
                  <w:r w:rsidRPr="00995C95">
                    <w:rPr>
                      <w:rFonts w:cs="Arial"/>
                      <w:color w:val="000000"/>
                      <w:sz w:val="16"/>
                      <w:szCs w:val="16"/>
                    </w:rPr>
                    <w:t>8</w:t>
                  </w:r>
                </w:p>
              </w:tc>
              <w:tc>
                <w:tcPr>
                  <w:tcW w:w="700" w:type="dxa"/>
                  <w:tcBorders>
                    <w:top w:val="nil"/>
                    <w:left w:val="nil"/>
                    <w:bottom w:val="nil"/>
                    <w:right w:val="nil"/>
                  </w:tcBorders>
                  <w:noWrap/>
                  <w:vAlign w:val="bottom"/>
                  <w:hideMark/>
                </w:tcPr>
                <w:p w14:paraId="254C84E3" w14:textId="59621030"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+4</w:t>
                  </w:r>
                  <w:r w:rsidR="008E6F8B" w:rsidRPr="00995C95">
                    <w:rPr>
                      <w:rFonts w:cs="Arial"/>
                      <w:color w:val="000000"/>
                      <w:sz w:val="16"/>
                      <w:szCs w:val="16"/>
                    </w:rPr>
                    <w:t>.</w:t>
                  </w:r>
                  <w:r w:rsidRPr="00995C95">
                    <w:rPr>
                      <w:rFonts w:cs="Arial"/>
                      <w:color w:val="000000"/>
                      <w:sz w:val="16"/>
                      <w:szCs w:val="16"/>
                    </w:rPr>
                    <w:t>1</w:t>
                  </w:r>
                </w:p>
              </w:tc>
            </w:tr>
            <w:tr w:rsidR="00605D96" w:rsidRPr="00995C95" w14:paraId="74112112" w14:textId="77777777" w:rsidTr="008B207B">
              <w:trPr>
                <w:trHeight w:val="255"/>
              </w:trPr>
              <w:tc>
                <w:tcPr>
                  <w:tcW w:w="3362" w:type="dxa"/>
                  <w:tcBorders>
                    <w:top w:val="nil"/>
                    <w:left w:val="nil"/>
                    <w:bottom w:val="nil"/>
                    <w:right w:val="nil"/>
                  </w:tcBorders>
                  <w:noWrap/>
                  <w:vAlign w:val="bottom"/>
                  <w:hideMark/>
                </w:tcPr>
                <w:p w14:paraId="31C61594" w14:textId="3798834C" w:rsidR="00605D96" w:rsidRPr="00995C95" w:rsidRDefault="00605D96" w:rsidP="008B207B">
                  <w:pPr>
                    <w:spacing w:after="0" w:line="240" w:lineRule="auto"/>
                    <w:jc w:val="left"/>
                    <w:rPr>
                      <w:rFonts w:cs="Arial"/>
                      <w:color w:val="000000"/>
                      <w:sz w:val="16"/>
                      <w:szCs w:val="16"/>
                    </w:rPr>
                  </w:pPr>
                  <w:r w:rsidRPr="00995C95">
                    <w:rPr>
                      <w:rFonts w:cs="Arial"/>
                      <w:color w:val="000000"/>
                      <w:sz w:val="16"/>
                      <w:szCs w:val="16"/>
                    </w:rPr>
                    <w:t>No</w:t>
                  </w:r>
                  <w:r w:rsidR="00F241FB" w:rsidRPr="00995C95">
                    <w:rPr>
                      <w:rFonts w:cs="Arial"/>
                      <w:color w:val="000000"/>
                      <w:sz w:val="16"/>
                      <w:szCs w:val="16"/>
                    </w:rPr>
                    <w:t>rway</w:t>
                  </w:r>
                </w:p>
              </w:tc>
              <w:tc>
                <w:tcPr>
                  <w:tcW w:w="700" w:type="dxa"/>
                  <w:tcBorders>
                    <w:top w:val="nil"/>
                    <w:left w:val="nil"/>
                    <w:bottom w:val="nil"/>
                    <w:right w:val="nil"/>
                  </w:tcBorders>
                  <w:noWrap/>
                  <w:vAlign w:val="bottom"/>
                  <w:hideMark/>
                </w:tcPr>
                <w:p w14:paraId="1736A636" w14:textId="77CE7BAB"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w:t>
                  </w:r>
                  <w:r w:rsidR="008E6F8B" w:rsidRPr="00995C95">
                    <w:rPr>
                      <w:rFonts w:cs="Arial"/>
                      <w:color w:val="000000"/>
                      <w:sz w:val="16"/>
                      <w:szCs w:val="16"/>
                    </w:rPr>
                    <w:t>.</w:t>
                  </w:r>
                  <w:r w:rsidRPr="00995C95">
                    <w:rPr>
                      <w:rFonts w:cs="Arial"/>
                      <w:color w:val="000000"/>
                      <w:sz w:val="16"/>
                      <w:szCs w:val="16"/>
                    </w:rPr>
                    <w:t>4</w:t>
                  </w:r>
                </w:p>
              </w:tc>
              <w:tc>
                <w:tcPr>
                  <w:tcW w:w="700" w:type="dxa"/>
                  <w:tcBorders>
                    <w:top w:val="nil"/>
                    <w:left w:val="nil"/>
                    <w:bottom w:val="nil"/>
                    <w:right w:val="nil"/>
                  </w:tcBorders>
                  <w:noWrap/>
                  <w:vAlign w:val="bottom"/>
                  <w:hideMark/>
                </w:tcPr>
                <w:p w14:paraId="2693181F" w14:textId="71486803"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+26</w:t>
                  </w:r>
                  <w:r w:rsidR="008E6F8B" w:rsidRPr="00995C95">
                    <w:rPr>
                      <w:rFonts w:cs="Arial"/>
                      <w:color w:val="000000"/>
                      <w:sz w:val="16"/>
                      <w:szCs w:val="16"/>
                    </w:rPr>
                    <w:t>.</w:t>
                  </w:r>
                  <w:r w:rsidRPr="00995C95">
                    <w:rPr>
                      <w:rFonts w:cs="Arial"/>
                      <w:color w:val="000000"/>
                      <w:sz w:val="16"/>
                      <w:szCs w:val="16"/>
                    </w:rPr>
                    <w:t>6</w:t>
                  </w:r>
                </w:p>
              </w:tc>
            </w:tr>
            <w:tr w:rsidR="00605D96" w:rsidRPr="00995C95" w14:paraId="13166A71" w14:textId="77777777" w:rsidTr="008B207B">
              <w:trPr>
                <w:trHeight w:val="255"/>
              </w:trPr>
              <w:tc>
                <w:tcPr>
                  <w:tcW w:w="3362" w:type="dxa"/>
                  <w:tcBorders>
                    <w:top w:val="nil"/>
                    <w:left w:val="nil"/>
                    <w:bottom w:val="nil"/>
                    <w:right w:val="nil"/>
                  </w:tcBorders>
                  <w:noWrap/>
                  <w:vAlign w:val="bottom"/>
                  <w:hideMark/>
                </w:tcPr>
                <w:p w14:paraId="502E9823" w14:textId="2413845F" w:rsidR="00605D96" w:rsidRPr="00995C95" w:rsidRDefault="00F241FB" w:rsidP="008B207B">
                  <w:pPr>
                    <w:spacing w:after="0" w:line="240" w:lineRule="auto"/>
                    <w:jc w:val="left"/>
                    <w:rPr>
                      <w:rFonts w:cs="Arial"/>
                      <w:color w:val="000000"/>
                      <w:sz w:val="16"/>
                      <w:szCs w:val="16"/>
                    </w:rPr>
                  </w:pPr>
                  <w:r w:rsidRPr="00995C95">
                    <w:rPr>
                      <w:rFonts w:cs="Arial"/>
                      <w:color w:val="000000"/>
                      <w:sz w:val="16"/>
                      <w:szCs w:val="16"/>
                    </w:rPr>
                    <w:t>South Korea</w:t>
                  </w:r>
                </w:p>
              </w:tc>
              <w:tc>
                <w:tcPr>
                  <w:tcW w:w="700" w:type="dxa"/>
                  <w:tcBorders>
                    <w:top w:val="nil"/>
                    <w:left w:val="nil"/>
                    <w:bottom w:val="nil"/>
                    <w:right w:val="nil"/>
                  </w:tcBorders>
                  <w:noWrap/>
                  <w:vAlign w:val="bottom"/>
                  <w:hideMark/>
                </w:tcPr>
                <w:p w14:paraId="268F666F" w14:textId="775F5C78"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w:t>
                  </w:r>
                  <w:r w:rsidR="008E6F8B" w:rsidRPr="00995C95">
                    <w:rPr>
                      <w:rFonts w:cs="Arial"/>
                      <w:color w:val="000000"/>
                      <w:sz w:val="16"/>
                      <w:szCs w:val="16"/>
                    </w:rPr>
                    <w:t>.</w:t>
                  </w:r>
                  <w:r w:rsidRPr="00995C95">
                    <w:rPr>
                      <w:rFonts w:cs="Arial"/>
                      <w:color w:val="000000"/>
                      <w:sz w:val="16"/>
                      <w:szCs w:val="16"/>
                    </w:rPr>
                    <w:t>2</w:t>
                  </w:r>
                </w:p>
              </w:tc>
              <w:tc>
                <w:tcPr>
                  <w:tcW w:w="700" w:type="dxa"/>
                  <w:tcBorders>
                    <w:top w:val="nil"/>
                    <w:left w:val="nil"/>
                    <w:bottom w:val="nil"/>
                    <w:right w:val="nil"/>
                  </w:tcBorders>
                  <w:noWrap/>
                  <w:vAlign w:val="bottom"/>
                  <w:hideMark/>
                </w:tcPr>
                <w:p w14:paraId="6659837E" w14:textId="68F9E8AB"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+29</w:t>
                  </w:r>
                  <w:r w:rsidR="008E6F8B" w:rsidRPr="00995C95">
                    <w:rPr>
                      <w:rFonts w:cs="Arial"/>
                      <w:color w:val="000000"/>
                      <w:sz w:val="16"/>
                      <w:szCs w:val="16"/>
                    </w:rPr>
                    <w:t>.</w:t>
                  </w:r>
                  <w:r w:rsidRPr="00995C95">
                    <w:rPr>
                      <w:rFonts w:cs="Arial"/>
                      <w:color w:val="000000"/>
                      <w:sz w:val="16"/>
                      <w:szCs w:val="16"/>
                    </w:rPr>
                    <w:t>6</w:t>
                  </w:r>
                </w:p>
              </w:tc>
            </w:tr>
            <w:tr w:rsidR="00605D96" w:rsidRPr="00995C95" w14:paraId="46B6735D" w14:textId="77777777" w:rsidTr="008B207B">
              <w:trPr>
                <w:trHeight w:val="255"/>
              </w:trPr>
              <w:tc>
                <w:tcPr>
                  <w:tcW w:w="3362" w:type="dxa"/>
                  <w:tcBorders>
                    <w:top w:val="nil"/>
                    <w:left w:val="nil"/>
                    <w:bottom w:val="nil"/>
                    <w:right w:val="nil"/>
                  </w:tcBorders>
                  <w:noWrap/>
                  <w:vAlign w:val="bottom"/>
                  <w:hideMark/>
                </w:tcPr>
                <w:p w14:paraId="5DFE3994" w14:textId="1F913006" w:rsidR="00605D96" w:rsidRPr="00995C95" w:rsidRDefault="00605D96" w:rsidP="008B207B">
                  <w:pPr>
                    <w:spacing w:after="0" w:line="240" w:lineRule="auto"/>
                    <w:jc w:val="left"/>
                    <w:rPr>
                      <w:rFonts w:cs="Arial"/>
                      <w:color w:val="000000"/>
                      <w:sz w:val="16"/>
                      <w:szCs w:val="16"/>
                    </w:rPr>
                  </w:pPr>
                  <w:r w:rsidRPr="00995C95">
                    <w:rPr>
                      <w:rFonts w:cs="Arial"/>
                      <w:color w:val="000000"/>
                      <w:sz w:val="16"/>
                      <w:szCs w:val="16"/>
                    </w:rPr>
                    <w:t>Singap</w:t>
                  </w:r>
                  <w:r w:rsidR="00F241FB" w:rsidRPr="00995C95">
                    <w:rPr>
                      <w:rFonts w:cs="Arial"/>
                      <w:color w:val="000000"/>
                      <w:sz w:val="16"/>
                      <w:szCs w:val="16"/>
                    </w:rPr>
                    <w:t>ore</w:t>
                  </w:r>
                </w:p>
              </w:tc>
              <w:tc>
                <w:tcPr>
                  <w:tcW w:w="700" w:type="dxa"/>
                  <w:tcBorders>
                    <w:top w:val="nil"/>
                    <w:left w:val="nil"/>
                    <w:bottom w:val="nil"/>
                    <w:right w:val="nil"/>
                  </w:tcBorders>
                  <w:noWrap/>
                  <w:vAlign w:val="bottom"/>
                  <w:hideMark/>
                </w:tcPr>
                <w:p w14:paraId="7CF3DC5F" w14:textId="53B62C11"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w:t>
                  </w:r>
                  <w:r w:rsidR="008E6F8B" w:rsidRPr="00995C95">
                    <w:rPr>
                      <w:rFonts w:cs="Arial"/>
                      <w:color w:val="000000"/>
                      <w:sz w:val="16"/>
                      <w:szCs w:val="16"/>
                    </w:rPr>
                    <w:t>.</w:t>
                  </w:r>
                  <w:r w:rsidRPr="00995C95">
                    <w:rPr>
                      <w:rFonts w:cs="Arial"/>
                      <w:color w:val="000000"/>
                      <w:sz w:val="16"/>
                      <w:szCs w:val="16"/>
                    </w:rPr>
                    <w:t>1</w:t>
                  </w:r>
                </w:p>
              </w:tc>
              <w:tc>
                <w:tcPr>
                  <w:tcW w:w="700" w:type="dxa"/>
                  <w:tcBorders>
                    <w:top w:val="nil"/>
                    <w:left w:val="nil"/>
                    <w:bottom w:val="nil"/>
                    <w:right w:val="nil"/>
                  </w:tcBorders>
                  <w:noWrap/>
                  <w:vAlign w:val="bottom"/>
                  <w:hideMark/>
                </w:tcPr>
                <w:p w14:paraId="325A2126" w14:textId="36301A0C"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+30</w:t>
                  </w:r>
                  <w:r w:rsidR="008E6F8B" w:rsidRPr="00995C95">
                    <w:rPr>
                      <w:rFonts w:cs="Arial"/>
                      <w:color w:val="000000"/>
                      <w:sz w:val="16"/>
                      <w:szCs w:val="16"/>
                    </w:rPr>
                    <w:t>.</w:t>
                  </w:r>
                  <w:r w:rsidRPr="00995C95">
                    <w:rPr>
                      <w:rFonts w:cs="Arial"/>
                      <w:color w:val="000000"/>
                      <w:sz w:val="16"/>
                      <w:szCs w:val="16"/>
                    </w:rPr>
                    <w:t>0</w:t>
                  </w:r>
                </w:p>
              </w:tc>
            </w:tr>
            <w:tr w:rsidR="00605D96" w:rsidRPr="00995C95" w14:paraId="5105539C" w14:textId="77777777" w:rsidTr="008B207B">
              <w:trPr>
                <w:trHeight w:val="255"/>
              </w:trPr>
              <w:tc>
                <w:tcPr>
                  <w:tcW w:w="3362" w:type="dxa"/>
                  <w:tcBorders>
                    <w:top w:val="nil"/>
                    <w:left w:val="nil"/>
                    <w:bottom w:val="nil"/>
                    <w:right w:val="nil"/>
                  </w:tcBorders>
                  <w:noWrap/>
                  <w:vAlign w:val="bottom"/>
                  <w:hideMark/>
                </w:tcPr>
                <w:p w14:paraId="60749857" w14:textId="32E65C2A" w:rsidR="00605D96" w:rsidRPr="00995C95" w:rsidRDefault="00605D96" w:rsidP="008B207B">
                  <w:pPr>
                    <w:spacing w:after="0" w:line="240" w:lineRule="auto"/>
                    <w:jc w:val="left"/>
                    <w:rPr>
                      <w:rFonts w:cs="Arial"/>
                      <w:color w:val="000000"/>
                      <w:sz w:val="16"/>
                      <w:szCs w:val="16"/>
                    </w:rPr>
                  </w:pPr>
                  <w:r w:rsidRPr="00995C95">
                    <w:rPr>
                      <w:rFonts w:cs="Arial"/>
                      <w:color w:val="000000"/>
                      <w:sz w:val="16"/>
                      <w:szCs w:val="16"/>
                    </w:rPr>
                    <w:t>Belg</w:t>
                  </w:r>
                  <w:r w:rsidR="00F241FB" w:rsidRPr="00995C95">
                    <w:rPr>
                      <w:rFonts w:cs="Arial"/>
                      <w:color w:val="000000"/>
                      <w:sz w:val="16"/>
                      <w:szCs w:val="16"/>
                    </w:rPr>
                    <w:t>ium</w:t>
                  </w:r>
                </w:p>
              </w:tc>
              <w:tc>
                <w:tcPr>
                  <w:tcW w:w="700" w:type="dxa"/>
                  <w:tcBorders>
                    <w:top w:val="nil"/>
                    <w:left w:val="nil"/>
                    <w:bottom w:val="nil"/>
                    <w:right w:val="nil"/>
                  </w:tcBorders>
                  <w:noWrap/>
                  <w:vAlign w:val="bottom"/>
                  <w:hideMark/>
                </w:tcPr>
                <w:p w14:paraId="74052E79" w14:textId="43C436D8"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w:t>
                  </w:r>
                  <w:r w:rsidR="008E6F8B" w:rsidRPr="00995C95">
                    <w:rPr>
                      <w:rFonts w:cs="Arial"/>
                      <w:color w:val="000000"/>
                      <w:sz w:val="16"/>
                      <w:szCs w:val="16"/>
                    </w:rPr>
                    <w:t>.</w:t>
                  </w:r>
                  <w:r w:rsidRPr="00995C95">
                    <w:rPr>
                      <w:rFonts w:cs="Arial"/>
                      <w:color w:val="000000"/>
                      <w:sz w:val="16"/>
                      <w:szCs w:val="16"/>
                    </w:rPr>
                    <w:t>1</w:t>
                  </w:r>
                </w:p>
              </w:tc>
              <w:tc>
                <w:tcPr>
                  <w:tcW w:w="700" w:type="dxa"/>
                  <w:tcBorders>
                    <w:top w:val="nil"/>
                    <w:left w:val="nil"/>
                    <w:bottom w:val="nil"/>
                    <w:right w:val="nil"/>
                  </w:tcBorders>
                  <w:noWrap/>
                  <w:vAlign w:val="bottom"/>
                  <w:hideMark/>
                </w:tcPr>
                <w:p w14:paraId="05D4D53E" w14:textId="0F46821E"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−4</w:t>
                  </w:r>
                  <w:r w:rsidR="008E6F8B" w:rsidRPr="00995C95">
                    <w:rPr>
                      <w:rFonts w:cs="Arial"/>
                      <w:color w:val="000000"/>
                      <w:sz w:val="16"/>
                      <w:szCs w:val="16"/>
                    </w:rPr>
                    <w:t>.</w:t>
                  </w:r>
                  <w:r w:rsidRPr="00995C95">
                    <w:rPr>
                      <w:rFonts w:cs="Arial"/>
                      <w:color w:val="000000"/>
                      <w:sz w:val="16"/>
                      <w:szCs w:val="16"/>
                    </w:rPr>
                    <w:t>0</w:t>
                  </w:r>
                </w:p>
              </w:tc>
            </w:tr>
            <w:tr w:rsidR="00605D96" w:rsidRPr="00995C95" w14:paraId="5F6FFD9C" w14:textId="77777777" w:rsidTr="008B207B">
              <w:trPr>
                <w:trHeight w:val="255"/>
              </w:trPr>
              <w:tc>
                <w:tcPr>
                  <w:tcW w:w="3362" w:type="dxa"/>
                  <w:tcBorders>
                    <w:top w:val="nil"/>
                    <w:left w:val="nil"/>
                    <w:bottom w:val="nil"/>
                    <w:right w:val="nil"/>
                  </w:tcBorders>
                  <w:noWrap/>
                  <w:vAlign w:val="bottom"/>
                  <w:hideMark/>
                </w:tcPr>
                <w:p w14:paraId="54656854" w14:textId="722861F6" w:rsidR="00605D96" w:rsidRPr="00995C95" w:rsidRDefault="00605D96" w:rsidP="008B207B">
                  <w:pPr>
                    <w:spacing w:after="0" w:line="240" w:lineRule="auto"/>
                    <w:jc w:val="left"/>
                    <w:rPr>
                      <w:rFonts w:cs="Arial"/>
                      <w:color w:val="000000"/>
                      <w:sz w:val="16"/>
                      <w:szCs w:val="16"/>
                    </w:rPr>
                  </w:pPr>
                  <w:r w:rsidRPr="00995C95">
                    <w:rPr>
                      <w:rFonts w:cs="Arial"/>
                      <w:color w:val="000000"/>
                      <w:sz w:val="16"/>
                      <w:szCs w:val="16"/>
                    </w:rPr>
                    <w:t>I</w:t>
                  </w:r>
                  <w:r w:rsidR="00F241FB" w:rsidRPr="00995C95">
                    <w:rPr>
                      <w:rFonts w:cs="Arial"/>
                      <w:color w:val="000000"/>
                      <w:sz w:val="16"/>
                      <w:szCs w:val="16"/>
                    </w:rPr>
                    <w:t>s</w:t>
                  </w:r>
                  <w:r w:rsidRPr="00995C95">
                    <w:rPr>
                      <w:rFonts w:cs="Arial"/>
                      <w:color w:val="000000"/>
                      <w:sz w:val="16"/>
                      <w:szCs w:val="16"/>
                    </w:rPr>
                    <w:t>rael</w:t>
                  </w:r>
                </w:p>
              </w:tc>
              <w:tc>
                <w:tcPr>
                  <w:tcW w:w="700" w:type="dxa"/>
                  <w:tcBorders>
                    <w:top w:val="nil"/>
                    <w:left w:val="nil"/>
                    <w:bottom w:val="nil"/>
                    <w:right w:val="nil"/>
                  </w:tcBorders>
                  <w:noWrap/>
                  <w:vAlign w:val="bottom"/>
                  <w:hideMark/>
                </w:tcPr>
                <w:p w14:paraId="5160447E" w14:textId="0A1059E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w:t>
                  </w:r>
                  <w:r w:rsidR="008E6F8B" w:rsidRPr="00995C95">
                    <w:rPr>
                      <w:rFonts w:cs="Arial"/>
                      <w:color w:val="000000"/>
                      <w:sz w:val="16"/>
                      <w:szCs w:val="16"/>
                    </w:rPr>
                    <w:t>.</w:t>
                  </w:r>
                  <w:r w:rsidRPr="00995C95">
                    <w:rPr>
                      <w:rFonts w:cs="Arial"/>
                      <w:color w:val="000000"/>
                      <w:sz w:val="16"/>
                      <w:szCs w:val="16"/>
                    </w:rPr>
                    <w:t>4</w:t>
                  </w:r>
                </w:p>
              </w:tc>
              <w:tc>
                <w:tcPr>
                  <w:tcW w:w="700" w:type="dxa"/>
                  <w:tcBorders>
                    <w:top w:val="nil"/>
                    <w:left w:val="nil"/>
                    <w:bottom w:val="nil"/>
                    <w:right w:val="nil"/>
                  </w:tcBorders>
                  <w:noWrap/>
                  <w:vAlign w:val="bottom"/>
                  <w:hideMark/>
                </w:tcPr>
                <w:p w14:paraId="753077C7" w14:textId="0B2A4D60"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−18</w:t>
                  </w:r>
                  <w:r w:rsidR="008E6F8B" w:rsidRPr="00995C95">
                    <w:rPr>
                      <w:rFonts w:cs="Arial"/>
                      <w:color w:val="000000"/>
                      <w:sz w:val="16"/>
                      <w:szCs w:val="16"/>
                    </w:rPr>
                    <w:t>.</w:t>
                  </w:r>
                  <w:r w:rsidRPr="00995C95">
                    <w:rPr>
                      <w:rFonts w:cs="Arial"/>
                      <w:color w:val="000000"/>
                      <w:sz w:val="16"/>
                      <w:szCs w:val="16"/>
                    </w:rPr>
                    <w:t>4</w:t>
                  </w:r>
                </w:p>
              </w:tc>
            </w:tr>
            <w:tr w:rsidR="00605D96" w:rsidRPr="00995C95" w14:paraId="7DB7625B" w14:textId="77777777" w:rsidTr="008B207B">
              <w:trPr>
                <w:trHeight w:val="255"/>
              </w:trPr>
              <w:tc>
                <w:tcPr>
                  <w:tcW w:w="3362" w:type="dxa"/>
                  <w:tcBorders>
                    <w:top w:val="nil"/>
                    <w:left w:val="nil"/>
                    <w:bottom w:val="nil"/>
                    <w:right w:val="nil"/>
                  </w:tcBorders>
                  <w:noWrap/>
                  <w:vAlign w:val="bottom"/>
                  <w:hideMark/>
                </w:tcPr>
                <w:p w14:paraId="66612E4C" w14:textId="3E9D0C77" w:rsidR="00605D96" w:rsidRPr="00995C95" w:rsidRDefault="00605D96" w:rsidP="008B207B">
                  <w:pPr>
                    <w:spacing w:after="0" w:line="240" w:lineRule="auto"/>
                    <w:jc w:val="left"/>
                    <w:rPr>
                      <w:rFonts w:cs="Arial"/>
                      <w:color w:val="000000"/>
                      <w:sz w:val="16"/>
                      <w:szCs w:val="16"/>
                    </w:rPr>
                  </w:pPr>
                  <w:r w:rsidRPr="00995C95">
                    <w:rPr>
                      <w:rFonts w:cs="Arial"/>
                      <w:color w:val="000000"/>
                      <w:sz w:val="16"/>
                      <w:szCs w:val="16"/>
                    </w:rPr>
                    <w:t>N</w:t>
                  </w:r>
                  <w:r w:rsidR="00F241FB" w:rsidRPr="00995C95">
                    <w:rPr>
                      <w:rFonts w:cs="Arial"/>
                      <w:color w:val="000000"/>
                      <w:sz w:val="16"/>
                      <w:szCs w:val="16"/>
                    </w:rPr>
                    <w:t>etherlands</w:t>
                  </w:r>
                </w:p>
              </w:tc>
              <w:tc>
                <w:tcPr>
                  <w:tcW w:w="700" w:type="dxa"/>
                  <w:tcBorders>
                    <w:top w:val="nil"/>
                    <w:left w:val="nil"/>
                    <w:bottom w:val="nil"/>
                    <w:right w:val="nil"/>
                  </w:tcBorders>
                  <w:noWrap/>
                  <w:vAlign w:val="bottom"/>
                  <w:hideMark/>
                </w:tcPr>
                <w:p w14:paraId="393A17A4" w14:textId="6210D486"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w:t>
                  </w:r>
                  <w:r w:rsidR="008E6F8B" w:rsidRPr="00995C95">
                    <w:rPr>
                      <w:rFonts w:cs="Arial"/>
                      <w:color w:val="000000"/>
                      <w:sz w:val="16"/>
                      <w:szCs w:val="16"/>
                    </w:rPr>
                    <w:t>.</w:t>
                  </w:r>
                  <w:r w:rsidRPr="00995C95">
                    <w:rPr>
                      <w:rFonts w:cs="Arial"/>
                      <w:color w:val="000000"/>
                      <w:sz w:val="16"/>
                      <w:szCs w:val="16"/>
                    </w:rPr>
                    <w:t>5</w:t>
                  </w:r>
                </w:p>
              </w:tc>
              <w:tc>
                <w:tcPr>
                  <w:tcW w:w="700" w:type="dxa"/>
                  <w:tcBorders>
                    <w:top w:val="nil"/>
                    <w:left w:val="nil"/>
                    <w:bottom w:val="nil"/>
                    <w:right w:val="nil"/>
                  </w:tcBorders>
                  <w:noWrap/>
                  <w:vAlign w:val="bottom"/>
                  <w:hideMark/>
                </w:tcPr>
                <w:p w14:paraId="04A9B5FD" w14:textId="69F190A0"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−3</w:t>
                  </w:r>
                  <w:r w:rsidR="008E6F8B" w:rsidRPr="00995C95">
                    <w:rPr>
                      <w:rFonts w:cs="Arial"/>
                      <w:color w:val="000000"/>
                      <w:sz w:val="16"/>
                      <w:szCs w:val="16"/>
                    </w:rPr>
                    <w:t>.</w:t>
                  </w:r>
                  <w:r w:rsidRPr="00995C95">
                    <w:rPr>
                      <w:rFonts w:cs="Arial"/>
                      <w:color w:val="000000"/>
                      <w:sz w:val="16"/>
                      <w:szCs w:val="16"/>
                    </w:rPr>
                    <w:t>9</w:t>
                  </w:r>
                </w:p>
              </w:tc>
            </w:tr>
            <w:tr w:rsidR="00605D96" w:rsidRPr="00995C95" w14:paraId="1D7812D8" w14:textId="77777777" w:rsidTr="008B207B">
              <w:trPr>
                <w:trHeight w:val="255"/>
              </w:trPr>
              <w:tc>
                <w:tcPr>
                  <w:tcW w:w="3362" w:type="dxa"/>
                  <w:tcBorders>
                    <w:top w:val="nil"/>
                    <w:left w:val="nil"/>
                    <w:bottom w:val="nil"/>
                    <w:right w:val="nil"/>
                  </w:tcBorders>
                  <w:noWrap/>
                  <w:vAlign w:val="bottom"/>
                  <w:hideMark/>
                </w:tcPr>
                <w:p w14:paraId="7F4526C7" w14:textId="067DB657" w:rsidR="00605D96" w:rsidRPr="00995C95" w:rsidRDefault="00634573" w:rsidP="008B207B">
                  <w:pPr>
                    <w:spacing w:after="0" w:line="240" w:lineRule="auto"/>
                    <w:jc w:val="left"/>
                    <w:rPr>
                      <w:rFonts w:cs="Arial"/>
                      <w:color w:val="000000"/>
                      <w:sz w:val="16"/>
                      <w:szCs w:val="16"/>
                    </w:rPr>
                  </w:pPr>
                  <w:r w:rsidRPr="00995C95">
                    <w:rPr>
                      <w:rFonts w:cs="Arial"/>
                      <w:color w:val="000000"/>
                      <w:sz w:val="16"/>
                      <w:szCs w:val="16"/>
                    </w:rPr>
                    <w:t>Great Britain</w:t>
                  </w:r>
                </w:p>
              </w:tc>
              <w:tc>
                <w:tcPr>
                  <w:tcW w:w="700" w:type="dxa"/>
                  <w:tcBorders>
                    <w:top w:val="nil"/>
                    <w:left w:val="nil"/>
                    <w:bottom w:val="nil"/>
                    <w:right w:val="nil"/>
                  </w:tcBorders>
                  <w:noWrap/>
                  <w:vAlign w:val="bottom"/>
                  <w:hideMark/>
                </w:tcPr>
                <w:p w14:paraId="1AEDABE3" w14:textId="73FCE944"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−2</w:t>
                  </w:r>
                  <w:r w:rsidR="008E6F8B" w:rsidRPr="00995C95">
                    <w:rPr>
                      <w:rFonts w:cs="Arial"/>
                      <w:color w:val="000000"/>
                      <w:sz w:val="16"/>
                      <w:szCs w:val="16"/>
                    </w:rPr>
                    <w:t>.</w:t>
                  </w:r>
                  <w:r w:rsidRPr="00995C95">
                    <w:rPr>
                      <w:rFonts w:cs="Arial"/>
                      <w:color w:val="000000"/>
                      <w:sz w:val="16"/>
                      <w:szCs w:val="16"/>
                    </w:rPr>
                    <w:t>3</w:t>
                  </w:r>
                </w:p>
              </w:tc>
              <w:tc>
                <w:tcPr>
                  <w:tcW w:w="700" w:type="dxa"/>
                  <w:tcBorders>
                    <w:top w:val="nil"/>
                    <w:left w:val="nil"/>
                    <w:bottom w:val="nil"/>
                    <w:right w:val="nil"/>
                  </w:tcBorders>
                  <w:noWrap/>
                  <w:vAlign w:val="bottom"/>
                  <w:hideMark/>
                </w:tcPr>
                <w:p w14:paraId="2AE7E63A" w14:textId="68AFE06E"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−4</w:t>
                  </w:r>
                  <w:r w:rsidR="008E6F8B" w:rsidRPr="00995C95">
                    <w:rPr>
                      <w:rFonts w:cs="Arial"/>
                      <w:color w:val="000000"/>
                      <w:sz w:val="16"/>
                      <w:szCs w:val="16"/>
                    </w:rPr>
                    <w:t>.</w:t>
                  </w:r>
                  <w:r w:rsidRPr="00995C95">
                    <w:rPr>
                      <w:rFonts w:cs="Arial"/>
                      <w:color w:val="000000"/>
                      <w:sz w:val="16"/>
                      <w:szCs w:val="16"/>
                    </w:rPr>
                    <w:t>5</w:t>
                  </w:r>
                </w:p>
              </w:tc>
            </w:tr>
            <w:tr w:rsidR="00605D96" w:rsidRPr="00995C95" w14:paraId="52223F08" w14:textId="77777777" w:rsidTr="008B207B">
              <w:trPr>
                <w:trHeight w:val="255"/>
              </w:trPr>
              <w:tc>
                <w:tcPr>
                  <w:tcW w:w="3362" w:type="dxa"/>
                  <w:tcBorders>
                    <w:top w:val="nil"/>
                    <w:left w:val="nil"/>
                    <w:bottom w:val="nil"/>
                    <w:right w:val="nil"/>
                  </w:tcBorders>
                  <w:noWrap/>
                  <w:vAlign w:val="bottom"/>
                  <w:hideMark/>
                </w:tcPr>
                <w:p w14:paraId="22779ECB" w14:textId="20B68593" w:rsidR="00605D96" w:rsidRPr="00995C95" w:rsidRDefault="00634573" w:rsidP="008B207B">
                  <w:pPr>
                    <w:spacing w:after="0" w:line="240" w:lineRule="auto"/>
                    <w:jc w:val="left"/>
                    <w:rPr>
                      <w:rFonts w:cs="Arial"/>
                      <w:color w:val="000000"/>
                      <w:sz w:val="16"/>
                      <w:szCs w:val="16"/>
                    </w:rPr>
                  </w:pPr>
                  <w:r w:rsidRPr="00995C95">
                    <w:rPr>
                      <w:rFonts w:cs="Arial"/>
                      <w:color w:val="000000"/>
                      <w:sz w:val="16"/>
                      <w:szCs w:val="16"/>
                    </w:rPr>
                    <w:t>Germany</w:t>
                  </w:r>
                </w:p>
              </w:tc>
              <w:tc>
                <w:tcPr>
                  <w:tcW w:w="700" w:type="dxa"/>
                  <w:tcBorders>
                    <w:top w:val="nil"/>
                    <w:left w:val="nil"/>
                    <w:bottom w:val="nil"/>
                    <w:right w:val="nil"/>
                  </w:tcBorders>
                  <w:noWrap/>
                  <w:vAlign w:val="bottom"/>
                  <w:hideMark/>
                </w:tcPr>
                <w:p w14:paraId="62139FAB" w14:textId="033D23A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−2</w:t>
                  </w:r>
                  <w:r w:rsidR="008E6F8B" w:rsidRPr="00995C95">
                    <w:rPr>
                      <w:rFonts w:cs="Arial"/>
                      <w:color w:val="000000"/>
                      <w:sz w:val="16"/>
                      <w:szCs w:val="16"/>
                    </w:rPr>
                    <w:t>.</w:t>
                  </w:r>
                  <w:r w:rsidRPr="00995C95">
                    <w:rPr>
                      <w:rFonts w:cs="Arial"/>
                      <w:color w:val="000000"/>
                      <w:sz w:val="16"/>
                      <w:szCs w:val="16"/>
                    </w:rPr>
                    <w:t>6</w:t>
                  </w:r>
                </w:p>
              </w:tc>
              <w:tc>
                <w:tcPr>
                  <w:tcW w:w="700" w:type="dxa"/>
                  <w:tcBorders>
                    <w:top w:val="nil"/>
                    <w:left w:val="nil"/>
                    <w:bottom w:val="nil"/>
                    <w:right w:val="nil"/>
                  </w:tcBorders>
                  <w:noWrap/>
                  <w:vAlign w:val="bottom"/>
                  <w:hideMark/>
                </w:tcPr>
                <w:p w14:paraId="25E15FBB" w14:textId="7C9A2C1A"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−0</w:t>
                  </w:r>
                  <w:r w:rsidR="008E6F8B" w:rsidRPr="00995C95">
                    <w:rPr>
                      <w:rFonts w:cs="Arial"/>
                      <w:color w:val="000000"/>
                      <w:sz w:val="16"/>
                      <w:szCs w:val="16"/>
                    </w:rPr>
                    <w:t>.</w:t>
                  </w:r>
                  <w:r w:rsidRPr="00995C95">
                    <w:rPr>
                      <w:rFonts w:cs="Arial"/>
                      <w:color w:val="000000"/>
                      <w:sz w:val="16"/>
                      <w:szCs w:val="16"/>
                    </w:rPr>
                    <w:t>8</w:t>
                  </w:r>
                </w:p>
              </w:tc>
            </w:tr>
            <w:tr w:rsidR="00605D96" w:rsidRPr="00995C95" w14:paraId="76335155" w14:textId="77777777" w:rsidTr="008B207B">
              <w:trPr>
                <w:trHeight w:val="255"/>
              </w:trPr>
              <w:tc>
                <w:tcPr>
                  <w:tcW w:w="3362" w:type="dxa"/>
                  <w:tcBorders>
                    <w:top w:val="nil"/>
                    <w:left w:val="nil"/>
                    <w:bottom w:val="nil"/>
                    <w:right w:val="nil"/>
                  </w:tcBorders>
                  <w:noWrap/>
                  <w:vAlign w:val="bottom"/>
                  <w:hideMark/>
                </w:tcPr>
                <w:p w14:paraId="06D8F54B" w14:textId="2DD1640F" w:rsidR="00605D96" w:rsidRPr="00995C95" w:rsidRDefault="00634573" w:rsidP="008B207B">
                  <w:pPr>
                    <w:spacing w:after="0" w:line="240" w:lineRule="auto"/>
                    <w:jc w:val="left"/>
                    <w:rPr>
                      <w:rFonts w:cs="Arial"/>
                      <w:color w:val="000000"/>
                      <w:sz w:val="16"/>
                      <w:szCs w:val="16"/>
                    </w:rPr>
                  </w:pPr>
                  <w:r w:rsidRPr="00995C95">
                    <w:rPr>
                      <w:rFonts w:cs="Arial"/>
                      <w:color w:val="000000"/>
                      <w:sz w:val="16"/>
                      <w:szCs w:val="16"/>
                    </w:rPr>
                    <w:t>United States of America</w:t>
                  </w:r>
                </w:p>
              </w:tc>
              <w:tc>
                <w:tcPr>
                  <w:tcW w:w="700" w:type="dxa"/>
                  <w:tcBorders>
                    <w:top w:val="nil"/>
                    <w:left w:val="nil"/>
                    <w:bottom w:val="nil"/>
                    <w:right w:val="nil"/>
                  </w:tcBorders>
                  <w:noWrap/>
                  <w:vAlign w:val="bottom"/>
                  <w:hideMark/>
                </w:tcPr>
                <w:p w14:paraId="4C46FA7D" w14:textId="5AEA193F"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−3</w:t>
                  </w:r>
                  <w:r w:rsidR="008E6F8B" w:rsidRPr="00995C95">
                    <w:rPr>
                      <w:rFonts w:cs="Arial"/>
                      <w:color w:val="000000"/>
                      <w:sz w:val="16"/>
                      <w:szCs w:val="16"/>
                    </w:rPr>
                    <w:t>.</w:t>
                  </w:r>
                  <w:r w:rsidRPr="00995C95">
                    <w:rPr>
                      <w:rFonts w:cs="Arial"/>
                      <w:color w:val="000000"/>
                      <w:sz w:val="16"/>
                      <w:szCs w:val="16"/>
                    </w:rPr>
                    <w:t>0</w:t>
                  </w:r>
                </w:p>
              </w:tc>
              <w:tc>
                <w:tcPr>
                  <w:tcW w:w="700" w:type="dxa"/>
                  <w:tcBorders>
                    <w:top w:val="nil"/>
                    <w:left w:val="nil"/>
                    <w:bottom w:val="nil"/>
                    <w:right w:val="nil"/>
                  </w:tcBorders>
                  <w:noWrap/>
                  <w:vAlign w:val="bottom"/>
                  <w:hideMark/>
                </w:tcPr>
                <w:p w14:paraId="5A0468BF" w14:textId="6F00215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−8</w:t>
                  </w:r>
                  <w:r w:rsidR="008E6F8B" w:rsidRPr="00995C95">
                    <w:rPr>
                      <w:rFonts w:cs="Arial"/>
                      <w:color w:val="000000"/>
                      <w:sz w:val="16"/>
                      <w:szCs w:val="16"/>
                    </w:rPr>
                    <w:t>.</w:t>
                  </w:r>
                  <w:r w:rsidRPr="00995C95">
                    <w:rPr>
                      <w:rFonts w:cs="Arial"/>
                      <w:color w:val="000000"/>
                      <w:sz w:val="16"/>
                      <w:szCs w:val="16"/>
                    </w:rPr>
                    <w:t>7</w:t>
                  </w:r>
                </w:p>
              </w:tc>
            </w:tr>
            <w:tr w:rsidR="00605D96" w:rsidRPr="00995C95" w14:paraId="73062F45" w14:textId="77777777" w:rsidTr="008B207B">
              <w:trPr>
                <w:trHeight w:val="255"/>
              </w:trPr>
              <w:tc>
                <w:tcPr>
                  <w:tcW w:w="3362" w:type="dxa"/>
                  <w:tcBorders>
                    <w:top w:val="nil"/>
                    <w:left w:val="nil"/>
                    <w:bottom w:val="nil"/>
                    <w:right w:val="nil"/>
                  </w:tcBorders>
                  <w:noWrap/>
                  <w:vAlign w:val="bottom"/>
                  <w:hideMark/>
                </w:tcPr>
                <w:p w14:paraId="29C423F0" w14:textId="597F42CC" w:rsidR="00605D96" w:rsidRPr="00995C95" w:rsidRDefault="00605D96" w:rsidP="008B207B">
                  <w:pPr>
                    <w:spacing w:after="0" w:line="240" w:lineRule="auto"/>
                    <w:jc w:val="left"/>
                    <w:rPr>
                      <w:rFonts w:cs="Arial"/>
                      <w:color w:val="000000"/>
                      <w:sz w:val="16"/>
                      <w:szCs w:val="16"/>
                    </w:rPr>
                  </w:pPr>
                  <w:r w:rsidRPr="00995C95">
                    <w:rPr>
                      <w:rFonts w:cs="Arial"/>
                      <w:color w:val="000000"/>
                      <w:sz w:val="16"/>
                      <w:szCs w:val="16"/>
                    </w:rPr>
                    <w:t>Po</w:t>
                  </w:r>
                  <w:r w:rsidR="00634573" w:rsidRPr="00995C95">
                    <w:rPr>
                      <w:rFonts w:cs="Arial"/>
                      <w:color w:val="000000"/>
                      <w:sz w:val="16"/>
                      <w:szCs w:val="16"/>
                    </w:rPr>
                    <w:t>land</w:t>
                  </w:r>
                </w:p>
              </w:tc>
              <w:tc>
                <w:tcPr>
                  <w:tcW w:w="700" w:type="dxa"/>
                  <w:tcBorders>
                    <w:top w:val="nil"/>
                    <w:left w:val="nil"/>
                    <w:bottom w:val="nil"/>
                    <w:right w:val="nil"/>
                  </w:tcBorders>
                  <w:noWrap/>
                  <w:vAlign w:val="bottom"/>
                  <w:hideMark/>
                </w:tcPr>
                <w:p w14:paraId="64A383FA" w14:textId="1F6629E6"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−6</w:t>
                  </w:r>
                  <w:r w:rsidR="008E6F8B" w:rsidRPr="00995C95">
                    <w:rPr>
                      <w:rFonts w:cs="Arial"/>
                      <w:color w:val="000000"/>
                      <w:sz w:val="16"/>
                      <w:szCs w:val="16"/>
                    </w:rPr>
                    <w:t>.</w:t>
                  </w:r>
                  <w:r w:rsidRPr="00995C95">
                    <w:rPr>
                      <w:rFonts w:cs="Arial"/>
                      <w:color w:val="000000"/>
                      <w:sz w:val="16"/>
                      <w:szCs w:val="16"/>
                    </w:rPr>
                    <w:t>7</w:t>
                  </w:r>
                </w:p>
              </w:tc>
              <w:tc>
                <w:tcPr>
                  <w:tcW w:w="700" w:type="dxa"/>
                  <w:tcBorders>
                    <w:top w:val="nil"/>
                    <w:left w:val="nil"/>
                    <w:bottom w:val="nil"/>
                    <w:right w:val="nil"/>
                  </w:tcBorders>
                  <w:noWrap/>
                  <w:vAlign w:val="bottom"/>
                  <w:hideMark/>
                </w:tcPr>
                <w:p w14:paraId="700B0D32" w14:textId="2E2EF33A"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−7</w:t>
                  </w:r>
                  <w:r w:rsidR="008E6F8B" w:rsidRPr="00995C95">
                    <w:rPr>
                      <w:rFonts w:cs="Arial"/>
                      <w:color w:val="000000"/>
                      <w:sz w:val="16"/>
                      <w:szCs w:val="16"/>
                    </w:rPr>
                    <w:t>.</w:t>
                  </w:r>
                  <w:r w:rsidRPr="00995C95">
                    <w:rPr>
                      <w:rFonts w:cs="Arial"/>
                      <w:color w:val="000000"/>
                      <w:sz w:val="16"/>
                      <w:szCs w:val="16"/>
                    </w:rPr>
                    <w:t>3</w:t>
                  </w:r>
                </w:p>
              </w:tc>
            </w:tr>
          </w:tbl>
          <w:p w14:paraId="4F5070DD" w14:textId="77777777" w:rsidR="00605D96" w:rsidRPr="00995C95" w:rsidRDefault="00605D96" w:rsidP="008B207B">
            <w:pPr>
              <w:spacing w:after="0"/>
              <w:rPr>
                <w:spacing w:val="-4"/>
                <w:lang w:eastAsia="en-US"/>
              </w:rPr>
            </w:pPr>
          </w:p>
        </w:tc>
      </w:tr>
      <w:tr w:rsidR="00605D96" w:rsidRPr="00995C95" w14:paraId="0286DA06" w14:textId="77777777" w:rsidTr="008B207B">
        <w:trPr>
          <w:trHeight w:val="170"/>
        </w:trPr>
        <w:tc>
          <w:tcPr>
            <w:tcW w:w="4811" w:type="dxa"/>
            <w:gridSpan w:val="3"/>
            <w:hideMark/>
          </w:tcPr>
          <w:p w14:paraId="051F344D" w14:textId="12631669" w:rsidR="00605D96" w:rsidRPr="00995C95" w:rsidRDefault="00F01008" w:rsidP="008B207B">
            <w:pPr>
              <w:jc w:val="left"/>
              <w:rPr>
                <w:spacing w:val="-4"/>
                <w:sz w:val="16"/>
                <w:szCs w:val="16"/>
                <w:lang w:eastAsia="en-US"/>
              </w:rPr>
            </w:pPr>
            <w:r w:rsidRPr="00995C95">
              <w:rPr>
                <w:spacing w:val="-4"/>
                <w:sz w:val="16"/>
                <w:szCs w:val="16"/>
                <w:lang w:eastAsia="en-US"/>
              </w:rPr>
              <w:t>Source</w:t>
            </w:r>
            <w:r w:rsidR="00605D96" w:rsidRPr="00995C95">
              <w:rPr>
                <w:spacing w:val="-4"/>
                <w:sz w:val="16"/>
                <w:szCs w:val="16"/>
                <w:lang w:eastAsia="en-US"/>
              </w:rPr>
              <w:t xml:space="preserve">: </w:t>
            </w:r>
            <w:r w:rsidRPr="00995C95">
              <w:rPr>
                <w:spacing w:val="-4"/>
                <w:sz w:val="16"/>
                <w:szCs w:val="16"/>
                <w:lang w:eastAsia="en-US"/>
              </w:rPr>
              <w:t>CZSO</w:t>
            </w:r>
          </w:p>
        </w:tc>
        <w:tc>
          <w:tcPr>
            <w:tcW w:w="57" w:type="dxa"/>
          </w:tcPr>
          <w:p w14:paraId="192632AF" w14:textId="77777777" w:rsidR="00605D96" w:rsidRPr="00995C95" w:rsidRDefault="00605D96" w:rsidP="008B207B">
            <w:pPr>
              <w:spacing w:after="0"/>
              <w:rPr>
                <w:spacing w:val="-4"/>
                <w:lang w:eastAsia="en-US"/>
              </w:rPr>
            </w:pPr>
          </w:p>
        </w:tc>
        <w:tc>
          <w:tcPr>
            <w:tcW w:w="4809" w:type="dxa"/>
            <w:hideMark/>
          </w:tcPr>
          <w:p w14:paraId="69732CB4" w14:textId="32B5B989" w:rsidR="00605D96" w:rsidRPr="00995C95" w:rsidRDefault="00F01008" w:rsidP="008B207B">
            <w:pPr>
              <w:spacing w:after="0"/>
              <w:ind w:right="21"/>
              <w:jc w:val="left"/>
              <w:rPr>
                <w:spacing w:val="-4"/>
                <w:lang w:eastAsia="en-US"/>
              </w:rPr>
            </w:pPr>
            <w:r w:rsidRPr="00995C95">
              <w:rPr>
                <w:spacing w:val="-4"/>
                <w:sz w:val="16"/>
                <w:szCs w:val="16"/>
                <w:lang w:eastAsia="en-US"/>
              </w:rPr>
              <w:t>Source</w:t>
            </w:r>
            <w:r w:rsidR="00605D96" w:rsidRPr="00995C95">
              <w:rPr>
                <w:spacing w:val="-4"/>
                <w:sz w:val="16"/>
                <w:szCs w:val="16"/>
                <w:lang w:eastAsia="en-US"/>
              </w:rPr>
              <w:t xml:space="preserve">: </w:t>
            </w:r>
            <w:r w:rsidRPr="00995C95">
              <w:rPr>
                <w:spacing w:val="-4"/>
                <w:sz w:val="16"/>
                <w:szCs w:val="16"/>
                <w:lang w:eastAsia="en-US"/>
              </w:rPr>
              <w:t>CZSO</w:t>
            </w:r>
          </w:p>
        </w:tc>
      </w:tr>
      <w:tr w:rsidR="00605D96" w:rsidRPr="00995C95" w14:paraId="388F7C53" w14:textId="77777777" w:rsidTr="008B207B">
        <w:trPr>
          <w:trHeight w:val="145"/>
        </w:trPr>
        <w:tc>
          <w:tcPr>
            <w:tcW w:w="1748" w:type="dxa"/>
          </w:tcPr>
          <w:p w14:paraId="1FB0D33E" w14:textId="77777777" w:rsidR="00995D56" w:rsidRPr="00995C95" w:rsidRDefault="00995D56" w:rsidP="00995D56">
            <w:pPr>
              <w:pStyle w:val="Marginlie"/>
              <w:rPr>
                <w:lang w:eastAsia="en-US"/>
              </w:rPr>
            </w:pPr>
            <w:r w:rsidRPr="00995C95">
              <w:rPr>
                <w:lang w:eastAsia="en-US"/>
              </w:rPr>
              <w:t>Motor vehicles were a key contributor to last year's increase of exports.</w:t>
            </w:r>
          </w:p>
          <w:p w14:paraId="0A66C97C" w14:textId="32847CB4" w:rsidR="00605D96" w:rsidRPr="00995C95" w:rsidRDefault="00605D96" w:rsidP="008B207B">
            <w:pPr>
              <w:pStyle w:val="Marginlie"/>
              <w:rPr>
                <w:lang w:eastAsia="en-US"/>
              </w:rPr>
            </w:pPr>
          </w:p>
        </w:tc>
        <w:tc>
          <w:tcPr>
            <w:tcW w:w="252" w:type="dxa"/>
          </w:tcPr>
          <w:p w14:paraId="244C6175" w14:textId="77777777" w:rsidR="00605D96" w:rsidRPr="00995C95" w:rsidRDefault="00605D96" w:rsidP="008B207B">
            <w:pPr>
              <w:pStyle w:val="Textpoznpodarou"/>
              <w:jc w:val="both"/>
              <w:rPr>
                <w:spacing w:val="-4"/>
                <w:lang w:eastAsia="en-US"/>
              </w:rPr>
            </w:pPr>
          </w:p>
        </w:tc>
        <w:tc>
          <w:tcPr>
            <w:tcW w:w="7677" w:type="dxa"/>
            <w:gridSpan w:val="3"/>
          </w:tcPr>
          <w:p w14:paraId="214393F2" w14:textId="42A5DEBC" w:rsidR="00605D96" w:rsidRPr="00995C95" w:rsidRDefault="00FA11B5" w:rsidP="008B207B">
            <w:pPr>
              <w:spacing w:after="180"/>
              <w:rPr>
                <w:spacing w:val="-4"/>
                <w:lang w:eastAsia="en-US"/>
              </w:rPr>
            </w:pPr>
            <w:r w:rsidRPr="00995C95">
              <w:rPr>
                <w:spacing w:val="-4"/>
                <w:lang w:eastAsia="en-US"/>
              </w:rPr>
              <w:t>Exports of motor vehicles (+57.8 bn CZK, 4.4%) clearly contributed the most to the increase of the value of exports in 2025. Other areas of domestic production followed with a distance – machinery and equipment (+17.2 bn CZK, 3.4%), which partially recovered from the decline in the previous year, and other transport equipment (+13.1 bn CZK, 15.9%) and food products (+11.8 bn, 6.2%) significantly growing in recent years. The exports increase of basic pharmaceutical products (+8.0 bn, 11.3%), electricity, gas, steam and air-conditioned air (+7.8 bn CZK, 16.2%), rubber and plastic products (+6.6 bn, 3.0%), computers, electronic and optical appliances (+6.0 bn, 1.4%) and coke and refined petroleum products (+5.5 bn, 13.0%) was also significant. The decrease of the value of exports was concentrated mainly in the area of chemical substances and preparations last year (−10.7 bn CZK, −4.8%). In Q4, the year-on-year dynamics of exports across various items was only very modest, including the usual export leaders, such as weakly growing motor vehicles (see Table 1). On the contrary, exports of machinery and equipment, which have been subdued in recent years, recorded a relatively strong quarter. Exports of crude oil and natural gas also contributed more significantly to the total year-on-year growth of exports. By contrast, the decline of exports of electrical equipment from the previous quarter deepened, the decrease lasted for chemical substances and preparations, and exports of electricity, gas, steam and air-condition</w:t>
            </w:r>
            <w:r w:rsidR="00072597" w:rsidRPr="00995C95">
              <w:rPr>
                <w:spacing w:val="-4"/>
                <w:lang w:eastAsia="en-US"/>
              </w:rPr>
              <w:t xml:space="preserve">ing </w:t>
            </w:r>
            <w:r w:rsidRPr="00995C95">
              <w:rPr>
                <w:spacing w:val="-4"/>
                <w:lang w:eastAsia="en-US"/>
              </w:rPr>
              <w:t>decreased significantly.</w:t>
            </w:r>
          </w:p>
        </w:tc>
      </w:tr>
      <w:tr w:rsidR="00605D96" w:rsidRPr="00995C95" w14:paraId="7BB77D4E" w14:textId="77777777" w:rsidTr="008B207B">
        <w:trPr>
          <w:trHeight w:val="145"/>
        </w:trPr>
        <w:tc>
          <w:tcPr>
            <w:tcW w:w="1748" w:type="dxa"/>
            <w:hideMark/>
          </w:tcPr>
          <w:p w14:paraId="73A15055" w14:textId="67272719" w:rsidR="00605D96" w:rsidRPr="00995C95" w:rsidRDefault="003C7792" w:rsidP="008B207B">
            <w:pPr>
              <w:pStyle w:val="Marginlie"/>
              <w:rPr>
                <w:lang w:eastAsia="en-US"/>
              </w:rPr>
            </w:pPr>
            <w:r w:rsidRPr="00995C95">
              <w:rPr>
                <w:lang w:eastAsia="en-US"/>
              </w:rPr>
              <w:t>Imports grew slightly last year.</w:t>
            </w:r>
          </w:p>
        </w:tc>
        <w:tc>
          <w:tcPr>
            <w:tcW w:w="252" w:type="dxa"/>
          </w:tcPr>
          <w:p w14:paraId="0E93BCAD" w14:textId="77777777" w:rsidR="00605D96" w:rsidRPr="00995C95" w:rsidRDefault="00605D96" w:rsidP="008B207B">
            <w:pPr>
              <w:pStyle w:val="Textpoznpodarou"/>
              <w:jc w:val="both"/>
              <w:rPr>
                <w:spacing w:val="-4"/>
                <w:lang w:eastAsia="en-US"/>
              </w:rPr>
            </w:pPr>
          </w:p>
        </w:tc>
        <w:tc>
          <w:tcPr>
            <w:tcW w:w="7677" w:type="dxa"/>
            <w:gridSpan w:val="3"/>
            <w:hideMark/>
          </w:tcPr>
          <w:p w14:paraId="54B9EC9F" w14:textId="5616B52B" w:rsidR="00605D96" w:rsidRPr="00995C95" w:rsidRDefault="00444B1D" w:rsidP="008B207B">
            <w:pPr>
              <w:rPr>
                <w:spacing w:val="-4"/>
                <w:lang w:eastAsia="en-US"/>
              </w:rPr>
            </w:pPr>
            <w:r w:rsidRPr="00995C95">
              <w:rPr>
                <w:spacing w:val="-4"/>
                <w:lang w:eastAsia="en-US"/>
              </w:rPr>
              <w:t>Imports of goods amounted to 4,576.7 bn CZK in 2025 and increased by 134.0 bn CZK (3.0%). Nominal growth strengthened compared to 2024, although price developments were downward</w:t>
            </w:r>
            <w:r w:rsidRPr="00995C95">
              <w:rPr>
                <w:rStyle w:val="Znakapoznpodarou"/>
                <w:spacing w:val="-4"/>
                <w:lang w:eastAsia="en-US"/>
              </w:rPr>
              <w:footnoteReference w:id="73"/>
            </w:r>
            <w:r w:rsidRPr="00995C95">
              <w:rPr>
                <w:spacing w:val="-4"/>
                <w:lang w:eastAsia="en-US"/>
              </w:rPr>
              <w:t xml:space="preserve">. The year-on-year dynamics were strongest at the beginning of the year and gradually weakened also in the case of imports. The value of imports decreased by 10.8 bn </w:t>
            </w:r>
            <w:r w:rsidRPr="00995C95">
              <w:rPr>
                <w:spacing w:val="-4"/>
                <w:lang w:eastAsia="en-US"/>
              </w:rPr>
              <w:lastRenderedPageBreak/>
              <w:t>CZK (−0.9%) to 1,138.7 bn CZK in Q4. On a quarter-on-quarter basis, imports increased by 1.3% in Q4.</w:t>
            </w:r>
          </w:p>
        </w:tc>
      </w:tr>
      <w:tr w:rsidR="00605D96" w:rsidRPr="00995C95" w14:paraId="1A52275D" w14:textId="77777777" w:rsidTr="008B207B">
        <w:trPr>
          <w:trHeight w:val="145"/>
        </w:trPr>
        <w:tc>
          <w:tcPr>
            <w:tcW w:w="1748" w:type="dxa"/>
          </w:tcPr>
          <w:p w14:paraId="494F089B" w14:textId="4C38B939" w:rsidR="00605D96" w:rsidRPr="00995C95" w:rsidRDefault="0098378C" w:rsidP="008B207B">
            <w:pPr>
              <w:pStyle w:val="Marginlie"/>
              <w:rPr>
                <w:lang w:eastAsia="en-US"/>
              </w:rPr>
            </w:pPr>
            <w:r w:rsidRPr="00995C95">
              <w:rPr>
                <w:lang w:eastAsia="en-US"/>
              </w:rPr>
              <w:lastRenderedPageBreak/>
              <w:t>Imports from both the EU and non-EU countries grew.</w:t>
            </w:r>
          </w:p>
        </w:tc>
        <w:tc>
          <w:tcPr>
            <w:tcW w:w="252" w:type="dxa"/>
          </w:tcPr>
          <w:p w14:paraId="7809F21B" w14:textId="77777777" w:rsidR="00605D96" w:rsidRPr="00995C95" w:rsidRDefault="00605D96" w:rsidP="008B207B">
            <w:pPr>
              <w:pStyle w:val="Textpoznpodarou"/>
              <w:jc w:val="both"/>
              <w:rPr>
                <w:spacing w:val="-4"/>
                <w:lang w:eastAsia="en-US"/>
              </w:rPr>
            </w:pPr>
          </w:p>
        </w:tc>
        <w:tc>
          <w:tcPr>
            <w:tcW w:w="7677" w:type="dxa"/>
            <w:gridSpan w:val="3"/>
          </w:tcPr>
          <w:p w14:paraId="3099E0CF" w14:textId="3C0EB3B7" w:rsidR="00605D96" w:rsidRPr="00995C95" w:rsidRDefault="00297ECA" w:rsidP="00297ECA">
            <w:pPr>
              <w:spacing w:after="180"/>
              <w:rPr>
                <w:spacing w:val="-4"/>
                <w:lang w:eastAsia="en-US"/>
              </w:rPr>
            </w:pPr>
            <w:r w:rsidRPr="00995C95">
              <w:rPr>
                <w:spacing w:val="-4"/>
                <w:lang w:eastAsia="en-US"/>
              </w:rPr>
              <w:t>Imports from EU countries increased by 62.6 b</w:t>
            </w:r>
            <w:r w:rsidR="005C4E8C" w:rsidRPr="00995C95">
              <w:rPr>
                <w:spacing w:val="-4"/>
                <w:lang w:eastAsia="en-US"/>
              </w:rPr>
              <w:t>n CZK</w:t>
            </w:r>
            <w:r w:rsidRPr="00995C95">
              <w:rPr>
                <w:spacing w:val="-4"/>
                <w:lang w:eastAsia="en-US"/>
              </w:rPr>
              <w:t xml:space="preserve"> (2.3%) last year. In the case of imports outside the EU, the increase was relatively stronger (+48.5 b</w:t>
            </w:r>
            <w:r w:rsidR="000352CE" w:rsidRPr="00995C95">
              <w:rPr>
                <w:spacing w:val="-4"/>
                <w:lang w:eastAsia="en-US"/>
              </w:rPr>
              <w:t>n</w:t>
            </w:r>
            <w:r w:rsidRPr="00995C95">
              <w:rPr>
                <w:spacing w:val="-4"/>
                <w:lang w:eastAsia="en-US"/>
              </w:rPr>
              <w:t>, 3.0%). The largest increase was recorded in imports from Norway</w:t>
            </w:r>
            <w:r w:rsidR="000352CE" w:rsidRPr="00995C95">
              <w:rPr>
                <w:spacing w:val="-4"/>
                <w:lang w:eastAsia="en-US"/>
              </w:rPr>
              <w:t xml:space="preserve"> last year</w:t>
            </w:r>
            <w:r w:rsidRPr="00995C95">
              <w:rPr>
                <w:spacing w:val="-4"/>
                <w:lang w:eastAsia="en-US"/>
              </w:rPr>
              <w:t xml:space="preserve"> (+24.2 b</w:t>
            </w:r>
            <w:r w:rsidR="000352CE" w:rsidRPr="00995C95">
              <w:rPr>
                <w:spacing w:val="-4"/>
                <w:lang w:eastAsia="en-US"/>
              </w:rPr>
              <w:t>n CZK</w:t>
            </w:r>
            <w:r w:rsidRPr="00995C95">
              <w:rPr>
                <w:spacing w:val="-4"/>
                <w:lang w:eastAsia="en-US"/>
              </w:rPr>
              <w:t>, 44.0%) and China (+19.6 b</w:t>
            </w:r>
            <w:r w:rsidR="00292D62" w:rsidRPr="00995C95">
              <w:rPr>
                <w:spacing w:val="-4"/>
                <w:lang w:eastAsia="en-US"/>
              </w:rPr>
              <w:t>n</w:t>
            </w:r>
            <w:r w:rsidRPr="00995C95">
              <w:rPr>
                <w:spacing w:val="-4"/>
                <w:lang w:eastAsia="en-US"/>
              </w:rPr>
              <w:t xml:space="preserve">, 3.6%). Significant increases were recorded </w:t>
            </w:r>
            <w:r w:rsidR="009C6EF9" w:rsidRPr="00995C95">
              <w:rPr>
                <w:spacing w:val="-4"/>
                <w:lang w:eastAsia="en-US"/>
              </w:rPr>
              <w:t xml:space="preserve">for </w:t>
            </w:r>
            <w:r w:rsidRPr="00995C95">
              <w:rPr>
                <w:spacing w:val="-4"/>
                <w:lang w:eastAsia="en-US"/>
              </w:rPr>
              <w:t>imports from Germany (+11.4 b</w:t>
            </w:r>
            <w:r w:rsidR="009C6EF9" w:rsidRPr="00995C95">
              <w:rPr>
                <w:spacing w:val="-4"/>
                <w:lang w:eastAsia="en-US"/>
              </w:rPr>
              <w:t>n CZK</w:t>
            </w:r>
            <w:r w:rsidRPr="00995C95">
              <w:rPr>
                <w:spacing w:val="-4"/>
                <w:lang w:eastAsia="en-US"/>
              </w:rPr>
              <w:t>, 1.1%), Austria (+9.1 b</w:t>
            </w:r>
            <w:r w:rsidR="009C6EF9" w:rsidRPr="00995C95">
              <w:rPr>
                <w:spacing w:val="-4"/>
                <w:lang w:eastAsia="en-US"/>
              </w:rPr>
              <w:t>n</w:t>
            </w:r>
            <w:r w:rsidRPr="00995C95">
              <w:rPr>
                <w:spacing w:val="-4"/>
                <w:lang w:eastAsia="en-US"/>
              </w:rPr>
              <w:t>, 7.5%), Turkey (+8.9 b</w:t>
            </w:r>
            <w:r w:rsidR="009C6EF9" w:rsidRPr="00995C95">
              <w:rPr>
                <w:spacing w:val="-4"/>
                <w:lang w:eastAsia="en-US"/>
              </w:rPr>
              <w:t>n</w:t>
            </w:r>
            <w:r w:rsidRPr="00995C95">
              <w:rPr>
                <w:spacing w:val="-4"/>
                <w:lang w:eastAsia="en-US"/>
              </w:rPr>
              <w:t>, 16.0%), Hungary (+6.1 b</w:t>
            </w:r>
            <w:r w:rsidR="009C6EF9" w:rsidRPr="00995C95">
              <w:rPr>
                <w:spacing w:val="-4"/>
                <w:lang w:eastAsia="en-US"/>
              </w:rPr>
              <w:t>n</w:t>
            </w:r>
            <w:r w:rsidRPr="00995C95">
              <w:rPr>
                <w:spacing w:val="-4"/>
                <w:lang w:eastAsia="en-US"/>
              </w:rPr>
              <w:t>, 6.1%) and Switzerland (+5.6 b</w:t>
            </w:r>
            <w:r w:rsidR="009C6EF9" w:rsidRPr="00995C95">
              <w:rPr>
                <w:spacing w:val="-4"/>
                <w:lang w:eastAsia="en-US"/>
              </w:rPr>
              <w:t>n</w:t>
            </w:r>
            <w:r w:rsidRPr="00995C95">
              <w:rPr>
                <w:spacing w:val="-4"/>
                <w:lang w:eastAsia="en-US"/>
              </w:rPr>
              <w:t>, 11.8%). Strong percentage increases were recorded for imports from Singapore (+5.1 b</w:t>
            </w:r>
            <w:r w:rsidR="009C6EF9" w:rsidRPr="00995C95">
              <w:rPr>
                <w:spacing w:val="-4"/>
                <w:lang w:eastAsia="en-US"/>
              </w:rPr>
              <w:t>n</w:t>
            </w:r>
            <w:r w:rsidRPr="00995C95">
              <w:rPr>
                <w:spacing w:val="-4"/>
                <w:lang w:eastAsia="en-US"/>
              </w:rPr>
              <w:t>, 102.2%) and the United Arab Emirates (+1.4 b</w:t>
            </w:r>
            <w:r w:rsidR="009C6EF9" w:rsidRPr="00995C95">
              <w:rPr>
                <w:spacing w:val="-4"/>
                <w:lang w:eastAsia="en-US"/>
              </w:rPr>
              <w:t>n</w:t>
            </w:r>
            <w:r w:rsidRPr="00995C95">
              <w:rPr>
                <w:spacing w:val="-4"/>
                <w:lang w:eastAsia="en-US"/>
              </w:rPr>
              <w:t xml:space="preserve">, 32.6%). Only a minority of countries recorded a decrease </w:t>
            </w:r>
            <w:r w:rsidR="00B83446" w:rsidRPr="00995C95">
              <w:rPr>
                <w:spacing w:val="-4"/>
                <w:lang w:eastAsia="en-US"/>
              </w:rPr>
              <w:t>of</w:t>
            </w:r>
            <w:r w:rsidRPr="00995C95">
              <w:rPr>
                <w:spacing w:val="-4"/>
                <w:lang w:eastAsia="en-US"/>
              </w:rPr>
              <w:t xml:space="preserve"> imports, only imports from Russia (−53.0 b</w:t>
            </w:r>
            <w:r w:rsidR="00CE10DA" w:rsidRPr="00995C95">
              <w:rPr>
                <w:spacing w:val="-4"/>
                <w:lang w:eastAsia="en-US"/>
              </w:rPr>
              <w:t>n CZK</w:t>
            </w:r>
            <w:r w:rsidRPr="00995C95">
              <w:rPr>
                <w:spacing w:val="-4"/>
                <w:lang w:eastAsia="en-US"/>
              </w:rPr>
              <w:t>, −67.5%) and Taiwan (−8.0 b</w:t>
            </w:r>
            <w:r w:rsidR="00CE10DA" w:rsidRPr="00995C95">
              <w:rPr>
                <w:spacing w:val="-4"/>
                <w:lang w:eastAsia="en-US"/>
              </w:rPr>
              <w:t>n</w:t>
            </w:r>
            <w:r w:rsidRPr="00995C95">
              <w:rPr>
                <w:spacing w:val="-4"/>
                <w:lang w:eastAsia="en-US"/>
              </w:rPr>
              <w:t xml:space="preserve">, −17.8%) </w:t>
            </w:r>
            <w:r w:rsidR="00CE10DA" w:rsidRPr="00995C95">
              <w:rPr>
                <w:spacing w:val="-4"/>
                <w:lang w:eastAsia="en-US"/>
              </w:rPr>
              <w:t>featured a</w:t>
            </w:r>
            <w:r w:rsidRPr="00995C95">
              <w:rPr>
                <w:spacing w:val="-4"/>
                <w:lang w:eastAsia="en-US"/>
              </w:rPr>
              <w:t xml:space="preserve"> significant dec</w:t>
            </w:r>
            <w:r w:rsidR="00CE10DA" w:rsidRPr="00995C95">
              <w:rPr>
                <w:spacing w:val="-4"/>
                <w:lang w:eastAsia="en-US"/>
              </w:rPr>
              <w:t>rease</w:t>
            </w:r>
            <w:r w:rsidRPr="00995C95">
              <w:rPr>
                <w:spacing w:val="-4"/>
                <w:lang w:eastAsia="en-US"/>
              </w:rPr>
              <w:t>. Non-EU countries (−8.6 b</w:t>
            </w:r>
            <w:r w:rsidR="00CE10DA" w:rsidRPr="00995C95">
              <w:rPr>
                <w:spacing w:val="-4"/>
                <w:lang w:eastAsia="en-US"/>
              </w:rPr>
              <w:t>n</w:t>
            </w:r>
            <w:r w:rsidRPr="00995C95">
              <w:rPr>
                <w:spacing w:val="-4"/>
                <w:lang w:eastAsia="en-US"/>
              </w:rPr>
              <w:t xml:space="preserve">, −2.0%) accounted for a greater share of the </w:t>
            </w:r>
            <w:r w:rsidR="00CE10DA" w:rsidRPr="00995C95">
              <w:rPr>
                <w:spacing w:val="-4"/>
                <w:lang w:eastAsia="en-US"/>
              </w:rPr>
              <w:t xml:space="preserve">total reduction of </w:t>
            </w:r>
            <w:r w:rsidRPr="00995C95">
              <w:rPr>
                <w:spacing w:val="-4"/>
                <w:lang w:eastAsia="en-US"/>
              </w:rPr>
              <w:t xml:space="preserve">imports in Q4 </w:t>
            </w:r>
            <w:r w:rsidR="00CE10DA" w:rsidRPr="00995C95">
              <w:rPr>
                <w:spacing w:val="-4"/>
                <w:lang w:eastAsia="en-US"/>
              </w:rPr>
              <w:t xml:space="preserve">compared to </w:t>
            </w:r>
            <w:r w:rsidRPr="00995C95">
              <w:rPr>
                <w:spacing w:val="-4"/>
                <w:lang w:eastAsia="en-US"/>
              </w:rPr>
              <w:t>imports from the EU (−5.7 b</w:t>
            </w:r>
            <w:r w:rsidR="00CE10DA" w:rsidRPr="00995C95">
              <w:rPr>
                <w:spacing w:val="-4"/>
                <w:lang w:eastAsia="en-US"/>
              </w:rPr>
              <w:t>n CZK</w:t>
            </w:r>
            <w:r w:rsidRPr="00995C95">
              <w:rPr>
                <w:spacing w:val="-4"/>
                <w:lang w:eastAsia="en-US"/>
              </w:rPr>
              <w:t xml:space="preserve">, −0.8%). The year-on-year decline </w:t>
            </w:r>
            <w:r w:rsidR="00CE10DA" w:rsidRPr="00995C95">
              <w:rPr>
                <w:spacing w:val="-4"/>
                <w:lang w:eastAsia="en-US"/>
              </w:rPr>
              <w:t>of</w:t>
            </w:r>
            <w:r w:rsidRPr="00995C95">
              <w:rPr>
                <w:spacing w:val="-4"/>
                <w:lang w:eastAsia="en-US"/>
              </w:rPr>
              <w:t xml:space="preserve"> imports was mainly due to developments in Russia and China (see Table 4), and significant decreases were also recorded </w:t>
            </w:r>
            <w:r w:rsidR="00CE10DA" w:rsidRPr="00995C95">
              <w:rPr>
                <w:spacing w:val="-4"/>
                <w:lang w:eastAsia="en-US"/>
              </w:rPr>
              <w:t xml:space="preserve">for </w:t>
            </w:r>
            <w:r w:rsidRPr="00995C95">
              <w:rPr>
                <w:spacing w:val="-4"/>
                <w:lang w:eastAsia="en-US"/>
              </w:rPr>
              <w:t xml:space="preserve">imports from Slovakia, Poland and Germany. On the </w:t>
            </w:r>
            <w:r w:rsidR="00137BBA" w:rsidRPr="00995C95">
              <w:rPr>
                <w:spacing w:val="-4"/>
                <w:lang w:eastAsia="en-US"/>
              </w:rPr>
              <w:t>contrary</w:t>
            </w:r>
            <w:r w:rsidRPr="00995C95">
              <w:rPr>
                <w:spacing w:val="-4"/>
                <w:lang w:eastAsia="en-US"/>
              </w:rPr>
              <w:t>, imports from Norway, Hungary and Taiwan grew</w:t>
            </w:r>
            <w:r w:rsidR="00137BBA" w:rsidRPr="00995C95">
              <w:rPr>
                <w:spacing w:val="-4"/>
                <w:lang w:eastAsia="en-US"/>
              </w:rPr>
              <w:t>.</w:t>
            </w:r>
          </w:p>
        </w:tc>
      </w:tr>
      <w:tr w:rsidR="00605D96" w:rsidRPr="00995C95" w14:paraId="5C8CF342" w14:textId="77777777" w:rsidTr="008B207B">
        <w:trPr>
          <w:trHeight w:val="145"/>
        </w:trPr>
        <w:tc>
          <w:tcPr>
            <w:tcW w:w="1748" w:type="dxa"/>
          </w:tcPr>
          <w:p w14:paraId="5CBCDD2C" w14:textId="677F3FC1" w:rsidR="00605D96" w:rsidRPr="00995C95" w:rsidRDefault="009E5127" w:rsidP="009E5127">
            <w:pPr>
              <w:pStyle w:val="Marginlie"/>
              <w:rPr>
                <w:lang w:eastAsia="en-US"/>
              </w:rPr>
            </w:pPr>
            <w:r w:rsidRPr="00995C95">
              <w:rPr>
                <w:lang w:eastAsia="en-US"/>
              </w:rPr>
              <w:t>Imports of metal</w:t>
            </w:r>
            <w:r w:rsidR="00B83446" w:rsidRPr="00995C95">
              <w:rPr>
                <w:lang w:eastAsia="en-US"/>
              </w:rPr>
              <w:t>working</w:t>
            </w:r>
            <w:r w:rsidRPr="00995C95">
              <w:rPr>
                <w:lang w:eastAsia="en-US"/>
              </w:rPr>
              <w:t xml:space="preserve"> products grew significantly last year.</w:t>
            </w:r>
          </w:p>
        </w:tc>
        <w:tc>
          <w:tcPr>
            <w:tcW w:w="252" w:type="dxa"/>
          </w:tcPr>
          <w:p w14:paraId="547DB846" w14:textId="77777777" w:rsidR="00605D96" w:rsidRPr="00995C95" w:rsidRDefault="00605D96" w:rsidP="008B207B">
            <w:pPr>
              <w:pStyle w:val="Textpoznpodarou"/>
              <w:jc w:val="both"/>
              <w:rPr>
                <w:spacing w:val="-4"/>
                <w:lang w:eastAsia="en-US"/>
              </w:rPr>
            </w:pPr>
          </w:p>
        </w:tc>
        <w:tc>
          <w:tcPr>
            <w:tcW w:w="7677" w:type="dxa"/>
            <w:gridSpan w:val="3"/>
          </w:tcPr>
          <w:p w14:paraId="761346B8" w14:textId="49903395" w:rsidR="00605D96" w:rsidRPr="00995C95" w:rsidRDefault="00CC64C1" w:rsidP="00137BBA">
            <w:pPr>
              <w:spacing w:after="180"/>
              <w:rPr>
                <w:spacing w:val="-4"/>
                <w:lang w:eastAsia="en-US"/>
              </w:rPr>
            </w:pPr>
            <w:r w:rsidRPr="00995C95">
              <w:rPr>
                <w:spacing w:val="-4"/>
                <w:szCs w:val="20"/>
                <w:lang w:eastAsia="en-US"/>
              </w:rPr>
              <w:t>Last year, imports of metal products</w:t>
            </w:r>
            <w:r w:rsidR="006C398B" w:rsidRPr="00995C95">
              <w:rPr>
                <w:rStyle w:val="Znakapoznpodarou"/>
                <w:spacing w:val="-4"/>
                <w:szCs w:val="20"/>
                <w:lang w:eastAsia="en-US"/>
              </w:rPr>
              <w:footnoteReference w:id="74"/>
            </w:r>
            <w:r w:rsidRPr="00995C95">
              <w:rPr>
                <w:spacing w:val="-4"/>
                <w:szCs w:val="20"/>
                <w:lang w:eastAsia="en-US"/>
              </w:rPr>
              <w:t xml:space="preserve"> (+40.1 b</w:t>
            </w:r>
            <w:r w:rsidR="006C398B" w:rsidRPr="00995C95">
              <w:rPr>
                <w:spacing w:val="-4"/>
                <w:szCs w:val="20"/>
                <w:lang w:eastAsia="en-US"/>
              </w:rPr>
              <w:t>n CZK</w:t>
            </w:r>
            <w:r w:rsidRPr="00995C95">
              <w:rPr>
                <w:spacing w:val="-4"/>
                <w:szCs w:val="20"/>
                <w:lang w:eastAsia="en-US"/>
              </w:rPr>
              <w:t>, 18.4%) and electrical equipment</w:t>
            </w:r>
            <w:r w:rsidR="004111A5" w:rsidRPr="00995C95">
              <w:rPr>
                <w:rStyle w:val="Znakapoznpodarou"/>
                <w:spacing w:val="-4"/>
                <w:lang w:eastAsia="en-US"/>
              </w:rPr>
              <w:footnoteReference w:id="75"/>
            </w:r>
            <w:r w:rsidRPr="00995C95">
              <w:rPr>
                <w:spacing w:val="-4"/>
                <w:szCs w:val="20"/>
                <w:lang w:eastAsia="en-US"/>
              </w:rPr>
              <w:t xml:space="preserve"> (+31.4 b</w:t>
            </w:r>
            <w:r w:rsidR="006C398B" w:rsidRPr="00995C95">
              <w:rPr>
                <w:spacing w:val="-4"/>
                <w:szCs w:val="20"/>
                <w:lang w:eastAsia="en-US"/>
              </w:rPr>
              <w:t>n</w:t>
            </w:r>
            <w:r w:rsidRPr="00995C95">
              <w:rPr>
                <w:spacing w:val="-4"/>
                <w:szCs w:val="20"/>
                <w:lang w:eastAsia="en-US"/>
              </w:rPr>
              <w:t>, 7.2%)</w:t>
            </w:r>
            <w:r w:rsidR="004111A5" w:rsidRPr="00995C95">
              <w:rPr>
                <w:spacing w:val="-4"/>
                <w:szCs w:val="20"/>
                <w:lang w:eastAsia="en-US"/>
              </w:rPr>
              <w:t xml:space="preserve"> increased the most</w:t>
            </w:r>
            <w:r w:rsidRPr="00995C95">
              <w:rPr>
                <w:spacing w:val="-4"/>
                <w:szCs w:val="20"/>
                <w:lang w:eastAsia="en-US"/>
              </w:rPr>
              <w:t xml:space="preserve">. A significant increase was also recorded </w:t>
            </w:r>
            <w:r w:rsidR="004111A5" w:rsidRPr="00995C95">
              <w:rPr>
                <w:spacing w:val="-4"/>
                <w:szCs w:val="20"/>
                <w:lang w:eastAsia="en-US"/>
              </w:rPr>
              <w:t xml:space="preserve">for </w:t>
            </w:r>
            <w:r w:rsidRPr="00995C95">
              <w:rPr>
                <w:spacing w:val="-4"/>
                <w:szCs w:val="20"/>
                <w:lang w:eastAsia="en-US"/>
              </w:rPr>
              <w:t>imports of motor vehicles (+16.7 b</w:t>
            </w:r>
            <w:r w:rsidR="004111A5" w:rsidRPr="00995C95">
              <w:rPr>
                <w:spacing w:val="-4"/>
                <w:szCs w:val="20"/>
                <w:lang w:eastAsia="en-US"/>
              </w:rPr>
              <w:t>n CZK</w:t>
            </w:r>
            <w:r w:rsidRPr="00995C95">
              <w:rPr>
                <w:spacing w:val="-4"/>
                <w:szCs w:val="20"/>
                <w:lang w:eastAsia="en-US"/>
              </w:rPr>
              <w:t>, 2.5%), food products (+15.3 b</w:t>
            </w:r>
            <w:r w:rsidR="004111A5" w:rsidRPr="00995C95">
              <w:rPr>
                <w:spacing w:val="-4"/>
                <w:szCs w:val="20"/>
                <w:lang w:eastAsia="en-US"/>
              </w:rPr>
              <w:t>n</w:t>
            </w:r>
            <w:r w:rsidRPr="00995C95">
              <w:rPr>
                <w:spacing w:val="-4"/>
                <w:szCs w:val="20"/>
                <w:lang w:eastAsia="en-US"/>
              </w:rPr>
              <w:t>, 6.2%), electricity, gas, steam and condition</w:t>
            </w:r>
            <w:r w:rsidR="002F5C7F" w:rsidRPr="00995C95">
              <w:rPr>
                <w:spacing w:val="-4"/>
                <w:szCs w:val="20"/>
                <w:lang w:eastAsia="en-US"/>
              </w:rPr>
              <w:t xml:space="preserve">ing </w:t>
            </w:r>
            <w:r w:rsidRPr="00995C95">
              <w:rPr>
                <w:spacing w:val="-4"/>
                <w:szCs w:val="20"/>
                <w:lang w:eastAsia="en-US"/>
              </w:rPr>
              <w:t>(+10.7 b</w:t>
            </w:r>
            <w:r w:rsidR="00884EC7" w:rsidRPr="00995C95">
              <w:rPr>
                <w:spacing w:val="-4"/>
                <w:szCs w:val="20"/>
                <w:lang w:eastAsia="en-US"/>
              </w:rPr>
              <w:t>n</w:t>
            </w:r>
            <w:r w:rsidRPr="00995C95">
              <w:rPr>
                <w:spacing w:val="-4"/>
                <w:szCs w:val="20"/>
                <w:lang w:eastAsia="en-US"/>
              </w:rPr>
              <w:t>, 54.8%), other products of the manufacturing industry (+9.2 b</w:t>
            </w:r>
            <w:r w:rsidR="00884EC7" w:rsidRPr="00995C95">
              <w:rPr>
                <w:spacing w:val="-4"/>
                <w:szCs w:val="20"/>
                <w:lang w:eastAsia="en-US"/>
              </w:rPr>
              <w:t>n</w:t>
            </w:r>
            <w:r w:rsidRPr="00995C95">
              <w:rPr>
                <w:spacing w:val="-4"/>
                <w:szCs w:val="20"/>
                <w:lang w:eastAsia="en-US"/>
              </w:rPr>
              <w:t>, 9.6%) and other transport</w:t>
            </w:r>
            <w:r w:rsidR="00884EC7" w:rsidRPr="00995C95">
              <w:rPr>
                <w:spacing w:val="-4"/>
                <w:szCs w:val="20"/>
                <w:lang w:eastAsia="en-US"/>
              </w:rPr>
              <w:t xml:space="preserve"> equipment</w:t>
            </w:r>
            <w:r w:rsidRPr="00995C95">
              <w:rPr>
                <w:spacing w:val="-4"/>
                <w:szCs w:val="20"/>
                <w:lang w:eastAsia="en-US"/>
              </w:rPr>
              <w:t xml:space="preserve"> (+9.1 b</w:t>
            </w:r>
            <w:r w:rsidR="00884EC7" w:rsidRPr="00995C95">
              <w:rPr>
                <w:spacing w:val="-4"/>
                <w:szCs w:val="20"/>
                <w:lang w:eastAsia="en-US"/>
              </w:rPr>
              <w:t>n</w:t>
            </w:r>
            <w:r w:rsidRPr="00995C95">
              <w:rPr>
                <w:spacing w:val="-4"/>
                <w:szCs w:val="20"/>
                <w:lang w:eastAsia="en-US"/>
              </w:rPr>
              <w:t>, 14.5%). In particular, the value of imports of coke and refined petroleum products decreased significantly (−7.5 b</w:t>
            </w:r>
            <w:r w:rsidR="00C13B37" w:rsidRPr="00995C95">
              <w:rPr>
                <w:spacing w:val="-4"/>
                <w:szCs w:val="20"/>
                <w:lang w:eastAsia="en-US"/>
              </w:rPr>
              <w:t>n CZK</w:t>
            </w:r>
            <w:r w:rsidRPr="00995C95">
              <w:rPr>
                <w:spacing w:val="-4"/>
                <w:szCs w:val="20"/>
                <w:lang w:eastAsia="en-US"/>
              </w:rPr>
              <w:t xml:space="preserve">, −7.5%). The </w:t>
            </w:r>
            <w:r w:rsidR="00C13B37" w:rsidRPr="00995C95">
              <w:rPr>
                <w:spacing w:val="-4"/>
                <w:szCs w:val="20"/>
                <w:lang w:eastAsia="en-US"/>
              </w:rPr>
              <w:t xml:space="preserve">total </w:t>
            </w:r>
            <w:r w:rsidRPr="00995C95">
              <w:rPr>
                <w:spacing w:val="-4"/>
                <w:szCs w:val="20"/>
                <w:lang w:eastAsia="en-US"/>
              </w:rPr>
              <w:t xml:space="preserve">year-on-year decrease </w:t>
            </w:r>
            <w:r w:rsidR="00C13B37" w:rsidRPr="00995C95">
              <w:rPr>
                <w:spacing w:val="-4"/>
                <w:szCs w:val="20"/>
                <w:lang w:eastAsia="en-US"/>
              </w:rPr>
              <w:t xml:space="preserve">of </w:t>
            </w:r>
            <w:r w:rsidRPr="00995C95">
              <w:rPr>
                <w:spacing w:val="-4"/>
                <w:szCs w:val="20"/>
                <w:lang w:eastAsia="en-US"/>
              </w:rPr>
              <w:t xml:space="preserve">imports of goods in Q4 was mainly influenced by a decline </w:t>
            </w:r>
            <w:r w:rsidR="002F5C7F" w:rsidRPr="00995C95">
              <w:rPr>
                <w:spacing w:val="-4"/>
                <w:szCs w:val="20"/>
                <w:lang w:eastAsia="en-US"/>
              </w:rPr>
              <w:t>of</w:t>
            </w:r>
            <w:r w:rsidRPr="00995C95">
              <w:rPr>
                <w:spacing w:val="-4"/>
                <w:szCs w:val="20"/>
                <w:lang w:eastAsia="en-US"/>
              </w:rPr>
              <w:t xml:space="preserve"> imports of crude oil and natural gas (see Table 3). Imports of chemical</w:t>
            </w:r>
            <w:r w:rsidR="00916567" w:rsidRPr="00995C95">
              <w:rPr>
                <w:spacing w:val="-4"/>
                <w:szCs w:val="20"/>
                <w:lang w:eastAsia="en-US"/>
              </w:rPr>
              <w:t xml:space="preserve"> substances and products</w:t>
            </w:r>
            <w:r w:rsidRPr="00995C95">
              <w:rPr>
                <w:spacing w:val="-4"/>
                <w:szCs w:val="20"/>
                <w:lang w:eastAsia="en-US"/>
              </w:rPr>
              <w:t xml:space="preserve">, machinery and equipment, electrical equipment or coke, and refined petroleum products were also lower. On the </w:t>
            </w:r>
            <w:r w:rsidR="00916567" w:rsidRPr="00995C95">
              <w:rPr>
                <w:spacing w:val="-4"/>
                <w:szCs w:val="20"/>
                <w:lang w:eastAsia="en-US"/>
              </w:rPr>
              <w:t>contrary</w:t>
            </w:r>
            <w:r w:rsidRPr="00995C95">
              <w:rPr>
                <w:spacing w:val="-4"/>
                <w:szCs w:val="20"/>
                <w:lang w:eastAsia="en-US"/>
              </w:rPr>
              <w:t xml:space="preserve">, imports of other </w:t>
            </w:r>
            <w:r w:rsidR="00550D51" w:rsidRPr="00995C95">
              <w:rPr>
                <w:spacing w:val="-4"/>
                <w:szCs w:val="20"/>
                <w:lang w:eastAsia="en-US"/>
              </w:rPr>
              <w:t xml:space="preserve">transport equipment </w:t>
            </w:r>
            <w:r w:rsidRPr="00995C95">
              <w:rPr>
                <w:spacing w:val="-4"/>
                <w:szCs w:val="20"/>
                <w:lang w:eastAsia="en-US"/>
              </w:rPr>
              <w:t>or other products of the manufacturing industry increased.</w:t>
            </w:r>
            <w:r w:rsidR="004111A5" w:rsidRPr="00995C95">
              <w:rPr>
                <w:spacing w:val="-4"/>
                <w:szCs w:val="20"/>
                <w:lang w:eastAsia="en-US"/>
              </w:rPr>
              <w:t xml:space="preserve"> </w:t>
            </w:r>
          </w:p>
        </w:tc>
      </w:tr>
      <w:tr w:rsidR="00605D96" w:rsidRPr="00995C95" w14:paraId="720F81CD" w14:textId="77777777" w:rsidTr="008B207B">
        <w:trPr>
          <w:trHeight w:val="170"/>
        </w:trPr>
        <w:tc>
          <w:tcPr>
            <w:tcW w:w="4811" w:type="dxa"/>
            <w:gridSpan w:val="3"/>
            <w:hideMark/>
          </w:tcPr>
          <w:p w14:paraId="265D12E7" w14:textId="41485EFE" w:rsidR="00605D96" w:rsidRPr="00995C95" w:rsidRDefault="00605D96" w:rsidP="008B207B">
            <w:pPr>
              <w:spacing w:after="0"/>
              <w:jc w:val="left"/>
              <w:rPr>
                <w:spacing w:val="-4"/>
                <w:lang w:eastAsia="en-US"/>
              </w:rPr>
            </w:pPr>
            <w:r w:rsidRPr="00995C95">
              <w:rPr>
                <w:rFonts w:cs="Arial"/>
                <w:b/>
                <w:bCs/>
                <w:color w:val="000000"/>
                <w:sz w:val="18"/>
                <w:szCs w:val="18"/>
                <w:lang w:eastAsia="en-US"/>
              </w:rPr>
              <w:t xml:space="preserve">Tabulka č. 3 </w:t>
            </w:r>
            <w:r w:rsidR="00634573" w:rsidRPr="00995C95">
              <w:rPr>
                <w:rFonts w:cs="Arial"/>
                <w:b/>
                <w:bCs/>
                <w:color w:val="000000"/>
                <w:sz w:val="18"/>
                <w:szCs w:val="18"/>
                <w:lang w:eastAsia="en-US"/>
              </w:rPr>
              <w:t xml:space="preserve">Sections of CPA classification with highest impact on goods imports development in Q4 2025 </w:t>
            </w:r>
            <w:r w:rsidR="00634573" w:rsidRPr="00995C95">
              <w:rPr>
                <w:rFonts w:cs="Arial"/>
                <w:bCs/>
                <w:color w:val="000000"/>
                <w:sz w:val="18"/>
                <w:szCs w:val="18"/>
                <w:lang w:eastAsia="en-US"/>
              </w:rPr>
              <w:t>(year-on-year)</w:t>
            </w:r>
          </w:p>
        </w:tc>
        <w:tc>
          <w:tcPr>
            <w:tcW w:w="57" w:type="dxa"/>
          </w:tcPr>
          <w:p w14:paraId="5BAAFF48" w14:textId="77777777" w:rsidR="00605D96" w:rsidRPr="00995C95" w:rsidRDefault="00605D96" w:rsidP="008B207B">
            <w:pPr>
              <w:spacing w:after="0"/>
              <w:rPr>
                <w:spacing w:val="-4"/>
                <w:lang w:eastAsia="en-US"/>
              </w:rPr>
            </w:pPr>
          </w:p>
        </w:tc>
        <w:tc>
          <w:tcPr>
            <w:tcW w:w="4809" w:type="dxa"/>
            <w:hideMark/>
          </w:tcPr>
          <w:p w14:paraId="4A10656A" w14:textId="5A424B34" w:rsidR="00605D96" w:rsidRPr="00995C95" w:rsidRDefault="00605D96" w:rsidP="008B207B">
            <w:pPr>
              <w:spacing w:after="0"/>
              <w:jc w:val="left"/>
              <w:rPr>
                <w:spacing w:val="-4"/>
                <w:sz w:val="18"/>
                <w:szCs w:val="18"/>
                <w:lang w:eastAsia="en-US"/>
              </w:rPr>
            </w:pPr>
            <w:r w:rsidRPr="00995C95">
              <w:rPr>
                <w:rFonts w:cs="Arial"/>
                <w:b/>
                <w:bCs/>
                <w:color w:val="000000"/>
                <w:sz w:val="18"/>
                <w:szCs w:val="18"/>
                <w:lang w:eastAsia="en-US"/>
              </w:rPr>
              <w:t xml:space="preserve">Tabulka č. 4 </w:t>
            </w:r>
            <w:r w:rsidR="00634573" w:rsidRPr="00995C95">
              <w:rPr>
                <w:rFonts w:cs="Arial"/>
                <w:b/>
                <w:bCs/>
                <w:color w:val="000000"/>
                <w:sz w:val="18"/>
                <w:szCs w:val="18"/>
                <w:lang w:eastAsia="en-US"/>
              </w:rPr>
              <w:t xml:space="preserve">Countries with largest impact on imports of goods in Q4 2025 </w:t>
            </w:r>
            <w:r w:rsidR="00634573" w:rsidRPr="00995C95">
              <w:rPr>
                <w:rFonts w:cs="Arial"/>
                <w:bCs/>
                <w:color w:val="000000"/>
                <w:sz w:val="18"/>
                <w:szCs w:val="18"/>
                <w:lang w:eastAsia="en-US"/>
              </w:rPr>
              <w:t>(year-on-year)</w:t>
            </w:r>
          </w:p>
        </w:tc>
      </w:tr>
      <w:tr w:rsidR="00605D96" w:rsidRPr="00995C95" w14:paraId="34C52A63" w14:textId="77777777" w:rsidTr="008B207B">
        <w:trPr>
          <w:trHeight w:val="170"/>
        </w:trPr>
        <w:tc>
          <w:tcPr>
            <w:tcW w:w="4811" w:type="dxa"/>
            <w:gridSpan w:val="3"/>
            <w:hideMark/>
          </w:tcPr>
          <w:tbl>
            <w:tblPr>
              <w:tblW w:w="4817" w:type="dxa"/>
              <w:tblLayout w:type="fixed"/>
              <w:tblCellMar>
                <w:left w:w="70" w:type="dxa"/>
                <w:right w:w="70" w:type="dxa"/>
              </w:tblCellMar>
              <w:tblLook w:val="04A0" w:firstRow="1" w:lastRow="0" w:firstColumn="1" w:lastColumn="0" w:noHBand="0" w:noVBand="1"/>
            </w:tblPr>
            <w:tblGrid>
              <w:gridCol w:w="3417"/>
              <w:gridCol w:w="700"/>
              <w:gridCol w:w="700"/>
            </w:tblGrid>
            <w:tr w:rsidR="00605D96" w:rsidRPr="00995C95" w14:paraId="235778FD" w14:textId="77777777" w:rsidTr="008B207B">
              <w:trPr>
                <w:trHeight w:val="252"/>
              </w:trPr>
              <w:tc>
                <w:tcPr>
                  <w:tcW w:w="3417" w:type="dxa"/>
                  <w:tcBorders>
                    <w:top w:val="nil"/>
                    <w:left w:val="nil"/>
                    <w:bottom w:val="single" w:sz="4" w:space="0" w:color="auto"/>
                    <w:right w:val="nil"/>
                  </w:tcBorders>
                  <w:noWrap/>
                  <w:vAlign w:val="bottom"/>
                  <w:hideMark/>
                </w:tcPr>
                <w:p w14:paraId="57F37DB2" w14:textId="77777777" w:rsidR="00605D96" w:rsidRPr="00995C95" w:rsidRDefault="00605D96" w:rsidP="008B207B">
                  <w:pPr>
                    <w:spacing w:after="0" w:line="240" w:lineRule="auto"/>
                    <w:jc w:val="left"/>
                    <w:rPr>
                      <w:rFonts w:cs="Arial"/>
                      <w:color w:val="000000"/>
                      <w:sz w:val="16"/>
                      <w:szCs w:val="16"/>
                    </w:rPr>
                  </w:pPr>
                  <w:r w:rsidRPr="00995C95">
                    <w:rPr>
                      <w:rFonts w:cs="Arial"/>
                      <w:color w:val="000000"/>
                      <w:sz w:val="16"/>
                      <w:szCs w:val="16"/>
                    </w:rPr>
                    <w:t> </w:t>
                  </w:r>
                </w:p>
              </w:tc>
              <w:tc>
                <w:tcPr>
                  <w:tcW w:w="700" w:type="dxa"/>
                  <w:tcBorders>
                    <w:top w:val="nil"/>
                    <w:left w:val="nil"/>
                    <w:bottom w:val="single" w:sz="4" w:space="0" w:color="auto"/>
                    <w:right w:val="nil"/>
                  </w:tcBorders>
                  <w:noWrap/>
                  <w:vAlign w:val="bottom"/>
                  <w:hideMark/>
                </w:tcPr>
                <w:p w14:paraId="332A08FB" w14:textId="4FBC42FB" w:rsidR="00605D96" w:rsidRPr="00995C95" w:rsidRDefault="00634573" w:rsidP="008B207B">
                  <w:pPr>
                    <w:spacing w:after="0" w:line="240" w:lineRule="auto"/>
                    <w:jc w:val="right"/>
                    <w:rPr>
                      <w:rFonts w:cs="Arial"/>
                      <w:color w:val="000000"/>
                      <w:sz w:val="16"/>
                      <w:szCs w:val="16"/>
                    </w:rPr>
                  </w:pPr>
                  <w:r w:rsidRPr="00995C95">
                    <w:rPr>
                      <w:rFonts w:cs="Arial"/>
                      <w:color w:val="000000"/>
                      <w:sz w:val="16"/>
                      <w:szCs w:val="16"/>
                    </w:rPr>
                    <w:t>bn CZK</w:t>
                  </w:r>
                </w:p>
              </w:tc>
              <w:tc>
                <w:tcPr>
                  <w:tcW w:w="700" w:type="dxa"/>
                  <w:tcBorders>
                    <w:top w:val="nil"/>
                    <w:left w:val="nil"/>
                    <w:bottom w:val="single" w:sz="4" w:space="0" w:color="auto"/>
                    <w:right w:val="nil"/>
                  </w:tcBorders>
                  <w:noWrap/>
                  <w:vAlign w:val="bottom"/>
                  <w:hideMark/>
                </w:tcPr>
                <w:p w14:paraId="6EA74D90" w14:textId="7777777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w:t>
                  </w:r>
                </w:p>
              </w:tc>
            </w:tr>
            <w:tr w:rsidR="00605D96" w:rsidRPr="00995C95" w14:paraId="7264C08F" w14:textId="77777777" w:rsidTr="008B207B">
              <w:trPr>
                <w:trHeight w:val="252"/>
              </w:trPr>
              <w:tc>
                <w:tcPr>
                  <w:tcW w:w="3417" w:type="dxa"/>
                  <w:tcBorders>
                    <w:top w:val="nil"/>
                    <w:left w:val="nil"/>
                    <w:bottom w:val="nil"/>
                    <w:right w:val="nil"/>
                  </w:tcBorders>
                  <w:noWrap/>
                  <w:vAlign w:val="bottom"/>
                  <w:hideMark/>
                </w:tcPr>
                <w:p w14:paraId="6DC93622" w14:textId="64035AB9" w:rsidR="00605D96" w:rsidRPr="00995C95" w:rsidRDefault="00634573" w:rsidP="008B207B">
                  <w:pPr>
                    <w:spacing w:after="0" w:line="240" w:lineRule="auto"/>
                    <w:jc w:val="left"/>
                    <w:rPr>
                      <w:rFonts w:cs="Arial"/>
                      <w:color w:val="000000"/>
                      <w:sz w:val="16"/>
                      <w:szCs w:val="16"/>
                    </w:rPr>
                  </w:pPr>
                  <w:r w:rsidRPr="00995C95">
                    <w:rPr>
                      <w:sz w:val="16"/>
                      <w:szCs w:val="16"/>
                    </w:rPr>
                    <w:t>Other transport equipment</w:t>
                  </w:r>
                </w:p>
              </w:tc>
              <w:tc>
                <w:tcPr>
                  <w:tcW w:w="700" w:type="dxa"/>
                  <w:tcBorders>
                    <w:top w:val="nil"/>
                    <w:left w:val="nil"/>
                    <w:bottom w:val="nil"/>
                    <w:right w:val="nil"/>
                  </w:tcBorders>
                  <w:noWrap/>
                  <w:vAlign w:val="bottom"/>
                  <w:hideMark/>
                </w:tcPr>
                <w:p w14:paraId="5B2EA758" w14:textId="7F59F036"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+3</w:t>
                  </w:r>
                  <w:r w:rsidR="008E6F8B" w:rsidRPr="00995C95">
                    <w:rPr>
                      <w:rFonts w:cs="Arial"/>
                      <w:color w:val="000000"/>
                      <w:sz w:val="16"/>
                      <w:szCs w:val="16"/>
                    </w:rPr>
                    <w:t>.</w:t>
                  </w:r>
                  <w:r w:rsidRPr="00995C95">
                    <w:rPr>
                      <w:rFonts w:cs="Arial"/>
                      <w:color w:val="000000"/>
                      <w:sz w:val="16"/>
                      <w:szCs w:val="16"/>
                    </w:rPr>
                    <w:t>6</w:t>
                  </w:r>
                </w:p>
              </w:tc>
              <w:tc>
                <w:tcPr>
                  <w:tcW w:w="700" w:type="dxa"/>
                  <w:tcBorders>
                    <w:top w:val="nil"/>
                    <w:left w:val="nil"/>
                    <w:bottom w:val="nil"/>
                    <w:right w:val="nil"/>
                  </w:tcBorders>
                  <w:noWrap/>
                  <w:vAlign w:val="bottom"/>
                  <w:hideMark/>
                </w:tcPr>
                <w:p w14:paraId="27D6B183" w14:textId="7777777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+24,9</w:t>
                  </w:r>
                </w:p>
              </w:tc>
            </w:tr>
            <w:tr w:rsidR="00605D96" w:rsidRPr="00995C95" w14:paraId="5C4E46A6" w14:textId="77777777" w:rsidTr="008B207B">
              <w:trPr>
                <w:trHeight w:val="252"/>
              </w:trPr>
              <w:tc>
                <w:tcPr>
                  <w:tcW w:w="3417" w:type="dxa"/>
                  <w:tcBorders>
                    <w:top w:val="nil"/>
                    <w:left w:val="nil"/>
                    <w:bottom w:val="nil"/>
                    <w:right w:val="nil"/>
                  </w:tcBorders>
                  <w:noWrap/>
                  <w:vAlign w:val="bottom"/>
                  <w:hideMark/>
                </w:tcPr>
                <w:p w14:paraId="1E3C2337" w14:textId="057E97CC" w:rsidR="00605D96" w:rsidRPr="00995C95" w:rsidRDefault="00605D96" w:rsidP="008B207B">
                  <w:pPr>
                    <w:spacing w:after="0" w:line="240" w:lineRule="auto"/>
                    <w:jc w:val="left"/>
                    <w:rPr>
                      <w:rFonts w:cs="Arial"/>
                      <w:color w:val="000000"/>
                      <w:sz w:val="16"/>
                      <w:szCs w:val="16"/>
                    </w:rPr>
                  </w:pPr>
                  <w:r w:rsidRPr="00995C95">
                    <w:rPr>
                      <w:rFonts w:cs="Arial"/>
                      <w:color w:val="000000"/>
                      <w:sz w:val="16"/>
                      <w:szCs w:val="16"/>
                    </w:rPr>
                    <w:t>O</w:t>
                  </w:r>
                  <w:r w:rsidR="008E6F8B" w:rsidRPr="00995C95">
                    <w:rPr>
                      <w:rFonts w:cs="Arial"/>
                      <w:color w:val="000000"/>
                      <w:sz w:val="16"/>
                      <w:szCs w:val="16"/>
                    </w:rPr>
                    <w:t>ther manufacturing products</w:t>
                  </w:r>
                </w:p>
              </w:tc>
              <w:tc>
                <w:tcPr>
                  <w:tcW w:w="700" w:type="dxa"/>
                  <w:tcBorders>
                    <w:top w:val="nil"/>
                    <w:left w:val="nil"/>
                    <w:bottom w:val="nil"/>
                    <w:right w:val="nil"/>
                  </w:tcBorders>
                  <w:noWrap/>
                  <w:vAlign w:val="bottom"/>
                  <w:hideMark/>
                </w:tcPr>
                <w:p w14:paraId="041FB2CD" w14:textId="075211F0"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w:t>
                  </w:r>
                  <w:r w:rsidR="008E6F8B" w:rsidRPr="00995C95">
                    <w:rPr>
                      <w:rFonts w:cs="Arial"/>
                      <w:color w:val="000000"/>
                      <w:sz w:val="16"/>
                      <w:szCs w:val="16"/>
                    </w:rPr>
                    <w:t>.</w:t>
                  </w:r>
                  <w:r w:rsidRPr="00995C95">
                    <w:rPr>
                      <w:rFonts w:cs="Arial"/>
                      <w:color w:val="000000"/>
                      <w:sz w:val="16"/>
                      <w:szCs w:val="16"/>
                    </w:rPr>
                    <w:t>6</w:t>
                  </w:r>
                </w:p>
              </w:tc>
              <w:tc>
                <w:tcPr>
                  <w:tcW w:w="700" w:type="dxa"/>
                  <w:tcBorders>
                    <w:top w:val="nil"/>
                    <w:left w:val="nil"/>
                    <w:bottom w:val="nil"/>
                    <w:right w:val="nil"/>
                  </w:tcBorders>
                  <w:noWrap/>
                  <w:vAlign w:val="bottom"/>
                  <w:hideMark/>
                </w:tcPr>
                <w:p w14:paraId="4F1B1054" w14:textId="7777777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+5,7</w:t>
                  </w:r>
                </w:p>
              </w:tc>
            </w:tr>
            <w:tr w:rsidR="00605D96" w:rsidRPr="00995C95" w14:paraId="65C220FC" w14:textId="77777777" w:rsidTr="008B207B">
              <w:trPr>
                <w:trHeight w:val="252"/>
              </w:trPr>
              <w:tc>
                <w:tcPr>
                  <w:tcW w:w="3417" w:type="dxa"/>
                  <w:tcBorders>
                    <w:top w:val="nil"/>
                    <w:left w:val="nil"/>
                    <w:bottom w:val="nil"/>
                    <w:right w:val="nil"/>
                  </w:tcBorders>
                  <w:noWrap/>
                  <w:vAlign w:val="bottom"/>
                  <w:hideMark/>
                </w:tcPr>
                <w:p w14:paraId="41F929DE" w14:textId="029BB6A8" w:rsidR="00605D96" w:rsidRPr="00995C95" w:rsidRDefault="008E6F8B" w:rsidP="008B207B">
                  <w:pPr>
                    <w:spacing w:after="0" w:line="240" w:lineRule="auto"/>
                    <w:jc w:val="left"/>
                    <w:rPr>
                      <w:rFonts w:cs="Arial"/>
                      <w:color w:val="000000"/>
                      <w:sz w:val="16"/>
                      <w:szCs w:val="16"/>
                    </w:rPr>
                  </w:pPr>
                  <w:r w:rsidRPr="00995C95">
                    <w:rPr>
                      <w:rFonts w:cs="Arial"/>
                      <w:color w:val="000000"/>
                      <w:sz w:val="16"/>
                      <w:szCs w:val="16"/>
                    </w:rPr>
                    <w:t>Metalworking products except for machinery and equipment</w:t>
                  </w:r>
                </w:p>
              </w:tc>
              <w:tc>
                <w:tcPr>
                  <w:tcW w:w="700" w:type="dxa"/>
                  <w:tcBorders>
                    <w:top w:val="nil"/>
                    <w:left w:val="nil"/>
                    <w:bottom w:val="nil"/>
                    <w:right w:val="nil"/>
                  </w:tcBorders>
                  <w:noWrap/>
                  <w:vAlign w:val="bottom"/>
                  <w:hideMark/>
                </w:tcPr>
                <w:p w14:paraId="0EC80224" w14:textId="37B3A176"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w:t>
                  </w:r>
                  <w:r w:rsidR="008E6F8B" w:rsidRPr="00995C95">
                    <w:rPr>
                      <w:rFonts w:cs="Arial"/>
                      <w:color w:val="000000"/>
                      <w:sz w:val="16"/>
                      <w:szCs w:val="16"/>
                    </w:rPr>
                    <w:t>.</w:t>
                  </w:r>
                  <w:r w:rsidRPr="00995C95">
                    <w:rPr>
                      <w:rFonts w:cs="Arial"/>
                      <w:color w:val="000000"/>
                      <w:sz w:val="16"/>
                      <w:szCs w:val="16"/>
                    </w:rPr>
                    <w:t>4</w:t>
                  </w:r>
                </w:p>
              </w:tc>
              <w:tc>
                <w:tcPr>
                  <w:tcW w:w="700" w:type="dxa"/>
                  <w:tcBorders>
                    <w:top w:val="nil"/>
                    <w:left w:val="nil"/>
                    <w:bottom w:val="nil"/>
                    <w:right w:val="nil"/>
                  </w:tcBorders>
                  <w:noWrap/>
                  <w:vAlign w:val="bottom"/>
                  <w:hideMark/>
                </w:tcPr>
                <w:p w14:paraId="2A06E669" w14:textId="7777777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+2,1</w:t>
                  </w:r>
                </w:p>
              </w:tc>
            </w:tr>
            <w:tr w:rsidR="00605D96" w:rsidRPr="00995C95" w14:paraId="64AC6CAC" w14:textId="77777777" w:rsidTr="008B207B">
              <w:trPr>
                <w:trHeight w:val="252"/>
              </w:trPr>
              <w:tc>
                <w:tcPr>
                  <w:tcW w:w="3417" w:type="dxa"/>
                  <w:tcBorders>
                    <w:top w:val="nil"/>
                    <w:left w:val="nil"/>
                    <w:bottom w:val="nil"/>
                    <w:right w:val="nil"/>
                  </w:tcBorders>
                  <w:noWrap/>
                  <w:vAlign w:val="bottom"/>
                  <w:hideMark/>
                </w:tcPr>
                <w:p w14:paraId="63785164" w14:textId="6653D4D5" w:rsidR="00605D96" w:rsidRPr="00995C95" w:rsidRDefault="008E6F8B" w:rsidP="008B207B">
                  <w:pPr>
                    <w:spacing w:after="0" w:line="240" w:lineRule="auto"/>
                    <w:jc w:val="left"/>
                    <w:rPr>
                      <w:rFonts w:cs="Arial"/>
                      <w:color w:val="000000"/>
                      <w:sz w:val="16"/>
                      <w:szCs w:val="16"/>
                    </w:rPr>
                  </w:pPr>
                  <w:r w:rsidRPr="00995C95">
                    <w:rPr>
                      <w:rFonts w:cs="Arial"/>
                      <w:color w:val="000000"/>
                      <w:sz w:val="16"/>
                      <w:szCs w:val="16"/>
                    </w:rPr>
                    <w:t>Basic pharmaceutical products</w:t>
                  </w:r>
                </w:p>
              </w:tc>
              <w:tc>
                <w:tcPr>
                  <w:tcW w:w="700" w:type="dxa"/>
                  <w:tcBorders>
                    <w:top w:val="nil"/>
                    <w:left w:val="nil"/>
                    <w:bottom w:val="nil"/>
                    <w:right w:val="nil"/>
                  </w:tcBorders>
                  <w:noWrap/>
                  <w:vAlign w:val="bottom"/>
                  <w:hideMark/>
                </w:tcPr>
                <w:p w14:paraId="19D74E1C" w14:textId="731FA769"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w:t>
                  </w:r>
                  <w:r w:rsidR="008E6F8B" w:rsidRPr="00995C95">
                    <w:rPr>
                      <w:rFonts w:cs="Arial"/>
                      <w:color w:val="000000"/>
                      <w:sz w:val="16"/>
                      <w:szCs w:val="16"/>
                    </w:rPr>
                    <w:t>.</w:t>
                  </w:r>
                  <w:r w:rsidRPr="00995C95">
                    <w:rPr>
                      <w:rFonts w:cs="Arial"/>
                      <w:color w:val="000000"/>
                      <w:sz w:val="16"/>
                      <w:szCs w:val="16"/>
                    </w:rPr>
                    <w:t>0</w:t>
                  </w:r>
                </w:p>
              </w:tc>
              <w:tc>
                <w:tcPr>
                  <w:tcW w:w="700" w:type="dxa"/>
                  <w:tcBorders>
                    <w:top w:val="nil"/>
                    <w:left w:val="nil"/>
                    <w:bottom w:val="nil"/>
                    <w:right w:val="nil"/>
                  </w:tcBorders>
                  <w:noWrap/>
                  <w:vAlign w:val="bottom"/>
                  <w:hideMark/>
                </w:tcPr>
                <w:p w14:paraId="73DC4769" w14:textId="7777777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+3,1</w:t>
                  </w:r>
                </w:p>
              </w:tc>
            </w:tr>
            <w:tr w:rsidR="00605D96" w:rsidRPr="00995C95" w14:paraId="76E46E32" w14:textId="77777777" w:rsidTr="008B207B">
              <w:trPr>
                <w:trHeight w:val="252"/>
              </w:trPr>
              <w:tc>
                <w:tcPr>
                  <w:tcW w:w="3417" w:type="dxa"/>
                  <w:tcBorders>
                    <w:top w:val="nil"/>
                    <w:left w:val="nil"/>
                    <w:bottom w:val="nil"/>
                    <w:right w:val="nil"/>
                  </w:tcBorders>
                  <w:noWrap/>
                  <w:vAlign w:val="bottom"/>
                  <w:hideMark/>
                </w:tcPr>
                <w:p w14:paraId="45D1E11E" w14:textId="663BF82C" w:rsidR="00605D96" w:rsidRPr="00995C95" w:rsidRDefault="008E6F8B" w:rsidP="008B207B">
                  <w:pPr>
                    <w:spacing w:after="0" w:line="240" w:lineRule="auto"/>
                    <w:jc w:val="left"/>
                    <w:rPr>
                      <w:rFonts w:cs="Arial"/>
                      <w:color w:val="000000"/>
                      <w:sz w:val="16"/>
                      <w:szCs w:val="16"/>
                    </w:rPr>
                  </w:pPr>
                  <w:r w:rsidRPr="00995C95">
                    <w:rPr>
                      <w:rFonts w:cs="Arial"/>
                      <w:color w:val="000000"/>
                      <w:sz w:val="16"/>
                      <w:szCs w:val="16"/>
                    </w:rPr>
                    <w:t>Motor vehicles (excl. motorcycles) and parts</w:t>
                  </w:r>
                </w:p>
              </w:tc>
              <w:tc>
                <w:tcPr>
                  <w:tcW w:w="700" w:type="dxa"/>
                  <w:tcBorders>
                    <w:top w:val="nil"/>
                    <w:left w:val="nil"/>
                    <w:bottom w:val="nil"/>
                    <w:right w:val="nil"/>
                  </w:tcBorders>
                  <w:noWrap/>
                  <w:vAlign w:val="bottom"/>
                  <w:hideMark/>
                </w:tcPr>
                <w:p w14:paraId="1FB6258D" w14:textId="11EE31C3"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w:t>
                  </w:r>
                  <w:r w:rsidR="008E6F8B" w:rsidRPr="00995C95">
                    <w:rPr>
                      <w:rFonts w:cs="Arial"/>
                      <w:color w:val="000000"/>
                      <w:sz w:val="16"/>
                      <w:szCs w:val="16"/>
                    </w:rPr>
                    <w:t>.</w:t>
                  </w:r>
                  <w:r w:rsidRPr="00995C95">
                    <w:rPr>
                      <w:rFonts w:cs="Arial"/>
                      <w:color w:val="000000"/>
                      <w:sz w:val="16"/>
                      <w:szCs w:val="16"/>
                    </w:rPr>
                    <w:t>0</w:t>
                  </w:r>
                </w:p>
              </w:tc>
              <w:tc>
                <w:tcPr>
                  <w:tcW w:w="700" w:type="dxa"/>
                  <w:tcBorders>
                    <w:top w:val="nil"/>
                    <w:left w:val="nil"/>
                    <w:bottom w:val="nil"/>
                    <w:right w:val="nil"/>
                  </w:tcBorders>
                  <w:noWrap/>
                  <w:vAlign w:val="bottom"/>
                  <w:hideMark/>
                </w:tcPr>
                <w:p w14:paraId="29CB4A0C" w14:textId="7777777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+0,6</w:t>
                  </w:r>
                </w:p>
              </w:tc>
            </w:tr>
            <w:tr w:rsidR="00605D96" w:rsidRPr="00995C95" w14:paraId="7DD6822E" w14:textId="77777777" w:rsidTr="008B207B">
              <w:trPr>
                <w:trHeight w:val="252"/>
              </w:trPr>
              <w:tc>
                <w:tcPr>
                  <w:tcW w:w="3417" w:type="dxa"/>
                  <w:tcBorders>
                    <w:top w:val="nil"/>
                    <w:left w:val="nil"/>
                    <w:bottom w:val="nil"/>
                    <w:right w:val="nil"/>
                  </w:tcBorders>
                  <w:noWrap/>
                  <w:vAlign w:val="bottom"/>
                  <w:hideMark/>
                </w:tcPr>
                <w:p w14:paraId="34646B14" w14:textId="6FACCCBD" w:rsidR="00605D96" w:rsidRPr="00995C95" w:rsidRDefault="008E6F8B" w:rsidP="008B207B">
                  <w:pPr>
                    <w:spacing w:after="0" w:line="240" w:lineRule="auto"/>
                    <w:jc w:val="left"/>
                    <w:rPr>
                      <w:rFonts w:cs="Arial"/>
                      <w:color w:val="000000"/>
                      <w:sz w:val="16"/>
                      <w:szCs w:val="16"/>
                    </w:rPr>
                  </w:pPr>
                  <w:r w:rsidRPr="00995C95">
                    <w:rPr>
                      <w:rFonts w:cs="Arial"/>
                      <w:color w:val="000000"/>
                      <w:sz w:val="16"/>
                      <w:szCs w:val="16"/>
                    </w:rPr>
                    <w:t>Wood and wood products excl. furniture</w:t>
                  </w:r>
                </w:p>
              </w:tc>
              <w:tc>
                <w:tcPr>
                  <w:tcW w:w="700" w:type="dxa"/>
                  <w:tcBorders>
                    <w:top w:val="nil"/>
                    <w:left w:val="nil"/>
                    <w:bottom w:val="nil"/>
                    <w:right w:val="nil"/>
                  </w:tcBorders>
                  <w:noWrap/>
                  <w:vAlign w:val="bottom"/>
                  <w:hideMark/>
                </w:tcPr>
                <w:p w14:paraId="0B6C9BEF" w14:textId="2FC98762"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+0</w:t>
                  </w:r>
                  <w:r w:rsidR="008E6F8B" w:rsidRPr="00995C95">
                    <w:rPr>
                      <w:rFonts w:cs="Arial"/>
                      <w:color w:val="000000"/>
                      <w:sz w:val="16"/>
                      <w:szCs w:val="16"/>
                    </w:rPr>
                    <w:t>.</w:t>
                  </w:r>
                  <w:r w:rsidRPr="00995C95">
                    <w:rPr>
                      <w:rFonts w:cs="Arial"/>
                      <w:color w:val="000000"/>
                      <w:sz w:val="16"/>
                      <w:szCs w:val="16"/>
                    </w:rPr>
                    <w:t>8</w:t>
                  </w:r>
                </w:p>
              </w:tc>
              <w:tc>
                <w:tcPr>
                  <w:tcW w:w="700" w:type="dxa"/>
                  <w:tcBorders>
                    <w:top w:val="nil"/>
                    <w:left w:val="nil"/>
                    <w:bottom w:val="nil"/>
                    <w:right w:val="nil"/>
                  </w:tcBorders>
                  <w:noWrap/>
                  <w:vAlign w:val="bottom"/>
                  <w:hideMark/>
                </w:tcPr>
                <w:p w14:paraId="60A6E61B" w14:textId="7777777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+13,7</w:t>
                  </w:r>
                </w:p>
              </w:tc>
            </w:tr>
            <w:tr w:rsidR="00605D96" w:rsidRPr="00995C95" w14:paraId="0293B8CF" w14:textId="77777777" w:rsidTr="008B207B">
              <w:trPr>
                <w:trHeight w:val="252"/>
              </w:trPr>
              <w:tc>
                <w:tcPr>
                  <w:tcW w:w="3417" w:type="dxa"/>
                  <w:tcBorders>
                    <w:top w:val="nil"/>
                    <w:left w:val="nil"/>
                    <w:bottom w:val="nil"/>
                    <w:right w:val="nil"/>
                  </w:tcBorders>
                  <w:noWrap/>
                  <w:vAlign w:val="bottom"/>
                  <w:hideMark/>
                </w:tcPr>
                <w:p w14:paraId="294D1FE4" w14:textId="05903A21" w:rsidR="00605D96" w:rsidRPr="00995C95" w:rsidRDefault="008E6F8B" w:rsidP="008B207B">
                  <w:pPr>
                    <w:spacing w:after="0" w:line="240" w:lineRule="auto"/>
                    <w:jc w:val="left"/>
                    <w:rPr>
                      <w:rFonts w:cs="Arial"/>
                      <w:color w:val="000000"/>
                      <w:sz w:val="16"/>
                      <w:szCs w:val="16"/>
                    </w:rPr>
                  </w:pPr>
                  <w:r w:rsidRPr="00995C95">
                    <w:rPr>
                      <w:sz w:val="16"/>
                      <w:szCs w:val="16"/>
                    </w:rPr>
                    <w:t>Hard coal, brown coal and lignite</w:t>
                  </w:r>
                </w:p>
              </w:tc>
              <w:tc>
                <w:tcPr>
                  <w:tcW w:w="700" w:type="dxa"/>
                  <w:tcBorders>
                    <w:top w:val="nil"/>
                    <w:left w:val="nil"/>
                    <w:bottom w:val="nil"/>
                    <w:right w:val="nil"/>
                  </w:tcBorders>
                  <w:noWrap/>
                  <w:vAlign w:val="bottom"/>
                  <w:hideMark/>
                </w:tcPr>
                <w:p w14:paraId="0ECD2700" w14:textId="0FD39650"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−0</w:t>
                  </w:r>
                  <w:r w:rsidR="008E6F8B" w:rsidRPr="00995C95">
                    <w:rPr>
                      <w:rFonts w:cs="Arial"/>
                      <w:color w:val="000000"/>
                      <w:sz w:val="16"/>
                      <w:szCs w:val="16"/>
                    </w:rPr>
                    <w:t>.</w:t>
                  </w:r>
                  <w:r w:rsidRPr="00995C95">
                    <w:rPr>
                      <w:rFonts w:cs="Arial"/>
                      <w:color w:val="000000"/>
                      <w:sz w:val="16"/>
                      <w:szCs w:val="16"/>
                    </w:rPr>
                    <w:t>8</w:t>
                  </w:r>
                </w:p>
              </w:tc>
              <w:tc>
                <w:tcPr>
                  <w:tcW w:w="700" w:type="dxa"/>
                  <w:tcBorders>
                    <w:top w:val="nil"/>
                    <w:left w:val="nil"/>
                    <w:bottom w:val="nil"/>
                    <w:right w:val="nil"/>
                  </w:tcBorders>
                  <w:noWrap/>
                  <w:vAlign w:val="bottom"/>
                  <w:hideMark/>
                </w:tcPr>
                <w:p w14:paraId="6F5DF52D" w14:textId="7777777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−28,0</w:t>
                  </w:r>
                </w:p>
              </w:tc>
            </w:tr>
            <w:tr w:rsidR="00605D96" w:rsidRPr="00995C95" w14:paraId="4F5B5CF9" w14:textId="77777777" w:rsidTr="008B207B">
              <w:trPr>
                <w:trHeight w:val="252"/>
              </w:trPr>
              <w:tc>
                <w:tcPr>
                  <w:tcW w:w="3417" w:type="dxa"/>
                  <w:tcBorders>
                    <w:top w:val="nil"/>
                    <w:left w:val="nil"/>
                    <w:bottom w:val="nil"/>
                    <w:right w:val="nil"/>
                  </w:tcBorders>
                  <w:noWrap/>
                  <w:vAlign w:val="bottom"/>
                  <w:hideMark/>
                </w:tcPr>
                <w:p w14:paraId="7825A19B" w14:textId="6ED1428B" w:rsidR="00605D96" w:rsidRPr="00995C95" w:rsidRDefault="00605D96" w:rsidP="008B207B">
                  <w:pPr>
                    <w:spacing w:after="0" w:line="240" w:lineRule="auto"/>
                    <w:jc w:val="left"/>
                    <w:rPr>
                      <w:rFonts w:cs="Arial"/>
                      <w:color w:val="000000"/>
                      <w:sz w:val="16"/>
                      <w:szCs w:val="16"/>
                    </w:rPr>
                  </w:pPr>
                  <w:r w:rsidRPr="00995C95">
                    <w:rPr>
                      <w:rFonts w:cs="Arial"/>
                      <w:color w:val="000000"/>
                      <w:sz w:val="16"/>
                      <w:szCs w:val="16"/>
                    </w:rPr>
                    <w:t>Pap</w:t>
                  </w:r>
                  <w:r w:rsidR="008E6F8B" w:rsidRPr="00995C95">
                    <w:rPr>
                      <w:rFonts w:cs="Arial"/>
                      <w:color w:val="000000"/>
                      <w:sz w:val="16"/>
                      <w:szCs w:val="16"/>
                    </w:rPr>
                    <w:t>er and paper products</w:t>
                  </w:r>
                </w:p>
              </w:tc>
              <w:tc>
                <w:tcPr>
                  <w:tcW w:w="700" w:type="dxa"/>
                  <w:tcBorders>
                    <w:top w:val="nil"/>
                    <w:left w:val="nil"/>
                    <w:bottom w:val="nil"/>
                    <w:right w:val="nil"/>
                  </w:tcBorders>
                  <w:noWrap/>
                  <w:vAlign w:val="bottom"/>
                  <w:hideMark/>
                </w:tcPr>
                <w:p w14:paraId="56B5B14B" w14:textId="2D87CE3B"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−0</w:t>
                  </w:r>
                  <w:r w:rsidR="008E6F8B" w:rsidRPr="00995C95">
                    <w:rPr>
                      <w:rFonts w:cs="Arial"/>
                      <w:color w:val="000000"/>
                      <w:sz w:val="16"/>
                      <w:szCs w:val="16"/>
                    </w:rPr>
                    <w:t>.</w:t>
                  </w:r>
                  <w:r w:rsidRPr="00995C95">
                    <w:rPr>
                      <w:rFonts w:cs="Arial"/>
                      <w:color w:val="000000"/>
                      <w:sz w:val="16"/>
                      <w:szCs w:val="16"/>
                    </w:rPr>
                    <w:t>9</w:t>
                  </w:r>
                </w:p>
              </w:tc>
              <w:tc>
                <w:tcPr>
                  <w:tcW w:w="700" w:type="dxa"/>
                  <w:tcBorders>
                    <w:top w:val="nil"/>
                    <w:left w:val="nil"/>
                    <w:bottom w:val="nil"/>
                    <w:right w:val="nil"/>
                  </w:tcBorders>
                  <w:noWrap/>
                  <w:vAlign w:val="bottom"/>
                  <w:hideMark/>
                </w:tcPr>
                <w:p w14:paraId="135F7014" w14:textId="7777777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−5,1</w:t>
                  </w:r>
                </w:p>
              </w:tc>
            </w:tr>
            <w:tr w:rsidR="00605D96" w:rsidRPr="00995C95" w14:paraId="37099667" w14:textId="77777777" w:rsidTr="008B207B">
              <w:trPr>
                <w:trHeight w:val="252"/>
              </w:trPr>
              <w:tc>
                <w:tcPr>
                  <w:tcW w:w="3417" w:type="dxa"/>
                  <w:tcBorders>
                    <w:top w:val="nil"/>
                    <w:left w:val="nil"/>
                    <w:bottom w:val="nil"/>
                    <w:right w:val="nil"/>
                  </w:tcBorders>
                  <w:noWrap/>
                  <w:vAlign w:val="bottom"/>
                  <w:hideMark/>
                </w:tcPr>
                <w:p w14:paraId="7F0A8EA6" w14:textId="09E5F7EF" w:rsidR="00605D96" w:rsidRPr="00995C95" w:rsidRDefault="008E6F8B" w:rsidP="008B207B">
                  <w:pPr>
                    <w:spacing w:after="0" w:line="240" w:lineRule="auto"/>
                    <w:jc w:val="left"/>
                    <w:rPr>
                      <w:rFonts w:cs="Arial"/>
                      <w:color w:val="000000"/>
                      <w:sz w:val="16"/>
                      <w:szCs w:val="16"/>
                    </w:rPr>
                  </w:pPr>
                  <w:r w:rsidRPr="00995C95">
                    <w:rPr>
                      <w:rFonts w:cs="Arial"/>
                      <w:color w:val="000000"/>
                      <w:sz w:val="16"/>
                      <w:szCs w:val="16"/>
                    </w:rPr>
                    <w:t>Rubber and plastic products</w:t>
                  </w:r>
                </w:p>
              </w:tc>
              <w:tc>
                <w:tcPr>
                  <w:tcW w:w="700" w:type="dxa"/>
                  <w:tcBorders>
                    <w:top w:val="nil"/>
                    <w:left w:val="nil"/>
                    <w:bottom w:val="nil"/>
                    <w:right w:val="nil"/>
                  </w:tcBorders>
                  <w:noWrap/>
                  <w:vAlign w:val="bottom"/>
                  <w:hideMark/>
                </w:tcPr>
                <w:p w14:paraId="530F8079" w14:textId="5FA1D25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−0</w:t>
                  </w:r>
                  <w:r w:rsidR="008E6F8B" w:rsidRPr="00995C95">
                    <w:rPr>
                      <w:rFonts w:cs="Arial"/>
                      <w:color w:val="000000"/>
                      <w:sz w:val="16"/>
                      <w:szCs w:val="16"/>
                    </w:rPr>
                    <w:t>.</w:t>
                  </w:r>
                  <w:r w:rsidRPr="00995C95">
                    <w:rPr>
                      <w:rFonts w:cs="Arial"/>
                      <w:color w:val="000000"/>
                      <w:sz w:val="16"/>
                      <w:szCs w:val="16"/>
                    </w:rPr>
                    <w:t>9</w:t>
                  </w:r>
                </w:p>
              </w:tc>
              <w:tc>
                <w:tcPr>
                  <w:tcW w:w="700" w:type="dxa"/>
                  <w:tcBorders>
                    <w:top w:val="nil"/>
                    <w:left w:val="nil"/>
                    <w:bottom w:val="nil"/>
                    <w:right w:val="nil"/>
                  </w:tcBorders>
                  <w:noWrap/>
                  <w:vAlign w:val="bottom"/>
                  <w:hideMark/>
                </w:tcPr>
                <w:p w14:paraId="14C079B3" w14:textId="7777777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−1,8</w:t>
                  </w:r>
                </w:p>
              </w:tc>
            </w:tr>
            <w:tr w:rsidR="00605D96" w:rsidRPr="00995C95" w14:paraId="73F10F7B" w14:textId="77777777" w:rsidTr="008B207B">
              <w:trPr>
                <w:trHeight w:val="252"/>
              </w:trPr>
              <w:tc>
                <w:tcPr>
                  <w:tcW w:w="3417" w:type="dxa"/>
                  <w:tcBorders>
                    <w:top w:val="nil"/>
                    <w:left w:val="nil"/>
                    <w:bottom w:val="nil"/>
                    <w:right w:val="nil"/>
                  </w:tcBorders>
                  <w:noWrap/>
                  <w:vAlign w:val="bottom"/>
                  <w:hideMark/>
                </w:tcPr>
                <w:p w14:paraId="05DBC71C" w14:textId="0EC4CBA2" w:rsidR="00605D96" w:rsidRPr="00995C95" w:rsidRDefault="008E6F8B" w:rsidP="008B207B">
                  <w:pPr>
                    <w:spacing w:after="0" w:line="240" w:lineRule="auto"/>
                    <w:jc w:val="left"/>
                    <w:rPr>
                      <w:rFonts w:cs="Arial"/>
                      <w:color w:val="000000"/>
                      <w:sz w:val="16"/>
                      <w:szCs w:val="16"/>
                    </w:rPr>
                  </w:pPr>
                  <w:r w:rsidRPr="00995C95">
                    <w:rPr>
                      <w:rFonts w:cs="Arial"/>
                      <w:color w:val="000000"/>
                      <w:sz w:val="16"/>
                      <w:szCs w:val="16"/>
                    </w:rPr>
                    <w:t>Leather and associated products</w:t>
                  </w:r>
                </w:p>
              </w:tc>
              <w:tc>
                <w:tcPr>
                  <w:tcW w:w="700" w:type="dxa"/>
                  <w:tcBorders>
                    <w:top w:val="nil"/>
                    <w:left w:val="nil"/>
                    <w:bottom w:val="nil"/>
                    <w:right w:val="nil"/>
                  </w:tcBorders>
                  <w:noWrap/>
                  <w:vAlign w:val="bottom"/>
                  <w:hideMark/>
                </w:tcPr>
                <w:p w14:paraId="5B7240E8" w14:textId="0A6E5C23"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−0</w:t>
                  </w:r>
                  <w:r w:rsidR="008E6F8B" w:rsidRPr="00995C95">
                    <w:rPr>
                      <w:rFonts w:cs="Arial"/>
                      <w:color w:val="000000"/>
                      <w:sz w:val="16"/>
                      <w:szCs w:val="16"/>
                    </w:rPr>
                    <w:t>.</w:t>
                  </w:r>
                  <w:r w:rsidRPr="00995C95">
                    <w:rPr>
                      <w:rFonts w:cs="Arial"/>
                      <w:color w:val="000000"/>
                      <w:sz w:val="16"/>
                      <w:szCs w:val="16"/>
                    </w:rPr>
                    <w:t>9</w:t>
                  </w:r>
                </w:p>
              </w:tc>
              <w:tc>
                <w:tcPr>
                  <w:tcW w:w="700" w:type="dxa"/>
                  <w:tcBorders>
                    <w:top w:val="nil"/>
                    <w:left w:val="nil"/>
                    <w:bottom w:val="nil"/>
                    <w:right w:val="nil"/>
                  </w:tcBorders>
                  <w:noWrap/>
                  <w:vAlign w:val="bottom"/>
                  <w:hideMark/>
                </w:tcPr>
                <w:p w14:paraId="4930E5EA" w14:textId="7777777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−11,6</w:t>
                  </w:r>
                </w:p>
              </w:tc>
            </w:tr>
            <w:tr w:rsidR="00605D96" w:rsidRPr="00995C95" w14:paraId="329C0ADE" w14:textId="77777777" w:rsidTr="008B207B">
              <w:trPr>
                <w:trHeight w:val="252"/>
              </w:trPr>
              <w:tc>
                <w:tcPr>
                  <w:tcW w:w="3417" w:type="dxa"/>
                  <w:tcBorders>
                    <w:top w:val="nil"/>
                    <w:left w:val="nil"/>
                    <w:bottom w:val="nil"/>
                    <w:right w:val="nil"/>
                  </w:tcBorders>
                  <w:noWrap/>
                  <w:vAlign w:val="bottom"/>
                  <w:hideMark/>
                </w:tcPr>
                <w:p w14:paraId="01EBDAD9" w14:textId="06D6D9A4" w:rsidR="00605D96" w:rsidRPr="00995C95" w:rsidRDefault="008E6F8B" w:rsidP="008B207B">
                  <w:pPr>
                    <w:spacing w:after="0" w:line="240" w:lineRule="auto"/>
                    <w:jc w:val="left"/>
                    <w:rPr>
                      <w:rFonts w:cs="Arial"/>
                      <w:color w:val="000000"/>
                      <w:sz w:val="16"/>
                      <w:szCs w:val="16"/>
                    </w:rPr>
                  </w:pPr>
                  <w:r w:rsidRPr="00995C95">
                    <w:rPr>
                      <w:rFonts w:cs="Arial"/>
                      <w:color w:val="000000"/>
                      <w:sz w:val="16"/>
                      <w:szCs w:val="16"/>
                    </w:rPr>
                    <w:t>Coke and refined petroleum products</w:t>
                  </w:r>
                </w:p>
              </w:tc>
              <w:tc>
                <w:tcPr>
                  <w:tcW w:w="700" w:type="dxa"/>
                  <w:tcBorders>
                    <w:top w:val="nil"/>
                    <w:left w:val="nil"/>
                    <w:bottom w:val="nil"/>
                    <w:right w:val="nil"/>
                  </w:tcBorders>
                  <w:noWrap/>
                  <w:vAlign w:val="bottom"/>
                  <w:hideMark/>
                </w:tcPr>
                <w:p w14:paraId="50375F5E" w14:textId="69CF4732"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w:t>
                  </w:r>
                  <w:r w:rsidR="008E6F8B" w:rsidRPr="00995C95">
                    <w:rPr>
                      <w:rFonts w:cs="Arial"/>
                      <w:color w:val="000000"/>
                      <w:sz w:val="16"/>
                      <w:szCs w:val="16"/>
                    </w:rPr>
                    <w:t>.</w:t>
                  </w:r>
                  <w:r w:rsidRPr="00995C95">
                    <w:rPr>
                      <w:rFonts w:cs="Arial"/>
                      <w:color w:val="000000"/>
                      <w:sz w:val="16"/>
                      <w:szCs w:val="16"/>
                    </w:rPr>
                    <w:t>5</w:t>
                  </w:r>
                </w:p>
              </w:tc>
              <w:tc>
                <w:tcPr>
                  <w:tcW w:w="700" w:type="dxa"/>
                  <w:tcBorders>
                    <w:top w:val="nil"/>
                    <w:left w:val="nil"/>
                    <w:bottom w:val="nil"/>
                    <w:right w:val="nil"/>
                  </w:tcBorders>
                  <w:noWrap/>
                  <w:vAlign w:val="bottom"/>
                  <w:hideMark/>
                </w:tcPr>
                <w:p w14:paraId="77527D40" w14:textId="7777777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−6,8</w:t>
                  </w:r>
                </w:p>
              </w:tc>
            </w:tr>
            <w:tr w:rsidR="00605D96" w:rsidRPr="00995C95" w14:paraId="7E4CEA18" w14:textId="77777777" w:rsidTr="008B207B">
              <w:trPr>
                <w:trHeight w:val="252"/>
              </w:trPr>
              <w:tc>
                <w:tcPr>
                  <w:tcW w:w="3417" w:type="dxa"/>
                  <w:tcBorders>
                    <w:top w:val="nil"/>
                    <w:left w:val="nil"/>
                    <w:bottom w:val="nil"/>
                    <w:right w:val="nil"/>
                  </w:tcBorders>
                  <w:noWrap/>
                  <w:vAlign w:val="bottom"/>
                  <w:hideMark/>
                </w:tcPr>
                <w:p w14:paraId="2759C1FD" w14:textId="30E7FF50" w:rsidR="00605D96" w:rsidRPr="00995C95" w:rsidRDefault="008E6F8B" w:rsidP="008B207B">
                  <w:pPr>
                    <w:spacing w:after="0" w:line="240" w:lineRule="auto"/>
                    <w:jc w:val="left"/>
                    <w:rPr>
                      <w:rFonts w:cs="Arial"/>
                      <w:color w:val="000000"/>
                      <w:sz w:val="16"/>
                      <w:szCs w:val="16"/>
                    </w:rPr>
                  </w:pPr>
                  <w:r w:rsidRPr="00995C95">
                    <w:rPr>
                      <w:rFonts w:cs="Arial"/>
                      <w:color w:val="000000"/>
                      <w:sz w:val="16"/>
                      <w:szCs w:val="16"/>
                    </w:rPr>
                    <w:t>Electrical equipment</w:t>
                  </w:r>
                </w:p>
              </w:tc>
              <w:tc>
                <w:tcPr>
                  <w:tcW w:w="700" w:type="dxa"/>
                  <w:tcBorders>
                    <w:top w:val="nil"/>
                    <w:left w:val="nil"/>
                    <w:bottom w:val="nil"/>
                    <w:right w:val="nil"/>
                  </w:tcBorders>
                  <w:noWrap/>
                  <w:vAlign w:val="bottom"/>
                  <w:hideMark/>
                </w:tcPr>
                <w:p w14:paraId="3973CA7F" w14:textId="0B51678A"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w:t>
                  </w:r>
                  <w:r w:rsidR="008E6F8B" w:rsidRPr="00995C95">
                    <w:rPr>
                      <w:rFonts w:cs="Arial"/>
                      <w:color w:val="000000"/>
                      <w:sz w:val="16"/>
                      <w:szCs w:val="16"/>
                    </w:rPr>
                    <w:t>.</w:t>
                  </w:r>
                  <w:r w:rsidRPr="00995C95">
                    <w:rPr>
                      <w:rFonts w:cs="Arial"/>
                      <w:color w:val="000000"/>
                      <w:sz w:val="16"/>
                      <w:szCs w:val="16"/>
                    </w:rPr>
                    <w:t>8</w:t>
                  </w:r>
                </w:p>
              </w:tc>
              <w:tc>
                <w:tcPr>
                  <w:tcW w:w="700" w:type="dxa"/>
                  <w:tcBorders>
                    <w:top w:val="nil"/>
                    <w:left w:val="nil"/>
                    <w:bottom w:val="nil"/>
                    <w:right w:val="nil"/>
                  </w:tcBorders>
                  <w:noWrap/>
                  <w:vAlign w:val="bottom"/>
                  <w:hideMark/>
                </w:tcPr>
                <w:p w14:paraId="2A2C3DD5" w14:textId="7777777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−1,5</w:t>
                  </w:r>
                </w:p>
              </w:tc>
            </w:tr>
            <w:tr w:rsidR="00605D96" w:rsidRPr="00995C95" w14:paraId="55B37729" w14:textId="77777777" w:rsidTr="008B207B">
              <w:trPr>
                <w:trHeight w:val="252"/>
              </w:trPr>
              <w:tc>
                <w:tcPr>
                  <w:tcW w:w="3417" w:type="dxa"/>
                  <w:tcBorders>
                    <w:top w:val="nil"/>
                    <w:left w:val="nil"/>
                    <w:bottom w:val="nil"/>
                    <w:right w:val="nil"/>
                  </w:tcBorders>
                  <w:noWrap/>
                  <w:vAlign w:val="bottom"/>
                  <w:hideMark/>
                </w:tcPr>
                <w:p w14:paraId="67BD9320" w14:textId="3166EA2F" w:rsidR="00605D96" w:rsidRPr="00995C95" w:rsidRDefault="008E6F8B" w:rsidP="008B207B">
                  <w:pPr>
                    <w:spacing w:after="0" w:line="240" w:lineRule="auto"/>
                    <w:jc w:val="left"/>
                    <w:rPr>
                      <w:rFonts w:cs="Arial"/>
                      <w:color w:val="000000"/>
                      <w:sz w:val="16"/>
                      <w:szCs w:val="16"/>
                    </w:rPr>
                  </w:pPr>
                  <w:r w:rsidRPr="00995C95">
                    <w:rPr>
                      <w:rFonts w:cs="Arial"/>
                      <w:color w:val="000000"/>
                      <w:sz w:val="16"/>
                      <w:szCs w:val="16"/>
                    </w:rPr>
                    <w:t>Machinery and equipment, n.c.e.</w:t>
                  </w:r>
                </w:p>
              </w:tc>
              <w:tc>
                <w:tcPr>
                  <w:tcW w:w="700" w:type="dxa"/>
                  <w:tcBorders>
                    <w:top w:val="nil"/>
                    <w:left w:val="nil"/>
                    <w:bottom w:val="nil"/>
                    <w:right w:val="nil"/>
                  </w:tcBorders>
                  <w:noWrap/>
                  <w:vAlign w:val="bottom"/>
                  <w:hideMark/>
                </w:tcPr>
                <w:p w14:paraId="6EC22EEE" w14:textId="3E3ADE61"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−2</w:t>
                  </w:r>
                  <w:r w:rsidR="008E6F8B" w:rsidRPr="00995C95">
                    <w:rPr>
                      <w:rFonts w:cs="Arial"/>
                      <w:color w:val="000000"/>
                      <w:sz w:val="16"/>
                      <w:szCs w:val="16"/>
                    </w:rPr>
                    <w:t>.</w:t>
                  </w:r>
                  <w:r w:rsidRPr="00995C95">
                    <w:rPr>
                      <w:rFonts w:cs="Arial"/>
                      <w:color w:val="000000"/>
                      <w:sz w:val="16"/>
                      <w:szCs w:val="16"/>
                    </w:rPr>
                    <w:t>1</w:t>
                  </w:r>
                </w:p>
              </w:tc>
              <w:tc>
                <w:tcPr>
                  <w:tcW w:w="700" w:type="dxa"/>
                  <w:tcBorders>
                    <w:top w:val="nil"/>
                    <w:left w:val="nil"/>
                    <w:bottom w:val="nil"/>
                    <w:right w:val="nil"/>
                  </w:tcBorders>
                  <w:noWrap/>
                  <w:vAlign w:val="bottom"/>
                  <w:hideMark/>
                </w:tcPr>
                <w:p w14:paraId="2A8F476A" w14:textId="7777777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−2,1</w:t>
                  </w:r>
                </w:p>
              </w:tc>
            </w:tr>
            <w:tr w:rsidR="00605D96" w:rsidRPr="00995C95" w14:paraId="2B44E5A8" w14:textId="77777777" w:rsidTr="008B207B">
              <w:trPr>
                <w:trHeight w:val="252"/>
              </w:trPr>
              <w:tc>
                <w:tcPr>
                  <w:tcW w:w="3417" w:type="dxa"/>
                  <w:tcBorders>
                    <w:top w:val="nil"/>
                    <w:left w:val="nil"/>
                    <w:bottom w:val="nil"/>
                    <w:right w:val="nil"/>
                  </w:tcBorders>
                  <w:noWrap/>
                  <w:vAlign w:val="bottom"/>
                  <w:hideMark/>
                </w:tcPr>
                <w:p w14:paraId="60EF4EF0" w14:textId="4E9C8871" w:rsidR="00605D96" w:rsidRPr="00995C95" w:rsidRDefault="008E6F8B" w:rsidP="008B207B">
                  <w:pPr>
                    <w:spacing w:after="0" w:line="240" w:lineRule="auto"/>
                    <w:jc w:val="left"/>
                    <w:rPr>
                      <w:rFonts w:cs="Arial"/>
                      <w:color w:val="000000"/>
                      <w:sz w:val="16"/>
                      <w:szCs w:val="16"/>
                    </w:rPr>
                  </w:pPr>
                  <w:r w:rsidRPr="00995C95">
                    <w:rPr>
                      <w:rFonts w:cs="Arial"/>
                      <w:color w:val="000000"/>
                      <w:sz w:val="16"/>
                      <w:szCs w:val="16"/>
                    </w:rPr>
                    <w:t>Chemicals and chemical products</w:t>
                  </w:r>
                </w:p>
              </w:tc>
              <w:tc>
                <w:tcPr>
                  <w:tcW w:w="700" w:type="dxa"/>
                  <w:tcBorders>
                    <w:top w:val="nil"/>
                    <w:left w:val="nil"/>
                    <w:bottom w:val="nil"/>
                    <w:right w:val="nil"/>
                  </w:tcBorders>
                  <w:noWrap/>
                  <w:vAlign w:val="bottom"/>
                  <w:hideMark/>
                </w:tcPr>
                <w:p w14:paraId="57B42E5E" w14:textId="7A994180"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−2</w:t>
                  </w:r>
                  <w:r w:rsidR="008E6F8B" w:rsidRPr="00995C95">
                    <w:rPr>
                      <w:rFonts w:cs="Arial"/>
                      <w:color w:val="000000"/>
                      <w:sz w:val="16"/>
                      <w:szCs w:val="16"/>
                    </w:rPr>
                    <w:t>.</w:t>
                  </w:r>
                  <w:r w:rsidRPr="00995C95">
                    <w:rPr>
                      <w:rFonts w:cs="Arial"/>
                      <w:color w:val="000000"/>
                      <w:sz w:val="16"/>
                      <w:szCs w:val="16"/>
                    </w:rPr>
                    <w:t>6</w:t>
                  </w:r>
                </w:p>
              </w:tc>
              <w:tc>
                <w:tcPr>
                  <w:tcW w:w="700" w:type="dxa"/>
                  <w:tcBorders>
                    <w:top w:val="nil"/>
                    <w:left w:val="nil"/>
                    <w:bottom w:val="nil"/>
                    <w:right w:val="nil"/>
                  </w:tcBorders>
                  <w:noWrap/>
                  <w:vAlign w:val="bottom"/>
                  <w:hideMark/>
                </w:tcPr>
                <w:p w14:paraId="3663BC8B" w14:textId="7777777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−2,9</w:t>
                  </w:r>
                </w:p>
              </w:tc>
            </w:tr>
            <w:tr w:rsidR="00605D96" w:rsidRPr="00995C95" w14:paraId="14B51712" w14:textId="77777777" w:rsidTr="008B207B">
              <w:trPr>
                <w:trHeight w:val="252"/>
              </w:trPr>
              <w:tc>
                <w:tcPr>
                  <w:tcW w:w="3417" w:type="dxa"/>
                  <w:tcBorders>
                    <w:top w:val="nil"/>
                    <w:left w:val="nil"/>
                    <w:bottom w:val="nil"/>
                    <w:right w:val="nil"/>
                  </w:tcBorders>
                  <w:noWrap/>
                  <w:vAlign w:val="bottom"/>
                  <w:hideMark/>
                </w:tcPr>
                <w:p w14:paraId="0D2B2A9D" w14:textId="7E5AA276" w:rsidR="00605D96" w:rsidRPr="00995C95" w:rsidRDefault="008E6F8B" w:rsidP="008B207B">
                  <w:pPr>
                    <w:spacing w:after="0" w:line="240" w:lineRule="auto"/>
                    <w:jc w:val="left"/>
                    <w:rPr>
                      <w:rFonts w:cs="Arial"/>
                      <w:color w:val="000000"/>
                      <w:sz w:val="16"/>
                      <w:szCs w:val="16"/>
                    </w:rPr>
                  </w:pPr>
                  <w:r w:rsidRPr="00995C95">
                    <w:rPr>
                      <w:rFonts w:cs="Arial"/>
                      <w:color w:val="000000"/>
                      <w:sz w:val="16"/>
                      <w:szCs w:val="16"/>
                    </w:rPr>
                    <w:t xml:space="preserve">Crude oil and natural gas </w:t>
                  </w:r>
                </w:p>
              </w:tc>
              <w:tc>
                <w:tcPr>
                  <w:tcW w:w="700" w:type="dxa"/>
                  <w:tcBorders>
                    <w:top w:val="nil"/>
                    <w:left w:val="nil"/>
                    <w:bottom w:val="nil"/>
                    <w:right w:val="nil"/>
                  </w:tcBorders>
                  <w:noWrap/>
                  <w:vAlign w:val="bottom"/>
                  <w:hideMark/>
                </w:tcPr>
                <w:p w14:paraId="4C0E6E93" w14:textId="4ECC4109"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−6</w:t>
                  </w:r>
                  <w:r w:rsidR="008E6F8B" w:rsidRPr="00995C95">
                    <w:rPr>
                      <w:rFonts w:cs="Arial"/>
                      <w:color w:val="000000"/>
                      <w:sz w:val="16"/>
                      <w:szCs w:val="16"/>
                    </w:rPr>
                    <w:t>.</w:t>
                  </w:r>
                  <w:r w:rsidRPr="00995C95">
                    <w:rPr>
                      <w:rFonts w:cs="Arial"/>
                      <w:color w:val="000000"/>
                      <w:sz w:val="16"/>
                      <w:szCs w:val="16"/>
                    </w:rPr>
                    <w:t>7</w:t>
                  </w:r>
                </w:p>
              </w:tc>
              <w:tc>
                <w:tcPr>
                  <w:tcW w:w="700" w:type="dxa"/>
                  <w:tcBorders>
                    <w:top w:val="nil"/>
                    <w:left w:val="nil"/>
                    <w:bottom w:val="nil"/>
                    <w:right w:val="nil"/>
                  </w:tcBorders>
                  <w:noWrap/>
                  <w:vAlign w:val="bottom"/>
                  <w:hideMark/>
                </w:tcPr>
                <w:p w14:paraId="60B4D751" w14:textId="36B9D63B"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−16</w:t>
                  </w:r>
                  <w:r w:rsidR="008E6F8B" w:rsidRPr="00995C95">
                    <w:rPr>
                      <w:rFonts w:cs="Arial"/>
                      <w:color w:val="000000"/>
                      <w:sz w:val="16"/>
                      <w:szCs w:val="16"/>
                    </w:rPr>
                    <w:t>.</w:t>
                  </w:r>
                  <w:r w:rsidRPr="00995C95">
                    <w:rPr>
                      <w:rFonts w:cs="Arial"/>
                      <w:color w:val="000000"/>
                      <w:sz w:val="16"/>
                      <w:szCs w:val="16"/>
                    </w:rPr>
                    <w:t>4</w:t>
                  </w:r>
                </w:p>
              </w:tc>
            </w:tr>
          </w:tbl>
          <w:p w14:paraId="0242BC73" w14:textId="77777777" w:rsidR="00605D96" w:rsidRPr="00995C95" w:rsidRDefault="00605D96" w:rsidP="008B207B">
            <w:pPr>
              <w:spacing w:after="0"/>
              <w:rPr>
                <w:spacing w:val="-4"/>
                <w:sz w:val="16"/>
                <w:szCs w:val="16"/>
                <w:lang w:eastAsia="en-US"/>
              </w:rPr>
            </w:pPr>
          </w:p>
        </w:tc>
        <w:tc>
          <w:tcPr>
            <w:tcW w:w="57" w:type="dxa"/>
          </w:tcPr>
          <w:p w14:paraId="55443003" w14:textId="77777777" w:rsidR="00605D96" w:rsidRPr="00995C95" w:rsidRDefault="00605D96" w:rsidP="008B207B">
            <w:pPr>
              <w:spacing w:after="0"/>
              <w:rPr>
                <w:spacing w:val="-4"/>
                <w:sz w:val="16"/>
                <w:szCs w:val="16"/>
                <w:lang w:eastAsia="en-US"/>
              </w:rPr>
            </w:pPr>
          </w:p>
        </w:tc>
        <w:tc>
          <w:tcPr>
            <w:tcW w:w="4809" w:type="dxa"/>
            <w:hideMark/>
          </w:tcPr>
          <w:tbl>
            <w:tblPr>
              <w:tblW w:w="4762" w:type="dxa"/>
              <w:tblLayout w:type="fixed"/>
              <w:tblCellMar>
                <w:left w:w="70" w:type="dxa"/>
                <w:right w:w="70" w:type="dxa"/>
              </w:tblCellMar>
              <w:tblLook w:val="04A0" w:firstRow="1" w:lastRow="0" w:firstColumn="1" w:lastColumn="0" w:noHBand="0" w:noVBand="1"/>
            </w:tblPr>
            <w:tblGrid>
              <w:gridCol w:w="3362"/>
              <w:gridCol w:w="700"/>
              <w:gridCol w:w="700"/>
            </w:tblGrid>
            <w:tr w:rsidR="00605D96" w:rsidRPr="00995C95" w14:paraId="2DB2A0DA" w14:textId="77777777" w:rsidTr="008B207B">
              <w:trPr>
                <w:trHeight w:val="252"/>
              </w:trPr>
              <w:tc>
                <w:tcPr>
                  <w:tcW w:w="3362" w:type="dxa"/>
                  <w:tcBorders>
                    <w:top w:val="nil"/>
                    <w:left w:val="nil"/>
                    <w:bottom w:val="single" w:sz="4" w:space="0" w:color="auto"/>
                    <w:right w:val="nil"/>
                  </w:tcBorders>
                  <w:noWrap/>
                  <w:vAlign w:val="bottom"/>
                  <w:hideMark/>
                </w:tcPr>
                <w:p w14:paraId="33F2D1B0" w14:textId="77777777" w:rsidR="00605D96" w:rsidRPr="00995C95" w:rsidRDefault="00605D96" w:rsidP="008B207B">
                  <w:pPr>
                    <w:spacing w:after="0" w:line="240" w:lineRule="auto"/>
                    <w:jc w:val="left"/>
                    <w:rPr>
                      <w:rFonts w:cs="Arial"/>
                      <w:color w:val="000000"/>
                      <w:sz w:val="22"/>
                      <w:szCs w:val="22"/>
                    </w:rPr>
                  </w:pPr>
                </w:p>
              </w:tc>
              <w:tc>
                <w:tcPr>
                  <w:tcW w:w="700" w:type="dxa"/>
                  <w:tcBorders>
                    <w:top w:val="nil"/>
                    <w:left w:val="nil"/>
                    <w:bottom w:val="single" w:sz="4" w:space="0" w:color="auto"/>
                    <w:right w:val="nil"/>
                  </w:tcBorders>
                  <w:noWrap/>
                  <w:vAlign w:val="bottom"/>
                  <w:hideMark/>
                </w:tcPr>
                <w:p w14:paraId="05631B51" w14:textId="4DF6BC24" w:rsidR="00605D96" w:rsidRPr="00995C95" w:rsidRDefault="00634573" w:rsidP="008B207B">
                  <w:pPr>
                    <w:spacing w:after="0" w:line="240" w:lineRule="auto"/>
                    <w:jc w:val="right"/>
                    <w:rPr>
                      <w:rFonts w:cs="Arial"/>
                      <w:color w:val="000000"/>
                      <w:sz w:val="16"/>
                      <w:szCs w:val="16"/>
                    </w:rPr>
                  </w:pPr>
                  <w:r w:rsidRPr="00995C95">
                    <w:rPr>
                      <w:rFonts w:cs="Arial"/>
                      <w:color w:val="000000"/>
                      <w:sz w:val="16"/>
                      <w:szCs w:val="16"/>
                    </w:rPr>
                    <w:t>bn CZK</w:t>
                  </w:r>
                </w:p>
              </w:tc>
              <w:tc>
                <w:tcPr>
                  <w:tcW w:w="700" w:type="dxa"/>
                  <w:tcBorders>
                    <w:top w:val="nil"/>
                    <w:left w:val="nil"/>
                    <w:bottom w:val="single" w:sz="4" w:space="0" w:color="auto"/>
                    <w:right w:val="nil"/>
                  </w:tcBorders>
                  <w:noWrap/>
                  <w:vAlign w:val="bottom"/>
                  <w:hideMark/>
                </w:tcPr>
                <w:p w14:paraId="461BA5C0" w14:textId="7777777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w:t>
                  </w:r>
                </w:p>
              </w:tc>
            </w:tr>
            <w:tr w:rsidR="00605D96" w:rsidRPr="00995C95" w14:paraId="6BFFAA0B" w14:textId="77777777" w:rsidTr="008B207B">
              <w:trPr>
                <w:trHeight w:val="252"/>
              </w:trPr>
              <w:tc>
                <w:tcPr>
                  <w:tcW w:w="3362" w:type="dxa"/>
                  <w:tcBorders>
                    <w:top w:val="nil"/>
                    <w:left w:val="nil"/>
                    <w:bottom w:val="nil"/>
                    <w:right w:val="nil"/>
                  </w:tcBorders>
                  <w:noWrap/>
                  <w:vAlign w:val="bottom"/>
                  <w:hideMark/>
                </w:tcPr>
                <w:p w14:paraId="38D18677" w14:textId="65B65F28" w:rsidR="00605D96" w:rsidRPr="00995C95" w:rsidRDefault="00605D96" w:rsidP="008B207B">
                  <w:pPr>
                    <w:spacing w:after="0" w:line="240" w:lineRule="auto"/>
                    <w:jc w:val="left"/>
                    <w:rPr>
                      <w:rFonts w:cs="Arial"/>
                      <w:color w:val="000000"/>
                      <w:sz w:val="16"/>
                      <w:szCs w:val="16"/>
                    </w:rPr>
                  </w:pPr>
                  <w:r w:rsidRPr="00995C95">
                    <w:rPr>
                      <w:rFonts w:cs="Arial"/>
                      <w:color w:val="000000"/>
                      <w:sz w:val="16"/>
                      <w:szCs w:val="16"/>
                    </w:rPr>
                    <w:t>Nor</w:t>
                  </w:r>
                  <w:r w:rsidR="00634573" w:rsidRPr="00995C95">
                    <w:rPr>
                      <w:rFonts w:cs="Arial"/>
                      <w:color w:val="000000"/>
                      <w:sz w:val="16"/>
                      <w:szCs w:val="16"/>
                    </w:rPr>
                    <w:t>way</w:t>
                  </w:r>
                </w:p>
              </w:tc>
              <w:tc>
                <w:tcPr>
                  <w:tcW w:w="700" w:type="dxa"/>
                  <w:tcBorders>
                    <w:top w:val="nil"/>
                    <w:left w:val="nil"/>
                    <w:bottom w:val="nil"/>
                    <w:right w:val="nil"/>
                  </w:tcBorders>
                  <w:noWrap/>
                  <w:vAlign w:val="bottom"/>
                  <w:hideMark/>
                </w:tcPr>
                <w:p w14:paraId="592050B5" w14:textId="7777777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+7,1</w:t>
                  </w:r>
                </w:p>
              </w:tc>
              <w:tc>
                <w:tcPr>
                  <w:tcW w:w="700" w:type="dxa"/>
                  <w:tcBorders>
                    <w:top w:val="nil"/>
                    <w:left w:val="nil"/>
                    <w:bottom w:val="nil"/>
                    <w:right w:val="nil"/>
                  </w:tcBorders>
                  <w:noWrap/>
                  <w:vAlign w:val="bottom"/>
                  <w:hideMark/>
                </w:tcPr>
                <w:p w14:paraId="47C5028D" w14:textId="2314891B"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+75</w:t>
                  </w:r>
                  <w:r w:rsidR="008E6F8B" w:rsidRPr="00995C95">
                    <w:rPr>
                      <w:rFonts w:cs="Arial"/>
                      <w:color w:val="000000"/>
                      <w:sz w:val="16"/>
                      <w:szCs w:val="16"/>
                    </w:rPr>
                    <w:t>.</w:t>
                  </w:r>
                  <w:r w:rsidRPr="00995C95">
                    <w:rPr>
                      <w:rFonts w:cs="Arial"/>
                      <w:color w:val="000000"/>
                      <w:sz w:val="16"/>
                      <w:szCs w:val="16"/>
                    </w:rPr>
                    <w:t>8</w:t>
                  </w:r>
                </w:p>
              </w:tc>
            </w:tr>
            <w:tr w:rsidR="00605D96" w:rsidRPr="00995C95" w14:paraId="77DB4F8E" w14:textId="77777777" w:rsidTr="008B207B">
              <w:trPr>
                <w:trHeight w:val="252"/>
              </w:trPr>
              <w:tc>
                <w:tcPr>
                  <w:tcW w:w="3362" w:type="dxa"/>
                  <w:tcBorders>
                    <w:top w:val="nil"/>
                    <w:left w:val="nil"/>
                    <w:bottom w:val="nil"/>
                    <w:right w:val="nil"/>
                  </w:tcBorders>
                  <w:noWrap/>
                  <w:vAlign w:val="bottom"/>
                  <w:hideMark/>
                </w:tcPr>
                <w:p w14:paraId="4A2B6B7F" w14:textId="7A1BC8FA" w:rsidR="00605D96" w:rsidRPr="00995C95" w:rsidRDefault="00634573" w:rsidP="008B207B">
                  <w:pPr>
                    <w:spacing w:after="0" w:line="240" w:lineRule="auto"/>
                    <w:jc w:val="left"/>
                    <w:rPr>
                      <w:rFonts w:cs="Arial"/>
                      <w:color w:val="000000"/>
                      <w:sz w:val="16"/>
                      <w:szCs w:val="16"/>
                    </w:rPr>
                  </w:pPr>
                  <w:r w:rsidRPr="00995C95">
                    <w:rPr>
                      <w:rFonts w:cs="Arial"/>
                      <w:color w:val="000000"/>
                      <w:sz w:val="16"/>
                      <w:szCs w:val="16"/>
                    </w:rPr>
                    <w:t>Hungary</w:t>
                  </w:r>
                </w:p>
              </w:tc>
              <w:tc>
                <w:tcPr>
                  <w:tcW w:w="700" w:type="dxa"/>
                  <w:tcBorders>
                    <w:top w:val="nil"/>
                    <w:left w:val="nil"/>
                    <w:bottom w:val="nil"/>
                    <w:right w:val="nil"/>
                  </w:tcBorders>
                  <w:noWrap/>
                  <w:vAlign w:val="bottom"/>
                  <w:hideMark/>
                </w:tcPr>
                <w:p w14:paraId="7EC7B895" w14:textId="7777777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+4,5</w:t>
                  </w:r>
                </w:p>
              </w:tc>
              <w:tc>
                <w:tcPr>
                  <w:tcW w:w="700" w:type="dxa"/>
                  <w:tcBorders>
                    <w:top w:val="nil"/>
                    <w:left w:val="nil"/>
                    <w:bottom w:val="nil"/>
                    <w:right w:val="nil"/>
                  </w:tcBorders>
                  <w:noWrap/>
                  <w:vAlign w:val="bottom"/>
                  <w:hideMark/>
                </w:tcPr>
                <w:p w14:paraId="4F0116FA" w14:textId="5994C1A1"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+18</w:t>
                  </w:r>
                  <w:r w:rsidR="008E6F8B" w:rsidRPr="00995C95">
                    <w:rPr>
                      <w:rFonts w:cs="Arial"/>
                      <w:color w:val="000000"/>
                      <w:sz w:val="16"/>
                      <w:szCs w:val="16"/>
                    </w:rPr>
                    <w:t>.</w:t>
                  </w:r>
                  <w:r w:rsidRPr="00995C95">
                    <w:rPr>
                      <w:rFonts w:cs="Arial"/>
                      <w:color w:val="000000"/>
                      <w:sz w:val="16"/>
                      <w:szCs w:val="16"/>
                    </w:rPr>
                    <w:t>7</w:t>
                  </w:r>
                </w:p>
              </w:tc>
            </w:tr>
            <w:tr w:rsidR="00605D96" w:rsidRPr="00995C95" w14:paraId="64BC71E1" w14:textId="77777777" w:rsidTr="008B207B">
              <w:trPr>
                <w:trHeight w:val="252"/>
              </w:trPr>
              <w:tc>
                <w:tcPr>
                  <w:tcW w:w="3362" w:type="dxa"/>
                  <w:tcBorders>
                    <w:top w:val="nil"/>
                    <w:left w:val="nil"/>
                    <w:bottom w:val="nil"/>
                    <w:right w:val="nil"/>
                  </w:tcBorders>
                  <w:noWrap/>
                  <w:vAlign w:val="bottom"/>
                  <w:hideMark/>
                </w:tcPr>
                <w:p w14:paraId="3387F984" w14:textId="2F68097D" w:rsidR="00605D96" w:rsidRPr="00995C95" w:rsidRDefault="00634573" w:rsidP="008B207B">
                  <w:pPr>
                    <w:spacing w:after="0" w:line="240" w:lineRule="auto"/>
                    <w:jc w:val="left"/>
                    <w:rPr>
                      <w:rFonts w:cs="Arial"/>
                      <w:color w:val="000000"/>
                      <w:sz w:val="16"/>
                      <w:szCs w:val="16"/>
                    </w:rPr>
                  </w:pPr>
                  <w:r w:rsidRPr="00995C95">
                    <w:rPr>
                      <w:rFonts w:cs="Arial"/>
                      <w:color w:val="000000"/>
                      <w:sz w:val="16"/>
                      <w:szCs w:val="16"/>
                    </w:rPr>
                    <w:t>Taiwan</w:t>
                  </w:r>
                </w:p>
              </w:tc>
              <w:tc>
                <w:tcPr>
                  <w:tcW w:w="700" w:type="dxa"/>
                  <w:tcBorders>
                    <w:top w:val="nil"/>
                    <w:left w:val="nil"/>
                    <w:bottom w:val="nil"/>
                    <w:right w:val="nil"/>
                  </w:tcBorders>
                  <w:noWrap/>
                  <w:vAlign w:val="bottom"/>
                  <w:hideMark/>
                </w:tcPr>
                <w:p w14:paraId="027C0B68" w14:textId="7777777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+2,5</w:t>
                  </w:r>
                </w:p>
              </w:tc>
              <w:tc>
                <w:tcPr>
                  <w:tcW w:w="700" w:type="dxa"/>
                  <w:tcBorders>
                    <w:top w:val="nil"/>
                    <w:left w:val="nil"/>
                    <w:bottom w:val="nil"/>
                    <w:right w:val="nil"/>
                  </w:tcBorders>
                  <w:noWrap/>
                  <w:vAlign w:val="bottom"/>
                  <w:hideMark/>
                </w:tcPr>
                <w:p w14:paraId="6BCE4F13" w14:textId="1B65A945"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+27</w:t>
                  </w:r>
                  <w:r w:rsidR="008E6F8B" w:rsidRPr="00995C95">
                    <w:rPr>
                      <w:rFonts w:cs="Arial"/>
                      <w:color w:val="000000"/>
                      <w:sz w:val="16"/>
                      <w:szCs w:val="16"/>
                    </w:rPr>
                    <w:t>.</w:t>
                  </w:r>
                  <w:r w:rsidRPr="00995C95">
                    <w:rPr>
                      <w:rFonts w:cs="Arial"/>
                      <w:color w:val="000000"/>
                      <w:sz w:val="16"/>
                      <w:szCs w:val="16"/>
                    </w:rPr>
                    <w:t>9</w:t>
                  </w:r>
                </w:p>
              </w:tc>
            </w:tr>
            <w:tr w:rsidR="00605D96" w:rsidRPr="00995C95" w14:paraId="381F48EB" w14:textId="77777777" w:rsidTr="008B207B">
              <w:trPr>
                <w:trHeight w:val="252"/>
              </w:trPr>
              <w:tc>
                <w:tcPr>
                  <w:tcW w:w="3362" w:type="dxa"/>
                  <w:tcBorders>
                    <w:top w:val="nil"/>
                    <w:left w:val="nil"/>
                    <w:bottom w:val="nil"/>
                    <w:right w:val="nil"/>
                  </w:tcBorders>
                  <w:noWrap/>
                  <w:vAlign w:val="bottom"/>
                  <w:hideMark/>
                </w:tcPr>
                <w:p w14:paraId="2C69BDC0" w14:textId="1E31F006" w:rsidR="00605D96" w:rsidRPr="00995C95" w:rsidRDefault="00634573" w:rsidP="008B207B">
                  <w:pPr>
                    <w:spacing w:after="0" w:line="240" w:lineRule="auto"/>
                    <w:jc w:val="left"/>
                    <w:rPr>
                      <w:rFonts w:cs="Arial"/>
                      <w:color w:val="000000"/>
                      <w:sz w:val="16"/>
                      <w:szCs w:val="16"/>
                    </w:rPr>
                  </w:pPr>
                  <w:r w:rsidRPr="00995C95">
                    <w:rPr>
                      <w:rFonts w:cs="Arial"/>
                      <w:color w:val="000000"/>
                      <w:sz w:val="16"/>
                      <w:szCs w:val="16"/>
                    </w:rPr>
                    <w:t>Austria</w:t>
                  </w:r>
                </w:p>
              </w:tc>
              <w:tc>
                <w:tcPr>
                  <w:tcW w:w="700" w:type="dxa"/>
                  <w:tcBorders>
                    <w:top w:val="nil"/>
                    <w:left w:val="nil"/>
                    <w:bottom w:val="nil"/>
                    <w:right w:val="nil"/>
                  </w:tcBorders>
                  <w:noWrap/>
                  <w:vAlign w:val="bottom"/>
                  <w:hideMark/>
                </w:tcPr>
                <w:p w14:paraId="6FA12FA3" w14:textId="7777777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+2,1</w:t>
                  </w:r>
                </w:p>
              </w:tc>
              <w:tc>
                <w:tcPr>
                  <w:tcW w:w="700" w:type="dxa"/>
                  <w:tcBorders>
                    <w:top w:val="nil"/>
                    <w:left w:val="nil"/>
                    <w:bottom w:val="nil"/>
                    <w:right w:val="nil"/>
                  </w:tcBorders>
                  <w:noWrap/>
                  <w:vAlign w:val="bottom"/>
                  <w:hideMark/>
                </w:tcPr>
                <w:p w14:paraId="15AD6599" w14:textId="05C996B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+6</w:t>
                  </w:r>
                  <w:r w:rsidR="008E6F8B" w:rsidRPr="00995C95">
                    <w:rPr>
                      <w:rFonts w:cs="Arial"/>
                      <w:color w:val="000000"/>
                      <w:sz w:val="16"/>
                      <w:szCs w:val="16"/>
                    </w:rPr>
                    <w:t>.</w:t>
                  </w:r>
                  <w:r w:rsidRPr="00995C95">
                    <w:rPr>
                      <w:rFonts w:cs="Arial"/>
                      <w:color w:val="000000"/>
                      <w:sz w:val="16"/>
                      <w:szCs w:val="16"/>
                    </w:rPr>
                    <w:t>6</w:t>
                  </w:r>
                </w:p>
              </w:tc>
            </w:tr>
            <w:tr w:rsidR="00605D96" w:rsidRPr="00995C95" w14:paraId="14A3B314" w14:textId="77777777" w:rsidTr="008B207B">
              <w:trPr>
                <w:trHeight w:val="252"/>
              </w:trPr>
              <w:tc>
                <w:tcPr>
                  <w:tcW w:w="3362" w:type="dxa"/>
                  <w:tcBorders>
                    <w:top w:val="nil"/>
                    <w:left w:val="nil"/>
                    <w:bottom w:val="nil"/>
                    <w:right w:val="nil"/>
                  </w:tcBorders>
                  <w:noWrap/>
                  <w:vAlign w:val="bottom"/>
                  <w:hideMark/>
                </w:tcPr>
                <w:p w14:paraId="233D2AE7" w14:textId="275BD83C" w:rsidR="00605D96" w:rsidRPr="00995C95" w:rsidRDefault="00605D96" w:rsidP="008B207B">
                  <w:pPr>
                    <w:spacing w:after="0" w:line="240" w:lineRule="auto"/>
                    <w:jc w:val="left"/>
                    <w:rPr>
                      <w:rFonts w:cs="Arial"/>
                      <w:color w:val="000000"/>
                      <w:sz w:val="16"/>
                      <w:szCs w:val="16"/>
                    </w:rPr>
                  </w:pPr>
                  <w:r w:rsidRPr="00995C95">
                    <w:rPr>
                      <w:rFonts w:cs="Arial"/>
                      <w:color w:val="000000"/>
                      <w:sz w:val="16"/>
                      <w:szCs w:val="16"/>
                    </w:rPr>
                    <w:t>Singa</w:t>
                  </w:r>
                  <w:r w:rsidR="00634573" w:rsidRPr="00995C95">
                    <w:rPr>
                      <w:rFonts w:cs="Arial"/>
                      <w:color w:val="000000"/>
                      <w:sz w:val="16"/>
                      <w:szCs w:val="16"/>
                    </w:rPr>
                    <w:t>pore</w:t>
                  </w:r>
                </w:p>
              </w:tc>
              <w:tc>
                <w:tcPr>
                  <w:tcW w:w="700" w:type="dxa"/>
                  <w:tcBorders>
                    <w:top w:val="nil"/>
                    <w:left w:val="nil"/>
                    <w:bottom w:val="nil"/>
                    <w:right w:val="nil"/>
                  </w:tcBorders>
                  <w:noWrap/>
                  <w:vAlign w:val="bottom"/>
                  <w:hideMark/>
                </w:tcPr>
                <w:p w14:paraId="7CA396FD" w14:textId="7777777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+1,9</w:t>
                  </w:r>
                </w:p>
              </w:tc>
              <w:tc>
                <w:tcPr>
                  <w:tcW w:w="700" w:type="dxa"/>
                  <w:tcBorders>
                    <w:top w:val="nil"/>
                    <w:left w:val="nil"/>
                    <w:bottom w:val="nil"/>
                    <w:right w:val="nil"/>
                  </w:tcBorders>
                  <w:noWrap/>
                  <w:vAlign w:val="bottom"/>
                  <w:hideMark/>
                </w:tcPr>
                <w:p w14:paraId="2AE45528" w14:textId="3615F52B"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+145</w:t>
                  </w:r>
                  <w:r w:rsidR="008E6F8B" w:rsidRPr="00995C95">
                    <w:rPr>
                      <w:rFonts w:cs="Arial"/>
                      <w:color w:val="000000"/>
                      <w:sz w:val="16"/>
                      <w:szCs w:val="16"/>
                    </w:rPr>
                    <w:t>.</w:t>
                  </w:r>
                  <w:r w:rsidRPr="00995C95">
                    <w:rPr>
                      <w:rFonts w:cs="Arial"/>
                      <w:color w:val="000000"/>
                      <w:sz w:val="16"/>
                      <w:szCs w:val="16"/>
                    </w:rPr>
                    <w:t>7</w:t>
                  </w:r>
                </w:p>
              </w:tc>
            </w:tr>
            <w:tr w:rsidR="00605D96" w:rsidRPr="00995C95" w14:paraId="702D3342" w14:textId="77777777" w:rsidTr="008B207B">
              <w:trPr>
                <w:trHeight w:val="252"/>
              </w:trPr>
              <w:tc>
                <w:tcPr>
                  <w:tcW w:w="3362" w:type="dxa"/>
                  <w:tcBorders>
                    <w:top w:val="nil"/>
                    <w:left w:val="nil"/>
                    <w:bottom w:val="nil"/>
                    <w:right w:val="nil"/>
                  </w:tcBorders>
                  <w:noWrap/>
                  <w:vAlign w:val="bottom"/>
                  <w:hideMark/>
                </w:tcPr>
                <w:p w14:paraId="6719CE0B" w14:textId="607AE943" w:rsidR="00605D96" w:rsidRPr="00995C95" w:rsidRDefault="00634573" w:rsidP="008B207B">
                  <w:pPr>
                    <w:spacing w:after="0" w:line="240" w:lineRule="auto"/>
                    <w:jc w:val="left"/>
                    <w:rPr>
                      <w:rFonts w:cs="Arial"/>
                      <w:color w:val="000000"/>
                      <w:sz w:val="16"/>
                      <w:szCs w:val="16"/>
                    </w:rPr>
                  </w:pPr>
                  <w:r w:rsidRPr="00995C95">
                    <w:rPr>
                      <w:rFonts w:cs="Arial"/>
                      <w:color w:val="000000"/>
                      <w:sz w:val="16"/>
                      <w:szCs w:val="16"/>
                    </w:rPr>
                    <w:t>Switzerland</w:t>
                  </w:r>
                </w:p>
              </w:tc>
              <w:tc>
                <w:tcPr>
                  <w:tcW w:w="700" w:type="dxa"/>
                  <w:tcBorders>
                    <w:top w:val="nil"/>
                    <w:left w:val="nil"/>
                    <w:bottom w:val="nil"/>
                    <w:right w:val="nil"/>
                  </w:tcBorders>
                  <w:noWrap/>
                  <w:vAlign w:val="bottom"/>
                  <w:hideMark/>
                </w:tcPr>
                <w:p w14:paraId="64027CA5" w14:textId="7777777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+1,7</w:t>
                  </w:r>
                </w:p>
              </w:tc>
              <w:tc>
                <w:tcPr>
                  <w:tcW w:w="700" w:type="dxa"/>
                  <w:tcBorders>
                    <w:top w:val="nil"/>
                    <w:left w:val="nil"/>
                    <w:bottom w:val="nil"/>
                    <w:right w:val="nil"/>
                  </w:tcBorders>
                  <w:noWrap/>
                  <w:vAlign w:val="bottom"/>
                  <w:hideMark/>
                </w:tcPr>
                <w:p w14:paraId="4E74C16C" w14:textId="45BD43E9"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+15</w:t>
                  </w:r>
                  <w:r w:rsidR="008E6F8B" w:rsidRPr="00995C95">
                    <w:rPr>
                      <w:rFonts w:cs="Arial"/>
                      <w:color w:val="000000"/>
                      <w:sz w:val="16"/>
                      <w:szCs w:val="16"/>
                    </w:rPr>
                    <w:t>.</w:t>
                  </w:r>
                  <w:r w:rsidRPr="00995C95">
                    <w:rPr>
                      <w:rFonts w:cs="Arial"/>
                      <w:color w:val="000000"/>
                      <w:sz w:val="16"/>
                      <w:szCs w:val="16"/>
                    </w:rPr>
                    <w:t>3</w:t>
                  </w:r>
                </w:p>
              </w:tc>
            </w:tr>
            <w:tr w:rsidR="00605D96" w:rsidRPr="00995C95" w14:paraId="5E82EDEF" w14:textId="77777777" w:rsidTr="008B207B">
              <w:trPr>
                <w:trHeight w:val="252"/>
              </w:trPr>
              <w:tc>
                <w:tcPr>
                  <w:tcW w:w="3362" w:type="dxa"/>
                  <w:tcBorders>
                    <w:top w:val="nil"/>
                    <w:left w:val="nil"/>
                    <w:bottom w:val="nil"/>
                    <w:right w:val="nil"/>
                  </w:tcBorders>
                  <w:noWrap/>
                  <w:vAlign w:val="bottom"/>
                  <w:hideMark/>
                </w:tcPr>
                <w:p w14:paraId="111461D1" w14:textId="05869D6B" w:rsidR="00605D96" w:rsidRPr="00995C95" w:rsidRDefault="00605D96" w:rsidP="008B207B">
                  <w:pPr>
                    <w:spacing w:after="0" w:line="240" w:lineRule="auto"/>
                    <w:jc w:val="left"/>
                    <w:rPr>
                      <w:rFonts w:cs="Arial"/>
                      <w:color w:val="000000"/>
                      <w:sz w:val="16"/>
                      <w:szCs w:val="16"/>
                    </w:rPr>
                  </w:pPr>
                  <w:r w:rsidRPr="00995C95">
                    <w:rPr>
                      <w:rFonts w:cs="Arial"/>
                      <w:color w:val="000000"/>
                      <w:sz w:val="16"/>
                      <w:szCs w:val="16"/>
                    </w:rPr>
                    <w:t>Jap</w:t>
                  </w:r>
                  <w:r w:rsidR="00634573" w:rsidRPr="00995C95">
                    <w:rPr>
                      <w:rFonts w:cs="Arial"/>
                      <w:color w:val="000000"/>
                      <w:sz w:val="16"/>
                      <w:szCs w:val="16"/>
                    </w:rPr>
                    <w:t>an</w:t>
                  </w:r>
                </w:p>
              </w:tc>
              <w:tc>
                <w:tcPr>
                  <w:tcW w:w="700" w:type="dxa"/>
                  <w:tcBorders>
                    <w:top w:val="nil"/>
                    <w:left w:val="nil"/>
                    <w:bottom w:val="nil"/>
                    <w:right w:val="nil"/>
                  </w:tcBorders>
                  <w:noWrap/>
                  <w:vAlign w:val="bottom"/>
                  <w:hideMark/>
                </w:tcPr>
                <w:p w14:paraId="55F945B3" w14:textId="7777777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+1,6</w:t>
                  </w:r>
                </w:p>
              </w:tc>
              <w:tc>
                <w:tcPr>
                  <w:tcW w:w="700" w:type="dxa"/>
                  <w:tcBorders>
                    <w:top w:val="nil"/>
                    <w:left w:val="nil"/>
                    <w:bottom w:val="nil"/>
                    <w:right w:val="nil"/>
                  </w:tcBorders>
                  <w:noWrap/>
                  <w:vAlign w:val="bottom"/>
                  <w:hideMark/>
                </w:tcPr>
                <w:p w14:paraId="56F3B566" w14:textId="0C460E5A"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+8</w:t>
                  </w:r>
                  <w:r w:rsidR="008E6F8B" w:rsidRPr="00995C95">
                    <w:rPr>
                      <w:rFonts w:cs="Arial"/>
                      <w:color w:val="000000"/>
                      <w:sz w:val="16"/>
                      <w:szCs w:val="16"/>
                    </w:rPr>
                    <w:t>.</w:t>
                  </w:r>
                  <w:r w:rsidRPr="00995C95">
                    <w:rPr>
                      <w:rFonts w:cs="Arial"/>
                      <w:color w:val="000000"/>
                      <w:sz w:val="16"/>
                      <w:szCs w:val="16"/>
                    </w:rPr>
                    <w:t>0</w:t>
                  </w:r>
                </w:p>
              </w:tc>
            </w:tr>
            <w:tr w:rsidR="00605D96" w:rsidRPr="00995C95" w14:paraId="52323B19" w14:textId="77777777" w:rsidTr="008B207B">
              <w:trPr>
                <w:trHeight w:val="252"/>
              </w:trPr>
              <w:tc>
                <w:tcPr>
                  <w:tcW w:w="3362" w:type="dxa"/>
                  <w:tcBorders>
                    <w:top w:val="nil"/>
                    <w:left w:val="nil"/>
                    <w:bottom w:val="nil"/>
                    <w:right w:val="nil"/>
                  </w:tcBorders>
                  <w:noWrap/>
                  <w:vAlign w:val="bottom"/>
                  <w:hideMark/>
                </w:tcPr>
                <w:p w14:paraId="5FEEC888" w14:textId="26080AD0" w:rsidR="00605D96" w:rsidRPr="00995C95" w:rsidRDefault="00605D96" w:rsidP="008B207B">
                  <w:pPr>
                    <w:spacing w:after="0" w:line="240" w:lineRule="auto"/>
                    <w:jc w:val="left"/>
                    <w:rPr>
                      <w:rFonts w:cs="Arial"/>
                      <w:color w:val="000000"/>
                      <w:sz w:val="16"/>
                      <w:szCs w:val="16"/>
                    </w:rPr>
                  </w:pPr>
                  <w:r w:rsidRPr="00995C95">
                    <w:rPr>
                      <w:rFonts w:cs="Arial"/>
                      <w:color w:val="000000"/>
                      <w:sz w:val="16"/>
                      <w:szCs w:val="16"/>
                    </w:rPr>
                    <w:t>Ka</w:t>
                  </w:r>
                  <w:r w:rsidR="00634573" w:rsidRPr="00995C95">
                    <w:rPr>
                      <w:rFonts w:cs="Arial"/>
                      <w:color w:val="000000"/>
                      <w:sz w:val="16"/>
                      <w:szCs w:val="16"/>
                    </w:rPr>
                    <w:t>zakhstan</w:t>
                  </w:r>
                </w:p>
              </w:tc>
              <w:tc>
                <w:tcPr>
                  <w:tcW w:w="700" w:type="dxa"/>
                  <w:tcBorders>
                    <w:top w:val="nil"/>
                    <w:left w:val="nil"/>
                    <w:bottom w:val="nil"/>
                    <w:right w:val="nil"/>
                  </w:tcBorders>
                  <w:noWrap/>
                  <w:vAlign w:val="bottom"/>
                  <w:hideMark/>
                </w:tcPr>
                <w:p w14:paraId="668FFA05" w14:textId="7777777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+1,5</w:t>
                  </w:r>
                </w:p>
              </w:tc>
              <w:tc>
                <w:tcPr>
                  <w:tcW w:w="700" w:type="dxa"/>
                  <w:tcBorders>
                    <w:top w:val="nil"/>
                    <w:left w:val="nil"/>
                    <w:bottom w:val="nil"/>
                    <w:right w:val="nil"/>
                  </w:tcBorders>
                  <w:noWrap/>
                  <w:vAlign w:val="bottom"/>
                  <w:hideMark/>
                </w:tcPr>
                <w:p w14:paraId="3C77923E" w14:textId="23478095"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+33</w:t>
                  </w:r>
                  <w:r w:rsidR="008E6F8B" w:rsidRPr="00995C95">
                    <w:rPr>
                      <w:rFonts w:cs="Arial"/>
                      <w:color w:val="000000"/>
                      <w:sz w:val="16"/>
                      <w:szCs w:val="16"/>
                    </w:rPr>
                    <w:t>.</w:t>
                  </w:r>
                  <w:r w:rsidRPr="00995C95">
                    <w:rPr>
                      <w:rFonts w:cs="Arial"/>
                      <w:color w:val="000000"/>
                      <w:sz w:val="16"/>
                      <w:szCs w:val="16"/>
                    </w:rPr>
                    <w:t>0</w:t>
                  </w:r>
                </w:p>
              </w:tc>
            </w:tr>
            <w:tr w:rsidR="00605D96" w:rsidRPr="00995C95" w14:paraId="04E5783A" w14:textId="77777777" w:rsidTr="008B207B">
              <w:trPr>
                <w:trHeight w:val="252"/>
              </w:trPr>
              <w:tc>
                <w:tcPr>
                  <w:tcW w:w="3362" w:type="dxa"/>
                  <w:tcBorders>
                    <w:top w:val="nil"/>
                    <w:left w:val="nil"/>
                    <w:bottom w:val="nil"/>
                    <w:right w:val="nil"/>
                  </w:tcBorders>
                  <w:noWrap/>
                  <w:vAlign w:val="bottom"/>
                  <w:hideMark/>
                </w:tcPr>
                <w:p w14:paraId="6C122178" w14:textId="404E3CD9" w:rsidR="00605D96" w:rsidRPr="00995C95" w:rsidRDefault="00605D96" w:rsidP="008B207B">
                  <w:pPr>
                    <w:spacing w:after="0" w:line="240" w:lineRule="auto"/>
                    <w:jc w:val="left"/>
                    <w:rPr>
                      <w:rFonts w:cs="Arial"/>
                      <w:color w:val="000000"/>
                      <w:sz w:val="16"/>
                      <w:szCs w:val="16"/>
                    </w:rPr>
                  </w:pPr>
                  <w:r w:rsidRPr="00995C95">
                    <w:rPr>
                      <w:rFonts w:cs="Arial"/>
                      <w:color w:val="000000"/>
                      <w:sz w:val="16"/>
                      <w:szCs w:val="16"/>
                    </w:rPr>
                    <w:t>Indi</w:t>
                  </w:r>
                  <w:r w:rsidR="00634573" w:rsidRPr="00995C95">
                    <w:rPr>
                      <w:rFonts w:cs="Arial"/>
                      <w:color w:val="000000"/>
                      <w:sz w:val="16"/>
                      <w:szCs w:val="16"/>
                    </w:rPr>
                    <w:t>a</w:t>
                  </w:r>
                </w:p>
              </w:tc>
              <w:tc>
                <w:tcPr>
                  <w:tcW w:w="700" w:type="dxa"/>
                  <w:tcBorders>
                    <w:top w:val="nil"/>
                    <w:left w:val="nil"/>
                    <w:bottom w:val="nil"/>
                    <w:right w:val="nil"/>
                  </w:tcBorders>
                  <w:noWrap/>
                  <w:vAlign w:val="bottom"/>
                  <w:hideMark/>
                </w:tcPr>
                <w:p w14:paraId="0E9AEE4F" w14:textId="7777777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−1,6</w:t>
                  </w:r>
                </w:p>
              </w:tc>
              <w:tc>
                <w:tcPr>
                  <w:tcW w:w="700" w:type="dxa"/>
                  <w:tcBorders>
                    <w:top w:val="nil"/>
                    <w:left w:val="nil"/>
                    <w:bottom w:val="nil"/>
                    <w:right w:val="nil"/>
                  </w:tcBorders>
                  <w:noWrap/>
                  <w:vAlign w:val="bottom"/>
                  <w:hideMark/>
                </w:tcPr>
                <w:p w14:paraId="68B50DF6" w14:textId="28DB3C5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−17</w:t>
                  </w:r>
                  <w:r w:rsidR="008E6F8B" w:rsidRPr="00995C95">
                    <w:rPr>
                      <w:rFonts w:cs="Arial"/>
                      <w:color w:val="000000"/>
                      <w:sz w:val="16"/>
                      <w:szCs w:val="16"/>
                    </w:rPr>
                    <w:t>.</w:t>
                  </w:r>
                  <w:r w:rsidRPr="00995C95">
                    <w:rPr>
                      <w:rFonts w:cs="Arial"/>
                      <w:color w:val="000000"/>
                      <w:sz w:val="16"/>
                      <w:szCs w:val="16"/>
                    </w:rPr>
                    <w:t>1</w:t>
                  </w:r>
                </w:p>
              </w:tc>
            </w:tr>
            <w:tr w:rsidR="00605D96" w:rsidRPr="00995C95" w14:paraId="4E244173" w14:textId="77777777" w:rsidTr="008B207B">
              <w:trPr>
                <w:trHeight w:val="252"/>
              </w:trPr>
              <w:tc>
                <w:tcPr>
                  <w:tcW w:w="3362" w:type="dxa"/>
                  <w:tcBorders>
                    <w:top w:val="nil"/>
                    <w:left w:val="nil"/>
                    <w:bottom w:val="nil"/>
                    <w:right w:val="nil"/>
                  </w:tcBorders>
                  <w:noWrap/>
                  <w:vAlign w:val="bottom"/>
                  <w:hideMark/>
                </w:tcPr>
                <w:p w14:paraId="72420516" w14:textId="1E694752" w:rsidR="00605D96" w:rsidRPr="00995C95" w:rsidRDefault="008E6F8B" w:rsidP="008B207B">
                  <w:pPr>
                    <w:spacing w:after="0" w:line="240" w:lineRule="auto"/>
                    <w:jc w:val="left"/>
                    <w:rPr>
                      <w:rFonts w:cs="Arial"/>
                      <w:color w:val="000000"/>
                      <w:sz w:val="16"/>
                      <w:szCs w:val="16"/>
                    </w:rPr>
                  </w:pPr>
                  <w:r w:rsidRPr="00995C95">
                    <w:rPr>
                      <w:rFonts w:cs="Arial"/>
                      <w:color w:val="000000"/>
                      <w:sz w:val="16"/>
                      <w:szCs w:val="16"/>
                    </w:rPr>
                    <w:t>Azerbaijan</w:t>
                  </w:r>
                </w:p>
              </w:tc>
              <w:tc>
                <w:tcPr>
                  <w:tcW w:w="700" w:type="dxa"/>
                  <w:tcBorders>
                    <w:top w:val="nil"/>
                    <w:left w:val="nil"/>
                    <w:bottom w:val="nil"/>
                    <w:right w:val="nil"/>
                  </w:tcBorders>
                  <w:noWrap/>
                  <w:vAlign w:val="bottom"/>
                  <w:hideMark/>
                </w:tcPr>
                <w:p w14:paraId="69CA09C9" w14:textId="7777777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−1,8</w:t>
                  </w:r>
                </w:p>
              </w:tc>
              <w:tc>
                <w:tcPr>
                  <w:tcW w:w="700" w:type="dxa"/>
                  <w:tcBorders>
                    <w:top w:val="nil"/>
                    <w:left w:val="nil"/>
                    <w:bottom w:val="nil"/>
                    <w:right w:val="nil"/>
                  </w:tcBorders>
                  <w:noWrap/>
                  <w:vAlign w:val="bottom"/>
                  <w:hideMark/>
                </w:tcPr>
                <w:p w14:paraId="06E65A56" w14:textId="7DD68365"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−18</w:t>
                  </w:r>
                  <w:r w:rsidR="008E6F8B" w:rsidRPr="00995C95">
                    <w:rPr>
                      <w:rFonts w:cs="Arial"/>
                      <w:color w:val="000000"/>
                      <w:sz w:val="16"/>
                      <w:szCs w:val="16"/>
                    </w:rPr>
                    <w:t>.</w:t>
                  </w:r>
                  <w:r w:rsidRPr="00995C95">
                    <w:rPr>
                      <w:rFonts w:cs="Arial"/>
                      <w:color w:val="000000"/>
                      <w:sz w:val="16"/>
                      <w:szCs w:val="16"/>
                    </w:rPr>
                    <w:t>6</w:t>
                  </w:r>
                </w:p>
              </w:tc>
            </w:tr>
            <w:tr w:rsidR="00605D96" w:rsidRPr="00995C95" w14:paraId="35441A20" w14:textId="77777777" w:rsidTr="008B207B">
              <w:trPr>
                <w:trHeight w:val="252"/>
              </w:trPr>
              <w:tc>
                <w:tcPr>
                  <w:tcW w:w="3362" w:type="dxa"/>
                  <w:tcBorders>
                    <w:top w:val="nil"/>
                    <w:left w:val="nil"/>
                    <w:bottom w:val="nil"/>
                    <w:right w:val="nil"/>
                  </w:tcBorders>
                  <w:noWrap/>
                  <w:vAlign w:val="bottom"/>
                  <w:hideMark/>
                </w:tcPr>
                <w:p w14:paraId="5FEFB90F" w14:textId="74888168" w:rsidR="00605D96" w:rsidRPr="00995C95" w:rsidRDefault="008E6F8B" w:rsidP="008B207B">
                  <w:pPr>
                    <w:spacing w:after="0" w:line="240" w:lineRule="auto"/>
                    <w:jc w:val="left"/>
                    <w:rPr>
                      <w:rFonts w:cs="Arial"/>
                      <w:color w:val="000000"/>
                      <w:sz w:val="16"/>
                      <w:szCs w:val="16"/>
                    </w:rPr>
                  </w:pPr>
                  <w:r w:rsidRPr="00995C95">
                    <w:rPr>
                      <w:rFonts w:cs="Arial"/>
                      <w:color w:val="000000"/>
                      <w:sz w:val="16"/>
                      <w:szCs w:val="16"/>
                    </w:rPr>
                    <w:t>Germany</w:t>
                  </w:r>
                </w:p>
              </w:tc>
              <w:tc>
                <w:tcPr>
                  <w:tcW w:w="700" w:type="dxa"/>
                  <w:tcBorders>
                    <w:top w:val="nil"/>
                    <w:left w:val="nil"/>
                    <w:bottom w:val="nil"/>
                    <w:right w:val="nil"/>
                  </w:tcBorders>
                  <w:noWrap/>
                  <w:vAlign w:val="bottom"/>
                  <w:hideMark/>
                </w:tcPr>
                <w:p w14:paraId="0A9B5DF4" w14:textId="7777777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−3,0</w:t>
                  </w:r>
                </w:p>
              </w:tc>
              <w:tc>
                <w:tcPr>
                  <w:tcW w:w="700" w:type="dxa"/>
                  <w:tcBorders>
                    <w:top w:val="nil"/>
                    <w:left w:val="nil"/>
                    <w:bottom w:val="nil"/>
                    <w:right w:val="nil"/>
                  </w:tcBorders>
                  <w:noWrap/>
                  <w:vAlign w:val="bottom"/>
                  <w:hideMark/>
                </w:tcPr>
                <w:p w14:paraId="05700388" w14:textId="0904EA0C"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w:t>
                  </w:r>
                  <w:r w:rsidR="008E6F8B" w:rsidRPr="00995C95">
                    <w:rPr>
                      <w:rFonts w:cs="Arial"/>
                      <w:color w:val="000000"/>
                      <w:sz w:val="16"/>
                      <w:szCs w:val="16"/>
                    </w:rPr>
                    <w:t>.</w:t>
                  </w:r>
                  <w:r w:rsidRPr="00995C95">
                    <w:rPr>
                      <w:rFonts w:cs="Arial"/>
                      <w:color w:val="000000"/>
                      <w:sz w:val="16"/>
                      <w:szCs w:val="16"/>
                    </w:rPr>
                    <w:t>2</w:t>
                  </w:r>
                </w:p>
              </w:tc>
            </w:tr>
            <w:tr w:rsidR="00605D96" w:rsidRPr="00995C95" w14:paraId="04FCADC2" w14:textId="77777777" w:rsidTr="008B207B">
              <w:trPr>
                <w:trHeight w:val="252"/>
              </w:trPr>
              <w:tc>
                <w:tcPr>
                  <w:tcW w:w="3362" w:type="dxa"/>
                  <w:tcBorders>
                    <w:top w:val="nil"/>
                    <w:left w:val="nil"/>
                    <w:bottom w:val="nil"/>
                    <w:right w:val="nil"/>
                  </w:tcBorders>
                  <w:noWrap/>
                  <w:vAlign w:val="bottom"/>
                  <w:hideMark/>
                </w:tcPr>
                <w:p w14:paraId="10AB0D6D" w14:textId="436100F6" w:rsidR="00605D96" w:rsidRPr="00995C95" w:rsidRDefault="00605D96" w:rsidP="008B207B">
                  <w:pPr>
                    <w:spacing w:after="0" w:line="240" w:lineRule="auto"/>
                    <w:jc w:val="left"/>
                    <w:rPr>
                      <w:rFonts w:cs="Arial"/>
                      <w:color w:val="000000"/>
                      <w:sz w:val="16"/>
                      <w:szCs w:val="16"/>
                    </w:rPr>
                  </w:pPr>
                  <w:r w:rsidRPr="00995C95">
                    <w:rPr>
                      <w:rFonts w:cs="Arial"/>
                      <w:color w:val="000000"/>
                      <w:sz w:val="16"/>
                      <w:szCs w:val="16"/>
                    </w:rPr>
                    <w:t>Pol</w:t>
                  </w:r>
                  <w:r w:rsidR="008E6F8B" w:rsidRPr="00995C95">
                    <w:rPr>
                      <w:rFonts w:cs="Arial"/>
                      <w:color w:val="000000"/>
                      <w:sz w:val="16"/>
                      <w:szCs w:val="16"/>
                    </w:rPr>
                    <w:t>and</w:t>
                  </w:r>
                </w:p>
              </w:tc>
              <w:tc>
                <w:tcPr>
                  <w:tcW w:w="700" w:type="dxa"/>
                  <w:tcBorders>
                    <w:top w:val="nil"/>
                    <w:left w:val="nil"/>
                    <w:bottom w:val="nil"/>
                    <w:right w:val="nil"/>
                  </w:tcBorders>
                  <w:noWrap/>
                  <w:vAlign w:val="bottom"/>
                  <w:hideMark/>
                </w:tcPr>
                <w:p w14:paraId="0D2ED33C" w14:textId="7777777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−4,1</w:t>
                  </w:r>
                </w:p>
              </w:tc>
              <w:tc>
                <w:tcPr>
                  <w:tcW w:w="700" w:type="dxa"/>
                  <w:tcBorders>
                    <w:top w:val="nil"/>
                    <w:left w:val="nil"/>
                    <w:bottom w:val="nil"/>
                    <w:right w:val="nil"/>
                  </w:tcBorders>
                  <w:noWrap/>
                  <w:vAlign w:val="bottom"/>
                  <w:hideMark/>
                </w:tcPr>
                <w:p w14:paraId="586A66F5" w14:textId="631C5293"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−3</w:t>
                  </w:r>
                  <w:r w:rsidR="008E6F8B" w:rsidRPr="00995C95">
                    <w:rPr>
                      <w:rFonts w:cs="Arial"/>
                      <w:color w:val="000000"/>
                      <w:sz w:val="16"/>
                      <w:szCs w:val="16"/>
                    </w:rPr>
                    <w:t>.</w:t>
                  </w:r>
                  <w:r w:rsidRPr="00995C95">
                    <w:rPr>
                      <w:rFonts w:cs="Arial"/>
                      <w:color w:val="000000"/>
                      <w:sz w:val="16"/>
                      <w:szCs w:val="16"/>
                    </w:rPr>
                    <w:t>8</w:t>
                  </w:r>
                </w:p>
              </w:tc>
            </w:tr>
            <w:tr w:rsidR="00605D96" w:rsidRPr="00995C95" w14:paraId="04824F7A" w14:textId="77777777" w:rsidTr="008B207B">
              <w:trPr>
                <w:trHeight w:val="252"/>
              </w:trPr>
              <w:tc>
                <w:tcPr>
                  <w:tcW w:w="3362" w:type="dxa"/>
                  <w:tcBorders>
                    <w:top w:val="nil"/>
                    <w:left w:val="nil"/>
                    <w:bottom w:val="nil"/>
                    <w:right w:val="nil"/>
                  </w:tcBorders>
                  <w:noWrap/>
                  <w:vAlign w:val="bottom"/>
                  <w:hideMark/>
                </w:tcPr>
                <w:p w14:paraId="6CA29C67" w14:textId="43E324EF" w:rsidR="00605D96" w:rsidRPr="00995C95" w:rsidRDefault="00605D96" w:rsidP="008B207B">
                  <w:pPr>
                    <w:spacing w:after="0" w:line="240" w:lineRule="auto"/>
                    <w:jc w:val="left"/>
                    <w:rPr>
                      <w:rFonts w:cs="Arial"/>
                      <w:color w:val="000000"/>
                      <w:sz w:val="16"/>
                      <w:szCs w:val="16"/>
                    </w:rPr>
                  </w:pPr>
                  <w:r w:rsidRPr="00995C95">
                    <w:rPr>
                      <w:rFonts w:cs="Arial"/>
                      <w:color w:val="000000"/>
                      <w:sz w:val="16"/>
                      <w:szCs w:val="16"/>
                    </w:rPr>
                    <w:t>Slov</w:t>
                  </w:r>
                  <w:r w:rsidR="008E6F8B" w:rsidRPr="00995C95">
                    <w:rPr>
                      <w:rFonts w:cs="Arial"/>
                      <w:color w:val="000000"/>
                      <w:sz w:val="16"/>
                      <w:szCs w:val="16"/>
                    </w:rPr>
                    <w:t>akia</w:t>
                  </w:r>
                </w:p>
              </w:tc>
              <w:tc>
                <w:tcPr>
                  <w:tcW w:w="700" w:type="dxa"/>
                  <w:tcBorders>
                    <w:top w:val="nil"/>
                    <w:left w:val="nil"/>
                    <w:bottom w:val="nil"/>
                    <w:right w:val="nil"/>
                  </w:tcBorders>
                  <w:noWrap/>
                  <w:vAlign w:val="bottom"/>
                  <w:hideMark/>
                </w:tcPr>
                <w:p w14:paraId="35570CB6" w14:textId="7777777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−5,2</w:t>
                  </w:r>
                </w:p>
              </w:tc>
              <w:tc>
                <w:tcPr>
                  <w:tcW w:w="700" w:type="dxa"/>
                  <w:tcBorders>
                    <w:top w:val="nil"/>
                    <w:left w:val="nil"/>
                    <w:bottom w:val="nil"/>
                    <w:right w:val="nil"/>
                  </w:tcBorders>
                  <w:noWrap/>
                  <w:vAlign w:val="bottom"/>
                  <w:hideMark/>
                </w:tcPr>
                <w:p w14:paraId="678F6E2B" w14:textId="0EC57A7B"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−7</w:t>
                  </w:r>
                  <w:r w:rsidR="008E6F8B" w:rsidRPr="00995C95">
                    <w:rPr>
                      <w:rFonts w:cs="Arial"/>
                      <w:color w:val="000000"/>
                      <w:sz w:val="16"/>
                      <w:szCs w:val="16"/>
                    </w:rPr>
                    <w:t>.</w:t>
                  </w:r>
                  <w:r w:rsidRPr="00995C95">
                    <w:rPr>
                      <w:rFonts w:cs="Arial"/>
                      <w:color w:val="000000"/>
                      <w:sz w:val="16"/>
                      <w:szCs w:val="16"/>
                    </w:rPr>
                    <w:t>8</w:t>
                  </w:r>
                </w:p>
              </w:tc>
            </w:tr>
            <w:tr w:rsidR="00605D96" w:rsidRPr="00995C95" w14:paraId="083F8C0A" w14:textId="77777777" w:rsidTr="008B207B">
              <w:trPr>
                <w:trHeight w:val="252"/>
              </w:trPr>
              <w:tc>
                <w:tcPr>
                  <w:tcW w:w="3362" w:type="dxa"/>
                  <w:tcBorders>
                    <w:top w:val="nil"/>
                    <w:left w:val="nil"/>
                    <w:bottom w:val="nil"/>
                    <w:right w:val="nil"/>
                  </w:tcBorders>
                  <w:noWrap/>
                  <w:vAlign w:val="bottom"/>
                  <w:hideMark/>
                </w:tcPr>
                <w:p w14:paraId="162FA55C" w14:textId="5CFB1CB8" w:rsidR="00605D96" w:rsidRPr="00995C95" w:rsidRDefault="008E6F8B" w:rsidP="008B207B">
                  <w:pPr>
                    <w:spacing w:after="0" w:line="240" w:lineRule="auto"/>
                    <w:jc w:val="left"/>
                    <w:rPr>
                      <w:rFonts w:cs="Arial"/>
                      <w:color w:val="000000"/>
                      <w:sz w:val="16"/>
                      <w:szCs w:val="16"/>
                    </w:rPr>
                  </w:pPr>
                  <w:r w:rsidRPr="00995C95">
                    <w:rPr>
                      <w:rFonts w:cs="Arial"/>
                      <w:color w:val="000000"/>
                      <w:sz w:val="16"/>
                      <w:szCs w:val="16"/>
                    </w:rPr>
                    <w:t>China</w:t>
                  </w:r>
                </w:p>
              </w:tc>
              <w:tc>
                <w:tcPr>
                  <w:tcW w:w="700" w:type="dxa"/>
                  <w:tcBorders>
                    <w:top w:val="nil"/>
                    <w:left w:val="nil"/>
                    <w:bottom w:val="nil"/>
                    <w:right w:val="nil"/>
                  </w:tcBorders>
                  <w:noWrap/>
                  <w:vAlign w:val="bottom"/>
                  <w:hideMark/>
                </w:tcPr>
                <w:p w14:paraId="3CE76A14" w14:textId="7777777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−7,7</w:t>
                  </w:r>
                </w:p>
              </w:tc>
              <w:tc>
                <w:tcPr>
                  <w:tcW w:w="700" w:type="dxa"/>
                  <w:tcBorders>
                    <w:top w:val="nil"/>
                    <w:left w:val="nil"/>
                    <w:bottom w:val="nil"/>
                    <w:right w:val="nil"/>
                  </w:tcBorders>
                  <w:noWrap/>
                  <w:vAlign w:val="bottom"/>
                  <w:hideMark/>
                </w:tcPr>
                <w:p w14:paraId="14DD48D3" w14:textId="47A824BC"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−5</w:t>
                  </w:r>
                  <w:r w:rsidR="008E6F8B" w:rsidRPr="00995C95">
                    <w:rPr>
                      <w:rFonts w:cs="Arial"/>
                      <w:color w:val="000000"/>
                      <w:sz w:val="16"/>
                      <w:szCs w:val="16"/>
                    </w:rPr>
                    <w:t>.</w:t>
                  </w:r>
                  <w:r w:rsidRPr="00995C95">
                    <w:rPr>
                      <w:rFonts w:cs="Arial"/>
                      <w:color w:val="000000"/>
                      <w:sz w:val="16"/>
                      <w:szCs w:val="16"/>
                    </w:rPr>
                    <w:t>1</w:t>
                  </w:r>
                </w:p>
              </w:tc>
            </w:tr>
            <w:tr w:rsidR="00605D96" w:rsidRPr="00995C95" w14:paraId="03135BD5" w14:textId="77777777" w:rsidTr="008B207B">
              <w:trPr>
                <w:trHeight w:val="252"/>
              </w:trPr>
              <w:tc>
                <w:tcPr>
                  <w:tcW w:w="3362" w:type="dxa"/>
                  <w:tcBorders>
                    <w:top w:val="nil"/>
                    <w:left w:val="nil"/>
                    <w:bottom w:val="nil"/>
                    <w:right w:val="nil"/>
                  </w:tcBorders>
                  <w:noWrap/>
                  <w:vAlign w:val="bottom"/>
                  <w:hideMark/>
                </w:tcPr>
                <w:p w14:paraId="08EC16C1" w14:textId="2112DC29" w:rsidR="00605D96" w:rsidRPr="00995C95" w:rsidRDefault="00605D96" w:rsidP="008B207B">
                  <w:pPr>
                    <w:spacing w:after="0" w:line="240" w:lineRule="auto"/>
                    <w:jc w:val="left"/>
                    <w:rPr>
                      <w:rFonts w:cs="Arial"/>
                      <w:color w:val="000000"/>
                      <w:sz w:val="16"/>
                      <w:szCs w:val="16"/>
                    </w:rPr>
                  </w:pPr>
                  <w:r w:rsidRPr="00995C95">
                    <w:rPr>
                      <w:rFonts w:cs="Arial"/>
                      <w:color w:val="000000"/>
                      <w:sz w:val="16"/>
                      <w:szCs w:val="16"/>
                    </w:rPr>
                    <w:t>R</w:t>
                  </w:r>
                  <w:r w:rsidR="008E6F8B" w:rsidRPr="00995C95">
                    <w:rPr>
                      <w:rFonts w:cs="Arial"/>
                      <w:color w:val="000000"/>
                      <w:sz w:val="16"/>
                      <w:szCs w:val="16"/>
                    </w:rPr>
                    <w:t>ussia</w:t>
                  </w:r>
                </w:p>
              </w:tc>
              <w:tc>
                <w:tcPr>
                  <w:tcW w:w="700" w:type="dxa"/>
                  <w:tcBorders>
                    <w:top w:val="nil"/>
                    <w:left w:val="nil"/>
                    <w:bottom w:val="nil"/>
                    <w:right w:val="nil"/>
                  </w:tcBorders>
                  <w:noWrap/>
                  <w:vAlign w:val="bottom"/>
                  <w:hideMark/>
                </w:tcPr>
                <w:p w14:paraId="6431A9A7" w14:textId="7BA1EA94"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−21</w:t>
                  </w:r>
                  <w:r w:rsidR="008E6F8B" w:rsidRPr="00995C95">
                    <w:rPr>
                      <w:rFonts w:cs="Arial"/>
                      <w:color w:val="000000"/>
                      <w:sz w:val="16"/>
                      <w:szCs w:val="16"/>
                    </w:rPr>
                    <w:t>.</w:t>
                  </w:r>
                  <w:r w:rsidRPr="00995C95">
                    <w:rPr>
                      <w:rFonts w:cs="Arial"/>
                      <w:color w:val="000000"/>
                      <w:sz w:val="16"/>
                      <w:szCs w:val="16"/>
                    </w:rPr>
                    <w:t>7</w:t>
                  </w:r>
                </w:p>
              </w:tc>
              <w:tc>
                <w:tcPr>
                  <w:tcW w:w="700" w:type="dxa"/>
                  <w:tcBorders>
                    <w:top w:val="nil"/>
                    <w:left w:val="nil"/>
                    <w:bottom w:val="nil"/>
                    <w:right w:val="nil"/>
                  </w:tcBorders>
                  <w:noWrap/>
                  <w:vAlign w:val="bottom"/>
                  <w:hideMark/>
                </w:tcPr>
                <w:p w14:paraId="604646B4" w14:textId="5F4E0880"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−78</w:t>
                  </w:r>
                  <w:r w:rsidR="008E6F8B" w:rsidRPr="00995C95">
                    <w:rPr>
                      <w:rFonts w:cs="Arial"/>
                      <w:color w:val="000000"/>
                      <w:sz w:val="16"/>
                      <w:szCs w:val="16"/>
                    </w:rPr>
                    <w:t>.</w:t>
                  </w:r>
                  <w:r w:rsidRPr="00995C95">
                    <w:rPr>
                      <w:rFonts w:cs="Arial"/>
                      <w:color w:val="000000"/>
                      <w:sz w:val="16"/>
                      <w:szCs w:val="16"/>
                    </w:rPr>
                    <w:t>0</w:t>
                  </w:r>
                </w:p>
              </w:tc>
            </w:tr>
          </w:tbl>
          <w:p w14:paraId="18B6B833" w14:textId="77777777" w:rsidR="00605D96" w:rsidRPr="00995C95" w:rsidRDefault="00605D96" w:rsidP="008B207B">
            <w:pPr>
              <w:spacing w:after="0"/>
              <w:rPr>
                <w:spacing w:val="-4"/>
                <w:sz w:val="16"/>
                <w:szCs w:val="16"/>
                <w:lang w:eastAsia="en-US"/>
              </w:rPr>
            </w:pPr>
          </w:p>
        </w:tc>
      </w:tr>
      <w:tr w:rsidR="00605D96" w:rsidRPr="00995C95" w14:paraId="27A5FC17" w14:textId="77777777" w:rsidTr="008B207B">
        <w:trPr>
          <w:trHeight w:val="170"/>
        </w:trPr>
        <w:tc>
          <w:tcPr>
            <w:tcW w:w="4811" w:type="dxa"/>
            <w:gridSpan w:val="3"/>
            <w:hideMark/>
          </w:tcPr>
          <w:p w14:paraId="0AF7E8BE" w14:textId="5734CB22" w:rsidR="00605D96" w:rsidRPr="00995C95" w:rsidRDefault="00550D51" w:rsidP="008B207B">
            <w:pPr>
              <w:jc w:val="left"/>
              <w:rPr>
                <w:spacing w:val="-4"/>
                <w:sz w:val="16"/>
                <w:szCs w:val="16"/>
                <w:lang w:eastAsia="en-US"/>
              </w:rPr>
            </w:pPr>
            <w:r w:rsidRPr="00995C95">
              <w:rPr>
                <w:spacing w:val="-4"/>
                <w:sz w:val="16"/>
                <w:szCs w:val="16"/>
                <w:lang w:eastAsia="en-US"/>
              </w:rPr>
              <w:t>Source</w:t>
            </w:r>
            <w:r w:rsidR="00605D96" w:rsidRPr="00995C95">
              <w:rPr>
                <w:spacing w:val="-4"/>
                <w:sz w:val="16"/>
                <w:szCs w:val="16"/>
                <w:lang w:eastAsia="en-US"/>
              </w:rPr>
              <w:t xml:space="preserve">: </w:t>
            </w:r>
            <w:r w:rsidRPr="00995C95">
              <w:rPr>
                <w:spacing w:val="-4"/>
                <w:sz w:val="16"/>
                <w:szCs w:val="16"/>
                <w:lang w:eastAsia="en-US"/>
              </w:rPr>
              <w:t>CZSO</w:t>
            </w:r>
          </w:p>
        </w:tc>
        <w:tc>
          <w:tcPr>
            <w:tcW w:w="57" w:type="dxa"/>
          </w:tcPr>
          <w:p w14:paraId="63A86D28" w14:textId="77777777" w:rsidR="00605D96" w:rsidRPr="00995C95" w:rsidRDefault="00605D96" w:rsidP="008B207B">
            <w:pPr>
              <w:spacing w:after="0"/>
              <w:rPr>
                <w:spacing w:val="-4"/>
                <w:lang w:eastAsia="en-US"/>
              </w:rPr>
            </w:pPr>
          </w:p>
        </w:tc>
        <w:tc>
          <w:tcPr>
            <w:tcW w:w="4809" w:type="dxa"/>
            <w:hideMark/>
          </w:tcPr>
          <w:p w14:paraId="4F7070D8" w14:textId="3B9BB662" w:rsidR="00605D96" w:rsidRPr="00995C95" w:rsidRDefault="00550D51" w:rsidP="008B207B">
            <w:pPr>
              <w:spacing w:after="0"/>
              <w:ind w:right="21"/>
              <w:jc w:val="left"/>
              <w:rPr>
                <w:spacing w:val="-4"/>
                <w:lang w:eastAsia="en-US"/>
              </w:rPr>
            </w:pPr>
            <w:r w:rsidRPr="00995C95">
              <w:rPr>
                <w:spacing w:val="-4"/>
                <w:sz w:val="16"/>
                <w:szCs w:val="16"/>
                <w:lang w:eastAsia="en-US"/>
              </w:rPr>
              <w:t>Source</w:t>
            </w:r>
            <w:r w:rsidR="00605D96" w:rsidRPr="00995C95">
              <w:rPr>
                <w:spacing w:val="-4"/>
                <w:sz w:val="16"/>
                <w:szCs w:val="16"/>
                <w:lang w:eastAsia="en-US"/>
              </w:rPr>
              <w:t xml:space="preserve">: </w:t>
            </w:r>
            <w:r w:rsidRPr="00995C95">
              <w:rPr>
                <w:spacing w:val="-4"/>
                <w:sz w:val="16"/>
                <w:szCs w:val="16"/>
                <w:lang w:eastAsia="en-US"/>
              </w:rPr>
              <w:t>CZSO</w:t>
            </w:r>
          </w:p>
        </w:tc>
      </w:tr>
      <w:tr w:rsidR="00605D96" w:rsidRPr="00995C95" w14:paraId="2E7CD99C" w14:textId="77777777" w:rsidTr="008B207B">
        <w:trPr>
          <w:trHeight w:val="145"/>
        </w:trPr>
        <w:tc>
          <w:tcPr>
            <w:tcW w:w="1748" w:type="dxa"/>
            <w:hideMark/>
          </w:tcPr>
          <w:p w14:paraId="25C4CE3B" w14:textId="0220899B" w:rsidR="00605D96" w:rsidRPr="00995C95" w:rsidRDefault="004834E5" w:rsidP="004834E5">
            <w:pPr>
              <w:pStyle w:val="Marginlie"/>
              <w:rPr>
                <w:lang w:eastAsia="en-US"/>
              </w:rPr>
            </w:pPr>
            <w:r w:rsidRPr="00995C95">
              <w:rPr>
                <w:lang w:eastAsia="en-US"/>
              </w:rPr>
              <w:t>The surplus</w:t>
            </w:r>
            <w:r w:rsidR="00927E8F" w:rsidRPr="00995C95">
              <w:rPr>
                <w:lang w:eastAsia="en-US"/>
              </w:rPr>
              <w:t xml:space="preserve"> of the international t</w:t>
            </w:r>
            <w:r w:rsidRPr="00995C95">
              <w:rPr>
                <w:lang w:eastAsia="en-US"/>
              </w:rPr>
              <w:t xml:space="preserve">rade </w:t>
            </w:r>
            <w:r w:rsidR="00927E8F" w:rsidRPr="00995C95">
              <w:rPr>
                <w:lang w:eastAsia="en-US"/>
              </w:rPr>
              <w:t xml:space="preserve">with </w:t>
            </w:r>
            <w:r w:rsidRPr="00995C95">
              <w:rPr>
                <w:lang w:eastAsia="en-US"/>
              </w:rPr>
              <w:lastRenderedPageBreak/>
              <w:t>goods remained significant last year.</w:t>
            </w:r>
            <w:r w:rsidR="00864382" w:rsidRPr="00995C95">
              <w:rPr>
                <w:lang w:eastAsia="en-US"/>
              </w:rPr>
              <w:t xml:space="preserve"> </w:t>
            </w:r>
          </w:p>
        </w:tc>
        <w:tc>
          <w:tcPr>
            <w:tcW w:w="252" w:type="dxa"/>
          </w:tcPr>
          <w:p w14:paraId="0A28790A" w14:textId="77777777" w:rsidR="00605D96" w:rsidRPr="00995C95" w:rsidRDefault="00605D96" w:rsidP="008B207B">
            <w:pPr>
              <w:pStyle w:val="Textpoznpodarou"/>
              <w:jc w:val="both"/>
              <w:rPr>
                <w:spacing w:val="-4"/>
                <w:lang w:eastAsia="en-US"/>
              </w:rPr>
            </w:pPr>
          </w:p>
        </w:tc>
        <w:tc>
          <w:tcPr>
            <w:tcW w:w="7677" w:type="dxa"/>
            <w:gridSpan w:val="3"/>
            <w:hideMark/>
          </w:tcPr>
          <w:p w14:paraId="4DB832AC" w14:textId="05DBBA37" w:rsidR="00605D96" w:rsidRPr="00995C95" w:rsidRDefault="00E61923" w:rsidP="00E61923">
            <w:pPr>
              <w:spacing w:after="180"/>
              <w:rPr>
                <w:spacing w:val="-4"/>
                <w:szCs w:val="20"/>
                <w:lang w:eastAsia="en-US"/>
              </w:rPr>
            </w:pPr>
            <w:r w:rsidRPr="00995C95">
              <w:rPr>
                <w:spacing w:val="-4"/>
                <w:szCs w:val="20"/>
                <w:lang w:eastAsia="en-US"/>
              </w:rPr>
              <w:t xml:space="preserve">The balance of </w:t>
            </w:r>
            <w:r w:rsidR="00864382" w:rsidRPr="00995C95">
              <w:rPr>
                <w:spacing w:val="-4"/>
                <w:szCs w:val="20"/>
                <w:lang w:eastAsia="en-US"/>
              </w:rPr>
              <w:t xml:space="preserve">international </w:t>
            </w:r>
            <w:r w:rsidRPr="00995C95">
              <w:rPr>
                <w:spacing w:val="-4"/>
                <w:szCs w:val="20"/>
                <w:lang w:eastAsia="en-US"/>
              </w:rPr>
              <w:t xml:space="preserve">trade </w:t>
            </w:r>
            <w:r w:rsidR="00864382" w:rsidRPr="00995C95">
              <w:rPr>
                <w:spacing w:val="-4"/>
                <w:szCs w:val="20"/>
                <w:lang w:eastAsia="en-US"/>
              </w:rPr>
              <w:t xml:space="preserve">with </w:t>
            </w:r>
            <w:r w:rsidRPr="00995C95">
              <w:rPr>
                <w:spacing w:val="-4"/>
                <w:szCs w:val="20"/>
                <w:lang w:eastAsia="en-US"/>
              </w:rPr>
              <w:t>goods reached a surplus of 212.9 b</w:t>
            </w:r>
            <w:r w:rsidR="00864382" w:rsidRPr="00995C95">
              <w:rPr>
                <w:spacing w:val="-4"/>
                <w:szCs w:val="20"/>
                <w:lang w:eastAsia="en-US"/>
              </w:rPr>
              <w:t>n CZK l</w:t>
            </w:r>
            <w:r w:rsidRPr="00995C95">
              <w:rPr>
                <w:spacing w:val="-4"/>
                <w:szCs w:val="20"/>
                <w:lang w:eastAsia="en-US"/>
              </w:rPr>
              <w:t xml:space="preserve">ast year. This </w:t>
            </w:r>
            <w:r w:rsidR="00EA4327" w:rsidRPr="00995C95">
              <w:rPr>
                <w:spacing w:val="-4"/>
                <w:szCs w:val="20"/>
                <w:lang w:eastAsia="en-US"/>
              </w:rPr>
              <w:t xml:space="preserve">represented </w:t>
            </w:r>
            <w:r w:rsidRPr="00995C95">
              <w:rPr>
                <w:spacing w:val="-4"/>
                <w:szCs w:val="20"/>
                <w:lang w:eastAsia="en-US"/>
              </w:rPr>
              <w:t xml:space="preserve">a slight decrease </w:t>
            </w:r>
            <w:r w:rsidR="00EA4327" w:rsidRPr="00995C95">
              <w:rPr>
                <w:spacing w:val="-4"/>
                <w:szCs w:val="20"/>
                <w:lang w:eastAsia="en-US"/>
              </w:rPr>
              <w:t xml:space="preserve">of </w:t>
            </w:r>
            <w:r w:rsidRPr="00995C95">
              <w:rPr>
                <w:spacing w:val="-4"/>
                <w:szCs w:val="20"/>
                <w:lang w:eastAsia="en-US"/>
              </w:rPr>
              <w:t xml:space="preserve">the positive balance compared to the previous year </w:t>
            </w:r>
            <w:r w:rsidRPr="00995C95">
              <w:rPr>
                <w:spacing w:val="-4"/>
                <w:szCs w:val="20"/>
                <w:lang w:eastAsia="en-US"/>
              </w:rPr>
              <w:lastRenderedPageBreak/>
              <w:t>(−7.6 b</w:t>
            </w:r>
            <w:r w:rsidR="00EA4327" w:rsidRPr="00995C95">
              <w:rPr>
                <w:spacing w:val="-4"/>
                <w:szCs w:val="20"/>
                <w:lang w:eastAsia="en-US"/>
              </w:rPr>
              <w:t>n CZK</w:t>
            </w:r>
            <w:r w:rsidRPr="00995C95">
              <w:rPr>
                <w:spacing w:val="-4"/>
                <w:szCs w:val="20"/>
                <w:lang w:eastAsia="en-US"/>
              </w:rPr>
              <w:t xml:space="preserve">). Most of the surplus was created in </w:t>
            </w:r>
            <w:r w:rsidR="00EA4327" w:rsidRPr="00995C95">
              <w:rPr>
                <w:spacing w:val="-4"/>
                <w:szCs w:val="20"/>
                <w:lang w:eastAsia="en-US"/>
              </w:rPr>
              <w:t xml:space="preserve">H1 </w:t>
            </w:r>
            <w:r w:rsidRPr="00995C95">
              <w:rPr>
                <w:spacing w:val="-4"/>
                <w:szCs w:val="20"/>
                <w:lang w:eastAsia="en-US"/>
              </w:rPr>
              <w:t>2025.</w:t>
            </w:r>
            <w:r w:rsidR="00EA4327" w:rsidRPr="00995C95">
              <w:rPr>
                <w:spacing w:val="-4"/>
                <w:szCs w:val="20"/>
                <w:lang w:eastAsia="en-US"/>
              </w:rPr>
              <w:t xml:space="preserve"> The international t</w:t>
            </w:r>
            <w:r w:rsidRPr="00995C95">
              <w:rPr>
                <w:spacing w:val="-4"/>
                <w:szCs w:val="20"/>
                <w:lang w:eastAsia="en-US"/>
              </w:rPr>
              <w:t xml:space="preserve">rade surplus </w:t>
            </w:r>
            <w:r w:rsidR="001777BA" w:rsidRPr="00995C95">
              <w:rPr>
                <w:spacing w:val="-4"/>
                <w:szCs w:val="20"/>
                <w:lang w:eastAsia="en-US"/>
              </w:rPr>
              <w:t xml:space="preserve">with </w:t>
            </w:r>
            <w:r w:rsidRPr="00995C95">
              <w:rPr>
                <w:spacing w:val="-4"/>
                <w:szCs w:val="20"/>
                <w:lang w:eastAsia="en-US"/>
              </w:rPr>
              <w:t>goods reached 52.4 b</w:t>
            </w:r>
            <w:r w:rsidR="001777BA" w:rsidRPr="00995C95">
              <w:rPr>
                <w:spacing w:val="-4"/>
                <w:szCs w:val="20"/>
                <w:lang w:eastAsia="en-US"/>
              </w:rPr>
              <w:t>n CZK in Q4 2025</w:t>
            </w:r>
            <w:r w:rsidRPr="00995C95">
              <w:rPr>
                <w:spacing w:val="-4"/>
                <w:szCs w:val="20"/>
                <w:lang w:eastAsia="en-US"/>
              </w:rPr>
              <w:t>. This was a year-on-year improvement of 12.5 b</w:t>
            </w:r>
            <w:r w:rsidR="001777BA" w:rsidRPr="00995C95">
              <w:rPr>
                <w:spacing w:val="-4"/>
                <w:szCs w:val="20"/>
                <w:lang w:eastAsia="en-US"/>
              </w:rPr>
              <w:t>n CZK a</w:t>
            </w:r>
            <w:r w:rsidRPr="00995C95">
              <w:rPr>
                <w:spacing w:val="-4"/>
                <w:szCs w:val="20"/>
                <w:lang w:eastAsia="en-US"/>
              </w:rPr>
              <w:t xml:space="preserve">nd at the same time the highest positive balance for this quarter of the year in the entire time series. According to seasonally adjusted data, the balance of </w:t>
            </w:r>
            <w:r w:rsidR="005A30C1" w:rsidRPr="00995C95">
              <w:rPr>
                <w:spacing w:val="-4"/>
                <w:szCs w:val="20"/>
                <w:lang w:eastAsia="en-US"/>
              </w:rPr>
              <w:t xml:space="preserve">international </w:t>
            </w:r>
            <w:r w:rsidRPr="00995C95">
              <w:rPr>
                <w:spacing w:val="-4"/>
                <w:szCs w:val="20"/>
                <w:lang w:eastAsia="en-US"/>
              </w:rPr>
              <w:t xml:space="preserve">trade </w:t>
            </w:r>
            <w:r w:rsidR="005A30C1" w:rsidRPr="00995C95">
              <w:rPr>
                <w:spacing w:val="-4"/>
                <w:szCs w:val="20"/>
                <w:lang w:eastAsia="en-US"/>
              </w:rPr>
              <w:t xml:space="preserve">with </w:t>
            </w:r>
            <w:r w:rsidRPr="00995C95">
              <w:rPr>
                <w:spacing w:val="-4"/>
                <w:szCs w:val="20"/>
                <w:lang w:eastAsia="en-US"/>
              </w:rPr>
              <w:t>goods also improved</w:t>
            </w:r>
            <w:r w:rsidR="005A30C1" w:rsidRPr="00995C95">
              <w:rPr>
                <w:spacing w:val="-4"/>
                <w:szCs w:val="20"/>
                <w:lang w:eastAsia="en-US"/>
              </w:rPr>
              <w:t>,</w:t>
            </w:r>
            <w:r w:rsidRPr="00995C95">
              <w:rPr>
                <w:spacing w:val="-4"/>
                <w:szCs w:val="20"/>
                <w:lang w:eastAsia="en-US"/>
              </w:rPr>
              <w:t xml:space="preserve"> quarter-on-quarter</w:t>
            </w:r>
            <w:r w:rsidR="005A30C1" w:rsidRPr="00995C95">
              <w:rPr>
                <w:spacing w:val="-4"/>
                <w:szCs w:val="20"/>
                <w:lang w:eastAsia="en-US"/>
              </w:rPr>
              <w:t>,</w:t>
            </w:r>
            <w:r w:rsidRPr="00995C95">
              <w:rPr>
                <w:spacing w:val="-4"/>
                <w:szCs w:val="20"/>
                <w:lang w:eastAsia="en-US"/>
              </w:rPr>
              <w:t xml:space="preserve"> in Q4.</w:t>
            </w:r>
            <w:r w:rsidR="00605D96" w:rsidRPr="00995C95">
              <w:rPr>
                <w:spacing w:val="-4"/>
                <w:szCs w:val="20"/>
                <w:lang w:eastAsia="en-US"/>
              </w:rPr>
              <w:t xml:space="preserve"> </w:t>
            </w:r>
          </w:p>
        </w:tc>
      </w:tr>
      <w:tr w:rsidR="00605D96" w:rsidRPr="00995C95" w14:paraId="4DA880BC" w14:textId="77777777" w:rsidTr="008B207B">
        <w:trPr>
          <w:trHeight w:val="145"/>
        </w:trPr>
        <w:tc>
          <w:tcPr>
            <w:tcW w:w="1748" w:type="dxa"/>
          </w:tcPr>
          <w:p w14:paraId="06B50972" w14:textId="31D1F4D2" w:rsidR="00605D96" w:rsidRPr="00995C95" w:rsidRDefault="00FC08F7" w:rsidP="00FC08F7">
            <w:pPr>
              <w:pStyle w:val="Marginlie"/>
              <w:rPr>
                <w:lang w:eastAsia="en-US"/>
              </w:rPr>
            </w:pPr>
            <w:r w:rsidRPr="00995C95">
              <w:rPr>
                <w:lang w:eastAsia="en-US"/>
              </w:rPr>
              <w:lastRenderedPageBreak/>
              <w:t>The positive balance of trade with EU countries was improving.</w:t>
            </w:r>
            <w:r w:rsidR="00864382" w:rsidRPr="00995C95">
              <w:rPr>
                <w:lang w:eastAsia="en-US"/>
              </w:rPr>
              <w:t xml:space="preserve"> </w:t>
            </w:r>
          </w:p>
        </w:tc>
        <w:tc>
          <w:tcPr>
            <w:tcW w:w="252" w:type="dxa"/>
          </w:tcPr>
          <w:p w14:paraId="6A3810BC" w14:textId="77777777" w:rsidR="00605D96" w:rsidRPr="00995C95" w:rsidRDefault="00605D96" w:rsidP="008B207B">
            <w:pPr>
              <w:pStyle w:val="Textpoznpodarou"/>
              <w:jc w:val="both"/>
              <w:rPr>
                <w:spacing w:val="-4"/>
                <w:lang w:eastAsia="en-US"/>
              </w:rPr>
            </w:pPr>
          </w:p>
        </w:tc>
        <w:tc>
          <w:tcPr>
            <w:tcW w:w="7677" w:type="dxa"/>
            <w:gridSpan w:val="3"/>
          </w:tcPr>
          <w:p w14:paraId="03E6F097" w14:textId="14E1A393" w:rsidR="00605D96" w:rsidRPr="00995C95" w:rsidRDefault="00777CAB" w:rsidP="00777CAB">
            <w:pPr>
              <w:spacing w:after="180"/>
              <w:rPr>
                <w:spacing w:val="-4"/>
                <w:szCs w:val="20"/>
                <w:lang w:eastAsia="en-US"/>
              </w:rPr>
            </w:pPr>
            <w:r w:rsidRPr="00995C95">
              <w:rPr>
                <w:spacing w:val="-4"/>
                <w:szCs w:val="20"/>
                <w:lang w:eastAsia="en-US"/>
              </w:rPr>
              <w:t xml:space="preserve">In 2025, the balance of </w:t>
            </w:r>
            <w:r w:rsidR="00475F3F" w:rsidRPr="00995C95">
              <w:rPr>
                <w:spacing w:val="-4"/>
                <w:szCs w:val="20"/>
                <w:lang w:eastAsia="en-US"/>
              </w:rPr>
              <w:t xml:space="preserve">international </w:t>
            </w:r>
            <w:r w:rsidRPr="00995C95">
              <w:rPr>
                <w:spacing w:val="-4"/>
                <w:szCs w:val="20"/>
                <w:lang w:eastAsia="en-US"/>
              </w:rPr>
              <w:t xml:space="preserve">trade </w:t>
            </w:r>
            <w:r w:rsidR="00475F3F" w:rsidRPr="00995C95">
              <w:rPr>
                <w:spacing w:val="-4"/>
                <w:szCs w:val="20"/>
                <w:lang w:eastAsia="en-US"/>
              </w:rPr>
              <w:t xml:space="preserve">with </w:t>
            </w:r>
            <w:r w:rsidRPr="00995C95">
              <w:rPr>
                <w:spacing w:val="-4"/>
                <w:szCs w:val="20"/>
                <w:lang w:eastAsia="en-US"/>
              </w:rPr>
              <w:t xml:space="preserve">goods improved </w:t>
            </w:r>
            <w:r w:rsidR="00475F3F" w:rsidRPr="00995C95">
              <w:rPr>
                <w:spacing w:val="-4"/>
                <w:szCs w:val="20"/>
                <w:lang w:eastAsia="en-US"/>
              </w:rPr>
              <w:t xml:space="preserve">for </w:t>
            </w:r>
            <w:r w:rsidRPr="00995C95">
              <w:rPr>
                <w:spacing w:val="-4"/>
                <w:szCs w:val="20"/>
                <w:lang w:eastAsia="en-US"/>
              </w:rPr>
              <w:t>trade with the EU (+15.1 b</w:t>
            </w:r>
            <w:r w:rsidR="00475F3F" w:rsidRPr="00995C95">
              <w:rPr>
                <w:spacing w:val="-4"/>
                <w:szCs w:val="20"/>
                <w:lang w:eastAsia="en-US"/>
              </w:rPr>
              <w:t>n CZK</w:t>
            </w:r>
            <w:r w:rsidRPr="00995C95">
              <w:rPr>
                <w:spacing w:val="-4"/>
                <w:szCs w:val="20"/>
                <w:lang w:eastAsia="en-US"/>
              </w:rPr>
              <w:t xml:space="preserve">) and slightly deteriorated </w:t>
            </w:r>
            <w:r w:rsidR="00475F3F" w:rsidRPr="00995C95">
              <w:rPr>
                <w:spacing w:val="-4"/>
                <w:szCs w:val="20"/>
                <w:lang w:eastAsia="en-US"/>
              </w:rPr>
              <w:t xml:space="preserve">for </w:t>
            </w:r>
            <w:r w:rsidRPr="00995C95">
              <w:rPr>
                <w:spacing w:val="-4"/>
                <w:szCs w:val="20"/>
                <w:lang w:eastAsia="en-US"/>
              </w:rPr>
              <w:t>trade with non-EU countries (−0.2 b</w:t>
            </w:r>
            <w:r w:rsidR="00475F3F" w:rsidRPr="00995C95">
              <w:rPr>
                <w:spacing w:val="-4"/>
                <w:szCs w:val="20"/>
                <w:lang w:eastAsia="en-US"/>
              </w:rPr>
              <w:t>n</w:t>
            </w:r>
            <w:r w:rsidRPr="00995C95">
              <w:rPr>
                <w:spacing w:val="-4"/>
                <w:szCs w:val="20"/>
                <w:lang w:eastAsia="en-US"/>
              </w:rPr>
              <w:t xml:space="preserve">). However, it had a significant negative impact on the </w:t>
            </w:r>
            <w:r w:rsidR="00D65537" w:rsidRPr="00995C95">
              <w:rPr>
                <w:spacing w:val="-4"/>
                <w:szCs w:val="20"/>
                <w:lang w:eastAsia="en-US"/>
              </w:rPr>
              <w:t xml:space="preserve">total </w:t>
            </w:r>
            <w:r w:rsidRPr="00995C95">
              <w:rPr>
                <w:spacing w:val="-4"/>
                <w:szCs w:val="20"/>
                <w:lang w:eastAsia="en-US"/>
              </w:rPr>
              <w:t>balance of the category of unspecified countries</w:t>
            </w:r>
            <w:r w:rsidR="004D1C4E" w:rsidRPr="00995C95">
              <w:rPr>
                <w:rStyle w:val="Znakapoznpodarou"/>
                <w:spacing w:val="-4"/>
                <w:szCs w:val="20"/>
                <w:lang w:eastAsia="en-US"/>
              </w:rPr>
              <w:footnoteReference w:id="76"/>
            </w:r>
            <w:r w:rsidR="004D1C4E" w:rsidRPr="00995C95">
              <w:rPr>
                <w:spacing w:val="-4"/>
                <w:szCs w:val="20"/>
                <w:lang w:eastAsia="en-US"/>
              </w:rPr>
              <w:t xml:space="preserve"> </w:t>
            </w:r>
            <w:r w:rsidRPr="00995C95">
              <w:rPr>
                <w:spacing w:val="-4"/>
                <w:szCs w:val="20"/>
                <w:lang w:eastAsia="en-US"/>
              </w:rPr>
              <w:t xml:space="preserve"> last year (−22.5 b</w:t>
            </w:r>
            <w:r w:rsidR="004D1C4E" w:rsidRPr="00995C95">
              <w:rPr>
                <w:spacing w:val="-4"/>
                <w:szCs w:val="20"/>
                <w:lang w:eastAsia="en-US"/>
              </w:rPr>
              <w:t>n CZK</w:t>
            </w:r>
            <w:r w:rsidRPr="00995C95">
              <w:rPr>
                <w:spacing w:val="-4"/>
                <w:szCs w:val="20"/>
                <w:lang w:eastAsia="en-US"/>
              </w:rPr>
              <w:t>). Trade with Norway (−25.0 b</w:t>
            </w:r>
            <w:r w:rsidR="004D1C4E" w:rsidRPr="00995C95">
              <w:rPr>
                <w:spacing w:val="-4"/>
                <w:szCs w:val="20"/>
                <w:lang w:eastAsia="en-US"/>
              </w:rPr>
              <w:t>n CZK</w:t>
            </w:r>
            <w:r w:rsidRPr="00995C95">
              <w:rPr>
                <w:spacing w:val="-4"/>
                <w:szCs w:val="20"/>
                <w:lang w:eastAsia="en-US"/>
              </w:rPr>
              <w:t>), China (−21.7 b</w:t>
            </w:r>
            <w:r w:rsidR="004D1C4E" w:rsidRPr="00995C95">
              <w:rPr>
                <w:spacing w:val="-4"/>
                <w:szCs w:val="20"/>
                <w:lang w:eastAsia="en-US"/>
              </w:rPr>
              <w:t>n CZK</w:t>
            </w:r>
            <w:r w:rsidRPr="00995C95">
              <w:rPr>
                <w:spacing w:val="-4"/>
                <w:szCs w:val="20"/>
                <w:lang w:eastAsia="en-US"/>
              </w:rPr>
              <w:t>), Hungary (−9.7 b</w:t>
            </w:r>
            <w:r w:rsidR="004D1C4E" w:rsidRPr="00995C95">
              <w:rPr>
                <w:spacing w:val="-4"/>
                <w:szCs w:val="20"/>
                <w:lang w:eastAsia="en-US"/>
              </w:rPr>
              <w:t>n</w:t>
            </w:r>
            <w:r w:rsidRPr="00995C95">
              <w:rPr>
                <w:spacing w:val="-4"/>
                <w:szCs w:val="20"/>
                <w:lang w:eastAsia="en-US"/>
              </w:rPr>
              <w:t>), the Netherlands (−6.9 b</w:t>
            </w:r>
            <w:r w:rsidR="004D1C4E" w:rsidRPr="00995C95">
              <w:rPr>
                <w:spacing w:val="-4"/>
                <w:szCs w:val="20"/>
                <w:lang w:eastAsia="en-US"/>
              </w:rPr>
              <w:t>n</w:t>
            </w:r>
            <w:r w:rsidRPr="00995C95">
              <w:rPr>
                <w:spacing w:val="-4"/>
                <w:szCs w:val="20"/>
                <w:lang w:eastAsia="en-US"/>
              </w:rPr>
              <w:t>), Spain (−5.6 b</w:t>
            </w:r>
            <w:r w:rsidR="004D1C4E" w:rsidRPr="00995C95">
              <w:rPr>
                <w:spacing w:val="-4"/>
                <w:szCs w:val="20"/>
                <w:lang w:eastAsia="en-US"/>
              </w:rPr>
              <w:t>n</w:t>
            </w:r>
            <w:r w:rsidRPr="00995C95">
              <w:rPr>
                <w:spacing w:val="-4"/>
                <w:szCs w:val="20"/>
                <w:lang w:eastAsia="en-US"/>
              </w:rPr>
              <w:t>) and Singapore (−5.0 b</w:t>
            </w:r>
            <w:r w:rsidR="004D1C4E" w:rsidRPr="00995C95">
              <w:rPr>
                <w:spacing w:val="-4"/>
                <w:szCs w:val="20"/>
                <w:lang w:eastAsia="en-US"/>
              </w:rPr>
              <w:t>n</w:t>
            </w:r>
            <w:r w:rsidRPr="00995C95">
              <w:rPr>
                <w:spacing w:val="-4"/>
                <w:szCs w:val="20"/>
                <w:lang w:eastAsia="en-US"/>
              </w:rPr>
              <w:t xml:space="preserve">) had the greatest impact on the deterioration of the balance of </w:t>
            </w:r>
            <w:r w:rsidR="001A2B9D" w:rsidRPr="00995C95">
              <w:rPr>
                <w:spacing w:val="-4"/>
                <w:szCs w:val="20"/>
                <w:lang w:eastAsia="en-US"/>
              </w:rPr>
              <w:t xml:space="preserve">international </w:t>
            </w:r>
            <w:r w:rsidRPr="00995C95">
              <w:rPr>
                <w:spacing w:val="-4"/>
                <w:szCs w:val="20"/>
                <w:lang w:eastAsia="en-US"/>
              </w:rPr>
              <w:t xml:space="preserve">trade </w:t>
            </w:r>
            <w:r w:rsidR="001A2B9D" w:rsidRPr="00995C95">
              <w:rPr>
                <w:spacing w:val="-4"/>
                <w:szCs w:val="20"/>
                <w:lang w:eastAsia="en-US"/>
              </w:rPr>
              <w:t xml:space="preserve">with </w:t>
            </w:r>
            <w:r w:rsidRPr="00995C95">
              <w:rPr>
                <w:spacing w:val="-4"/>
                <w:szCs w:val="20"/>
                <w:lang w:eastAsia="en-US"/>
              </w:rPr>
              <w:t xml:space="preserve">goods. On the </w:t>
            </w:r>
            <w:r w:rsidR="001A2B9D" w:rsidRPr="00995C95">
              <w:rPr>
                <w:spacing w:val="-4"/>
                <w:szCs w:val="20"/>
                <w:lang w:eastAsia="en-US"/>
              </w:rPr>
              <w:t>contrary</w:t>
            </w:r>
            <w:r w:rsidRPr="00995C95">
              <w:rPr>
                <w:spacing w:val="-4"/>
                <w:szCs w:val="20"/>
                <w:lang w:eastAsia="en-US"/>
              </w:rPr>
              <w:t xml:space="preserve">, the balance improved significantly </w:t>
            </w:r>
            <w:r w:rsidR="001A2B9D" w:rsidRPr="00995C95">
              <w:rPr>
                <w:spacing w:val="-4"/>
                <w:szCs w:val="20"/>
                <w:lang w:eastAsia="en-US"/>
              </w:rPr>
              <w:t xml:space="preserve">for </w:t>
            </w:r>
            <w:r w:rsidRPr="00995C95">
              <w:rPr>
                <w:spacing w:val="-4"/>
                <w:szCs w:val="20"/>
                <w:lang w:eastAsia="en-US"/>
              </w:rPr>
              <w:t>trade with Russia (+49.6 b</w:t>
            </w:r>
            <w:r w:rsidR="001A2B9D" w:rsidRPr="00995C95">
              <w:rPr>
                <w:spacing w:val="-4"/>
                <w:szCs w:val="20"/>
                <w:lang w:eastAsia="en-US"/>
              </w:rPr>
              <w:t>n CZK</w:t>
            </w:r>
            <w:r w:rsidRPr="00995C95">
              <w:rPr>
                <w:spacing w:val="-4"/>
                <w:szCs w:val="20"/>
                <w:lang w:eastAsia="en-US"/>
              </w:rPr>
              <w:t>), Germany (+23.4 b</w:t>
            </w:r>
            <w:r w:rsidR="001A2B9D" w:rsidRPr="00995C95">
              <w:rPr>
                <w:spacing w:val="-4"/>
                <w:szCs w:val="20"/>
                <w:lang w:eastAsia="en-US"/>
              </w:rPr>
              <w:t>n</w:t>
            </w:r>
            <w:r w:rsidRPr="00995C95">
              <w:rPr>
                <w:spacing w:val="-4"/>
                <w:szCs w:val="20"/>
                <w:lang w:eastAsia="en-US"/>
              </w:rPr>
              <w:t>) and France (+11.1 b</w:t>
            </w:r>
            <w:r w:rsidR="001A2B9D" w:rsidRPr="00995C95">
              <w:rPr>
                <w:spacing w:val="-4"/>
                <w:szCs w:val="20"/>
                <w:lang w:eastAsia="en-US"/>
              </w:rPr>
              <w:t>n</w:t>
            </w:r>
            <w:r w:rsidRPr="00995C95">
              <w:rPr>
                <w:spacing w:val="-4"/>
                <w:szCs w:val="20"/>
                <w:lang w:eastAsia="en-US"/>
              </w:rPr>
              <w:t>). Trade with the United States (+7.2 b</w:t>
            </w:r>
            <w:r w:rsidR="001A2B9D" w:rsidRPr="00995C95">
              <w:rPr>
                <w:spacing w:val="-4"/>
                <w:szCs w:val="20"/>
                <w:lang w:eastAsia="en-US"/>
              </w:rPr>
              <w:t>n</w:t>
            </w:r>
            <w:r w:rsidRPr="00995C95">
              <w:rPr>
                <w:spacing w:val="-4"/>
                <w:szCs w:val="20"/>
                <w:lang w:eastAsia="en-US"/>
              </w:rPr>
              <w:t>), Taiwan (+7.0 b</w:t>
            </w:r>
            <w:r w:rsidR="001A2B9D" w:rsidRPr="00995C95">
              <w:rPr>
                <w:spacing w:val="-4"/>
                <w:szCs w:val="20"/>
                <w:lang w:eastAsia="en-US"/>
              </w:rPr>
              <w:t>n</w:t>
            </w:r>
            <w:r w:rsidRPr="00995C95">
              <w:rPr>
                <w:spacing w:val="-4"/>
                <w:szCs w:val="20"/>
                <w:lang w:eastAsia="en-US"/>
              </w:rPr>
              <w:t>), Ukraine (+6.1 b</w:t>
            </w:r>
            <w:r w:rsidR="001A2B9D" w:rsidRPr="00995C95">
              <w:rPr>
                <w:spacing w:val="-4"/>
                <w:szCs w:val="20"/>
                <w:lang w:eastAsia="en-US"/>
              </w:rPr>
              <w:t>n</w:t>
            </w:r>
            <w:r w:rsidRPr="00995C95">
              <w:rPr>
                <w:spacing w:val="-4"/>
                <w:szCs w:val="20"/>
                <w:lang w:eastAsia="en-US"/>
              </w:rPr>
              <w:t>), Denmark (+5.9 b</w:t>
            </w:r>
            <w:r w:rsidR="001A2B9D" w:rsidRPr="00995C95">
              <w:rPr>
                <w:spacing w:val="-4"/>
                <w:szCs w:val="20"/>
                <w:lang w:eastAsia="en-US"/>
              </w:rPr>
              <w:t>n</w:t>
            </w:r>
            <w:r w:rsidRPr="00995C95">
              <w:rPr>
                <w:spacing w:val="-4"/>
                <w:szCs w:val="20"/>
                <w:lang w:eastAsia="en-US"/>
              </w:rPr>
              <w:t>), Slovakia (+5.5 b</w:t>
            </w:r>
            <w:r w:rsidR="001A2B9D" w:rsidRPr="00995C95">
              <w:rPr>
                <w:spacing w:val="-4"/>
                <w:szCs w:val="20"/>
                <w:lang w:eastAsia="en-US"/>
              </w:rPr>
              <w:t>n</w:t>
            </w:r>
            <w:r w:rsidRPr="00995C95">
              <w:rPr>
                <w:spacing w:val="-4"/>
                <w:szCs w:val="20"/>
                <w:lang w:eastAsia="en-US"/>
              </w:rPr>
              <w:t>) and Belgium (+5.1 b</w:t>
            </w:r>
            <w:r w:rsidR="001A2B9D" w:rsidRPr="00995C95">
              <w:rPr>
                <w:spacing w:val="-4"/>
                <w:szCs w:val="20"/>
                <w:lang w:eastAsia="en-US"/>
              </w:rPr>
              <w:t>n</w:t>
            </w:r>
            <w:r w:rsidRPr="00995C95">
              <w:rPr>
                <w:spacing w:val="-4"/>
                <w:szCs w:val="20"/>
                <w:lang w:eastAsia="en-US"/>
              </w:rPr>
              <w:t>) also had a significant impact on the balance improvement.</w:t>
            </w:r>
            <w:r w:rsidR="008942C9" w:rsidRPr="00995C95">
              <w:rPr>
                <w:spacing w:val="-4"/>
                <w:szCs w:val="20"/>
                <w:lang w:eastAsia="en-US"/>
              </w:rPr>
              <w:t xml:space="preserve"> T</w:t>
            </w:r>
            <w:r w:rsidRPr="00995C95">
              <w:rPr>
                <w:spacing w:val="-4"/>
                <w:szCs w:val="20"/>
                <w:lang w:eastAsia="en-US"/>
              </w:rPr>
              <w:t>he surplus of trade with the EU increased by 8.3 b</w:t>
            </w:r>
            <w:r w:rsidR="008942C9" w:rsidRPr="00995C95">
              <w:rPr>
                <w:spacing w:val="-4"/>
                <w:szCs w:val="20"/>
                <w:lang w:eastAsia="en-US"/>
              </w:rPr>
              <w:t xml:space="preserve">n CZK, </w:t>
            </w:r>
            <w:r w:rsidRPr="00995C95">
              <w:rPr>
                <w:spacing w:val="-4"/>
                <w:szCs w:val="20"/>
                <w:lang w:eastAsia="en-US"/>
              </w:rPr>
              <w:t xml:space="preserve">year-on-year, </w:t>
            </w:r>
            <w:r w:rsidR="008942C9" w:rsidRPr="00995C95">
              <w:rPr>
                <w:spacing w:val="-4"/>
                <w:szCs w:val="20"/>
                <w:lang w:eastAsia="en-US"/>
              </w:rPr>
              <w:t xml:space="preserve">in Q4 alone </w:t>
            </w:r>
            <w:r w:rsidRPr="00995C95">
              <w:rPr>
                <w:spacing w:val="-4"/>
                <w:szCs w:val="20"/>
                <w:lang w:eastAsia="en-US"/>
              </w:rPr>
              <w:t>and the deficit with non-EU countries</w:t>
            </w:r>
            <w:r w:rsidR="004554AD" w:rsidRPr="00995C95">
              <w:rPr>
                <w:rStyle w:val="Znakapoznpodarou"/>
                <w:spacing w:val="-4"/>
                <w:szCs w:val="20"/>
                <w:lang w:eastAsia="en-US"/>
              </w:rPr>
              <w:footnoteReference w:id="77"/>
            </w:r>
            <w:r w:rsidR="004554AD" w:rsidRPr="00995C95">
              <w:rPr>
                <w:spacing w:val="-4"/>
                <w:szCs w:val="20"/>
                <w:lang w:eastAsia="en-US"/>
              </w:rPr>
              <w:t xml:space="preserve"> </w:t>
            </w:r>
            <w:r w:rsidRPr="00995C95">
              <w:rPr>
                <w:spacing w:val="-4"/>
                <w:szCs w:val="20"/>
                <w:lang w:eastAsia="en-US"/>
              </w:rPr>
              <w:t xml:space="preserve"> narrowed by 7.6 b</w:t>
            </w:r>
            <w:r w:rsidR="008942C9" w:rsidRPr="00995C95">
              <w:rPr>
                <w:spacing w:val="-4"/>
                <w:szCs w:val="20"/>
                <w:lang w:eastAsia="en-US"/>
              </w:rPr>
              <w:t>n CZK</w:t>
            </w:r>
            <w:r w:rsidRPr="00995C95">
              <w:rPr>
                <w:spacing w:val="-4"/>
                <w:szCs w:val="20"/>
                <w:lang w:eastAsia="en-US"/>
              </w:rPr>
              <w:t>. The balance improved the most</w:t>
            </w:r>
            <w:r w:rsidR="004554AD" w:rsidRPr="00995C95">
              <w:rPr>
                <w:spacing w:val="-4"/>
                <w:szCs w:val="20"/>
                <w:lang w:eastAsia="en-US"/>
              </w:rPr>
              <w:t>,</w:t>
            </w:r>
            <w:r w:rsidRPr="00995C95">
              <w:rPr>
                <w:spacing w:val="-4"/>
                <w:szCs w:val="20"/>
                <w:lang w:eastAsia="en-US"/>
              </w:rPr>
              <w:t xml:space="preserve"> year-on-year</w:t>
            </w:r>
            <w:r w:rsidR="004554AD" w:rsidRPr="00995C95">
              <w:rPr>
                <w:spacing w:val="-4"/>
                <w:szCs w:val="20"/>
                <w:lang w:eastAsia="en-US"/>
              </w:rPr>
              <w:t>,</w:t>
            </w:r>
            <w:r w:rsidRPr="00995C95">
              <w:rPr>
                <w:spacing w:val="-4"/>
                <w:szCs w:val="20"/>
                <w:lang w:eastAsia="en-US"/>
              </w:rPr>
              <w:t xml:space="preserve"> </w:t>
            </w:r>
            <w:r w:rsidR="004554AD" w:rsidRPr="00995C95">
              <w:rPr>
                <w:spacing w:val="-4"/>
                <w:szCs w:val="20"/>
                <w:lang w:eastAsia="en-US"/>
              </w:rPr>
              <w:t xml:space="preserve">for </w:t>
            </w:r>
            <w:r w:rsidRPr="00995C95">
              <w:rPr>
                <w:spacing w:val="-4"/>
                <w:szCs w:val="20"/>
                <w:lang w:eastAsia="en-US"/>
              </w:rPr>
              <w:t xml:space="preserve">Russia, Slovakia, China and France (see Table 6). </w:t>
            </w:r>
            <w:r w:rsidR="004554AD" w:rsidRPr="00995C95">
              <w:rPr>
                <w:spacing w:val="-4"/>
                <w:szCs w:val="20"/>
                <w:lang w:eastAsia="en-US"/>
              </w:rPr>
              <w:t>In contrast</w:t>
            </w:r>
            <w:r w:rsidRPr="00995C95">
              <w:rPr>
                <w:spacing w:val="-4"/>
                <w:szCs w:val="20"/>
                <w:lang w:eastAsia="en-US"/>
              </w:rPr>
              <w:t xml:space="preserve">, trade with Norway, the United States </w:t>
            </w:r>
            <w:r w:rsidR="00AD5B55" w:rsidRPr="00995C95">
              <w:rPr>
                <w:spacing w:val="-4"/>
                <w:szCs w:val="20"/>
                <w:lang w:eastAsia="en-US"/>
              </w:rPr>
              <w:t xml:space="preserve">or </w:t>
            </w:r>
            <w:r w:rsidRPr="00995C95">
              <w:rPr>
                <w:spacing w:val="-4"/>
                <w:szCs w:val="20"/>
                <w:lang w:eastAsia="en-US"/>
              </w:rPr>
              <w:t xml:space="preserve">Hungary acted in the direction of deterioration. </w:t>
            </w:r>
          </w:p>
        </w:tc>
      </w:tr>
      <w:tr w:rsidR="00605D96" w:rsidRPr="00995C95" w14:paraId="77265842" w14:textId="77777777" w:rsidTr="008B207B">
        <w:trPr>
          <w:trHeight w:val="170"/>
        </w:trPr>
        <w:tc>
          <w:tcPr>
            <w:tcW w:w="4811" w:type="dxa"/>
            <w:gridSpan w:val="3"/>
            <w:hideMark/>
          </w:tcPr>
          <w:p w14:paraId="700E59DC" w14:textId="4276FA5D" w:rsidR="00605D96" w:rsidRPr="00995C95" w:rsidRDefault="00605D96" w:rsidP="008B207B">
            <w:pPr>
              <w:spacing w:after="0"/>
              <w:jc w:val="left"/>
              <w:rPr>
                <w:rFonts w:cs="Arial"/>
                <w:b/>
                <w:bCs/>
                <w:color w:val="000000"/>
                <w:sz w:val="18"/>
                <w:szCs w:val="18"/>
                <w:lang w:eastAsia="en-US"/>
              </w:rPr>
            </w:pPr>
            <w:r w:rsidRPr="00995C95">
              <w:rPr>
                <w:rFonts w:cs="Arial"/>
                <w:b/>
                <w:bCs/>
                <w:color w:val="000000"/>
                <w:sz w:val="18"/>
                <w:szCs w:val="18"/>
                <w:lang w:eastAsia="en-US"/>
              </w:rPr>
              <w:t xml:space="preserve">Tabulka č. 5 </w:t>
            </w:r>
            <w:r w:rsidR="008E6F8B" w:rsidRPr="00995C95">
              <w:rPr>
                <w:rFonts w:cs="Arial"/>
                <w:b/>
                <w:bCs/>
                <w:color w:val="000000"/>
                <w:sz w:val="18"/>
                <w:szCs w:val="18"/>
                <w:lang w:eastAsia="en-US"/>
              </w:rPr>
              <w:t xml:space="preserve">Sections of CPA classification with highest impact on international trade with goods balance development in Q4 2025 </w:t>
            </w:r>
            <w:r w:rsidR="008E6F8B" w:rsidRPr="00995C95">
              <w:rPr>
                <w:rFonts w:cs="Arial"/>
                <w:bCs/>
                <w:color w:val="000000"/>
                <w:sz w:val="18"/>
                <w:szCs w:val="18"/>
                <w:lang w:eastAsia="en-US"/>
              </w:rPr>
              <w:t>(year-on-year)</w:t>
            </w:r>
          </w:p>
        </w:tc>
        <w:tc>
          <w:tcPr>
            <w:tcW w:w="57" w:type="dxa"/>
          </w:tcPr>
          <w:p w14:paraId="719A2F86" w14:textId="77777777" w:rsidR="00605D96" w:rsidRPr="00995C95" w:rsidRDefault="00605D96" w:rsidP="008B207B">
            <w:pPr>
              <w:spacing w:after="0"/>
              <w:rPr>
                <w:spacing w:val="-4"/>
                <w:lang w:eastAsia="en-US"/>
              </w:rPr>
            </w:pPr>
          </w:p>
        </w:tc>
        <w:tc>
          <w:tcPr>
            <w:tcW w:w="4809" w:type="dxa"/>
            <w:hideMark/>
          </w:tcPr>
          <w:p w14:paraId="431E2961" w14:textId="7C3BBD91" w:rsidR="00605D96" w:rsidRPr="00995C95" w:rsidRDefault="00605D96" w:rsidP="008B207B">
            <w:pPr>
              <w:spacing w:after="0"/>
              <w:jc w:val="left"/>
              <w:rPr>
                <w:spacing w:val="-4"/>
                <w:sz w:val="18"/>
                <w:szCs w:val="18"/>
                <w:lang w:eastAsia="en-US"/>
              </w:rPr>
            </w:pPr>
            <w:r w:rsidRPr="00995C95">
              <w:rPr>
                <w:rFonts w:cs="Arial"/>
                <w:b/>
                <w:bCs/>
                <w:color w:val="000000"/>
                <w:sz w:val="18"/>
                <w:szCs w:val="18"/>
                <w:lang w:eastAsia="en-US"/>
              </w:rPr>
              <w:t xml:space="preserve">Tabulka č. 6 </w:t>
            </w:r>
            <w:r w:rsidR="008E6F8B" w:rsidRPr="00995C95">
              <w:rPr>
                <w:rFonts w:cs="Arial"/>
                <w:b/>
                <w:bCs/>
                <w:color w:val="000000"/>
                <w:sz w:val="18"/>
                <w:szCs w:val="18"/>
                <w:lang w:eastAsia="en-US"/>
              </w:rPr>
              <w:t xml:space="preserve">Countries with largest impact on international trade with goods development in Q4 2025 </w:t>
            </w:r>
            <w:r w:rsidR="008E6F8B" w:rsidRPr="00995C95">
              <w:rPr>
                <w:rFonts w:cs="Arial"/>
                <w:bCs/>
                <w:color w:val="000000"/>
                <w:sz w:val="18"/>
                <w:szCs w:val="18"/>
                <w:lang w:eastAsia="en-US"/>
              </w:rPr>
              <w:t>(year-on-year)</w:t>
            </w:r>
          </w:p>
        </w:tc>
      </w:tr>
      <w:tr w:rsidR="00605D96" w:rsidRPr="00995C95" w14:paraId="2FB4D9DF" w14:textId="77777777" w:rsidTr="008B207B">
        <w:trPr>
          <w:trHeight w:val="170"/>
        </w:trPr>
        <w:tc>
          <w:tcPr>
            <w:tcW w:w="4811" w:type="dxa"/>
            <w:gridSpan w:val="3"/>
            <w:hideMark/>
          </w:tcPr>
          <w:tbl>
            <w:tblPr>
              <w:tblW w:w="4826" w:type="dxa"/>
              <w:tblLayout w:type="fixed"/>
              <w:tblCellMar>
                <w:left w:w="70" w:type="dxa"/>
                <w:right w:w="70" w:type="dxa"/>
              </w:tblCellMar>
              <w:tblLook w:val="04A0" w:firstRow="1" w:lastRow="0" w:firstColumn="1" w:lastColumn="0" w:noHBand="0" w:noVBand="1"/>
            </w:tblPr>
            <w:tblGrid>
              <w:gridCol w:w="4126"/>
              <w:gridCol w:w="700"/>
            </w:tblGrid>
            <w:tr w:rsidR="00605D96" w:rsidRPr="00995C95" w14:paraId="3321AF88" w14:textId="77777777" w:rsidTr="008B207B">
              <w:trPr>
                <w:trHeight w:val="255"/>
              </w:trPr>
              <w:tc>
                <w:tcPr>
                  <w:tcW w:w="4126" w:type="dxa"/>
                  <w:tcBorders>
                    <w:top w:val="nil"/>
                    <w:left w:val="nil"/>
                    <w:bottom w:val="single" w:sz="4" w:space="0" w:color="auto"/>
                    <w:right w:val="nil"/>
                  </w:tcBorders>
                  <w:noWrap/>
                  <w:vAlign w:val="bottom"/>
                  <w:hideMark/>
                </w:tcPr>
                <w:p w14:paraId="1514DD02" w14:textId="77777777" w:rsidR="00605D96" w:rsidRPr="00995C95" w:rsidRDefault="00605D96" w:rsidP="008B207B">
                  <w:pPr>
                    <w:spacing w:after="0" w:line="240" w:lineRule="auto"/>
                    <w:jc w:val="left"/>
                    <w:rPr>
                      <w:rFonts w:cs="Arial"/>
                      <w:color w:val="000000"/>
                      <w:sz w:val="16"/>
                      <w:szCs w:val="16"/>
                    </w:rPr>
                  </w:pPr>
                  <w:r w:rsidRPr="00995C95">
                    <w:rPr>
                      <w:rFonts w:cs="Arial"/>
                      <w:color w:val="000000"/>
                      <w:sz w:val="16"/>
                      <w:szCs w:val="16"/>
                    </w:rPr>
                    <w:t> </w:t>
                  </w:r>
                </w:p>
              </w:tc>
              <w:tc>
                <w:tcPr>
                  <w:tcW w:w="700" w:type="dxa"/>
                  <w:tcBorders>
                    <w:top w:val="nil"/>
                    <w:left w:val="nil"/>
                    <w:bottom w:val="single" w:sz="4" w:space="0" w:color="auto"/>
                    <w:right w:val="nil"/>
                  </w:tcBorders>
                  <w:noWrap/>
                  <w:vAlign w:val="bottom"/>
                  <w:hideMark/>
                </w:tcPr>
                <w:p w14:paraId="5C6F411C" w14:textId="131CDC2B" w:rsidR="00605D96" w:rsidRPr="00995C95" w:rsidRDefault="00A601C4" w:rsidP="008B207B">
                  <w:pPr>
                    <w:spacing w:after="0" w:line="240" w:lineRule="auto"/>
                    <w:jc w:val="right"/>
                    <w:rPr>
                      <w:rFonts w:cs="Arial"/>
                      <w:color w:val="000000"/>
                      <w:sz w:val="16"/>
                      <w:szCs w:val="16"/>
                    </w:rPr>
                  </w:pPr>
                  <w:r w:rsidRPr="00995C95">
                    <w:rPr>
                      <w:rFonts w:cs="Arial"/>
                      <w:color w:val="000000"/>
                      <w:sz w:val="16"/>
                      <w:szCs w:val="16"/>
                    </w:rPr>
                    <w:t>bn CZK</w:t>
                  </w:r>
                </w:p>
              </w:tc>
            </w:tr>
            <w:tr w:rsidR="00605D96" w:rsidRPr="00995C95" w14:paraId="3248224D" w14:textId="77777777" w:rsidTr="008B207B">
              <w:trPr>
                <w:trHeight w:val="255"/>
              </w:trPr>
              <w:tc>
                <w:tcPr>
                  <w:tcW w:w="4126" w:type="dxa"/>
                  <w:tcBorders>
                    <w:top w:val="nil"/>
                    <w:left w:val="nil"/>
                    <w:bottom w:val="nil"/>
                    <w:right w:val="nil"/>
                  </w:tcBorders>
                  <w:noWrap/>
                  <w:vAlign w:val="bottom"/>
                  <w:hideMark/>
                </w:tcPr>
                <w:p w14:paraId="2E57BE83" w14:textId="26BB9B42" w:rsidR="00605D96" w:rsidRPr="00995C95" w:rsidRDefault="00A601C4" w:rsidP="008B207B">
                  <w:pPr>
                    <w:spacing w:after="0" w:line="240" w:lineRule="auto"/>
                    <w:jc w:val="left"/>
                    <w:rPr>
                      <w:rFonts w:cs="Arial"/>
                      <w:color w:val="000000"/>
                      <w:sz w:val="16"/>
                      <w:szCs w:val="16"/>
                    </w:rPr>
                  </w:pPr>
                  <w:r w:rsidRPr="00995C95">
                    <w:rPr>
                      <w:sz w:val="16"/>
                      <w:szCs w:val="16"/>
                    </w:rPr>
                    <w:t>Crude petroleum and natural gas</w:t>
                  </w:r>
                </w:p>
              </w:tc>
              <w:tc>
                <w:tcPr>
                  <w:tcW w:w="700" w:type="dxa"/>
                  <w:tcBorders>
                    <w:top w:val="nil"/>
                    <w:left w:val="nil"/>
                    <w:bottom w:val="nil"/>
                    <w:right w:val="nil"/>
                  </w:tcBorders>
                  <w:noWrap/>
                  <w:vAlign w:val="bottom"/>
                  <w:hideMark/>
                </w:tcPr>
                <w:p w14:paraId="773473B7" w14:textId="3E00B582"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+9</w:t>
                  </w:r>
                  <w:r w:rsidR="00A601C4" w:rsidRPr="00995C95">
                    <w:rPr>
                      <w:rFonts w:cs="Arial"/>
                      <w:color w:val="000000"/>
                      <w:sz w:val="16"/>
                      <w:szCs w:val="16"/>
                    </w:rPr>
                    <w:t>.</w:t>
                  </w:r>
                  <w:r w:rsidRPr="00995C95">
                    <w:rPr>
                      <w:rFonts w:cs="Arial"/>
                      <w:color w:val="000000"/>
                      <w:sz w:val="16"/>
                      <w:szCs w:val="16"/>
                    </w:rPr>
                    <w:t>3</w:t>
                  </w:r>
                </w:p>
              </w:tc>
            </w:tr>
            <w:tr w:rsidR="00605D96" w:rsidRPr="00995C95" w14:paraId="7851B0DD" w14:textId="77777777" w:rsidTr="008B207B">
              <w:trPr>
                <w:trHeight w:val="255"/>
              </w:trPr>
              <w:tc>
                <w:tcPr>
                  <w:tcW w:w="4126" w:type="dxa"/>
                  <w:tcBorders>
                    <w:top w:val="nil"/>
                    <w:left w:val="nil"/>
                    <w:bottom w:val="nil"/>
                    <w:right w:val="nil"/>
                  </w:tcBorders>
                  <w:noWrap/>
                  <w:vAlign w:val="bottom"/>
                  <w:hideMark/>
                </w:tcPr>
                <w:p w14:paraId="1458B054" w14:textId="32C8C04C" w:rsidR="00605D96" w:rsidRPr="00995C95" w:rsidRDefault="00A601C4" w:rsidP="008B207B">
                  <w:pPr>
                    <w:spacing w:after="0" w:line="240" w:lineRule="auto"/>
                    <w:jc w:val="left"/>
                    <w:rPr>
                      <w:rFonts w:cs="Arial"/>
                      <w:color w:val="000000"/>
                      <w:sz w:val="16"/>
                      <w:szCs w:val="16"/>
                    </w:rPr>
                  </w:pPr>
                  <w:r w:rsidRPr="00995C95">
                    <w:rPr>
                      <w:rFonts w:cs="Arial"/>
                      <w:color w:val="000000"/>
                      <w:sz w:val="16"/>
                      <w:szCs w:val="16"/>
                    </w:rPr>
                    <w:t>Machinery and equipment, n.c.e.</w:t>
                  </w:r>
                </w:p>
              </w:tc>
              <w:tc>
                <w:tcPr>
                  <w:tcW w:w="700" w:type="dxa"/>
                  <w:tcBorders>
                    <w:top w:val="nil"/>
                    <w:left w:val="nil"/>
                    <w:bottom w:val="nil"/>
                    <w:right w:val="nil"/>
                  </w:tcBorders>
                  <w:noWrap/>
                  <w:vAlign w:val="bottom"/>
                  <w:hideMark/>
                </w:tcPr>
                <w:p w14:paraId="29713D84" w14:textId="03BAA369"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+8</w:t>
                  </w:r>
                  <w:r w:rsidR="00A601C4" w:rsidRPr="00995C95">
                    <w:rPr>
                      <w:rFonts w:cs="Arial"/>
                      <w:color w:val="000000"/>
                      <w:sz w:val="16"/>
                      <w:szCs w:val="16"/>
                    </w:rPr>
                    <w:t>.</w:t>
                  </w:r>
                  <w:r w:rsidRPr="00995C95">
                    <w:rPr>
                      <w:rFonts w:cs="Arial"/>
                      <w:color w:val="000000"/>
                      <w:sz w:val="16"/>
                      <w:szCs w:val="16"/>
                    </w:rPr>
                    <w:t>2</w:t>
                  </w:r>
                </w:p>
              </w:tc>
            </w:tr>
            <w:tr w:rsidR="00605D96" w:rsidRPr="00995C95" w14:paraId="4A61637B" w14:textId="77777777" w:rsidTr="008B207B">
              <w:trPr>
                <w:trHeight w:val="255"/>
              </w:trPr>
              <w:tc>
                <w:tcPr>
                  <w:tcW w:w="4126" w:type="dxa"/>
                  <w:tcBorders>
                    <w:top w:val="nil"/>
                    <w:left w:val="nil"/>
                    <w:bottom w:val="nil"/>
                    <w:right w:val="nil"/>
                  </w:tcBorders>
                  <w:noWrap/>
                  <w:vAlign w:val="bottom"/>
                  <w:hideMark/>
                </w:tcPr>
                <w:p w14:paraId="70FB0C29" w14:textId="532FF59F" w:rsidR="00605D96" w:rsidRPr="00995C95" w:rsidRDefault="00A601C4" w:rsidP="008B207B">
                  <w:pPr>
                    <w:spacing w:after="0" w:line="240" w:lineRule="auto"/>
                    <w:jc w:val="left"/>
                    <w:rPr>
                      <w:rFonts w:cs="Arial"/>
                      <w:color w:val="000000"/>
                      <w:sz w:val="16"/>
                      <w:szCs w:val="16"/>
                    </w:rPr>
                  </w:pPr>
                  <w:r w:rsidRPr="00995C95">
                    <w:rPr>
                      <w:rFonts w:cs="Arial"/>
                      <w:color w:val="000000"/>
                      <w:sz w:val="16"/>
                      <w:szCs w:val="16"/>
                    </w:rPr>
                    <w:t>Motor vehicles (excl. motorcycles) and parts</w:t>
                  </w:r>
                </w:p>
              </w:tc>
              <w:tc>
                <w:tcPr>
                  <w:tcW w:w="700" w:type="dxa"/>
                  <w:tcBorders>
                    <w:top w:val="nil"/>
                    <w:left w:val="nil"/>
                    <w:bottom w:val="nil"/>
                    <w:right w:val="nil"/>
                  </w:tcBorders>
                  <w:noWrap/>
                  <w:vAlign w:val="bottom"/>
                  <w:hideMark/>
                </w:tcPr>
                <w:p w14:paraId="6A0E8717" w14:textId="00052842"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+4</w:t>
                  </w:r>
                  <w:r w:rsidR="00A601C4" w:rsidRPr="00995C95">
                    <w:rPr>
                      <w:rFonts w:cs="Arial"/>
                      <w:color w:val="000000"/>
                      <w:sz w:val="16"/>
                      <w:szCs w:val="16"/>
                    </w:rPr>
                    <w:t>.</w:t>
                  </w:r>
                  <w:r w:rsidRPr="00995C95">
                    <w:rPr>
                      <w:rFonts w:cs="Arial"/>
                      <w:color w:val="000000"/>
                      <w:sz w:val="16"/>
                      <w:szCs w:val="16"/>
                    </w:rPr>
                    <w:t>2</w:t>
                  </w:r>
                </w:p>
              </w:tc>
            </w:tr>
            <w:tr w:rsidR="00605D96" w:rsidRPr="00995C95" w14:paraId="294C60D5" w14:textId="77777777" w:rsidTr="008B207B">
              <w:trPr>
                <w:trHeight w:val="255"/>
              </w:trPr>
              <w:tc>
                <w:tcPr>
                  <w:tcW w:w="4126" w:type="dxa"/>
                  <w:tcBorders>
                    <w:top w:val="nil"/>
                    <w:left w:val="nil"/>
                    <w:bottom w:val="nil"/>
                    <w:right w:val="nil"/>
                  </w:tcBorders>
                  <w:noWrap/>
                  <w:vAlign w:val="bottom"/>
                  <w:hideMark/>
                </w:tcPr>
                <w:p w14:paraId="153255A1" w14:textId="100843E0" w:rsidR="00605D96" w:rsidRPr="00995C95" w:rsidRDefault="00A601C4" w:rsidP="008B207B">
                  <w:pPr>
                    <w:spacing w:after="0" w:line="240" w:lineRule="auto"/>
                    <w:jc w:val="left"/>
                    <w:rPr>
                      <w:rFonts w:cs="Arial"/>
                      <w:color w:val="000000"/>
                      <w:sz w:val="16"/>
                      <w:szCs w:val="16"/>
                    </w:rPr>
                  </w:pPr>
                  <w:r w:rsidRPr="00995C95">
                    <w:rPr>
                      <w:rFonts w:cs="Arial"/>
                      <w:color w:val="000000"/>
                      <w:sz w:val="16"/>
                      <w:szCs w:val="16"/>
                    </w:rPr>
                    <w:t>Coke and refined petroleum products</w:t>
                  </w:r>
                </w:p>
              </w:tc>
              <w:tc>
                <w:tcPr>
                  <w:tcW w:w="700" w:type="dxa"/>
                  <w:tcBorders>
                    <w:top w:val="nil"/>
                    <w:left w:val="nil"/>
                    <w:bottom w:val="nil"/>
                    <w:right w:val="nil"/>
                  </w:tcBorders>
                  <w:noWrap/>
                  <w:vAlign w:val="bottom"/>
                  <w:hideMark/>
                </w:tcPr>
                <w:p w14:paraId="470BC333" w14:textId="78F2440F"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w:t>
                  </w:r>
                  <w:r w:rsidR="00A601C4" w:rsidRPr="00995C95">
                    <w:rPr>
                      <w:rFonts w:cs="Arial"/>
                      <w:color w:val="000000"/>
                      <w:sz w:val="16"/>
                      <w:szCs w:val="16"/>
                    </w:rPr>
                    <w:t>.</w:t>
                  </w:r>
                  <w:r w:rsidRPr="00995C95">
                    <w:rPr>
                      <w:rFonts w:cs="Arial"/>
                      <w:color w:val="000000"/>
                      <w:sz w:val="16"/>
                      <w:szCs w:val="16"/>
                    </w:rPr>
                    <w:t>9</w:t>
                  </w:r>
                </w:p>
              </w:tc>
            </w:tr>
            <w:tr w:rsidR="00605D96" w:rsidRPr="00995C95" w14:paraId="0472459D" w14:textId="77777777" w:rsidTr="008B207B">
              <w:trPr>
                <w:trHeight w:val="255"/>
              </w:trPr>
              <w:tc>
                <w:tcPr>
                  <w:tcW w:w="4126" w:type="dxa"/>
                  <w:tcBorders>
                    <w:top w:val="nil"/>
                    <w:left w:val="nil"/>
                    <w:bottom w:val="nil"/>
                    <w:right w:val="nil"/>
                  </w:tcBorders>
                  <w:noWrap/>
                  <w:vAlign w:val="bottom"/>
                  <w:hideMark/>
                </w:tcPr>
                <w:p w14:paraId="722B9508" w14:textId="79ECA286" w:rsidR="00605D96" w:rsidRPr="00995C95" w:rsidRDefault="00A601C4" w:rsidP="008B207B">
                  <w:pPr>
                    <w:spacing w:after="0" w:line="240" w:lineRule="auto"/>
                    <w:jc w:val="left"/>
                    <w:rPr>
                      <w:rFonts w:cs="Arial"/>
                      <w:color w:val="000000"/>
                      <w:sz w:val="16"/>
                      <w:szCs w:val="16"/>
                    </w:rPr>
                  </w:pPr>
                  <w:r w:rsidRPr="00995C95">
                    <w:rPr>
                      <w:rFonts w:cs="Arial"/>
                      <w:color w:val="000000"/>
                      <w:sz w:val="16"/>
                      <w:szCs w:val="16"/>
                    </w:rPr>
                    <w:t>Computers, electron. and opt. appliances and equipment</w:t>
                  </w:r>
                </w:p>
              </w:tc>
              <w:tc>
                <w:tcPr>
                  <w:tcW w:w="700" w:type="dxa"/>
                  <w:tcBorders>
                    <w:top w:val="nil"/>
                    <w:left w:val="nil"/>
                    <w:bottom w:val="nil"/>
                    <w:right w:val="nil"/>
                  </w:tcBorders>
                  <w:noWrap/>
                  <w:vAlign w:val="bottom"/>
                  <w:hideMark/>
                </w:tcPr>
                <w:p w14:paraId="0D0142F4" w14:textId="4027AE6B"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w:t>
                  </w:r>
                  <w:r w:rsidR="00A601C4" w:rsidRPr="00995C95">
                    <w:rPr>
                      <w:rFonts w:cs="Arial"/>
                      <w:color w:val="000000"/>
                      <w:sz w:val="16"/>
                      <w:szCs w:val="16"/>
                    </w:rPr>
                    <w:t>.</w:t>
                  </w:r>
                  <w:r w:rsidRPr="00995C95">
                    <w:rPr>
                      <w:rFonts w:cs="Arial"/>
                      <w:color w:val="000000"/>
                      <w:sz w:val="16"/>
                      <w:szCs w:val="16"/>
                    </w:rPr>
                    <w:t>8</w:t>
                  </w:r>
                </w:p>
              </w:tc>
            </w:tr>
            <w:tr w:rsidR="00605D96" w:rsidRPr="00995C95" w14:paraId="11793677" w14:textId="77777777" w:rsidTr="008B207B">
              <w:trPr>
                <w:trHeight w:val="255"/>
              </w:trPr>
              <w:tc>
                <w:tcPr>
                  <w:tcW w:w="4126" w:type="dxa"/>
                  <w:tcBorders>
                    <w:top w:val="nil"/>
                    <w:left w:val="nil"/>
                    <w:bottom w:val="nil"/>
                    <w:right w:val="nil"/>
                  </w:tcBorders>
                  <w:noWrap/>
                  <w:vAlign w:val="bottom"/>
                  <w:hideMark/>
                </w:tcPr>
                <w:p w14:paraId="2EE549A4" w14:textId="6749D738" w:rsidR="00605D96" w:rsidRPr="00995C95" w:rsidRDefault="00A601C4" w:rsidP="008B207B">
                  <w:pPr>
                    <w:spacing w:after="0" w:line="240" w:lineRule="auto"/>
                    <w:jc w:val="left"/>
                    <w:rPr>
                      <w:rFonts w:cs="Arial"/>
                      <w:color w:val="000000"/>
                      <w:sz w:val="16"/>
                      <w:szCs w:val="16"/>
                    </w:rPr>
                  </w:pPr>
                  <w:r w:rsidRPr="00995C95">
                    <w:rPr>
                      <w:rFonts w:cs="Arial"/>
                      <w:color w:val="000000"/>
                      <w:sz w:val="16"/>
                      <w:szCs w:val="16"/>
                    </w:rPr>
                    <w:t>Rubber and plastic products</w:t>
                  </w:r>
                </w:p>
              </w:tc>
              <w:tc>
                <w:tcPr>
                  <w:tcW w:w="700" w:type="dxa"/>
                  <w:tcBorders>
                    <w:top w:val="nil"/>
                    <w:left w:val="nil"/>
                    <w:bottom w:val="nil"/>
                    <w:right w:val="nil"/>
                  </w:tcBorders>
                  <w:noWrap/>
                  <w:vAlign w:val="bottom"/>
                  <w:hideMark/>
                </w:tcPr>
                <w:p w14:paraId="2D46D57F" w14:textId="38B093B2"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w:t>
                  </w:r>
                  <w:r w:rsidR="00A601C4" w:rsidRPr="00995C95">
                    <w:rPr>
                      <w:rFonts w:cs="Arial"/>
                      <w:color w:val="000000"/>
                      <w:sz w:val="16"/>
                      <w:szCs w:val="16"/>
                    </w:rPr>
                    <w:t>.</w:t>
                  </w:r>
                  <w:r w:rsidRPr="00995C95">
                    <w:rPr>
                      <w:rFonts w:cs="Arial"/>
                      <w:color w:val="000000"/>
                      <w:sz w:val="16"/>
                      <w:szCs w:val="16"/>
                    </w:rPr>
                    <w:t>5</w:t>
                  </w:r>
                </w:p>
              </w:tc>
            </w:tr>
            <w:tr w:rsidR="00605D96" w:rsidRPr="00995C95" w14:paraId="2F2488C6" w14:textId="77777777" w:rsidTr="008B207B">
              <w:trPr>
                <w:trHeight w:val="255"/>
              </w:trPr>
              <w:tc>
                <w:tcPr>
                  <w:tcW w:w="4126" w:type="dxa"/>
                  <w:tcBorders>
                    <w:top w:val="nil"/>
                    <w:left w:val="nil"/>
                    <w:bottom w:val="nil"/>
                    <w:right w:val="nil"/>
                  </w:tcBorders>
                  <w:noWrap/>
                  <w:vAlign w:val="bottom"/>
                  <w:hideMark/>
                </w:tcPr>
                <w:p w14:paraId="722B3816" w14:textId="2AE22F29" w:rsidR="00605D96" w:rsidRPr="00995C95" w:rsidRDefault="00A601C4" w:rsidP="008B207B">
                  <w:pPr>
                    <w:spacing w:after="0" w:line="240" w:lineRule="auto"/>
                    <w:jc w:val="left"/>
                    <w:rPr>
                      <w:rFonts w:cs="Arial"/>
                      <w:color w:val="000000"/>
                      <w:sz w:val="16"/>
                      <w:szCs w:val="16"/>
                    </w:rPr>
                  </w:pPr>
                  <w:r w:rsidRPr="00995C95">
                    <w:rPr>
                      <w:rFonts w:cs="Arial"/>
                      <w:color w:val="000000"/>
                      <w:sz w:val="16"/>
                      <w:szCs w:val="16"/>
                    </w:rPr>
                    <w:t>Basic metals</w:t>
                  </w:r>
                </w:p>
              </w:tc>
              <w:tc>
                <w:tcPr>
                  <w:tcW w:w="700" w:type="dxa"/>
                  <w:tcBorders>
                    <w:top w:val="nil"/>
                    <w:left w:val="nil"/>
                    <w:bottom w:val="nil"/>
                    <w:right w:val="nil"/>
                  </w:tcBorders>
                  <w:noWrap/>
                  <w:vAlign w:val="bottom"/>
                  <w:hideMark/>
                </w:tcPr>
                <w:p w14:paraId="7F13A16B" w14:textId="6302FA1A"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w:t>
                  </w:r>
                  <w:r w:rsidR="00A601C4" w:rsidRPr="00995C95">
                    <w:rPr>
                      <w:rFonts w:cs="Arial"/>
                      <w:color w:val="000000"/>
                      <w:sz w:val="16"/>
                      <w:szCs w:val="16"/>
                    </w:rPr>
                    <w:t>.</w:t>
                  </w:r>
                  <w:r w:rsidRPr="00995C95">
                    <w:rPr>
                      <w:rFonts w:cs="Arial"/>
                      <w:color w:val="000000"/>
                      <w:sz w:val="16"/>
                      <w:szCs w:val="16"/>
                    </w:rPr>
                    <w:t>3</w:t>
                  </w:r>
                </w:p>
              </w:tc>
            </w:tr>
            <w:tr w:rsidR="00605D96" w:rsidRPr="00995C95" w14:paraId="154D632A" w14:textId="77777777" w:rsidTr="008B207B">
              <w:trPr>
                <w:trHeight w:val="255"/>
              </w:trPr>
              <w:tc>
                <w:tcPr>
                  <w:tcW w:w="4126" w:type="dxa"/>
                  <w:tcBorders>
                    <w:top w:val="nil"/>
                    <w:left w:val="nil"/>
                    <w:bottom w:val="nil"/>
                    <w:right w:val="nil"/>
                  </w:tcBorders>
                  <w:noWrap/>
                  <w:vAlign w:val="bottom"/>
                  <w:hideMark/>
                </w:tcPr>
                <w:p w14:paraId="279FD3FF" w14:textId="3E40F921" w:rsidR="00605D96" w:rsidRPr="00995C95" w:rsidRDefault="00A601C4" w:rsidP="008B207B">
                  <w:pPr>
                    <w:spacing w:after="0" w:line="240" w:lineRule="auto"/>
                    <w:jc w:val="left"/>
                    <w:rPr>
                      <w:rFonts w:cs="Arial"/>
                      <w:color w:val="000000"/>
                      <w:sz w:val="16"/>
                      <w:szCs w:val="16"/>
                    </w:rPr>
                  </w:pPr>
                  <w:r w:rsidRPr="00995C95">
                    <w:rPr>
                      <w:rFonts w:cs="Arial"/>
                      <w:color w:val="000000"/>
                      <w:sz w:val="16"/>
                      <w:szCs w:val="16"/>
                    </w:rPr>
                    <w:t>Products of agriculture and hunting</w:t>
                  </w:r>
                </w:p>
              </w:tc>
              <w:tc>
                <w:tcPr>
                  <w:tcW w:w="700" w:type="dxa"/>
                  <w:tcBorders>
                    <w:top w:val="nil"/>
                    <w:left w:val="nil"/>
                    <w:bottom w:val="nil"/>
                    <w:right w:val="nil"/>
                  </w:tcBorders>
                  <w:noWrap/>
                  <w:vAlign w:val="bottom"/>
                  <w:hideMark/>
                </w:tcPr>
                <w:p w14:paraId="39949CBA" w14:textId="652CCFA2"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w:t>
                  </w:r>
                  <w:r w:rsidR="00A601C4" w:rsidRPr="00995C95">
                    <w:rPr>
                      <w:rFonts w:cs="Arial"/>
                      <w:color w:val="000000"/>
                      <w:sz w:val="16"/>
                      <w:szCs w:val="16"/>
                    </w:rPr>
                    <w:t>.</w:t>
                  </w:r>
                  <w:r w:rsidRPr="00995C95">
                    <w:rPr>
                      <w:rFonts w:cs="Arial"/>
                      <w:color w:val="000000"/>
                      <w:sz w:val="16"/>
                      <w:szCs w:val="16"/>
                    </w:rPr>
                    <w:t>1</w:t>
                  </w:r>
                </w:p>
              </w:tc>
            </w:tr>
            <w:tr w:rsidR="00605D96" w:rsidRPr="00995C95" w14:paraId="5683D891" w14:textId="77777777" w:rsidTr="008B207B">
              <w:trPr>
                <w:trHeight w:val="255"/>
              </w:trPr>
              <w:tc>
                <w:tcPr>
                  <w:tcW w:w="4126" w:type="dxa"/>
                  <w:tcBorders>
                    <w:top w:val="nil"/>
                    <w:left w:val="nil"/>
                    <w:bottom w:val="nil"/>
                    <w:right w:val="nil"/>
                  </w:tcBorders>
                  <w:noWrap/>
                  <w:vAlign w:val="bottom"/>
                  <w:hideMark/>
                </w:tcPr>
                <w:p w14:paraId="54E202B2" w14:textId="75F9FA77" w:rsidR="00605D96" w:rsidRPr="00995C95" w:rsidRDefault="00A601C4" w:rsidP="008B207B">
                  <w:pPr>
                    <w:spacing w:after="0" w:line="240" w:lineRule="auto"/>
                    <w:jc w:val="left"/>
                    <w:rPr>
                      <w:rFonts w:cs="Arial"/>
                      <w:color w:val="000000"/>
                      <w:sz w:val="16"/>
                      <w:szCs w:val="16"/>
                    </w:rPr>
                  </w:pPr>
                  <w:r w:rsidRPr="00995C95">
                    <w:rPr>
                      <w:rFonts w:cs="Arial"/>
                      <w:color w:val="000000"/>
                      <w:sz w:val="16"/>
                      <w:szCs w:val="16"/>
                    </w:rPr>
                    <w:t>Other manufacturing products</w:t>
                  </w:r>
                </w:p>
              </w:tc>
              <w:tc>
                <w:tcPr>
                  <w:tcW w:w="700" w:type="dxa"/>
                  <w:tcBorders>
                    <w:top w:val="nil"/>
                    <w:left w:val="nil"/>
                    <w:bottom w:val="nil"/>
                    <w:right w:val="nil"/>
                  </w:tcBorders>
                  <w:noWrap/>
                  <w:vAlign w:val="bottom"/>
                  <w:hideMark/>
                </w:tcPr>
                <w:p w14:paraId="7D8E4898" w14:textId="74DD8B7F"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−0</w:t>
                  </w:r>
                  <w:r w:rsidR="00A601C4" w:rsidRPr="00995C95">
                    <w:rPr>
                      <w:rFonts w:cs="Arial"/>
                      <w:color w:val="000000"/>
                      <w:sz w:val="16"/>
                      <w:szCs w:val="16"/>
                    </w:rPr>
                    <w:t>.</w:t>
                  </w:r>
                  <w:r w:rsidRPr="00995C95">
                    <w:rPr>
                      <w:rFonts w:cs="Arial"/>
                      <w:color w:val="000000"/>
                      <w:sz w:val="16"/>
                      <w:szCs w:val="16"/>
                    </w:rPr>
                    <w:t>9</w:t>
                  </w:r>
                </w:p>
              </w:tc>
            </w:tr>
            <w:tr w:rsidR="00605D96" w:rsidRPr="00995C95" w14:paraId="6E728EA5" w14:textId="77777777" w:rsidTr="008B207B">
              <w:trPr>
                <w:trHeight w:val="255"/>
              </w:trPr>
              <w:tc>
                <w:tcPr>
                  <w:tcW w:w="4126" w:type="dxa"/>
                  <w:tcBorders>
                    <w:top w:val="nil"/>
                    <w:left w:val="nil"/>
                    <w:bottom w:val="nil"/>
                    <w:right w:val="nil"/>
                  </w:tcBorders>
                  <w:noWrap/>
                  <w:vAlign w:val="bottom"/>
                  <w:hideMark/>
                </w:tcPr>
                <w:p w14:paraId="1B181B81" w14:textId="76D18788" w:rsidR="00605D96" w:rsidRPr="00995C95" w:rsidRDefault="00605D96" w:rsidP="008B207B">
                  <w:pPr>
                    <w:spacing w:after="0" w:line="240" w:lineRule="auto"/>
                    <w:jc w:val="left"/>
                    <w:rPr>
                      <w:rFonts w:cs="Arial"/>
                      <w:color w:val="000000"/>
                      <w:sz w:val="16"/>
                      <w:szCs w:val="16"/>
                    </w:rPr>
                  </w:pPr>
                  <w:r w:rsidRPr="00995C95">
                    <w:rPr>
                      <w:rFonts w:cs="Arial"/>
                      <w:color w:val="000000"/>
                      <w:sz w:val="16"/>
                      <w:szCs w:val="16"/>
                    </w:rPr>
                    <w:t>O</w:t>
                  </w:r>
                  <w:r w:rsidR="00A601C4" w:rsidRPr="00995C95">
                    <w:rPr>
                      <w:rFonts w:cs="Arial"/>
                      <w:color w:val="000000"/>
                      <w:sz w:val="16"/>
                      <w:szCs w:val="16"/>
                    </w:rPr>
                    <w:t>ther non-metal mineral products</w:t>
                  </w:r>
                </w:p>
              </w:tc>
              <w:tc>
                <w:tcPr>
                  <w:tcW w:w="700" w:type="dxa"/>
                  <w:tcBorders>
                    <w:top w:val="nil"/>
                    <w:left w:val="nil"/>
                    <w:bottom w:val="nil"/>
                    <w:right w:val="nil"/>
                  </w:tcBorders>
                  <w:noWrap/>
                  <w:vAlign w:val="bottom"/>
                  <w:hideMark/>
                </w:tcPr>
                <w:p w14:paraId="06E3DBC3" w14:textId="3ED6EDC3"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w:t>
                  </w:r>
                  <w:r w:rsidR="00A601C4" w:rsidRPr="00995C95">
                    <w:rPr>
                      <w:rFonts w:cs="Arial"/>
                      <w:color w:val="000000"/>
                      <w:sz w:val="16"/>
                      <w:szCs w:val="16"/>
                    </w:rPr>
                    <w:t>.</w:t>
                  </w:r>
                  <w:r w:rsidRPr="00995C95">
                    <w:rPr>
                      <w:rFonts w:cs="Arial"/>
                      <w:color w:val="000000"/>
                      <w:sz w:val="16"/>
                      <w:szCs w:val="16"/>
                    </w:rPr>
                    <w:t>6</w:t>
                  </w:r>
                </w:p>
              </w:tc>
            </w:tr>
            <w:tr w:rsidR="00605D96" w:rsidRPr="00995C95" w14:paraId="316CC07F" w14:textId="77777777" w:rsidTr="008B207B">
              <w:trPr>
                <w:trHeight w:val="255"/>
              </w:trPr>
              <w:tc>
                <w:tcPr>
                  <w:tcW w:w="4126" w:type="dxa"/>
                  <w:tcBorders>
                    <w:top w:val="nil"/>
                    <w:left w:val="nil"/>
                    <w:bottom w:val="nil"/>
                    <w:right w:val="nil"/>
                  </w:tcBorders>
                  <w:noWrap/>
                  <w:vAlign w:val="bottom"/>
                  <w:hideMark/>
                </w:tcPr>
                <w:p w14:paraId="3BD742BB" w14:textId="24E45661" w:rsidR="00605D96" w:rsidRPr="00995C95" w:rsidRDefault="00A601C4" w:rsidP="008B207B">
                  <w:pPr>
                    <w:spacing w:after="0" w:line="240" w:lineRule="auto"/>
                    <w:jc w:val="left"/>
                    <w:rPr>
                      <w:rFonts w:cs="Arial"/>
                      <w:color w:val="000000"/>
                      <w:sz w:val="16"/>
                      <w:szCs w:val="16"/>
                    </w:rPr>
                  </w:pPr>
                  <w:r w:rsidRPr="00995C95">
                    <w:rPr>
                      <w:sz w:val="16"/>
                      <w:szCs w:val="16"/>
                    </w:rPr>
                    <w:t>Other transport equipment</w:t>
                  </w:r>
                </w:p>
              </w:tc>
              <w:tc>
                <w:tcPr>
                  <w:tcW w:w="700" w:type="dxa"/>
                  <w:tcBorders>
                    <w:top w:val="nil"/>
                    <w:left w:val="nil"/>
                    <w:bottom w:val="nil"/>
                    <w:right w:val="nil"/>
                  </w:tcBorders>
                  <w:noWrap/>
                  <w:vAlign w:val="bottom"/>
                  <w:hideMark/>
                </w:tcPr>
                <w:p w14:paraId="4C27E443" w14:textId="0E0B4CF0"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−2</w:t>
                  </w:r>
                  <w:r w:rsidR="00A601C4" w:rsidRPr="00995C95">
                    <w:rPr>
                      <w:rFonts w:cs="Arial"/>
                      <w:color w:val="000000"/>
                      <w:sz w:val="16"/>
                      <w:szCs w:val="16"/>
                    </w:rPr>
                    <w:t>.</w:t>
                  </w:r>
                  <w:r w:rsidRPr="00995C95">
                    <w:rPr>
                      <w:rFonts w:cs="Arial"/>
                      <w:color w:val="000000"/>
                      <w:sz w:val="16"/>
                      <w:szCs w:val="16"/>
                    </w:rPr>
                    <w:t>2</w:t>
                  </w:r>
                </w:p>
              </w:tc>
            </w:tr>
            <w:tr w:rsidR="00605D96" w:rsidRPr="00995C95" w14:paraId="21318B02" w14:textId="77777777" w:rsidTr="008B207B">
              <w:trPr>
                <w:trHeight w:val="255"/>
              </w:trPr>
              <w:tc>
                <w:tcPr>
                  <w:tcW w:w="4126" w:type="dxa"/>
                  <w:tcBorders>
                    <w:top w:val="nil"/>
                    <w:left w:val="nil"/>
                    <w:bottom w:val="nil"/>
                    <w:right w:val="nil"/>
                  </w:tcBorders>
                  <w:noWrap/>
                  <w:vAlign w:val="bottom"/>
                  <w:hideMark/>
                </w:tcPr>
                <w:p w14:paraId="3421A007" w14:textId="45A28331" w:rsidR="00605D96" w:rsidRPr="00995C95" w:rsidRDefault="00605D96" w:rsidP="008B207B">
                  <w:pPr>
                    <w:spacing w:after="0" w:line="240" w:lineRule="auto"/>
                    <w:jc w:val="left"/>
                    <w:rPr>
                      <w:rFonts w:cs="Arial"/>
                      <w:color w:val="000000"/>
                      <w:sz w:val="16"/>
                      <w:szCs w:val="16"/>
                    </w:rPr>
                  </w:pPr>
                  <w:r w:rsidRPr="00995C95">
                    <w:rPr>
                      <w:rFonts w:cs="Arial"/>
                      <w:color w:val="000000"/>
                      <w:sz w:val="16"/>
                      <w:szCs w:val="16"/>
                    </w:rPr>
                    <w:t>Chemi</w:t>
                  </w:r>
                  <w:r w:rsidR="00A601C4" w:rsidRPr="00995C95">
                    <w:rPr>
                      <w:rFonts w:cs="Arial"/>
                      <w:color w:val="000000"/>
                      <w:sz w:val="16"/>
                      <w:szCs w:val="16"/>
                    </w:rPr>
                    <w:t>cals and chemical products</w:t>
                  </w:r>
                </w:p>
              </w:tc>
              <w:tc>
                <w:tcPr>
                  <w:tcW w:w="700" w:type="dxa"/>
                  <w:tcBorders>
                    <w:top w:val="nil"/>
                    <w:left w:val="nil"/>
                    <w:bottom w:val="nil"/>
                    <w:right w:val="nil"/>
                  </w:tcBorders>
                  <w:noWrap/>
                  <w:vAlign w:val="bottom"/>
                  <w:hideMark/>
                </w:tcPr>
                <w:p w14:paraId="090508DC" w14:textId="49F617CE"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−2</w:t>
                  </w:r>
                  <w:r w:rsidR="00A601C4" w:rsidRPr="00995C95">
                    <w:rPr>
                      <w:rFonts w:cs="Arial"/>
                      <w:color w:val="000000"/>
                      <w:sz w:val="16"/>
                      <w:szCs w:val="16"/>
                    </w:rPr>
                    <w:t>.</w:t>
                  </w:r>
                  <w:r w:rsidRPr="00995C95">
                    <w:rPr>
                      <w:rFonts w:cs="Arial"/>
                      <w:color w:val="000000"/>
                      <w:sz w:val="16"/>
                      <w:szCs w:val="16"/>
                    </w:rPr>
                    <w:t>2</w:t>
                  </w:r>
                </w:p>
              </w:tc>
            </w:tr>
            <w:tr w:rsidR="00605D96" w:rsidRPr="00995C95" w14:paraId="0AFBB5E3" w14:textId="77777777" w:rsidTr="008B207B">
              <w:trPr>
                <w:trHeight w:val="255"/>
              </w:trPr>
              <w:tc>
                <w:tcPr>
                  <w:tcW w:w="4126" w:type="dxa"/>
                  <w:tcBorders>
                    <w:top w:val="nil"/>
                    <w:left w:val="nil"/>
                    <w:bottom w:val="nil"/>
                    <w:right w:val="nil"/>
                  </w:tcBorders>
                  <w:noWrap/>
                  <w:vAlign w:val="bottom"/>
                  <w:hideMark/>
                </w:tcPr>
                <w:p w14:paraId="04AE9037" w14:textId="5867672C" w:rsidR="00605D96" w:rsidRPr="00995C95" w:rsidRDefault="00A601C4" w:rsidP="008B207B">
                  <w:pPr>
                    <w:spacing w:after="0" w:line="240" w:lineRule="auto"/>
                    <w:jc w:val="left"/>
                    <w:rPr>
                      <w:rFonts w:cs="Arial"/>
                      <w:color w:val="000000"/>
                      <w:sz w:val="16"/>
                      <w:szCs w:val="16"/>
                    </w:rPr>
                  </w:pPr>
                  <w:r w:rsidRPr="00995C95">
                    <w:rPr>
                      <w:rFonts w:cs="Arial"/>
                      <w:color w:val="000000"/>
                      <w:sz w:val="16"/>
                      <w:szCs w:val="16"/>
                    </w:rPr>
                    <w:t>Metalworking products except for machinery and equipment</w:t>
                  </w:r>
                </w:p>
              </w:tc>
              <w:tc>
                <w:tcPr>
                  <w:tcW w:w="700" w:type="dxa"/>
                  <w:tcBorders>
                    <w:top w:val="nil"/>
                    <w:left w:val="nil"/>
                    <w:bottom w:val="nil"/>
                    <w:right w:val="nil"/>
                  </w:tcBorders>
                  <w:noWrap/>
                  <w:vAlign w:val="bottom"/>
                  <w:hideMark/>
                </w:tcPr>
                <w:p w14:paraId="37DF4235" w14:textId="61E1E1A3"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−2</w:t>
                  </w:r>
                  <w:r w:rsidR="00A601C4" w:rsidRPr="00995C95">
                    <w:rPr>
                      <w:rFonts w:cs="Arial"/>
                      <w:color w:val="000000"/>
                      <w:sz w:val="16"/>
                      <w:szCs w:val="16"/>
                    </w:rPr>
                    <w:t>.</w:t>
                  </w:r>
                  <w:r w:rsidRPr="00995C95">
                    <w:rPr>
                      <w:rFonts w:cs="Arial"/>
                      <w:color w:val="000000"/>
                      <w:sz w:val="16"/>
                      <w:szCs w:val="16"/>
                    </w:rPr>
                    <w:t>7</w:t>
                  </w:r>
                </w:p>
              </w:tc>
            </w:tr>
            <w:tr w:rsidR="00605D96" w:rsidRPr="00995C95" w14:paraId="34573C0F" w14:textId="77777777" w:rsidTr="008B207B">
              <w:trPr>
                <w:trHeight w:val="255"/>
              </w:trPr>
              <w:tc>
                <w:tcPr>
                  <w:tcW w:w="4126" w:type="dxa"/>
                  <w:tcBorders>
                    <w:top w:val="nil"/>
                    <w:left w:val="nil"/>
                    <w:bottom w:val="nil"/>
                    <w:right w:val="nil"/>
                  </w:tcBorders>
                  <w:noWrap/>
                  <w:vAlign w:val="bottom"/>
                  <w:hideMark/>
                </w:tcPr>
                <w:p w14:paraId="757D75A4" w14:textId="5C6D6FC4" w:rsidR="00605D96" w:rsidRPr="00995C95" w:rsidRDefault="00A601C4" w:rsidP="008B207B">
                  <w:pPr>
                    <w:spacing w:after="0" w:line="240" w:lineRule="auto"/>
                    <w:jc w:val="left"/>
                    <w:rPr>
                      <w:rFonts w:cs="Arial"/>
                      <w:color w:val="000000"/>
                      <w:sz w:val="16"/>
                      <w:szCs w:val="16"/>
                    </w:rPr>
                  </w:pPr>
                  <w:r w:rsidRPr="00995C95">
                    <w:rPr>
                      <w:sz w:val="16"/>
                      <w:szCs w:val="16"/>
                    </w:rPr>
                    <w:t>Electricity, gas, steam and air conditioning</w:t>
                  </w:r>
                </w:p>
              </w:tc>
              <w:tc>
                <w:tcPr>
                  <w:tcW w:w="700" w:type="dxa"/>
                  <w:tcBorders>
                    <w:top w:val="nil"/>
                    <w:left w:val="nil"/>
                    <w:bottom w:val="nil"/>
                    <w:right w:val="nil"/>
                  </w:tcBorders>
                  <w:noWrap/>
                  <w:vAlign w:val="bottom"/>
                  <w:hideMark/>
                </w:tcPr>
                <w:p w14:paraId="69170CE9" w14:textId="01013788"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−4</w:t>
                  </w:r>
                  <w:r w:rsidR="00A601C4" w:rsidRPr="00995C95">
                    <w:rPr>
                      <w:rFonts w:cs="Arial"/>
                      <w:color w:val="000000"/>
                      <w:sz w:val="16"/>
                      <w:szCs w:val="16"/>
                    </w:rPr>
                    <w:t>.</w:t>
                  </w:r>
                  <w:r w:rsidRPr="00995C95">
                    <w:rPr>
                      <w:rFonts w:cs="Arial"/>
                      <w:color w:val="000000"/>
                      <w:sz w:val="16"/>
                      <w:szCs w:val="16"/>
                    </w:rPr>
                    <w:t>4</w:t>
                  </w:r>
                </w:p>
              </w:tc>
            </w:tr>
            <w:tr w:rsidR="00605D96" w:rsidRPr="00995C95" w14:paraId="412908A4" w14:textId="77777777" w:rsidTr="008B207B">
              <w:trPr>
                <w:trHeight w:val="255"/>
              </w:trPr>
              <w:tc>
                <w:tcPr>
                  <w:tcW w:w="4126" w:type="dxa"/>
                  <w:tcBorders>
                    <w:top w:val="nil"/>
                    <w:left w:val="nil"/>
                    <w:bottom w:val="nil"/>
                    <w:right w:val="nil"/>
                  </w:tcBorders>
                  <w:noWrap/>
                  <w:vAlign w:val="bottom"/>
                  <w:hideMark/>
                </w:tcPr>
                <w:p w14:paraId="11A7D721" w14:textId="4021E1E6" w:rsidR="00605D96" w:rsidRPr="00995C95" w:rsidRDefault="00A601C4" w:rsidP="008B207B">
                  <w:pPr>
                    <w:spacing w:after="0" w:line="240" w:lineRule="auto"/>
                    <w:jc w:val="left"/>
                    <w:rPr>
                      <w:rFonts w:cs="Arial"/>
                      <w:color w:val="000000"/>
                      <w:sz w:val="16"/>
                      <w:szCs w:val="16"/>
                    </w:rPr>
                  </w:pPr>
                  <w:r w:rsidRPr="00995C95">
                    <w:rPr>
                      <w:rFonts w:cs="Arial"/>
                      <w:color w:val="000000"/>
                      <w:sz w:val="16"/>
                      <w:szCs w:val="16"/>
                    </w:rPr>
                    <w:t>Electric equipment</w:t>
                  </w:r>
                </w:p>
              </w:tc>
              <w:tc>
                <w:tcPr>
                  <w:tcW w:w="700" w:type="dxa"/>
                  <w:tcBorders>
                    <w:top w:val="nil"/>
                    <w:left w:val="nil"/>
                    <w:bottom w:val="nil"/>
                    <w:right w:val="nil"/>
                  </w:tcBorders>
                  <w:noWrap/>
                  <w:vAlign w:val="bottom"/>
                  <w:hideMark/>
                </w:tcPr>
                <w:p w14:paraId="6EF4D1FF" w14:textId="501825DA"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−4</w:t>
                  </w:r>
                  <w:r w:rsidR="00DD3E0E" w:rsidRPr="00995C95">
                    <w:rPr>
                      <w:rFonts w:cs="Arial"/>
                      <w:color w:val="000000"/>
                      <w:sz w:val="16"/>
                      <w:szCs w:val="16"/>
                    </w:rPr>
                    <w:t>.</w:t>
                  </w:r>
                  <w:r w:rsidRPr="00995C95">
                    <w:rPr>
                      <w:rFonts w:cs="Arial"/>
                      <w:color w:val="000000"/>
                      <w:sz w:val="16"/>
                      <w:szCs w:val="16"/>
                    </w:rPr>
                    <w:t>7</w:t>
                  </w:r>
                </w:p>
              </w:tc>
            </w:tr>
          </w:tbl>
          <w:p w14:paraId="5E3D4FB9" w14:textId="77777777" w:rsidR="00605D96" w:rsidRPr="00995C95" w:rsidRDefault="00605D96" w:rsidP="008B207B">
            <w:pPr>
              <w:spacing w:after="0"/>
              <w:rPr>
                <w:rFonts w:cs="Arial"/>
                <w:spacing w:val="-4"/>
                <w:sz w:val="16"/>
                <w:szCs w:val="16"/>
                <w:lang w:eastAsia="en-US"/>
              </w:rPr>
            </w:pPr>
          </w:p>
        </w:tc>
        <w:tc>
          <w:tcPr>
            <w:tcW w:w="57" w:type="dxa"/>
          </w:tcPr>
          <w:p w14:paraId="7128455E" w14:textId="77777777" w:rsidR="00605D96" w:rsidRPr="00995C95" w:rsidRDefault="00605D96" w:rsidP="008B207B">
            <w:pPr>
              <w:spacing w:after="0"/>
              <w:rPr>
                <w:rFonts w:cs="Arial"/>
                <w:spacing w:val="-4"/>
                <w:sz w:val="16"/>
                <w:szCs w:val="16"/>
                <w:lang w:eastAsia="en-US"/>
              </w:rPr>
            </w:pPr>
          </w:p>
        </w:tc>
        <w:tc>
          <w:tcPr>
            <w:tcW w:w="4809" w:type="dxa"/>
            <w:hideMark/>
          </w:tcPr>
          <w:tbl>
            <w:tblPr>
              <w:tblW w:w="4771" w:type="dxa"/>
              <w:tblLayout w:type="fixed"/>
              <w:tblCellMar>
                <w:left w:w="70" w:type="dxa"/>
                <w:right w:w="70" w:type="dxa"/>
              </w:tblCellMar>
              <w:tblLook w:val="04A0" w:firstRow="1" w:lastRow="0" w:firstColumn="1" w:lastColumn="0" w:noHBand="0" w:noVBand="1"/>
            </w:tblPr>
            <w:tblGrid>
              <w:gridCol w:w="4071"/>
              <w:gridCol w:w="700"/>
            </w:tblGrid>
            <w:tr w:rsidR="00605D96" w:rsidRPr="00995C95" w14:paraId="30E807E2" w14:textId="77777777" w:rsidTr="008B207B">
              <w:trPr>
                <w:trHeight w:val="255"/>
              </w:trPr>
              <w:tc>
                <w:tcPr>
                  <w:tcW w:w="4071" w:type="dxa"/>
                  <w:tcBorders>
                    <w:top w:val="nil"/>
                    <w:left w:val="nil"/>
                    <w:bottom w:val="single" w:sz="4" w:space="0" w:color="auto"/>
                    <w:right w:val="nil"/>
                  </w:tcBorders>
                  <w:noWrap/>
                  <w:vAlign w:val="bottom"/>
                  <w:hideMark/>
                </w:tcPr>
                <w:p w14:paraId="30FA2D32" w14:textId="77777777" w:rsidR="00605D96" w:rsidRPr="00995C95" w:rsidRDefault="00605D96" w:rsidP="008B207B">
                  <w:pPr>
                    <w:spacing w:after="0" w:line="240" w:lineRule="auto"/>
                    <w:jc w:val="left"/>
                    <w:rPr>
                      <w:rFonts w:cs="Arial"/>
                      <w:color w:val="000000"/>
                      <w:sz w:val="22"/>
                      <w:szCs w:val="22"/>
                    </w:rPr>
                  </w:pPr>
                  <w:r w:rsidRPr="00995C95">
                    <w:rPr>
                      <w:rFonts w:cs="Arial"/>
                      <w:color w:val="000000"/>
                      <w:sz w:val="22"/>
                      <w:szCs w:val="22"/>
                    </w:rPr>
                    <w:t> </w:t>
                  </w:r>
                </w:p>
              </w:tc>
              <w:tc>
                <w:tcPr>
                  <w:tcW w:w="700" w:type="dxa"/>
                  <w:tcBorders>
                    <w:top w:val="nil"/>
                    <w:left w:val="nil"/>
                    <w:bottom w:val="single" w:sz="4" w:space="0" w:color="auto"/>
                    <w:right w:val="nil"/>
                  </w:tcBorders>
                  <w:noWrap/>
                  <w:vAlign w:val="bottom"/>
                  <w:hideMark/>
                </w:tcPr>
                <w:p w14:paraId="08A4AF5C" w14:textId="468EA373" w:rsidR="00605D96" w:rsidRPr="00995C95" w:rsidRDefault="00A601C4" w:rsidP="008B207B">
                  <w:pPr>
                    <w:spacing w:after="0" w:line="240" w:lineRule="auto"/>
                    <w:jc w:val="right"/>
                    <w:rPr>
                      <w:rFonts w:cs="Arial"/>
                      <w:color w:val="000000"/>
                      <w:sz w:val="16"/>
                      <w:szCs w:val="16"/>
                    </w:rPr>
                  </w:pPr>
                  <w:r w:rsidRPr="00995C95">
                    <w:rPr>
                      <w:rFonts w:cs="Arial"/>
                      <w:color w:val="000000"/>
                      <w:sz w:val="16"/>
                      <w:szCs w:val="16"/>
                    </w:rPr>
                    <w:t>bn CZK</w:t>
                  </w:r>
                </w:p>
              </w:tc>
            </w:tr>
            <w:tr w:rsidR="00605D96" w:rsidRPr="00995C95" w14:paraId="18CDB566" w14:textId="77777777" w:rsidTr="008B207B">
              <w:trPr>
                <w:trHeight w:val="255"/>
              </w:trPr>
              <w:tc>
                <w:tcPr>
                  <w:tcW w:w="4071" w:type="dxa"/>
                  <w:tcBorders>
                    <w:top w:val="nil"/>
                    <w:left w:val="nil"/>
                    <w:bottom w:val="nil"/>
                    <w:right w:val="nil"/>
                  </w:tcBorders>
                  <w:noWrap/>
                  <w:vAlign w:val="bottom"/>
                  <w:hideMark/>
                </w:tcPr>
                <w:p w14:paraId="50832A10" w14:textId="7D09C2BA" w:rsidR="00605D96" w:rsidRPr="00995C95" w:rsidRDefault="00605D96" w:rsidP="008B207B">
                  <w:pPr>
                    <w:spacing w:after="0" w:line="240" w:lineRule="auto"/>
                    <w:jc w:val="left"/>
                    <w:rPr>
                      <w:rFonts w:cs="Arial"/>
                      <w:color w:val="000000"/>
                      <w:sz w:val="16"/>
                      <w:szCs w:val="16"/>
                    </w:rPr>
                  </w:pPr>
                  <w:r w:rsidRPr="00995C95">
                    <w:rPr>
                      <w:rFonts w:cs="Arial"/>
                      <w:color w:val="000000"/>
                      <w:sz w:val="16"/>
                      <w:szCs w:val="16"/>
                    </w:rPr>
                    <w:t>Rus</w:t>
                  </w:r>
                  <w:r w:rsidR="00A601C4" w:rsidRPr="00995C95">
                    <w:rPr>
                      <w:rFonts w:cs="Arial"/>
                      <w:color w:val="000000"/>
                      <w:sz w:val="16"/>
                      <w:szCs w:val="16"/>
                    </w:rPr>
                    <w:t>sia</w:t>
                  </w:r>
                </w:p>
              </w:tc>
              <w:tc>
                <w:tcPr>
                  <w:tcW w:w="700" w:type="dxa"/>
                  <w:tcBorders>
                    <w:top w:val="nil"/>
                    <w:left w:val="nil"/>
                    <w:bottom w:val="nil"/>
                    <w:right w:val="nil"/>
                  </w:tcBorders>
                  <w:noWrap/>
                  <w:vAlign w:val="bottom"/>
                  <w:hideMark/>
                </w:tcPr>
                <w:p w14:paraId="52F19428" w14:textId="732E66E3"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+21</w:t>
                  </w:r>
                  <w:r w:rsidR="00A601C4" w:rsidRPr="00995C95">
                    <w:rPr>
                      <w:rFonts w:cs="Arial"/>
                      <w:color w:val="000000"/>
                      <w:sz w:val="16"/>
                      <w:szCs w:val="16"/>
                    </w:rPr>
                    <w:t>.</w:t>
                  </w:r>
                  <w:r w:rsidRPr="00995C95">
                    <w:rPr>
                      <w:rFonts w:cs="Arial"/>
                      <w:color w:val="000000"/>
                      <w:sz w:val="16"/>
                      <w:szCs w:val="16"/>
                    </w:rPr>
                    <w:t>0</w:t>
                  </w:r>
                </w:p>
              </w:tc>
            </w:tr>
            <w:tr w:rsidR="00605D96" w:rsidRPr="00995C95" w14:paraId="1839252F" w14:textId="77777777" w:rsidTr="008B207B">
              <w:trPr>
                <w:trHeight w:val="255"/>
              </w:trPr>
              <w:tc>
                <w:tcPr>
                  <w:tcW w:w="4071" w:type="dxa"/>
                  <w:tcBorders>
                    <w:top w:val="nil"/>
                    <w:left w:val="nil"/>
                    <w:bottom w:val="nil"/>
                    <w:right w:val="nil"/>
                  </w:tcBorders>
                  <w:noWrap/>
                  <w:vAlign w:val="bottom"/>
                  <w:hideMark/>
                </w:tcPr>
                <w:p w14:paraId="26B4CEFE" w14:textId="1BB52721" w:rsidR="00605D96" w:rsidRPr="00995C95" w:rsidRDefault="00605D96" w:rsidP="008B207B">
                  <w:pPr>
                    <w:spacing w:after="0" w:line="240" w:lineRule="auto"/>
                    <w:jc w:val="left"/>
                    <w:rPr>
                      <w:rFonts w:cs="Arial"/>
                      <w:color w:val="000000"/>
                      <w:sz w:val="16"/>
                      <w:szCs w:val="16"/>
                    </w:rPr>
                  </w:pPr>
                  <w:r w:rsidRPr="00995C95">
                    <w:rPr>
                      <w:rFonts w:cs="Arial"/>
                      <w:color w:val="000000"/>
                      <w:sz w:val="16"/>
                      <w:szCs w:val="16"/>
                    </w:rPr>
                    <w:t>Slov</w:t>
                  </w:r>
                  <w:r w:rsidR="00A601C4" w:rsidRPr="00995C95">
                    <w:rPr>
                      <w:rFonts w:cs="Arial"/>
                      <w:color w:val="000000"/>
                      <w:sz w:val="16"/>
                      <w:szCs w:val="16"/>
                    </w:rPr>
                    <w:t>akia</w:t>
                  </w:r>
                </w:p>
              </w:tc>
              <w:tc>
                <w:tcPr>
                  <w:tcW w:w="700" w:type="dxa"/>
                  <w:tcBorders>
                    <w:top w:val="nil"/>
                    <w:left w:val="nil"/>
                    <w:bottom w:val="nil"/>
                    <w:right w:val="nil"/>
                  </w:tcBorders>
                  <w:noWrap/>
                  <w:vAlign w:val="bottom"/>
                  <w:hideMark/>
                </w:tcPr>
                <w:p w14:paraId="01759DF3" w14:textId="3EC5F05B"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+10</w:t>
                  </w:r>
                  <w:r w:rsidR="00A601C4" w:rsidRPr="00995C95">
                    <w:rPr>
                      <w:rFonts w:cs="Arial"/>
                      <w:color w:val="000000"/>
                      <w:sz w:val="16"/>
                      <w:szCs w:val="16"/>
                    </w:rPr>
                    <w:t>.</w:t>
                  </w:r>
                  <w:r w:rsidRPr="00995C95">
                    <w:rPr>
                      <w:rFonts w:cs="Arial"/>
                      <w:color w:val="000000"/>
                      <w:sz w:val="16"/>
                      <w:szCs w:val="16"/>
                    </w:rPr>
                    <w:t>6</w:t>
                  </w:r>
                </w:p>
              </w:tc>
            </w:tr>
            <w:tr w:rsidR="00605D96" w:rsidRPr="00995C95" w14:paraId="2F1B6D39" w14:textId="77777777" w:rsidTr="008B207B">
              <w:trPr>
                <w:trHeight w:val="255"/>
              </w:trPr>
              <w:tc>
                <w:tcPr>
                  <w:tcW w:w="4071" w:type="dxa"/>
                  <w:tcBorders>
                    <w:top w:val="nil"/>
                    <w:left w:val="nil"/>
                    <w:bottom w:val="nil"/>
                    <w:right w:val="nil"/>
                  </w:tcBorders>
                  <w:noWrap/>
                  <w:vAlign w:val="bottom"/>
                  <w:hideMark/>
                </w:tcPr>
                <w:p w14:paraId="63542E80" w14:textId="2BD622CF" w:rsidR="00605D96" w:rsidRPr="00995C95" w:rsidRDefault="00A601C4" w:rsidP="008B207B">
                  <w:pPr>
                    <w:spacing w:after="0" w:line="240" w:lineRule="auto"/>
                    <w:jc w:val="left"/>
                    <w:rPr>
                      <w:rFonts w:cs="Arial"/>
                      <w:color w:val="000000"/>
                      <w:sz w:val="16"/>
                      <w:szCs w:val="16"/>
                    </w:rPr>
                  </w:pPr>
                  <w:r w:rsidRPr="00995C95">
                    <w:rPr>
                      <w:rFonts w:cs="Arial"/>
                      <w:color w:val="000000"/>
                      <w:sz w:val="16"/>
                      <w:szCs w:val="16"/>
                    </w:rPr>
                    <w:t>China</w:t>
                  </w:r>
                </w:p>
              </w:tc>
              <w:tc>
                <w:tcPr>
                  <w:tcW w:w="700" w:type="dxa"/>
                  <w:tcBorders>
                    <w:top w:val="nil"/>
                    <w:left w:val="nil"/>
                    <w:bottom w:val="nil"/>
                    <w:right w:val="nil"/>
                  </w:tcBorders>
                  <w:noWrap/>
                  <w:vAlign w:val="bottom"/>
                  <w:hideMark/>
                </w:tcPr>
                <w:p w14:paraId="2F88D335" w14:textId="5E3460B3"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+8</w:t>
                  </w:r>
                  <w:r w:rsidR="00A601C4" w:rsidRPr="00995C95">
                    <w:rPr>
                      <w:rFonts w:cs="Arial"/>
                      <w:color w:val="000000"/>
                      <w:sz w:val="16"/>
                      <w:szCs w:val="16"/>
                    </w:rPr>
                    <w:t>.</w:t>
                  </w:r>
                  <w:r w:rsidRPr="00995C95">
                    <w:rPr>
                      <w:rFonts w:cs="Arial"/>
                      <w:color w:val="000000"/>
                      <w:sz w:val="16"/>
                      <w:szCs w:val="16"/>
                    </w:rPr>
                    <w:t>4</w:t>
                  </w:r>
                </w:p>
              </w:tc>
            </w:tr>
            <w:tr w:rsidR="00605D96" w:rsidRPr="00995C95" w14:paraId="0640D8E5" w14:textId="77777777" w:rsidTr="008B207B">
              <w:trPr>
                <w:trHeight w:val="255"/>
              </w:trPr>
              <w:tc>
                <w:tcPr>
                  <w:tcW w:w="4071" w:type="dxa"/>
                  <w:tcBorders>
                    <w:top w:val="nil"/>
                    <w:left w:val="nil"/>
                    <w:bottom w:val="nil"/>
                    <w:right w:val="nil"/>
                  </w:tcBorders>
                  <w:noWrap/>
                  <w:vAlign w:val="bottom"/>
                  <w:hideMark/>
                </w:tcPr>
                <w:p w14:paraId="4A39FCCC" w14:textId="711C70CB" w:rsidR="00605D96" w:rsidRPr="00995C95" w:rsidRDefault="00605D96" w:rsidP="008B207B">
                  <w:pPr>
                    <w:spacing w:after="0" w:line="240" w:lineRule="auto"/>
                    <w:jc w:val="left"/>
                    <w:rPr>
                      <w:rFonts w:cs="Arial"/>
                      <w:color w:val="000000"/>
                      <w:sz w:val="16"/>
                      <w:szCs w:val="16"/>
                    </w:rPr>
                  </w:pPr>
                  <w:r w:rsidRPr="00995C95">
                    <w:rPr>
                      <w:rFonts w:cs="Arial"/>
                      <w:color w:val="000000"/>
                      <w:sz w:val="16"/>
                      <w:szCs w:val="16"/>
                    </w:rPr>
                    <w:t>Franc</w:t>
                  </w:r>
                  <w:r w:rsidR="00A601C4" w:rsidRPr="00995C95">
                    <w:rPr>
                      <w:rFonts w:cs="Arial"/>
                      <w:color w:val="000000"/>
                      <w:sz w:val="16"/>
                      <w:szCs w:val="16"/>
                    </w:rPr>
                    <w:t>e</w:t>
                  </w:r>
                </w:p>
              </w:tc>
              <w:tc>
                <w:tcPr>
                  <w:tcW w:w="700" w:type="dxa"/>
                  <w:tcBorders>
                    <w:top w:val="nil"/>
                    <w:left w:val="nil"/>
                    <w:bottom w:val="nil"/>
                    <w:right w:val="nil"/>
                  </w:tcBorders>
                  <w:noWrap/>
                  <w:vAlign w:val="bottom"/>
                  <w:hideMark/>
                </w:tcPr>
                <w:p w14:paraId="2DA3F6D3" w14:textId="1F6F4331"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+6</w:t>
                  </w:r>
                  <w:r w:rsidR="00A601C4" w:rsidRPr="00995C95">
                    <w:rPr>
                      <w:rFonts w:cs="Arial"/>
                      <w:color w:val="000000"/>
                      <w:sz w:val="16"/>
                      <w:szCs w:val="16"/>
                    </w:rPr>
                    <w:t>.</w:t>
                  </w:r>
                  <w:r w:rsidRPr="00995C95">
                    <w:rPr>
                      <w:rFonts w:cs="Arial"/>
                      <w:color w:val="000000"/>
                      <w:sz w:val="16"/>
                      <w:szCs w:val="16"/>
                    </w:rPr>
                    <w:t>1</w:t>
                  </w:r>
                </w:p>
              </w:tc>
            </w:tr>
            <w:tr w:rsidR="00605D96" w:rsidRPr="00995C95" w14:paraId="3867E28D" w14:textId="77777777" w:rsidTr="008B207B">
              <w:trPr>
                <w:trHeight w:val="255"/>
              </w:trPr>
              <w:tc>
                <w:tcPr>
                  <w:tcW w:w="4071" w:type="dxa"/>
                  <w:tcBorders>
                    <w:top w:val="nil"/>
                    <w:left w:val="nil"/>
                    <w:bottom w:val="nil"/>
                    <w:right w:val="nil"/>
                  </w:tcBorders>
                  <w:noWrap/>
                  <w:vAlign w:val="bottom"/>
                  <w:hideMark/>
                </w:tcPr>
                <w:p w14:paraId="00CD6D50" w14:textId="7BCA124F" w:rsidR="00605D96" w:rsidRPr="00995C95" w:rsidRDefault="00A601C4" w:rsidP="008B207B">
                  <w:pPr>
                    <w:spacing w:after="0" w:line="240" w:lineRule="auto"/>
                    <w:jc w:val="left"/>
                    <w:rPr>
                      <w:rFonts w:cs="Arial"/>
                      <w:color w:val="000000"/>
                      <w:sz w:val="16"/>
                      <w:szCs w:val="16"/>
                    </w:rPr>
                  </w:pPr>
                  <w:r w:rsidRPr="00995C95">
                    <w:rPr>
                      <w:rFonts w:cs="Arial"/>
                      <w:color w:val="000000"/>
                      <w:sz w:val="16"/>
                      <w:szCs w:val="16"/>
                    </w:rPr>
                    <w:t>Sweden</w:t>
                  </w:r>
                </w:p>
              </w:tc>
              <w:tc>
                <w:tcPr>
                  <w:tcW w:w="700" w:type="dxa"/>
                  <w:tcBorders>
                    <w:top w:val="nil"/>
                    <w:left w:val="nil"/>
                    <w:bottom w:val="nil"/>
                    <w:right w:val="nil"/>
                  </w:tcBorders>
                  <w:noWrap/>
                  <w:vAlign w:val="bottom"/>
                  <w:hideMark/>
                </w:tcPr>
                <w:p w14:paraId="63E7384E" w14:textId="3D3E13A9"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+2</w:t>
                  </w:r>
                  <w:r w:rsidR="00A601C4" w:rsidRPr="00995C95">
                    <w:rPr>
                      <w:rFonts w:cs="Arial"/>
                      <w:color w:val="000000"/>
                      <w:sz w:val="16"/>
                      <w:szCs w:val="16"/>
                    </w:rPr>
                    <w:t>.</w:t>
                  </w:r>
                  <w:r w:rsidRPr="00995C95">
                    <w:rPr>
                      <w:rFonts w:cs="Arial"/>
                      <w:color w:val="000000"/>
                      <w:sz w:val="16"/>
                      <w:szCs w:val="16"/>
                    </w:rPr>
                    <w:t>0</w:t>
                  </w:r>
                </w:p>
              </w:tc>
            </w:tr>
            <w:tr w:rsidR="00605D96" w:rsidRPr="00995C95" w14:paraId="1891A8C4" w14:textId="77777777" w:rsidTr="008B207B">
              <w:trPr>
                <w:trHeight w:val="255"/>
              </w:trPr>
              <w:tc>
                <w:tcPr>
                  <w:tcW w:w="4071" w:type="dxa"/>
                  <w:tcBorders>
                    <w:top w:val="nil"/>
                    <w:left w:val="nil"/>
                    <w:bottom w:val="nil"/>
                    <w:right w:val="nil"/>
                  </w:tcBorders>
                  <w:noWrap/>
                  <w:vAlign w:val="bottom"/>
                  <w:hideMark/>
                </w:tcPr>
                <w:p w14:paraId="046B14D7" w14:textId="2BCF5F43" w:rsidR="00605D96" w:rsidRPr="00995C95" w:rsidRDefault="00A601C4" w:rsidP="008B207B">
                  <w:pPr>
                    <w:spacing w:after="0" w:line="240" w:lineRule="auto"/>
                    <w:jc w:val="left"/>
                    <w:rPr>
                      <w:rFonts w:cs="Arial"/>
                      <w:color w:val="000000"/>
                      <w:sz w:val="16"/>
                      <w:szCs w:val="16"/>
                    </w:rPr>
                  </w:pPr>
                  <w:r w:rsidRPr="00995C95">
                    <w:rPr>
                      <w:rFonts w:cs="Arial"/>
                      <w:color w:val="000000"/>
                      <w:sz w:val="16"/>
                      <w:szCs w:val="16"/>
                    </w:rPr>
                    <w:t>South Korea</w:t>
                  </w:r>
                </w:p>
              </w:tc>
              <w:tc>
                <w:tcPr>
                  <w:tcW w:w="700" w:type="dxa"/>
                  <w:tcBorders>
                    <w:top w:val="nil"/>
                    <w:left w:val="nil"/>
                    <w:bottom w:val="nil"/>
                    <w:right w:val="nil"/>
                  </w:tcBorders>
                  <w:noWrap/>
                  <w:vAlign w:val="bottom"/>
                  <w:hideMark/>
                </w:tcPr>
                <w:p w14:paraId="1B0B38E0" w14:textId="38C7FA95"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w:t>
                  </w:r>
                  <w:r w:rsidR="00A601C4" w:rsidRPr="00995C95">
                    <w:rPr>
                      <w:rFonts w:cs="Arial"/>
                      <w:color w:val="000000"/>
                      <w:sz w:val="16"/>
                      <w:szCs w:val="16"/>
                    </w:rPr>
                    <w:t>.</w:t>
                  </w:r>
                  <w:r w:rsidRPr="00995C95">
                    <w:rPr>
                      <w:rFonts w:cs="Arial"/>
                      <w:color w:val="000000"/>
                      <w:sz w:val="16"/>
                      <w:szCs w:val="16"/>
                    </w:rPr>
                    <w:t>6</w:t>
                  </w:r>
                </w:p>
              </w:tc>
            </w:tr>
            <w:tr w:rsidR="00605D96" w:rsidRPr="00995C95" w14:paraId="1FA36C1A" w14:textId="77777777" w:rsidTr="008B207B">
              <w:trPr>
                <w:trHeight w:val="255"/>
              </w:trPr>
              <w:tc>
                <w:tcPr>
                  <w:tcW w:w="4071" w:type="dxa"/>
                  <w:tcBorders>
                    <w:top w:val="nil"/>
                    <w:left w:val="nil"/>
                    <w:bottom w:val="nil"/>
                    <w:right w:val="nil"/>
                  </w:tcBorders>
                  <w:noWrap/>
                  <w:vAlign w:val="bottom"/>
                  <w:hideMark/>
                </w:tcPr>
                <w:p w14:paraId="2704344E" w14:textId="382D28EE" w:rsidR="00605D96" w:rsidRPr="00995C95" w:rsidRDefault="00605D96" w:rsidP="008B207B">
                  <w:pPr>
                    <w:spacing w:after="0" w:line="240" w:lineRule="auto"/>
                    <w:jc w:val="left"/>
                    <w:rPr>
                      <w:rFonts w:cs="Arial"/>
                      <w:color w:val="000000"/>
                      <w:sz w:val="16"/>
                      <w:szCs w:val="16"/>
                    </w:rPr>
                  </w:pPr>
                  <w:r w:rsidRPr="00995C95">
                    <w:rPr>
                      <w:rFonts w:cs="Arial"/>
                      <w:color w:val="000000"/>
                      <w:sz w:val="16"/>
                      <w:szCs w:val="16"/>
                    </w:rPr>
                    <w:t>Belg</w:t>
                  </w:r>
                  <w:r w:rsidR="00A601C4" w:rsidRPr="00995C95">
                    <w:rPr>
                      <w:rFonts w:cs="Arial"/>
                      <w:color w:val="000000"/>
                      <w:sz w:val="16"/>
                      <w:szCs w:val="16"/>
                    </w:rPr>
                    <w:t>ium</w:t>
                  </w:r>
                </w:p>
              </w:tc>
              <w:tc>
                <w:tcPr>
                  <w:tcW w:w="700" w:type="dxa"/>
                  <w:tcBorders>
                    <w:top w:val="nil"/>
                    <w:left w:val="nil"/>
                    <w:bottom w:val="nil"/>
                    <w:right w:val="nil"/>
                  </w:tcBorders>
                  <w:noWrap/>
                  <w:vAlign w:val="bottom"/>
                  <w:hideMark/>
                </w:tcPr>
                <w:p w14:paraId="67576AA7" w14:textId="6DA4459E"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w:t>
                  </w:r>
                  <w:r w:rsidR="00A601C4" w:rsidRPr="00995C95">
                    <w:rPr>
                      <w:rFonts w:cs="Arial"/>
                      <w:color w:val="000000"/>
                      <w:sz w:val="16"/>
                      <w:szCs w:val="16"/>
                    </w:rPr>
                    <w:t>.</w:t>
                  </w:r>
                  <w:r w:rsidRPr="00995C95">
                    <w:rPr>
                      <w:rFonts w:cs="Arial"/>
                      <w:color w:val="000000"/>
                      <w:sz w:val="16"/>
                      <w:szCs w:val="16"/>
                    </w:rPr>
                    <w:t>7</w:t>
                  </w:r>
                </w:p>
              </w:tc>
            </w:tr>
            <w:tr w:rsidR="00605D96" w:rsidRPr="00995C95" w14:paraId="08A1D219" w14:textId="77777777" w:rsidTr="008B207B">
              <w:trPr>
                <w:trHeight w:val="255"/>
              </w:trPr>
              <w:tc>
                <w:tcPr>
                  <w:tcW w:w="4071" w:type="dxa"/>
                  <w:tcBorders>
                    <w:top w:val="nil"/>
                    <w:left w:val="nil"/>
                    <w:bottom w:val="nil"/>
                    <w:right w:val="nil"/>
                  </w:tcBorders>
                  <w:noWrap/>
                  <w:vAlign w:val="bottom"/>
                  <w:hideMark/>
                </w:tcPr>
                <w:p w14:paraId="5B76D658" w14:textId="2E926D16" w:rsidR="00605D96" w:rsidRPr="00995C95" w:rsidRDefault="00605D96" w:rsidP="008B207B">
                  <w:pPr>
                    <w:spacing w:after="0" w:line="240" w:lineRule="auto"/>
                    <w:jc w:val="left"/>
                    <w:rPr>
                      <w:rFonts w:cs="Arial"/>
                      <w:color w:val="000000"/>
                      <w:sz w:val="16"/>
                      <w:szCs w:val="16"/>
                    </w:rPr>
                  </w:pPr>
                  <w:r w:rsidRPr="00995C95">
                    <w:rPr>
                      <w:rFonts w:cs="Arial"/>
                      <w:color w:val="000000"/>
                      <w:sz w:val="16"/>
                      <w:szCs w:val="16"/>
                    </w:rPr>
                    <w:t>Ir</w:t>
                  </w:r>
                  <w:r w:rsidR="00A601C4" w:rsidRPr="00995C95">
                    <w:rPr>
                      <w:rFonts w:cs="Arial"/>
                      <w:color w:val="000000"/>
                      <w:sz w:val="16"/>
                      <w:szCs w:val="16"/>
                    </w:rPr>
                    <w:t>eland</w:t>
                  </w:r>
                </w:p>
              </w:tc>
              <w:tc>
                <w:tcPr>
                  <w:tcW w:w="700" w:type="dxa"/>
                  <w:tcBorders>
                    <w:top w:val="nil"/>
                    <w:left w:val="nil"/>
                    <w:bottom w:val="nil"/>
                    <w:right w:val="nil"/>
                  </w:tcBorders>
                  <w:noWrap/>
                  <w:vAlign w:val="bottom"/>
                  <w:hideMark/>
                </w:tcPr>
                <w:p w14:paraId="7909D0F2" w14:textId="3F3E40A5"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−2</w:t>
                  </w:r>
                  <w:r w:rsidR="00A601C4" w:rsidRPr="00995C95">
                    <w:rPr>
                      <w:rFonts w:cs="Arial"/>
                      <w:color w:val="000000"/>
                      <w:sz w:val="16"/>
                      <w:szCs w:val="16"/>
                    </w:rPr>
                    <w:t>.</w:t>
                  </w:r>
                  <w:r w:rsidRPr="00995C95">
                    <w:rPr>
                      <w:rFonts w:cs="Arial"/>
                      <w:color w:val="000000"/>
                      <w:sz w:val="16"/>
                      <w:szCs w:val="16"/>
                    </w:rPr>
                    <w:t>0</w:t>
                  </w:r>
                </w:p>
              </w:tc>
            </w:tr>
            <w:tr w:rsidR="00605D96" w:rsidRPr="00995C95" w14:paraId="52BB5AB6" w14:textId="77777777" w:rsidTr="008B207B">
              <w:trPr>
                <w:trHeight w:val="255"/>
              </w:trPr>
              <w:tc>
                <w:tcPr>
                  <w:tcW w:w="4071" w:type="dxa"/>
                  <w:tcBorders>
                    <w:top w:val="nil"/>
                    <w:left w:val="nil"/>
                    <w:bottom w:val="nil"/>
                    <w:right w:val="nil"/>
                  </w:tcBorders>
                  <w:noWrap/>
                  <w:vAlign w:val="bottom"/>
                  <w:hideMark/>
                </w:tcPr>
                <w:p w14:paraId="4305B810" w14:textId="125820DC" w:rsidR="00605D96" w:rsidRPr="00995C95" w:rsidRDefault="00A601C4" w:rsidP="008B207B">
                  <w:pPr>
                    <w:spacing w:after="0" w:line="240" w:lineRule="auto"/>
                    <w:jc w:val="left"/>
                    <w:rPr>
                      <w:rFonts w:cs="Arial"/>
                      <w:color w:val="000000"/>
                      <w:sz w:val="16"/>
                      <w:szCs w:val="16"/>
                    </w:rPr>
                  </w:pPr>
                  <w:r w:rsidRPr="00995C95">
                    <w:rPr>
                      <w:rFonts w:cs="Arial"/>
                      <w:color w:val="000000"/>
                      <w:sz w:val="16"/>
                      <w:szCs w:val="16"/>
                    </w:rPr>
                    <w:t>Kazakhstan</w:t>
                  </w:r>
                </w:p>
              </w:tc>
              <w:tc>
                <w:tcPr>
                  <w:tcW w:w="700" w:type="dxa"/>
                  <w:tcBorders>
                    <w:top w:val="nil"/>
                    <w:left w:val="nil"/>
                    <w:bottom w:val="nil"/>
                    <w:right w:val="nil"/>
                  </w:tcBorders>
                  <w:noWrap/>
                  <w:vAlign w:val="bottom"/>
                  <w:hideMark/>
                </w:tcPr>
                <w:p w14:paraId="4D731361" w14:textId="664DEDA6"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−2</w:t>
                  </w:r>
                  <w:r w:rsidR="00A601C4" w:rsidRPr="00995C95">
                    <w:rPr>
                      <w:rFonts w:cs="Arial"/>
                      <w:color w:val="000000"/>
                      <w:sz w:val="16"/>
                      <w:szCs w:val="16"/>
                    </w:rPr>
                    <w:t>.</w:t>
                  </w:r>
                  <w:r w:rsidRPr="00995C95">
                    <w:rPr>
                      <w:rFonts w:cs="Arial"/>
                      <w:color w:val="000000"/>
                      <w:sz w:val="16"/>
                      <w:szCs w:val="16"/>
                    </w:rPr>
                    <w:t>3</w:t>
                  </w:r>
                </w:p>
              </w:tc>
            </w:tr>
            <w:tr w:rsidR="00605D96" w:rsidRPr="00995C95" w14:paraId="205EDB15" w14:textId="77777777" w:rsidTr="008B207B">
              <w:trPr>
                <w:trHeight w:val="255"/>
              </w:trPr>
              <w:tc>
                <w:tcPr>
                  <w:tcW w:w="4071" w:type="dxa"/>
                  <w:tcBorders>
                    <w:top w:val="nil"/>
                    <w:left w:val="nil"/>
                    <w:bottom w:val="nil"/>
                    <w:right w:val="nil"/>
                  </w:tcBorders>
                  <w:noWrap/>
                  <w:vAlign w:val="bottom"/>
                  <w:hideMark/>
                </w:tcPr>
                <w:p w14:paraId="7893D639" w14:textId="2452E1F0" w:rsidR="00605D96" w:rsidRPr="00995C95" w:rsidRDefault="00A601C4" w:rsidP="008B207B">
                  <w:pPr>
                    <w:spacing w:after="0" w:line="240" w:lineRule="auto"/>
                    <w:jc w:val="left"/>
                    <w:rPr>
                      <w:rFonts w:cs="Arial"/>
                      <w:color w:val="000000"/>
                      <w:sz w:val="16"/>
                      <w:szCs w:val="16"/>
                    </w:rPr>
                  </w:pPr>
                  <w:r w:rsidRPr="00995C95">
                    <w:rPr>
                      <w:rFonts w:cs="Arial"/>
                      <w:color w:val="000000"/>
                      <w:sz w:val="16"/>
                      <w:szCs w:val="16"/>
                    </w:rPr>
                    <w:t>Great Britain</w:t>
                  </w:r>
                </w:p>
              </w:tc>
              <w:tc>
                <w:tcPr>
                  <w:tcW w:w="700" w:type="dxa"/>
                  <w:tcBorders>
                    <w:top w:val="nil"/>
                    <w:left w:val="nil"/>
                    <w:bottom w:val="nil"/>
                    <w:right w:val="nil"/>
                  </w:tcBorders>
                  <w:noWrap/>
                  <w:vAlign w:val="bottom"/>
                  <w:hideMark/>
                </w:tcPr>
                <w:p w14:paraId="5A8E4E4E" w14:textId="427F021A"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−2</w:t>
                  </w:r>
                  <w:r w:rsidR="00A601C4" w:rsidRPr="00995C95">
                    <w:rPr>
                      <w:rFonts w:cs="Arial"/>
                      <w:color w:val="000000"/>
                      <w:sz w:val="16"/>
                      <w:szCs w:val="16"/>
                    </w:rPr>
                    <w:t>.</w:t>
                  </w:r>
                  <w:r w:rsidRPr="00995C95">
                    <w:rPr>
                      <w:rFonts w:cs="Arial"/>
                      <w:color w:val="000000"/>
                      <w:sz w:val="16"/>
                      <w:szCs w:val="16"/>
                    </w:rPr>
                    <w:t>5</w:t>
                  </w:r>
                </w:p>
              </w:tc>
            </w:tr>
            <w:tr w:rsidR="00605D96" w:rsidRPr="00995C95" w14:paraId="17FC76C5" w14:textId="77777777" w:rsidTr="008B207B">
              <w:trPr>
                <w:trHeight w:val="255"/>
              </w:trPr>
              <w:tc>
                <w:tcPr>
                  <w:tcW w:w="4071" w:type="dxa"/>
                  <w:tcBorders>
                    <w:top w:val="nil"/>
                    <w:left w:val="nil"/>
                    <w:bottom w:val="nil"/>
                    <w:right w:val="nil"/>
                  </w:tcBorders>
                  <w:noWrap/>
                  <w:vAlign w:val="bottom"/>
                  <w:hideMark/>
                </w:tcPr>
                <w:p w14:paraId="720778D0" w14:textId="38066773" w:rsidR="00605D96" w:rsidRPr="00995C95" w:rsidRDefault="00605D96" w:rsidP="008B207B">
                  <w:pPr>
                    <w:spacing w:after="0" w:line="240" w:lineRule="auto"/>
                    <w:jc w:val="left"/>
                    <w:rPr>
                      <w:rFonts w:cs="Arial"/>
                      <w:color w:val="000000"/>
                      <w:sz w:val="16"/>
                      <w:szCs w:val="16"/>
                    </w:rPr>
                  </w:pPr>
                  <w:r w:rsidRPr="00995C95">
                    <w:rPr>
                      <w:rFonts w:cs="Arial"/>
                      <w:color w:val="000000"/>
                      <w:sz w:val="16"/>
                      <w:szCs w:val="16"/>
                    </w:rPr>
                    <w:t>Pol</w:t>
                  </w:r>
                  <w:r w:rsidR="00A601C4" w:rsidRPr="00995C95">
                    <w:rPr>
                      <w:rFonts w:cs="Arial"/>
                      <w:color w:val="000000"/>
                      <w:sz w:val="16"/>
                      <w:szCs w:val="16"/>
                    </w:rPr>
                    <w:t>and</w:t>
                  </w:r>
                </w:p>
              </w:tc>
              <w:tc>
                <w:tcPr>
                  <w:tcW w:w="700" w:type="dxa"/>
                  <w:tcBorders>
                    <w:top w:val="nil"/>
                    <w:left w:val="nil"/>
                    <w:bottom w:val="nil"/>
                    <w:right w:val="nil"/>
                  </w:tcBorders>
                  <w:noWrap/>
                  <w:vAlign w:val="bottom"/>
                  <w:hideMark/>
                </w:tcPr>
                <w:p w14:paraId="23B2A8A5" w14:textId="6335A8A6"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−2</w:t>
                  </w:r>
                  <w:r w:rsidR="00A601C4" w:rsidRPr="00995C95">
                    <w:rPr>
                      <w:rFonts w:cs="Arial"/>
                      <w:color w:val="000000"/>
                      <w:sz w:val="16"/>
                      <w:szCs w:val="16"/>
                    </w:rPr>
                    <w:t>.</w:t>
                  </w:r>
                  <w:r w:rsidRPr="00995C95">
                    <w:rPr>
                      <w:rFonts w:cs="Arial"/>
                      <w:color w:val="000000"/>
                      <w:sz w:val="16"/>
                      <w:szCs w:val="16"/>
                    </w:rPr>
                    <w:t>7</w:t>
                  </w:r>
                </w:p>
              </w:tc>
            </w:tr>
            <w:tr w:rsidR="00605D96" w:rsidRPr="00995C95" w14:paraId="1065C258" w14:textId="77777777" w:rsidTr="008B207B">
              <w:trPr>
                <w:trHeight w:val="255"/>
              </w:trPr>
              <w:tc>
                <w:tcPr>
                  <w:tcW w:w="4071" w:type="dxa"/>
                  <w:tcBorders>
                    <w:top w:val="nil"/>
                    <w:left w:val="nil"/>
                    <w:bottom w:val="nil"/>
                    <w:right w:val="nil"/>
                  </w:tcBorders>
                  <w:noWrap/>
                  <w:vAlign w:val="bottom"/>
                  <w:hideMark/>
                </w:tcPr>
                <w:p w14:paraId="4B651937" w14:textId="64F97B93" w:rsidR="00605D96" w:rsidRPr="00995C95" w:rsidRDefault="00605D96" w:rsidP="008B207B">
                  <w:pPr>
                    <w:spacing w:after="0" w:line="240" w:lineRule="auto"/>
                    <w:jc w:val="left"/>
                    <w:rPr>
                      <w:rFonts w:cs="Arial"/>
                      <w:color w:val="000000"/>
                      <w:sz w:val="16"/>
                      <w:szCs w:val="16"/>
                    </w:rPr>
                  </w:pPr>
                  <w:r w:rsidRPr="00995C95">
                    <w:rPr>
                      <w:rFonts w:cs="Arial"/>
                      <w:color w:val="000000"/>
                      <w:sz w:val="16"/>
                      <w:szCs w:val="16"/>
                    </w:rPr>
                    <w:t>T</w:t>
                  </w:r>
                  <w:r w:rsidR="00A601C4" w:rsidRPr="00995C95">
                    <w:rPr>
                      <w:rFonts w:cs="Arial"/>
                      <w:color w:val="000000"/>
                      <w:sz w:val="16"/>
                      <w:szCs w:val="16"/>
                    </w:rPr>
                    <w:t>aiwan</w:t>
                  </w:r>
                </w:p>
              </w:tc>
              <w:tc>
                <w:tcPr>
                  <w:tcW w:w="700" w:type="dxa"/>
                  <w:tcBorders>
                    <w:top w:val="nil"/>
                    <w:left w:val="nil"/>
                    <w:bottom w:val="nil"/>
                    <w:right w:val="nil"/>
                  </w:tcBorders>
                  <w:noWrap/>
                  <w:vAlign w:val="bottom"/>
                  <w:hideMark/>
                </w:tcPr>
                <w:p w14:paraId="00852EEC" w14:textId="6E5D56A6"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−2</w:t>
                  </w:r>
                  <w:r w:rsidR="00A601C4" w:rsidRPr="00995C95">
                    <w:rPr>
                      <w:rFonts w:cs="Arial"/>
                      <w:color w:val="000000"/>
                      <w:sz w:val="16"/>
                      <w:szCs w:val="16"/>
                    </w:rPr>
                    <w:t>.</w:t>
                  </w:r>
                  <w:r w:rsidRPr="00995C95">
                    <w:rPr>
                      <w:rFonts w:cs="Arial"/>
                      <w:color w:val="000000"/>
                      <w:sz w:val="16"/>
                      <w:szCs w:val="16"/>
                    </w:rPr>
                    <w:t>7</w:t>
                  </w:r>
                </w:p>
              </w:tc>
            </w:tr>
            <w:tr w:rsidR="00605D96" w:rsidRPr="00995C95" w14:paraId="10A72EA0" w14:textId="77777777" w:rsidTr="008B207B">
              <w:trPr>
                <w:trHeight w:val="255"/>
              </w:trPr>
              <w:tc>
                <w:tcPr>
                  <w:tcW w:w="4071" w:type="dxa"/>
                  <w:tcBorders>
                    <w:top w:val="nil"/>
                    <w:left w:val="nil"/>
                    <w:bottom w:val="nil"/>
                    <w:right w:val="nil"/>
                  </w:tcBorders>
                  <w:noWrap/>
                  <w:vAlign w:val="bottom"/>
                  <w:hideMark/>
                </w:tcPr>
                <w:p w14:paraId="2ADD5CB3" w14:textId="263A0A6C" w:rsidR="00605D96" w:rsidRPr="00995C95" w:rsidRDefault="00A601C4" w:rsidP="008B207B">
                  <w:pPr>
                    <w:spacing w:after="0" w:line="240" w:lineRule="auto"/>
                    <w:jc w:val="left"/>
                    <w:rPr>
                      <w:rFonts w:cs="Arial"/>
                      <w:color w:val="000000"/>
                      <w:sz w:val="16"/>
                      <w:szCs w:val="16"/>
                    </w:rPr>
                  </w:pPr>
                  <w:r w:rsidRPr="00995C95">
                    <w:rPr>
                      <w:rFonts w:cs="Arial"/>
                      <w:color w:val="000000"/>
                      <w:sz w:val="16"/>
                      <w:szCs w:val="16"/>
                    </w:rPr>
                    <w:t>Hungary</w:t>
                  </w:r>
                </w:p>
              </w:tc>
              <w:tc>
                <w:tcPr>
                  <w:tcW w:w="700" w:type="dxa"/>
                  <w:tcBorders>
                    <w:top w:val="nil"/>
                    <w:left w:val="nil"/>
                    <w:bottom w:val="nil"/>
                    <w:right w:val="nil"/>
                  </w:tcBorders>
                  <w:noWrap/>
                  <w:vAlign w:val="bottom"/>
                  <w:hideMark/>
                </w:tcPr>
                <w:p w14:paraId="0939FCE2" w14:textId="510E913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−3</w:t>
                  </w:r>
                  <w:r w:rsidR="00A601C4" w:rsidRPr="00995C95">
                    <w:rPr>
                      <w:rFonts w:cs="Arial"/>
                      <w:color w:val="000000"/>
                      <w:sz w:val="16"/>
                      <w:szCs w:val="16"/>
                    </w:rPr>
                    <w:t>.</w:t>
                  </w:r>
                  <w:r w:rsidRPr="00995C95">
                    <w:rPr>
                      <w:rFonts w:cs="Arial"/>
                      <w:color w:val="000000"/>
                      <w:sz w:val="16"/>
                      <w:szCs w:val="16"/>
                    </w:rPr>
                    <w:t>5</w:t>
                  </w:r>
                </w:p>
              </w:tc>
            </w:tr>
            <w:tr w:rsidR="00605D96" w:rsidRPr="00995C95" w14:paraId="37D9B5BC" w14:textId="77777777" w:rsidTr="008B207B">
              <w:trPr>
                <w:trHeight w:val="255"/>
              </w:trPr>
              <w:tc>
                <w:tcPr>
                  <w:tcW w:w="4071" w:type="dxa"/>
                  <w:tcBorders>
                    <w:top w:val="nil"/>
                    <w:left w:val="nil"/>
                    <w:bottom w:val="nil"/>
                    <w:right w:val="nil"/>
                  </w:tcBorders>
                  <w:noWrap/>
                  <w:vAlign w:val="bottom"/>
                  <w:hideMark/>
                </w:tcPr>
                <w:p w14:paraId="78B47B03" w14:textId="19331DAC" w:rsidR="00605D96" w:rsidRPr="00995C95" w:rsidRDefault="00A601C4" w:rsidP="008B207B">
                  <w:pPr>
                    <w:spacing w:after="0" w:line="240" w:lineRule="auto"/>
                    <w:jc w:val="left"/>
                    <w:rPr>
                      <w:rFonts w:cs="Arial"/>
                      <w:color w:val="000000"/>
                      <w:sz w:val="16"/>
                      <w:szCs w:val="16"/>
                    </w:rPr>
                  </w:pPr>
                  <w:r w:rsidRPr="00995C95">
                    <w:rPr>
                      <w:rFonts w:cs="Arial"/>
                      <w:color w:val="000000"/>
                      <w:sz w:val="16"/>
                      <w:szCs w:val="16"/>
                    </w:rPr>
                    <w:t>United States of America</w:t>
                  </w:r>
                </w:p>
              </w:tc>
              <w:tc>
                <w:tcPr>
                  <w:tcW w:w="700" w:type="dxa"/>
                  <w:tcBorders>
                    <w:top w:val="nil"/>
                    <w:left w:val="nil"/>
                    <w:bottom w:val="nil"/>
                    <w:right w:val="nil"/>
                  </w:tcBorders>
                  <w:noWrap/>
                  <w:vAlign w:val="bottom"/>
                  <w:hideMark/>
                </w:tcPr>
                <w:p w14:paraId="3EE02434" w14:textId="2B2376C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−3</w:t>
                  </w:r>
                  <w:r w:rsidR="00A601C4" w:rsidRPr="00995C95">
                    <w:rPr>
                      <w:rFonts w:cs="Arial"/>
                      <w:color w:val="000000"/>
                      <w:sz w:val="16"/>
                      <w:szCs w:val="16"/>
                    </w:rPr>
                    <w:t>.</w:t>
                  </w:r>
                  <w:r w:rsidRPr="00995C95">
                    <w:rPr>
                      <w:rFonts w:cs="Arial"/>
                      <w:color w:val="000000"/>
                      <w:sz w:val="16"/>
                      <w:szCs w:val="16"/>
                    </w:rPr>
                    <w:t>5</w:t>
                  </w:r>
                </w:p>
              </w:tc>
            </w:tr>
            <w:tr w:rsidR="00605D96" w:rsidRPr="00995C95" w14:paraId="07F46725" w14:textId="77777777" w:rsidTr="008B207B">
              <w:trPr>
                <w:trHeight w:val="255"/>
              </w:trPr>
              <w:tc>
                <w:tcPr>
                  <w:tcW w:w="4071" w:type="dxa"/>
                  <w:tcBorders>
                    <w:top w:val="nil"/>
                    <w:left w:val="nil"/>
                    <w:bottom w:val="nil"/>
                    <w:right w:val="nil"/>
                  </w:tcBorders>
                  <w:noWrap/>
                  <w:vAlign w:val="bottom"/>
                  <w:hideMark/>
                </w:tcPr>
                <w:p w14:paraId="361DB4C8" w14:textId="7023951B" w:rsidR="00605D96" w:rsidRPr="00995C95" w:rsidRDefault="00605D96" w:rsidP="008B207B">
                  <w:pPr>
                    <w:spacing w:after="0" w:line="240" w:lineRule="auto"/>
                    <w:jc w:val="left"/>
                    <w:rPr>
                      <w:rFonts w:cs="Arial"/>
                      <w:color w:val="000000"/>
                      <w:sz w:val="16"/>
                      <w:szCs w:val="16"/>
                    </w:rPr>
                  </w:pPr>
                  <w:r w:rsidRPr="00995C95">
                    <w:rPr>
                      <w:rFonts w:cs="Arial"/>
                      <w:color w:val="000000"/>
                      <w:sz w:val="16"/>
                      <w:szCs w:val="16"/>
                    </w:rPr>
                    <w:t>Nor</w:t>
                  </w:r>
                  <w:r w:rsidR="00A601C4" w:rsidRPr="00995C95">
                    <w:rPr>
                      <w:rFonts w:cs="Arial"/>
                      <w:color w:val="000000"/>
                      <w:sz w:val="16"/>
                      <w:szCs w:val="16"/>
                    </w:rPr>
                    <w:t>way</w:t>
                  </w:r>
                </w:p>
              </w:tc>
              <w:tc>
                <w:tcPr>
                  <w:tcW w:w="700" w:type="dxa"/>
                  <w:tcBorders>
                    <w:top w:val="nil"/>
                    <w:left w:val="nil"/>
                    <w:bottom w:val="nil"/>
                    <w:right w:val="nil"/>
                  </w:tcBorders>
                  <w:noWrap/>
                  <w:vAlign w:val="bottom"/>
                  <w:hideMark/>
                </w:tcPr>
                <w:p w14:paraId="2CAD1B13" w14:textId="62D71123"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−5</w:t>
                  </w:r>
                  <w:r w:rsidR="00A601C4" w:rsidRPr="00995C95">
                    <w:rPr>
                      <w:rFonts w:cs="Arial"/>
                      <w:color w:val="000000"/>
                      <w:sz w:val="16"/>
                      <w:szCs w:val="16"/>
                    </w:rPr>
                    <w:t>.</w:t>
                  </w:r>
                  <w:r w:rsidRPr="00995C95">
                    <w:rPr>
                      <w:rFonts w:cs="Arial"/>
                      <w:color w:val="000000"/>
                      <w:sz w:val="16"/>
                      <w:szCs w:val="16"/>
                    </w:rPr>
                    <w:t>7</w:t>
                  </w:r>
                </w:p>
              </w:tc>
            </w:tr>
          </w:tbl>
          <w:p w14:paraId="4625B59B" w14:textId="77777777" w:rsidR="00605D96" w:rsidRPr="00995C95" w:rsidRDefault="00605D96" w:rsidP="008B207B">
            <w:pPr>
              <w:spacing w:after="0"/>
              <w:rPr>
                <w:rFonts w:cs="Arial"/>
                <w:spacing w:val="-4"/>
                <w:sz w:val="16"/>
                <w:szCs w:val="16"/>
                <w:lang w:eastAsia="en-US"/>
              </w:rPr>
            </w:pPr>
          </w:p>
        </w:tc>
      </w:tr>
      <w:tr w:rsidR="00605D96" w:rsidRPr="00995C95" w14:paraId="3E0D9CF8" w14:textId="77777777" w:rsidTr="008B207B">
        <w:trPr>
          <w:trHeight w:val="170"/>
        </w:trPr>
        <w:tc>
          <w:tcPr>
            <w:tcW w:w="4811" w:type="dxa"/>
            <w:gridSpan w:val="3"/>
            <w:hideMark/>
          </w:tcPr>
          <w:p w14:paraId="4816FC54" w14:textId="31FD3343" w:rsidR="00605D96" w:rsidRPr="00995C95" w:rsidRDefault="0071517E" w:rsidP="008B207B">
            <w:pPr>
              <w:jc w:val="left"/>
              <w:rPr>
                <w:spacing w:val="-4"/>
                <w:sz w:val="16"/>
                <w:szCs w:val="16"/>
                <w:lang w:eastAsia="en-US"/>
              </w:rPr>
            </w:pPr>
            <w:r w:rsidRPr="00995C95">
              <w:rPr>
                <w:spacing w:val="-4"/>
                <w:sz w:val="16"/>
                <w:szCs w:val="16"/>
                <w:lang w:eastAsia="en-US"/>
              </w:rPr>
              <w:t>Source</w:t>
            </w:r>
            <w:r w:rsidR="00605D96" w:rsidRPr="00995C95">
              <w:rPr>
                <w:spacing w:val="-4"/>
                <w:sz w:val="16"/>
                <w:szCs w:val="16"/>
                <w:lang w:eastAsia="en-US"/>
              </w:rPr>
              <w:t xml:space="preserve">: </w:t>
            </w:r>
            <w:r w:rsidRPr="00995C95">
              <w:rPr>
                <w:spacing w:val="-4"/>
                <w:sz w:val="16"/>
                <w:szCs w:val="16"/>
                <w:lang w:eastAsia="en-US"/>
              </w:rPr>
              <w:t>CZSO</w:t>
            </w:r>
          </w:p>
        </w:tc>
        <w:tc>
          <w:tcPr>
            <w:tcW w:w="57" w:type="dxa"/>
          </w:tcPr>
          <w:p w14:paraId="34DB04D3" w14:textId="77777777" w:rsidR="00605D96" w:rsidRPr="00995C95" w:rsidRDefault="00605D96" w:rsidP="008B207B">
            <w:pPr>
              <w:spacing w:after="0"/>
              <w:rPr>
                <w:spacing w:val="-4"/>
                <w:lang w:eastAsia="en-US"/>
              </w:rPr>
            </w:pPr>
          </w:p>
        </w:tc>
        <w:tc>
          <w:tcPr>
            <w:tcW w:w="4809" w:type="dxa"/>
            <w:hideMark/>
          </w:tcPr>
          <w:p w14:paraId="5154D21E" w14:textId="119AD347" w:rsidR="00605D96" w:rsidRPr="00995C95" w:rsidRDefault="0071517E" w:rsidP="008B207B">
            <w:pPr>
              <w:spacing w:after="0"/>
              <w:ind w:right="21"/>
              <w:jc w:val="left"/>
              <w:rPr>
                <w:spacing w:val="-4"/>
                <w:lang w:eastAsia="en-US"/>
              </w:rPr>
            </w:pPr>
            <w:r w:rsidRPr="00995C95">
              <w:rPr>
                <w:spacing w:val="-4"/>
                <w:sz w:val="16"/>
                <w:szCs w:val="16"/>
                <w:lang w:eastAsia="en-US"/>
              </w:rPr>
              <w:t>Source</w:t>
            </w:r>
            <w:r w:rsidR="00605D96" w:rsidRPr="00995C95">
              <w:rPr>
                <w:spacing w:val="-4"/>
                <w:sz w:val="16"/>
                <w:szCs w:val="16"/>
                <w:lang w:eastAsia="en-US"/>
              </w:rPr>
              <w:t xml:space="preserve">: </w:t>
            </w:r>
            <w:r w:rsidRPr="00995C95">
              <w:rPr>
                <w:spacing w:val="-4"/>
                <w:sz w:val="16"/>
                <w:szCs w:val="16"/>
                <w:lang w:eastAsia="en-US"/>
              </w:rPr>
              <w:t>CZSO</w:t>
            </w:r>
          </w:p>
        </w:tc>
      </w:tr>
      <w:tr w:rsidR="00605D96" w:rsidRPr="00995C95" w14:paraId="35AF6E96" w14:textId="77777777" w:rsidTr="008B207B">
        <w:trPr>
          <w:trHeight w:val="170"/>
        </w:trPr>
        <w:tc>
          <w:tcPr>
            <w:tcW w:w="1748" w:type="dxa"/>
          </w:tcPr>
          <w:p w14:paraId="2B4BA84B" w14:textId="48EB843D" w:rsidR="00605D96" w:rsidRPr="00995C95" w:rsidRDefault="00C77AC4" w:rsidP="00C77AC4">
            <w:pPr>
              <w:pStyle w:val="Marginlie"/>
              <w:rPr>
                <w:lang w:eastAsia="en-US"/>
              </w:rPr>
            </w:pPr>
            <w:r w:rsidRPr="00995C95">
              <w:rPr>
                <w:lang w:eastAsia="en-US"/>
              </w:rPr>
              <w:t>Last year, the motor vehicle trade was in the direction of improving the balance.</w:t>
            </w:r>
          </w:p>
        </w:tc>
        <w:tc>
          <w:tcPr>
            <w:tcW w:w="252" w:type="dxa"/>
          </w:tcPr>
          <w:p w14:paraId="108402B1" w14:textId="77777777" w:rsidR="00605D96" w:rsidRPr="00995C95" w:rsidRDefault="00605D96" w:rsidP="008B207B">
            <w:pPr>
              <w:pStyle w:val="Textpoznpodarou"/>
              <w:jc w:val="both"/>
              <w:rPr>
                <w:spacing w:val="-4"/>
                <w:lang w:eastAsia="en-US"/>
              </w:rPr>
            </w:pPr>
          </w:p>
        </w:tc>
        <w:tc>
          <w:tcPr>
            <w:tcW w:w="7677" w:type="dxa"/>
            <w:gridSpan w:val="3"/>
          </w:tcPr>
          <w:p w14:paraId="3367F1AE" w14:textId="69BDED89" w:rsidR="00605D96" w:rsidRPr="00995C95" w:rsidRDefault="0034749A" w:rsidP="00C96F89">
            <w:pPr>
              <w:rPr>
                <w:rFonts w:cs="Arial"/>
                <w:color w:val="000000"/>
                <w:szCs w:val="20"/>
                <w:lang w:eastAsia="en-US"/>
              </w:rPr>
            </w:pPr>
            <w:r w:rsidRPr="00995C95">
              <w:rPr>
                <w:rFonts w:cs="Arial"/>
                <w:color w:val="000000"/>
                <w:szCs w:val="20"/>
                <w:lang w:eastAsia="en-US"/>
              </w:rPr>
              <w:t>T</w:t>
            </w:r>
            <w:r w:rsidR="00031A7B" w:rsidRPr="00995C95">
              <w:rPr>
                <w:rFonts w:cs="Arial"/>
                <w:color w:val="000000"/>
                <w:szCs w:val="20"/>
                <w:lang w:eastAsia="en-US"/>
              </w:rPr>
              <w:t xml:space="preserve">rade </w:t>
            </w:r>
            <w:r w:rsidRPr="00995C95">
              <w:rPr>
                <w:rFonts w:cs="Arial"/>
                <w:color w:val="000000"/>
                <w:szCs w:val="20"/>
                <w:lang w:eastAsia="en-US"/>
              </w:rPr>
              <w:t xml:space="preserve">with </w:t>
            </w:r>
            <w:r w:rsidR="00031A7B" w:rsidRPr="00995C95">
              <w:rPr>
                <w:rFonts w:cs="Arial"/>
                <w:color w:val="000000"/>
                <w:szCs w:val="20"/>
                <w:lang w:eastAsia="en-US"/>
              </w:rPr>
              <w:t>metal</w:t>
            </w:r>
            <w:r w:rsidR="00217676" w:rsidRPr="00995C95">
              <w:rPr>
                <w:rFonts w:cs="Arial"/>
                <w:color w:val="000000"/>
                <w:szCs w:val="20"/>
                <w:lang w:eastAsia="en-US"/>
              </w:rPr>
              <w:t>working</w:t>
            </w:r>
            <w:r w:rsidR="00031A7B" w:rsidRPr="00995C95">
              <w:rPr>
                <w:rFonts w:cs="Arial"/>
                <w:color w:val="000000"/>
                <w:szCs w:val="20"/>
                <w:lang w:eastAsia="en-US"/>
              </w:rPr>
              <w:t xml:space="preserve"> products (−39.9 b</w:t>
            </w:r>
            <w:r w:rsidR="00217676" w:rsidRPr="00995C95">
              <w:rPr>
                <w:rFonts w:cs="Arial"/>
                <w:color w:val="000000"/>
                <w:szCs w:val="20"/>
                <w:lang w:eastAsia="en-US"/>
              </w:rPr>
              <w:t>n CZK</w:t>
            </w:r>
            <w:r w:rsidR="00031A7B" w:rsidRPr="00995C95">
              <w:rPr>
                <w:rFonts w:cs="Arial"/>
                <w:color w:val="000000"/>
                <w:szCs w:val="20"/>
                <w:lang w:eastAsia="en-US"/>
              </w:rPr>
              <w:t>) and electrical equipment (−30.8 b</w:t>
            </w:r>
            <w:r w:rsidR="00217676" w:rsidRPr="00995C95">
              <w:rPr>
                <w:rFonts w:cs="Arial"/>
                <w:color w:val="000000"/>
                <w:szCs w:val="20"/>
                <w:lang w:eastAsia="en-US"/>
              </w:rPr>
              <w:t>n</w:t>
            </w:r>
            <w:r w:rsidR="00031A7B" w:rsidRPr="00995C95">
              <w:rPr>
                <w:rFonts w:cs="Arial"/>
                <w:color w:val="000000"/>
                <w:szCs w:val="20"/>
                <w:lang w:eastAsia="en-US"/>
              </w:rPr>
              <w:t>) had the greatest impact on the deterioration of the balance of</w:t>
            </w:r>
            <w:r w:rsidR="00217676" w:rsidRPr="00995C95">
              <w:rPr>
                <w:rFonts w:cs="Arial"/>
                <w:color w:val="000000"/>
                <w:szCs w:val="20"/>
                <w:lang w:eastAsia="en-US"/>
              </w:rPr>
              <w:t xml:space="preserve"> international </w:t>
            </w:r>
            <w:r w:rsidR="00031A7B" w:rsidRPr="00995C95">
              <w:rPr>
                <w:rFonts w:cs="Arial"/>
                <w:color w:val="000000"/>
                <w:szCs w:val="20"/>
                <w:lang w:eastAsia="en-US"/>
              </w:rPr>
              <w:t>trade</w:t>
            </w:r>
            <w:r w:rsidR="00217676" w:rsidRPr="00995C95">
              <w:rPr>
                <w:rFonts w:cs="Arial"/>
                <w:color w:val="000000"/>
                <w:szCs w:val="20"/>
                <w:lang w:eastAsia="en-US"/>
              </w:rPr>
              <w:t xml:space="preserve"> with </w:t>
            </w:r>
            <w:r w:rsidR="00031A7B" w:rsidRPr="00995C95">
              <w:rPr>
                <w:rFonts w:cs="Arial"/>
                <w:color w:val="000000"/>
                <w:szCs w:val="20"/>
                <w:lang w:eastAsia="en-US"/>
              </w:rPr>
              <w:t xml:space="preserve">goods. The balance of trade </w:t>
            </w:r>
            <w:r w:rsidR="001F3BFD" w:rsidRPr="00995C95">
              <w:rPr>
                <w:rFonts w:cs="Arial"/>
                <w:color w:val="000000"/>
                <w:szCs w:val="20"/>
                <w:lang w:eastAsia="en-US"/>
              </w:rPr>
              <w:t xml:space="preserve">with </w:t>
            </w:r>
            <w:r w:rsidR="00031A7B" w:rsidRPr="00995C95">
              <w:rPr>
                <w:rFonts w:cs="Arial"/>
                <w:color w:val="000000"/>
                <w:szCs w:val="20"/>
                <w:lang w:eastAsia="en-US"/>
              </w:rPr>
              <w:t>agricultural and hunting products (−7.2 b</w:t>
            </w:r>
            <w:r w:rsidR="001F3BFD" w:rsidRPr="00995C95">
              <w:rPr>
                <w:rFonts w:cs="Arial"/>
                <w:color w:val="000000"/>
                <w:szCs w:val="20"/>
                <w:lang w:eastAsia="en-US"/>
              </w:rPr>
              <w:t>n CZK</w:t>
            </w:r>
            <w:r w:rsidR="00031A7B" w:rsidRPr="00995C95">
              <w:rPr>
                <w:rFonts w:cs="Arial"/>
                <w:color w:val="000000"/>
                <w:szCs w:val="20"/>
                <w:lang w:eastAsia="en-US"/>
              </w:rPr>
              <w:t>) and chemical</w:t>
            </w:r>
            <w:r w:rsidR="00570868" w:rsidRPr="00995C95">
              <w:rPr>
                <w:rFonts w:cs="Arial"/>
                <w:color w:val="000000"/>
                <w:szCs w:val="20"/>
                <w:lang w:eastAsia="en-US"/>
              </w:rPr>
              <w:t xml:space="preserve">s and chemical products </w:t>
            </w:r>
            <w:r w:rsidR="00031A7B" w:rsidRPr="00995C95">
              <w:rPr>
                <w:rFonts w:cs="Arial"/>
                <w:color w:val="000000"/>
                <w:szCs w:val="20"/>
                <w:lang w:eastAsia="en-US"/>
              </w:rPr>
              <w:t>(−7.3 b</w:t>
            </w:r>
            <w:r w:rsidR="001F3BFD" w:rsidRPr="00995C95">
              <w:rPr>
                <w:rFonts w:cs="Arial"/>
                <w:color w:val="000000"/>
                <w:szCs w:val="20"/>
                <w:lang w:eastAsia="en-US"/>
              </w:rPr>
              <w:t>n CZK</w:t>
            </w:r>
            <w:r w:rsidR="00031A7B" w:rsidRPr="00995C95">
              <w:rPr>
                <w:rFonts w:cs="Arial"/>
                <w:color w:val="000000"/>
                <w:szCs w:val="20"/>
                <w:lang w:eastAsia="en-US"/>
              </w:rPr>
              <w:t>) also deteriorated significantly. On the</w:t>
            </w:r>
            <w:r w:rsidR="00570868" w:rsidRPr="00995C95">
              <w:rPr>
                <w:rFonts w:cs="Arial"/>
                <w:color w:val="000000"/>
                <w:szCs w:val="20"/>
                <w:lang w:eastAsia="en-US"/>
              </w:rPr>
              <w:t xml:space="preserve"> contrary</w:t>
            </w:r>
            <w:r w:rsidR="00031A7B" w:rsidRPr="00995C95">
              <w:rPr>
                <w:rFonts w:cs="Arial"/>
                <w:color w:val="000000"/>
                <w:szCs w:val="20"/>
                <w:lang w:eastAsia="en-US"/>
              </w:rPr>
              <w:t xml:space="preserve">, trade </w:t>
            </w:r>
            <w:r w:rsidR="00570868" w:rsidRPr="00995C95">
              <w:rPr>
                <w:rFonts w:cs="Arial"/>
                <w:color w:val="000000"/>
                <w:szCs w:val="20"/>
                <w:lang w:eastAsia="en-US"/>
              </w:rPr>
              <w:t xml:space="preserve">with </w:t>
            </w:r>
            <w:r w:rsidR="00031A7B" w:rsidRPr="00995C95">
              <w:rPr>
                <w:rFonts w:cs="Arial"/>
                <w:color w:val="000000"/>
                <w:szCs w:val="20"/>
                <w:lang w:eastAsia="en-US"/>
              </w:rPr>
              <w:t>motor vehicles (+41.1 b</w:t>
            </w:r>
            <w:r w:rsidR="00570868" w:rsidRPr="00995C95">
              <w:rPr>
                <w:rFonts w:cs="Arial"/>
                <w:color w:val="000000"/>
                <w:szCs w:val="20"/>
                <w:lang w:eastAsia="en-US"/>
              </w:rPr>
              <w:t>n CZK</w:t>
            </w:r>
            <w:r w:rsidR="00031A7B" w:rsidRPr="00995C95">
              <w:rPr>
                <w:rFonts w:cs="Arial"/>
                <w:color w:val="000000"/>
                <w:szCs w:val="20"/>
                <w:lang w:eastAsia="en-US"/>
              </w:rPr>
              <w:t>), machinery and equipment (+15.1 b</w:t>
            </w:r>
            <w:r w:rsidR="00570868" w:rsidRPr="00995C95">
              <w:rPr>
                <w:rFonts w:cs="Arial"/>
                <w:color w:val="000000"/>
                <w:szCs w:val="20"/>
                <w:lang w:eastAsia="en-US"/>
              </w:rPr>
              <w:t>n CZK</w:t>
            </w:r>
            <w:r w:rsidR="00031A7B" w:rsidRPr="00995C95">
              <w:rPr>
                <w:rFonts w:cs="Arial"/>
                <w:color w:val="000000"/>
                <w:szCs w:val="20"/>
                <w:lang w:eastAsia="en-US"/>
              </w:rPr>
              <w:t>), coke and refined petroleum products (12.9 b</w:t>
            </w:r>
            <w:r w:rsidR="00570868" w:rsidRPr="00995C95">
              <w:rPr>
                <w:rFonts w:cs="Arial"/>
                <w:color w:val="000000"/>
                <w:szCs w:val="20"/>
                <w:lang w:eastAsia="en-US"/>
              </w:rPr>
              <w:t>n CZK</w:t>
            </w:r>
            <w:r w:rsidR="00031A7B" w:rsidRPr="00995C95">
              <w:rPr>
                <w:rFonts w:cs="Arial"/>
                <w:color w:val="000000"/>
                <w:szCs w:val="20"/>
                <w:lang w:eastAsia="en-US"/>
              </w:rPr>
              <w:t xml:space="preserve">), computers, electronic and optical </w:t>
            </w:r>
            <w:r w:rsidR="00570868" w:rsidRPr="00995C95">
              <w:rPr>
                <w:rFonts w:cs="Arial"/>
                <w:color w:val="000000"/>
                <w:szCs w:val="20"/>
                <w:lang w:eastAsia="en-US"/>
              </w:rPr>
              <w:t xml:space="preserve">appliances </w:t>
            </w:r>
            <w:r w:rsidR="00031A7B" w:rsidRPr="00995C95">
              <w:rPr>
                <w:rFonts w:cs="Arial"/>
                <w:color w:val="000000"/>
                <w:szCs w:val="20"/>
                <w:lang w:eastAsia="en-US"/>
              </w:rPr>
              <w:t>(+8.6 b</w:t>
            </w:r>
            <w:r w:rsidR="00570868" w:rsidRPr="00995C95">
              <w:rPr>
                <w:rFonts w:cs="Arial"/>
                <w:color w:val="000000"/>
                <w:szCs w:val="20"/>
                <w:lang w:eastAsia="en-US"/>
              </w:rPr>
              <w:t>n</w:t>
            </w:r>
            <w:r w:rsidR="00031A7B" w:rsidRPr="00995C95">
              <w:rPr>
                <w:rFonts w:cs="Arial"/>
                <w:color w:val="000000"/>
                <w:szCs w:val="20"/>
                <w:lang w:eastAsia="en-US"/>
              </w:rPr>
              <w:t>), basic pharmaceutical products (+5.3 b</w:t>
            </w:r>
            <w:r w:rsidR="00420DC0" w:rsidRPr="00995C95">
              <w:rPr>
                <w:rFonts w:cs="Arial"/>
                <w:color w:val="000000"/>
                <w:szCs w:val="20"/>
                <w:lang w:eastAsia="en-US"/>
              </w:rPr>
              <w:t>n</w:t>
            </w:r>
            <w:r w:rsidR="00031A7B" w:rsidRPr="00995C95">
              <w:rPr>
                <w:rFonts w:cs="Arial"/>
                <w:color w:val="000000"/>
                <w:szCs w:val="20"/>
                <w:lang w:eastAsia="en-US"/>
              </w:rPr>
              <w:t>) and rubber and plastic products (+5.1 b</w:t>
            </w:r>
            <w:r w:rsidR="00420DC0" w:rsidRPr="00995C95">
              <w:rPr>
                <w:rFonts w:cs="Arial"/>
                <w:color w:val="000000"/>
                <w:szCs w:val="20"/>
                <w:lang w:eastAsia="en-US"/>
              </w:rPr>
              <w:t>n</w:t>
            </w:r>
            <w:r w:rsidR="00031A7B" w:rsidRPr="00995C95">
              <w:rPr>
                <w:rFonts w:cs="Arial"/>
                <w:color w:val="000000"/>
                <w:szCs w:val="20"/>
                <w:lang w:eastAsia="en-US"/>
              </w:rPr>
              <w:t xml:space="preserve">) had a significant impact on the balance last year. The </w:t>
            </w:r>
            <w:r w:rsidR="00917170" w:rsidRPr="00995C95">
              <w:rPr>
                <w:rFonts w:cs="Arial"/>
                <w:color w:val="000000"/>
                <w:szCs w:val="20"/>
                <w:lang w:eastAsia="en-US"/>
              </w:rPr>
              <w:t>total y</w:t>
            </w:r>
            <w:r w:rsidR="00031A7B" w:rsidRPr="00995C95">
              <w:rPr>
                <w:rFonts w:cs="Arial"/>
                <w:color w:val="000000"/>
                <w:szCs w:val="20"/>
                <w:lang w:eastAsia="en-US"/>
              </w:rPr>
              <w:t xml:space="preserve">ear-on-year improvement </w:t>
            </w:r>
            <w:r w:rsidR="00917170" w:rsidRPr="00995C95">
              <w:rPr>
                <w:rFonts w:cs="Arial"/>
                <w:color w:val="000000"/>
                <w:szCs w:val="20"/>
                <w:lang w:eastAsia="en-US"/>
              </w:rPr>
              <w:t xml:space="preserve">of </w:t>
            </w:r>
            <w:r w:rsidR="00031A7B" w:rsidRPr="00995C95">
              <w:rPr>
                <w:rFonts w:cs="Arial"/>
                <w:color w:val="000000"/>
                <w:szCs w:val="20"/>
                <w:lang w:eastAsia="en-US"/>
              </w:rPr>
              <w:t xml:space="preserve">the balance of </w:t>
            </w:r>
            <w:r w:rsidR="00917170" w:rsidRPr="00995C95">
              <w:rPr>
                <w:rFonts w:cs="Arial"/>
                <w:color w:val="000000"/>
                <w:szCs w:val="20"/>
                <w:lang w:eastAsia="en-US"/>
              </w:rPr>
              <w:t xml:space="preserve">international </w:t>
            </w:r>
            <w:r w:rsidR="00031A7B" w:rsidRPr="00995C95">
              <w:rPr>
                <w:rFonts w:cs="Arial"/>
                <w:color w:val="000000"/>
                <w:szCs w:val="20"/>
                <w:lang w:eastAsia="en-US"/>
              </w:rPr>
              <w:t xml:space="preserve">trade </w:t>
            </w:r>
            <w:r w:rsidR="00917170" w:rsidRPr="00995C95">
              <w:rPr>
                <w:rFonts w:cs="Arial"/>
                <w:color w:val="000000"/>
                <w:szCs w:val="20"/>
                <w:lang w:eastAsia="en-US"/>
              </w:rPr>
              <w:t xml:space="preserve">with </w:t>
            </w:r>
            <w:r w:rsidR="00031A7B" w:rsidRPr="00995C95">
              <w:rPr>
                <w:rFonts w:cs="Arial"/>
                <w:color w:val="000000"/>
                <w:szCs w:val="20"/>
                <w:lang w:eastAsia="en-US"/>
              </w:rPr>
              <w:t xml:space="preserve">goods in Q4 </w:t>
            </w:r>
            <w:r w:rsidR="00031A7B" w:rsidRPr="00995C95">
              <w:rPr>
                <w:rFonts w:cs="Arial"/>
                <w:color w:val="000000"/>
                <w:szCs w:val="20"/>
                <w:lang w:eastAsia="en-US"/>
              </w:rPr>
              <w:lastRenderedPageBreak/>
              <w:t xml:space="preserve">was positively influenced mainly by trade in </w:t>
            </w:r>
            <w:r w:rsidR="005D1C83" w:rsidRPr="00995C95">
              <w:rPr>
                <w:rFonts w:cs="Arial"/>
                <w:color w:val="000000"/>
                <w:szCs w:val="20"/>
                <w:lang w:eastAsia="en-US"/>
              </w:rPr>
              <w:t xml:space="preserve">crude </w:t>
            </w:r>
            <w:r w:rsidR="00031A7B" w:rsidRPr="00995C95">
              <w:rPr>
                <w:rFonts w:cs="Arial"/>
                <w:color w:val="000000"/>
                <w:szCs w:val="20"/>
                <w:lang w:eastAsia="en-US"/>
              </w:rPr>
              <w:t xml:space="preserve">oil and natural gas (see Table 5) and machinery and equipment. Smaller improvements were </w:t>
            </w:r>
            <w:r w:rsidR="00C4098C" w:rsidRPr="00995C95">
              <w:rPr>
                <w:rFonts w:cs="Arial"/>
                <w:color w:val="000000"/>
                <w:szCs w:val="20"/>
                <w:lang w:eastAsia="en-US"/>
              </w:rPr>
              <w:t xml:space="preserve">then </w:t>
            </w:r>
            <w:r w:rsidR="00031A7B" w:rsidRPr="00995C95">
              <w:rPr>
                <w:rFonts w:cs="Arial"/>
                <w:color w:val="000000"/>
                <w:szCs w:val="20"/>
                <w:lang w:eastAsia="en-US"/>
              </w:rPr>
              <w:t xml:space="preserve">recorded in trade </w:t>
            </w:r>
            <w:r w:rsidR="00C4098C" w:rsidRPr="00995C95">
              <w:rPr>
                <w:rFonts w:cs="Arial"/>
                <w:color w:val="000000"/>
                <w:szCs w:val="20"/>
                <w:lang w:eastAsia="en-US"/>
              </w:rPr>
              <w:t xml:space="preserve">with </w:t>
            </w:r>
            <w:r w:rsidR="00031A7B" w:rsidRPr="00995C95">
              <w:rPr>
                <w:rFonts w:cs="Arial"/>
                <w:color w:val="000000"/>
                <w:szCs w:val="20"/>
                <w:lang w:eastAsia="en-US"/>
              </w:rPr>
              <w:t>coke and refined petroleum products, bas</w:t>
            </w:r>
            <w:r w:rsidR="00A0642E" w:rsidRPr="00995C95">
              <w:rPr>
                <w:rFonts w:cs="Arial"/>
                <w:color w:val="000000"/>
                <w:szCs w:val="20"/>
                <w:lang w:eastAsia="en-US"/>
              </w:rPr>
              <w:t xml:space="preserve">ic </w:t>
            </w:r>
            <w:r w:rsidR="00031A7B" w:rsidRPr="00995C95">
              <w:rPr>
                <w:rFonts w:cs="Arial"/>
                <w:color w:val="000000"/>
                <w:szCs w:val="20"/>
                <w:lang w:eastAsia="en-US"/>
              </w:rPr>
              <w:t xml:space="preserve">metals, motor vehicles, or rubber and plastic products. On the </w:t>
            </w:r>
            <w:r w:rsidR="00A0642E" w:rsidRPr="00995C95">
              <w:rPr>
                <w:rFonts w:cs="Arial"/>
                <w:color w:val="000000"/>
                <w:szCs w:val="20"/>
                <w:lang w:eastAsia="en-US"/>
              </w:rPr>
              <w:t>contrary</w:t>
            </w:r>
            <w:r w:rsidR="00031A7B" w:rsidRPr="00995C95">
              <w:rPr>
                <w:rFonts w:cs="Arial"/>
                <w:color w:val="000000"/>
                <w:szCs w:val="20"/>
                <w:lang w:eastAsia="en-US"/>
              </w:rPr>
              <w:t xml:space="preserve">, the balance of trade </w:t>
            </w:r>
            <w:r w:rsidR="00A0642E" w:rsidRPr="00995C95">
              <w:rPr>
                <w:rFonts w:cs="Arial"/>
                <w:color w:val="000000"/>
                <w:szCs w:val="20"/>
                <w:lang w:eastAsia="en-US"/>
              </w:rPr>
              <w:t xml:space="preserve">with </w:t>
            </w:r>
            <w:r w:rsidR="00031A7B" w:rsidRPr="00995C95">
              <w:rPr>
                <w:rFonts w:cs="Arial"/>
                <w:color w:val="000000"/>
                <w:szCs w:val="20"/>
                <w:lang w:eastAsia="en-US"/>
              </w:rPr>
              <w:t>electrical equipment, electricity, gas, steam and air-condition</w:t>
            </w:r>
            <w:r w:rsidR="000E0655" w:rsidRPr="00995C95">
              <w:rPr>
                <w:rFonts w:cs="Arial"/>
                <w:color w:val="000000"/>
                <w:szCs w:val="20"/>
                <w:lang w:eastAsia="en-US"/>
              </w:rPr>
              <w:t>ing</w:t>
            </w:r>
            <w:r w:rsidR="00031A7B" w:rsidRPr="00995C95">
              <w:rPr>
                <w:rFonts w:cs="Arial"/>
                <w:color w:val="000000"/>
                <w:szCs w:val="20"/>
                <w:lang w:eastAsia="en-US"/>
              </w:rPr>
              <w:t>, metal</w:t>
            </w:r>
            <w:r w:rsidR="00A0642E" w:rsidRPr="00995C95">
              <w:rPr>
                <w:rFonts w:cs="Arial"/>
                <w:color w:val="000000"/>
                <w:szCs w:val="20"/>
                <w:lang w:eastAsia="en-US"/>
              </w:rPr>
              <w:t>working</w:t>
            </w:r>
            <w:r w:rsidR="00031A7B" w:rsidRPr="00995C95">
              <w:rPr>
                <w:rFonts w:cs="Arial"/>
                <w:color w:val="000000"/>
                <w:szCs w:val="20"/>
                <w:lang w:eastAsia="en-US"/>
              </w:rPr>
              <w:t xml:space="preserve"> products, other transport </w:t>
            </w:r>
            <w:r w:rsidR="00A0642E" w:rsidRPr="00995C95">
              <w:rPr>
                <w:rFonts w:cs="Arial"/>
                <w:color w:val="000000"/>
                <w:szCs w:val="20"/>
                <w:lang w:eastAsia="en-US"/>
              </w:rPr>
              <w:t>e</w:t>
            </w:r>
            <w:r w:rsidR="00031A7B" w:rsidRPr="00995C95">
              <w:rPr>
                <w:rFonts w:cs="Arial"/>
                <w:color w:val="000000"/>
                <w:szCs w:val="20"/>
                <w:lang w:eastAsia="en-US"/>
              </w:rPr>
              <w:t>quipment, or chemical</w:t>
            </w:r>
            <w:r w:rsidR="00A0642E" w:rsidRPr="00995C95">
              <w:rPr>
                <w:rFonts w:cs="Arial"/>
                <w:color w:val="000000"/>
                <w:szCs w:val="20"/>
                <w:lang w:eastAsia="en-US"/>
              </w:rPr>
              <w:t>s and ch</w:t>
            </w:r>
            <w:r w:rsidR="002C4700" w:rsidRPr="00995C95">
              <w:rPr>
                <w:rFonts w:cs="Arial"/>
                <w:color w:val="000000"/>
                <w:szCs w:val="20"/>
                <w:lang w:eastAsia="en-US"/>
              </w:rPr>
              <w:t xml:space="preserve">emical goods </w:t>
            </w:r>
            <w:r w:rsidR="00031A7B" w:rsidRPr="00995C95">
              <w:rPr>
                <w:rFonts w:cs="Arial"/>
                <w:color w:val="000000"/>
                <w:szCs w:val="20"/>
                <w:lang w:eastAsia="en-US"/>
              </w:rPr>
              <w:t>deteriorated.</w:t>
            </w:r>
            <w:r w:rsidR="00C96F89" w:rsidRPr="00995C95">
              <w:rPr>
                <w:rFonts w:cs="Arial"/>
                <w:color w:val="000000"/>
                <w:szCs w:val="20"/>
                <w:lang w:eastAsia="en-US"/>
              </w:rPr>
              <w:t xml:space="preserve"> </w:t>
            </w:r>
          </w:p>
        </w:tc>
      </w:tr>
      <w:tr w:rsidR="00605D96" w:rsidRPr="00995C95" w14:paraId="18B176EF" w14:textId="77777777" w:rsidTr="008B207B">
        <w:trPr>
          <w:trHeight w:val="170"/>
        </w:trPr>
        <w:tc>
          <w:tcPr>
            <w:tcW w:w="1748" w:type="dxa"/>
          </w:tcPr>
          <w:p w14:paraId="26324A2F" w14:textId="77777777" w:rsidR="00605D96" w:rsidRPr="00995C95" w:rsidRDefault="00605D96" w:rsidP="008B207B">
            <w:pPr>
              <w:pStyle w:val="Marginlie"/>
              <w:rPr>
                <w:lang w:eastAsia="en-US"/>
              </w:rPr>
            </w:pPr>
          </w:p>
        </w:tc>
        <w:tc>
          <w:tcPr>
            <w:tcW w:w="252" w:type="dxa"/>
          </w:tcPr>
          <w:p w14:paraId="7254B0CF" w14:textId="77777777" w:rsidR="00605D96" w:rsidRPr="00995C95" w:rsidRDefault="00605D96" w:rsidP="008B207B">
            <w:pPr>
              <w:pStyle w:val="Textpoznpodarou"/>
              <w:jc w:val="both"/>
              <w:rPr>
                <w:spacing w:val="-4"/>
                <w:lang w:eastAsia="en-US"/>
              </w:rPr>
            </w:pPr>
          </w:p>
        </w:tc>
        <w:tc>
          <w:tcPr>
            <w:tcW w:w="7677" w:type="dxa"/>
            <w:gridSpan w:val="3"/>
          </w:tcPr>
          <w:p w14:paraId="360FD6D5" w14:textId="07B5B444" w:rsidR="00605D96" w:rsidRPr="00995C95" w:rsidRDefault="0071517E" w:rsidP="008B207B">
            <w:pPr>
              <w:spacing w:after="0"/>
              <w:rPr>
                <w:spacing w:val="-4"/>
                <w:lang w:eastAsia="en-US"/>
              </w:rPr>
            </w:pPr>
            <w:r w:rsidRPr="00995C95">
              <w:rPr>
                <w:rFonts w:cs="Arial"/>
                <w:b/>
                <w:bCs/>
                <w:color w:val="000000"/>
                <w:szCs w:val="20"/>
                <w:lang w:eastAsia="en-US"/>
              </w:rPr>
              <w:t xml:space="preserve">Chart </w:t>
            </w:r>
            <w:r w:rsidR="00281666" w:rsidRPr="00995C95">
              <w:rPr>
                <w:rFonts w:cs="Arial"/>
                <w:b/>
                <w:bCs/>
                <w:color w:val="000000"/>
                <w:szCs w:val="20"/>
                <w:lang w:eastAsia="en-US"/>
              </w:rPr>
              <w:t>10</w:t>
            </w:r>
            <w:r w:rsidR="00605D96" w:rsidRPr="00995C95">
              <w:rPr>
                <w:rFonts w:cs="Arial"/>
                <w:b/>
                <w:bCs/>
                <w:color w:val="000000"/>
                <w:szCs w:val="20"/>
                <w:lang w:eastAsia="en-US"/>
              </w:rPr>
              <w:t xml:space="preserve"> </w:t>
            </w:r>
            <w:r w:rsidR="001F3BFD" w:rsidRPr="00995C95">
              <w:rPr>
                <w:b/>
                <w:bCs/>
                <w:spacing w:val="-4"/>
                <w:lang w:eastAsia="en-US"/>
              </w:rPr>
              <w:t xml:space="preserve">Export and import of goods </w:t>
            </w:r>
            <w:r w:rsidR="001F3BFD" w:rsidRPr="00995C95">
              <w:rPr>
                <w:spacing w:val="-4"/>
                <w:lang w:eastAsia="en-US"/>
              </w:rPr>
              <w:t>(y-o-y change, in %)</w:t>
            </w:r>
            <w:r w:rsidR="001F3BFD" w:rsidRPr="00995C95">
              <w:rPr>
                <w:b/>
                <w:bCs/>
                <w:spacing w:val="-4"/>
                <w:lang w:eastAsia="en-US"/>
              </w:rPr>
              <w:t xml:space="preserve"> and balance of international trade with goods </w:t>
            </w:r>
            <w:r w:rsidR="001F3BFD" w:rsidRPr="00995C95">
              <w:rPr>
                <w:spacing w:val="-4"/>
                <w:lang w:eastAsia="en-US"/>
              </w:rPr>
              <w:t xml:space="preserve">(in bn CZK, right axis) </w:t>
            </w:r>
            <w:r w:rsidR="001F3BFD" w:rsidRPr="00995C95">
              <w:rPr>
                <w:rFonts w:cs="Arial"/>
                <w:b/>
                <w:bCs/>
                <w:color w:val="000000"/>
                <w:szCs w:val="20"/>
                <w:lang w:eastAsia="en-US"/>
              </w:rPr>
              <w:t xml:space="preserve"> </w:t>
            </w:r>
          </w:p>
        </w:tc>
      </w:tr>
      <w:tr w:rsidR="00605D96" w:rsidRPr="00995C95" w14:paraId="3904DEC6" w14:textId="77777777" w:rsidTr="00D756D2">
        <w:tblPrEx>
          <w:tblCellMar>
            <w:left w:w="70" w:type="dxa"/>
            <w:right w:w="70" w:type="dxa"/>
          </w:tblCellMar>
        </w:tblPrEx>
        <w:trPr>
          <w:trHeight w:val="170"/>
        </w:trPr>
        <w:tc>
          <w:tcPr>
            <w:tcW w:w="1748" w:type="dxa"/>
            <w:vMerge w:val="restart"/>
          </w:tcPr>
          <w:p w14:paraId="6B2C6239" w14:textId="77777777" w:rsidR="00605D96" w:rsidRPr="00995C95" w:rsidRDefault="00605D96" w:rsidP="008B207B">
            <w:pPr>
              <w:pStyle w:val="Marginlie"/>
              <w:rPr>
                <w:lang w:eastAsia="en-US"/>
              </w:rPr>
            </w:pPr>
          </w:p>
        </w:tc>
        <w:tc>
          <w:tcPr>
            <w:tcW w:w="252" w:type="dxa"/>
            <w:vMerge w:val="restart"/>
          </w:tcPr>
          <w:p w14:paraId="20C115C7" w14:textId="77777777" w:rsidR="00605D96" w:rsidRPr="00995C95" w:rsidRDefault="00605D96" w:rsidP="008B207B">
            <w:pPr>
              <w:pStyle w:val="Textpoznpodarou"/>
              <w:jc w:val="both"/>
              <w:rPr>
                <w:spacing w:val="-4"/>
                <w:lang w:eastAsia="en-US"/>
              </w:rPr>
            </w:pPr>
          </w:p>
        </w:tc>
        <w:tc>
          <w:tcPr>
            <w:tcW w:w="7677" w:type="dxa"/>
            <w:gridSpan w:val="3"/>
          </w:tcPr>
          <w:p w14:paraId="2A6D2A84" w14:textId="2578DE01" w:rsidR="00605D96" w:rsidRPr="00995C95" w:rsidRDefault="00D756D2" w:rsidP="008B207B">
            <w:pPr>
              <w:spacing w:after="0"/>
              <w:rPr>
                <w:spacing w:val="-4"/>
                <w:lang w:eastAsia="en-US"/>
              </w:rPr>
            </w:pPr>
            <w:r>
              <w:rPr>
                <w:noProof/>
              </w:rPr>
              <w:drawing>
                <wp:inline distT="0" distB="0" distL="0" distR="0" wp14:anchorId="28E98D7A" wp14:editId="0C4858EF">
                  <wp:extent cx="4752000" cy="3492000"/>
                  <wp:effectExtent l="0" t="0" r="0" b="0"/>
                  <wp:docPr id="320708715" name="Graf 1">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605D96" w:rsidRPr="00995C95" w14:paraId="4FC096B4" w14:textId="77777777" w:rsidTr="008B207B">
        <w:trPr>
          <w:trHeight w:val="170"/>
        </w:trPr>
        <w:tc>
          <w:tcPr>
            <w:tcW w:w="1748" w:type="dxa"/>
            <w:vMerge/>
          </w:tcPr>
          <w:p w14:paraId="0AE31D16" w14:textId="77777777" w:rsidR="00605D96" w:rsidRPr="00995C95" w:rsidRDefault="00605D96" w:rsidP="008B207B">
            <w:pPr>
              <w:pStyle w:val="Marginlie"/>
              <w:rPr>
                <w:lang w:eastAsia="en-US"/>
              </w:rPr>
            </w:pPr>
          </w:p>
        </w:tc>
        <w:tc>
          <w:tcPr>
            <w:tcW w:w="252" w:type="dxa"/>
            <w:vMerge/>
          </w:tcPr>
          <w:p w14:paraId="45DF8F96" w14:textId="77777777" w:rsidR="00605D96" w:rsidRPr="00995C95" w:rsidRDefault="00605D96" w:rsidP="008B207B">
            <w:pPr>
              <w:pStyle w:val="Textpoznpodarou"/>
              <w:jc w:val="both"/>
              <w:rPr>
                <w:spacing w:val="-4"/>
                <w:lang w:eastAsia="en-US"/>
              </w:rPr>
            </w:pPr>
          </w:p>
        </w:tc>
        <w:tc>
          <w:tcPr>
            <w:tcW w:w="7677" w:type="dxa"/>
            <w:gridSpan w:val="3"/>
          </w:tcPr>
          <w:p w14:paraId="2C9448FB" w14:textId="47C4ABAA" w:rsidR="00A25DB9" w:rsidRPr="00995C95" w:rsidRDefault="0071517E" w:rsidP="00D756D2">
            <w:pPr>
              <w:rPr>
                <w:spacing w:val="-4"/>
                <w:lang w:eastAsia="en-US"/>
              </w:rPr>
            </w:pPr>
            <w:r w:rsidRPr="00995C95">
              <w:rPr>
                <w:sz w:val="16"/>
                <w:szCs w:val="16"/>
                <w:lang w:eastAsia="en-US"/>
              </w:rPr>
              <w:t>Source</w:t>
            </w:r>
            <w:r w:rsidR="00605D96" w:rsidRPr="00995C95">
              <w:rPr>
                <w:sz w:val="16"/>
                <w:szCs w:val="16"/>
                <w:lang w:eastAsia="en-US"/>
              </w:rPr>
              <w:t xml:space="preserve">: </w:t>
            </w:r>
            <w:r w:rsidRPr="00995C95">
              <w:rPr>
                <w:sz w:val="16"/>
                <w:szCs w:val="16"/>
                <w:lang w:eastAsia="en-US"/>
              </w:rPr>
              <w:t>CZSO</w:t>
            </w:r>
          </w:p>
        </w:tc>
      </w:tr>
      <w:bookmarkEnd w:id="22"/>
      <w:bookmarkEnd w:id="23"/>
      <w:bookmarkEnd w:id="24"/>
    </w:tbl>
    <w:p w14:paraId="2A626935" w14:textId="77777777" w:rsidR="00605D96" w:rsidRPr="00995C95" w:rsidRDefault="00605D96" w:rsidP="00605D96">
      <w:pPr>
        <w:spacing w:after="0" w:line="240" w:lineRule="auto"/>
        <w:jc w:val="left"/>
        <w:rPr>
          <w:rFonts w:eastAsia="MS Gothic"/>
          <w:bCs/>
          <w:color w:val="71818C"/>
          <w:sz w:val="2"/>
          <w:szCs w:val="2"/>
        </w:rPr>
      </w:pPr>
    </w:p>
    <w:p w14:paraId="1C6AECB9" w14:textId="77777777" w:rsidR="00605D96" w:rsidRPr="00995C95" w:rsidRDefault="00605D96" w:rsidP="00605D96">
      <w:pPr>
        <w:spacing w:after="0" w:line="240" w:lineRule="auto"/>
        <w:jc w:val="left"/>
        <w:rPr>
          <w:rFonts w:eastAsia="MS Gothic"/>
          <w:b/>
          <w:bCs/>
          <w:color w:val="86BF5E"/>
          <w:sz w:val="32"/>
          <w:szCs w:val="28"/>
        </w:rPr>
      </w:pPr>
    </w:p>
    <w:p w14:paraId="4D084036" w14:textId="77777777" w:rsidR="00605D96" w:rsidRPr="00995C95" w:rsidRDefault="00605D96" w:rsidP="00605D96">
      <w:pPr>
        <w:spacing w:after="0" w:line="240" w:lineRule="auto"/>
        <w:jc w:val="left"/>
        <w:rPr>
          <w:rFonts w:eastAsia="MS Gothic"/>
          <w:bCs/>
          <w:color w:val="71818C"/>
          <w:sz w:val="2"/>
          <w:szCs w:val="2"/>
        </w:rPr>
      </w:pPr>
    </w:p>
    <w:p w14:paraId="50942AA3" w14:textId="77777777" w:rsidR="00605D96" w:rsidRPr="00995C95" w:rsidRDefault="00605D96" w:rsidP="00605D96">
      <w:pPr>
        <w:spacing w:after="0" w:line="240" w:lineRule="auto"/>
        <w:jc w:val="left"/>
        <w:rPr>
          <w:rFonts w:eastAsia="MS Gothic"/>
          <w:b/>
          <w:bCs/>
          <w:color w:val="86BF5E"/>
          <w:sz w:val="32"/>
          <w:szCs w:val="28"/>
          <w:highlight w:val="yellow"/>
        </w:rPr>
      </w:pPr>
    </w:p>
    <w:p w14:paraId="3EBD19C5" w14:textId="77777777" w:rsidR="00605D96" w:rsidRPr="00995C95" w:rsidRDefault="00605D96">
      <w:pPr>
        <w:spacing w:after="0" w:line="240" w:lineRule="auto"/>
        <w:jc w:val="left"/>
        <w:rPr>
          <w:rFonts w:eastAsia="MS Gothic"/>
          <w:b/>
          <w:bCs/>
          <w:color w:val="86BF5E"/>
          <w:sz w:val="32"/>
          <w:szCs w:val="28"/>
        </w:rPr>
      </w:pPr>
      <w:r w:rsidRPr="00995C95">
        <w:br w:type="page"/>
      </w:r>
    </w:p>
    <w:p w14:paraId="13242195" w14:textId="573B85E6" w:rsidR="007F0076" w:rsidRPr="00995C95" w:rsidRDefault="007F0076" w:rsidP="007F0076">
      <w:pPr>
        <w:pStyle w:val="Nadpis1"/>
        <w:rPr>
          <w:lang w:val="en-GB"/>
        </w:rPr>
      </w:pPr>
      <w:bookmarkStart w:id="25" w:name="_Toc227235019"/>
      <w:r w:rsidRPr="00995C95">
        <w:rPr>
          <w:lang w:val="en-GB"/>
        </w:rPr>
        <w:lastRenderedPageBreak/>
        <w:t>5. </w:t>
      </w:r>
      <w:r w:rsidR="00263FDC" w:rsidRPr="00995C95">
        <w:rPr>
          <w:lang w:val="en-GB"/>
        </w:rPr>
        <w:t>Prices</w:t>
      </w:r>
      <w:bookmarkEnd w:id="25"/>
      <w:r w:rsidRPr="00995C95">
        <w:rPr>
          <w:lang w:val="en-GB"/>
        </w:rPr>
        <w:t xml:space="preserve"> </w:t>
      </w:r>
    </w:p>
    <w:tbl>
      <w:tblPr>
        <w:tblW w:w="9639" w:type="dxa"/>
        <w:tblInd w:w="-15" w:type="dxa"/>
        <w:tblCellMar>
          <w:left w:w="0" w:type="dxa"/>
          <w:right w:w="0" w:type="dxa"/>
        </w:tblCellMar>
        <w:tblLook w:val="00A0" w:firstRow="1" w:lastRow="0" w:firstColumn="1" w:lastColumn="0" w:noHBand="0" w:noVBand="0"/>
      </w:tblPr>
      <w:tblGrid>
        <w:gridCol w:w="1791"/>
        <w:gridCol w:w="223"/>
        <w:gridCol w:w="7625"/>
      </w:tblGrid>
      <w:tr w:rsidR="007F0076" w:rsidRPr="00995C95" w14:paraId="0D8BDA01" w14:textId="77777777" w:rsidTr="00E87182">
        <w:trPr>
          <w:trHeight w:val="145"/>
        </w:trPr>
        <w:tc>
          <w:tcPr>
            <w:tcW w:w="1791" w:type="dxa"/>
            <w:hideMark/>
          </w:tcPr>
          <w:p w14:paraId="6C291037" w14:textId="74B47725" w:rsidR="007F0076" w:rsidRPr="00995C95" w:rsidRDefault="00142940" w:rsidP="00142940">
            <w:pPr>
              <w:pStyle w:val="Marginlie"/>
              <w:rPr>
                <w:spacing w:val="0"/>
                <w:lang w:eastAsia="en-US"/>
              </w:rPr>
            </w:pPr>
            <w:r w:rsidRPr="00995C95">
              <w:rPr>
                <w:spacing w:val="0"/>
                <w:lang w:eastAsia="en-US"/>
              </w:rPr>
              <w:t>The price level increased by 3.4% in 2025.</w:t>
            </w:r>
          </w:p>
        </w:tc>
        <w:tc>
          <w:tcPr>
            <w:tcW w:w="223" w:type="dxa"/>
          </w:tcPr>
          <w:p w14:paraId="7E600BEE" w14:textId="77777777" w:rsidR="007F0076" w:rsidRPr="00995C95" w:rsidRDefault="007F0076" w:rsidP="00E87182">
            <w:pPr>
              <w:pStyle w:val="Textpoznpodarou1"/>
              <w:jc w:val="both"/>
              <w:rPr>
                <w:lang w:eastAsia="en-US"/>
              </w:rPr>
            </w:pPr>
          </w:p>
        </w:tc>
        <w:tc>
          <w:tcPr>
            <w:tcW w:w="7625" w:type="dxa"/>
            <w:hideMark/>
          </w:tcPr>
          <w:p w14:paraId="45B6B6B3" w14:textId="2F9E4DF8" w:rsidR="007F0076" w:rsidRPr="00995C95" w:rsidRDefault="003B6097" w:rsidP="003B6097">
            <w:pPr>
              <w:rPr>
                <w:szCs w:val="20"/>
                <w:lang w:eastAsia="en-US"/>
              </w:rPr>
            </w:pPr>
            <w:r w:rsidRPr="00995C95">
              <w:rPr>
                <w:szCs w:val="20"/>
                <w:lang w:eastAsia="en-US"/>
              </w:rPr>
              <w:t xml:space="preserve">The </w:t>
            </w:r>
            <w:r w:rsidR="004C63B5" w:rsidRPr="00995C95">
              <w:rPr>
                <w:szCs w:val="20"/>
                <w:lang w:eastAsia="en-US"/>
              </w:rPr>
              <w:t xml:space="preserve">total </w:t>
            </w:r>
            <w:r w:rsidRPr="00995C95">
              <w:rPr>
                <w:szCs w:val="20"/>
                <w:lang w:eastAsia="en-US"/>
              </w:rPr>
              <w:t xml:space="preserve">increase </w:t>
            </w:r>
            <w:r w:rsidR="004C63B5" w:rsidRPr="00995C95">
              <w:rPr>
                <w:szCs w:val="20"/>
                <w:lang w:eastAsia="en-US"/>
              </w:rPr>
              <w:t xml:space="preserve">of </w:t>
            </w:r>
            <w:r w:rsidRPr="00995C95">
              <w:rPr>
                <w:szCs w:val="20"/>
                <w:lang w:eastAsia="en-US"/>
              </w:rPr>
              <w:t xml:space="preserve">the price level, as measured by the GDP deflator, was 3.4% in 2025. The price level was higher for consumption (3.2%, </w:t>
            </w:r>
            <w:r w:rsidR="00D276BF" w:rsidRPr="00995C95">
              <w:rPr>
                <w:szCs w:val="20"/>
                <w:lang w:eastAsia="en-US"/>
              </w:rPr>
              <w:t xml:space="preserve">in that </w:t>
            </w:r>
            <w:r w:rsidRPr="00995C95">
              <w:rPr>
                <w:szCs w:val="20"/>
                <w:lang w:eastAsia="en-US"/>
              </w:rPr>
              <w:t xml:space="preserve">household consumption prices increased by 2.9%) and expenditure on gross capital formation (3.1%). The terms of trade in </w:t>
            </w:r>
            <w:r w:rsidR="00FF0650" w:rsidRPr="00995C95">
              <w:rPr>
                <w:szCs w:val="20"/>
                <w:lang w:eastAsia="en-US"/>
              </w:rPr>
              <w:t xml:space="preserve">international </w:t>
            </w:r>
            <w:r w:rsidRPr="00995C95">
              <w:rPr>
                <w:szCs w:val="20"/>
                <w:lang w:eastAsia="en-US"/>
              </w:rPr>
              <w:t xml:space="preserve">trade </w:t>
            </w:r>
            <w:r w:rsidR="00FF0650" w:rsidRPr="00995C95">
              <w:rPr>
                <w:szCs w:val="20"/>
                <w:lang w:eastAsia="en-US"/>
              </w:rPr>
              <w:t xml:space="preserve">with </w:t>
            </w:r>
            <w:r w:rsidRPr="00995C95">
              <w:rPr>
                <w:szCs w:val="20"/>
                <w:lang w:eastAsia="en-US"/>
              </w:rPr>
              <w:t xml:space="preserve">goods and services were positive (100.7%). The </w:t>
            </w:r>
            <w:r w:rsidR="00FF0650" w:rsidRPr="00995C95">
              <w:rPr>
                <w:szCs w:val="20"/>
                <w:lang w:eastAsia="en-US"/>
              </w:rPr>
              <w:t xml:space="preserve">total </w:t>
            </w:r>
            <w:r w:rsidRPr="00995C95">
              <w:rPr>
                <w:szCs w:val="20"/>
                <w:lang w:eastAsia="en-US"/>
              </w:rPr>
              <w:t xml:space="preserve">year-on-year growth </w:t>
            </w:r>
            <w:r w:rsidR="00FF0650" w:rsidRPr="00995C95">
              <w:rPr>
                <w:szCs w:val="20"/>
                <w:lang w:eastAsia="en-US"/>
              </w:rPr>
              <w:t xml:space="preserve">of </w:t>
            </w:r>
            <w:r w:rsidRPr="00995C95">
              <w:rPr>
                <w:szCs w:val="20"/>
                <w:lang w:eastAsia="en-US"/>
              </w:rPr>
              <w:t>the price level strengthened to 3.9% in Q4 last year. This was mainly influenced by the development of the price level of capital expenditure (5.4%), especially the valuation of inventories. The price level of expenditure on fixed capital formation rose only slightly (2.1%). Consumer prices were 3.2% higher</w:t>
            </w:r>
            <w:r w:rsidR="000A01AA" w:rsidRPr="00995C95">
              <w:rPr>
                <w:szCs w:val="20"/>
                <w:lang w:eastAsia="en-US"/>
              </w:rPr>
              <w:t>,</w:t>
            </w:r>
            <w:r w:rsidRPr="00995C95">
              <w:rPr>
                <w:szCs w:val="20"/>
                <w:lang w:eastAsia="en-US"/>
              </w:rPr>
              <w:t xml:space="preserve"> year-on-year, </w:t>
            </w:r>
            <w:r w:rsidR="00A91AAB" w:rsidRPr="00995C95">
              <w:rPr>
                <w:szCs w:val="20"/>
                <w:lang w:eastAsia="en-US"/>
              </w:rPr>
              <w:t xml:space="preserve">of which </w:t>
            </w:r>
            <w:r w:rsidR="000A01AA" w:rsidRPr="00995C95">
              <w:rPr>
                <w:szCs w:val="20"/>
                <w:lang w:eastAsia="en-US"/>
              </w:rPr>
              <w:t>prices</w:t>
            </w:r>
            <w:r w:rsidRPr="00995C95">
              <w:rPr>
                <w:szCs w:val="20"/>
                <w:lang w:eastAsia="en-US"/>
              </w:rPr>
              <w:t xml:space="preserve"> for households increased by 2.5%. </w:t>
            </w:r>
            <w:r w:rsidR="0068672C" w:rsidRPr="00995C95">
              <w:rPr>
                <w:szCs w:val="20"/>
                <w:lang w:eastAsia="en-US"/>
              </w:rPr>
              <w:t xml:space="preserve">Year-on-year </w:t>
            </w:r>
            <w:r w:rsidRPr="00995C95">
              <w:rPr>
                <w:szCs w:val="20"/>
                <w:lang w:eastAsia="en-US"/>
              </w:rPr>
              <w:t xml:space="preserve">terms of </w:t>
            </w:r>
            <w:r w:rsidR="00A06374" w:rsidRPr="00995C95">
              <w:rPr>
                <w:szCs w:val="20"/>
                <w:lang w:eastAsia="en-US"/>
              </w:rPr>
              <w:t xml:space="preserve">international </w:t>
            </w:r>
            <w:r w:rsidRPr="00995C95">
              <w:rPr>
                <w:szCs w:val="20"/>
                <w:lang w:eastAsia="en-US"/>
              </w:rPr>
              <w:t xml:space="preserve">trade reached 100.9%. Quarter-on-quarter, the total price level increased by 1.0% in Q4. The increase strengthened, and this was due not only to stronger growth </w:t>
            </w:r>
            <w:r w:rsidR="00B06251" w:rsidRPr="00995C95">
              <w:rPr>
                <w:szCs w:val="20"/>
                <w:lang w:eastAsia="en-US"/>
              </w:rPr>
              <w:t>of</w:t>
            </w:r>
            <w:r w:rsidRPr="00995C95">
              <w:rPr>
                <w:szCs w:val="20"/>
                <w:lang w:eastAsia="en-US"/>
              </w:rPr>
              <w:t xml:space="preserve"> consumption prices (0.8%), but also to positive quarter-on-quarter terms of </w:t>
            </w:r>
            <w:r w:rsidR="00B06251" w:rsidRPr="00995C95">
              <w:rPr>
                <w:szCs w:val="20"/>
                <w:lang w:eastAsia="en-US"/>
              </w:rPr>
              <w:t>international t</w:t>
            </w:r>
            <w:r w:rsidRPr="00995C95">
              <w:rPr>
                <w:szCs w:val="20"/>
                <w:lang w:eastAsia="en-US"/>
              </w:rPr>
              <w:t xml:space="preserve">rade (100.5%). Quarter-on-quarter growth </w:t>
            </w:r>
            <w:r w:rsidR="00B06251" w:rsidRPr="00995C95">
              <w:rPr>
                <w:szCs w:val="20"/>
                <w:lang w:eastAsia="en-US"/>
              </w:rPr>
              <w:t xml:space="preserve">of </w:t>
            </w:r>
            <w:r w:rsidRPr="00995C95">
              <w:rPr>
                <w:szCs w:val="20"/>
                <w:lang w:eastAsia="en-US"/>
              </w:rPr>
              <w:t>gross capital expenditure prices weakened to 0.5%.</w:t>
            </w:r>
            <w:r w:rsidR="000A01AA" w:rsidRPr="00995C95">
              <w:rPr>
                <w:szCs w:val="20"/>
                <w:lang w:eastAsia="en-US"/>
              </w:rPr>
              <w:t xml:space="preserve"> </w:t>
            </w:r>
          </w:p>
        </w:tc>
      </w:tr>
      <w:tr w:rsidR="007F0076" w:rsidRPr="00995C95" w14:paraId="43BE307A" w14:textId="77777777" w:rsidTr="00E87182">
        <w:trPr>
          <w:trHeight w:val="145"/>
        </w:trPr>
        <w:tc>
          <w:tcPr>
            <w:tcW w:w="1791" w:type="dxa"/>
          </w:tcPr>
          <w:p w14:paraId="49371E32" w14:textId="716F1942" w:rsidR="007F0076" w:rsidRPr="00995C95" w:rsidRDefault="00C1648C" w:rsidP="00C1648C">
            <w:pPr>
              <w:pStyle w:val="Marginlie"/>
              <w:rPr>
                <w:spacing w:val="0"/>
                <w:lang w:eastAsia="en-US"/>
              </w:rPr>
            </w:pPr>
            <w:r w:rsidRPr="00995C95">
              <w:rPr>
                <w:spacing w:val="0"/>
                <w:lang w:eastAsia="en-US"/>
              </w:rPr>
              <w:t xml:space="preserve">Year-on-year growth </w:t>
            </w:r>
            <w:r w:rsidR="00923FAC" w:rsidRPr="00995C95">
              <w:rPr>
                <w:spacing w:val="0"/>
                <w:lang w:eastAsia="en-US"/>
              </w:rPr>
              <w:t xml:space="preserve">of </w:t>
            </w:r>
            <w:r w:rsidRPr="00995C95">
              <w:rPr>
                <w:spacing w:val="0"/>
                <w:lang w:eastAsia="en-US"/>
              </w:rPr>
              <w:t>consumer prices did not differ much from 2024.</w:t>
            </w:r>
          </w:p>
        </w:tc>
        <w:tc>
          <w:tcPr>
            <w:tcW w:w="223" w:type="dxa"/>
          </w:tcPr>
          <w:p w14:paraId="628E4917" w14:textId="77777777" w:rsidR="007F0076" w:rsidRPr="00995C95" w:rsidRDefault="007F0076" w:rsidP="00E87182">
            <w:pPr>
              <w:pStyle w:val="Textpoznpodarou1"/>
              <w:jc w:val="both"/>
              <w:rPr>
                <w:lang w:eastAsia="en-US"/>
              </w:rPr>
            </w:pPr>
          </w:p>
        </w:tc>
        <w:tc>
          <w:tcPr>
            <w:tcW w:w="7625" w:type="dxa"/>
          </w:tcPr>
          <w:p w14:paraId="0796EAE6" w14:textId="51A668CA" w:rsidR="007F0076" w:rsidRPr="00995C95" w:rsidRDefault="00923FAC" w:rsidP="0088317A">
            <w:pPr>
              <w:rPr>
                <w:lang w:eastAsia="en-US"/>
              </w:rPr>
            </w:pPr>
            <w:r w:rsidRPr="00995C95">
              <w:rPr>
                <w:lang w:eastAsia="en-US"/>
              </w:rPr>
              <w:t xml:space="preserve">In total, </w:t>
            </w:r>
            <w:r w:rsidR="0088317A" w:rsidRPr="00995C95">
              <w:rPr>
                <w:lang w:eastAsia="en-US"/>
              </w:rPr>
              <w:t xml:space="preserve">consumer prices increased by 2.5% in 2025. The increase </w:t>
            </w:r>
            <w:r w:rsidR="007F6DCB" w:rsidRPr="00995C95">
              <w:rPr>
                <w:lang w:eastAsia="en-US"/>
              </w:rPr>
              <w:t xml:space="preserve">went up </w:t>
            </w:r>
            <w:r w:rsidR="0088317A" w:rsidRPr="00995C95">
              <w:rPr>
                <w:lang w:eastAsia="en-US"/>
              </w:rPr>
              <w:t xml:space="preserve">only slightly compared to the previous year (2.4%). </w:t>
            </w:r>
            <w:r w:rsidR="007F6DCB" w:rsidRPr="00995C95">
              <w:rPr>
                <w:lang w:eastAsia="en-US"/>
              </w:rPr>
              <w:t>T</w:t>
            </w:r>
            <w:r w:rsidR="0088317A" w:rsidRPr="00995C95">
              <w:rPr>
                <w:lang w:eastAsia="en-US"/>
              </w:rPr>
              <w:t xml:space="preserve">he prices of food and non-alcoholic beverages contributed the most to the </w:t>
            </w:r>
            <w:r w:rsidR="007F6DCB" w:rsidRPr="00995C95">
              <w:rPr>
                <w:lang w:eastAsia="en-US"/>
              </w:rPr>
              <w:t xml:space="preserve">total </w:t>
            </w:r>
            <w:r w:rsidR="0088317A" w:rsidRPr="00995C95">
              <w:rPr>
                <w:lang w:eastAsia="en-US"/>
              </w:rPr>
              <w:t xml:space="preserve">increase </w:t>
            </w:r>
            <w:r w:rsidR="007F6DCB" w:rsidRPr="00995C95">
              <w:rPr>
                <w:lang w:eastAsia="en-US"/>
              </w:rPr>
              <w:t xml:space="preserve">of </w:t>
            </w:r>
            <w:r w:rsidR="0088317A" w:rsidRPr="00995C95">
              <w:rPr>
                <w:lang w:eastAsia="en-US"/>
              </w:rPr>
              <w:t>consumer prices</w:t>
            </w:r>
            <w:r w:rsidR="007F6DCB" w:rsidRPr="00995C95">
              <w:rPr>
                <w:lang w:eastAsia="en-US"/>
              </w:rPr>
              <w:t xml:space="preserve"> last year</w:t>
            </w:r>
            <w:r w:rsidR="0088317A" w:rsidRPr="00995C95">
              <w:rPr>
                <w:lang w:eastAsia="en-US"/>
              </w:rPr>
              <w:t xml:space="preserve">, followed by the </w:t>
            </w:r>
            <w:r w:rsidR="001400C5" w:rsidRPr="00995C95">
              <w:rPr>
                <w:lang w:eastAsia="en-US"/>
              </w:rPr>
              <w:t xml:space="preserve">division </w:t>
            </w:r>
            <w:r w:rsidR="0088317A" w:rsidRPr="00995C95">
              <w:rPr>
                <w:lang w:eastAsia="en-US"/>
              </w:rPr>
              <w:t xml:space="preserve">housing, water, energy and fuels. Above average dynamics and a significant impact on consumer price developments continued to be maintained last year by two divisions comprising services – food </w:t>
            </w:r>
            <w:r w:rsidR="001400C5" w:rsidRPr="00995C95">
              <w:rPr>
                <w:lang w:eastAsia="en-US"/>
              </w:rPr>
              <w:t xml:space="preserve">service </w:t>
            </w:r>
            <w:r w:rsidR="0088317A" w:rsidRPr="00995C95">
              <w:rPr>
                <w:lang w:eastAsia="en-US"/>
              </w:rPr>
              <w:t xml:space="preserve">and accommodation and recreation and culture. </w:t>
            </w:r>
            <w:r w:rsidR="00885509" w:rsidRPr="00995C95">
              <w:rPr>
                <w:lang w:eastAsia="en-US"/>
              </w:rPr>
              <w:t>O</w:t>
            </w:r>
            <w:r w:rsidR="0088317A" w:rsidRPr="00995C95">
              <w:rPr>
                <w:lang w:eastAsia="en-US"/>
              </w:rPr>
              <w:t xml:space="preserve">nly developments </w:t>
            </w:r>
            <w:r w:rsidR="00885509" w:rsidRPr="00995C95">
              <w:rPr>
                <w:lang w:eastAsia="en-US"/>
              </w:rPr>
              <w:t xml:space="preserve">of </w:t>
            </w:r>
            <w:r w:rsidR="0088317A" w:rsidRPr="00995C95">
              <w:rPr>
                <w:lang w:eastAsia="en-US"/>
              </w:rPr>
              <w:t>clothing and footwear and transport</w:t>
            </w:r>
            <w:r w:rsidR="00885509" w:rsidRPr="00995C95">
              <w:rPr>
                <w:lang w:eastAsia="en-US"/>
              </w:rPr>
              <w:t>ation</w:t>
            </w:r>
            <w:r w:rsidR="0088317A" w:rsidRPr="00995C95">
              <w:rPr>
                <w:lang w:eastAsia="en-US"/>
              </w:rPr>
              <w:t xml:space="preserve"> were in the direction of the consumer price</w:t>
            </w:r>
            <w:r w:rsidR="00885509" w:rsidRPr="00995C95">
              <w:rPr>
                <w:lang w:eastAsia="en-US"/>
              </w:rPr>
              <w:t xml:space="preserve"> drops last year</w:t>
            </w:r>
            <w:r w:rsidR="0088317A" w:rsidRPr="00995C95">
              <w:rPr>
                <w:lang w:eastAsia="en-US"/>
              </w:rPr>
              <w:t>.</w:t>
            </w:r>
            <w:r w:rsidR="00A6051A" w:rsidRPr="00995C95">
              <w:rPr>
                <w:lang w:eastAsia="en-US"/>
              </w:rPr>
              <w:t xml:space="preserve"> </w:t>
            </w:r>
          </w:p>
        </w:tc>
      </w:tr>
      <w:tr w:rsidR="007F0076" w:rsidRPr="00995C95" w14:paraId="089EDD27" w14:textId="77777777" w:rsidTr="00E87182">
        <w:trPr>
          <w:trHeight w:val="145"/>
        </w:trPr>
        <w:tc>
          <w:tcPr>
            <w:tcW w:w="1791" w:type="dxa"/>
          </w:tcPr>
          <w:p w14:paraId="725697A0" w14:textId="77777777" w:rsidR="007F0076" w:rsidRPr="00995C95" w:rsidRDefault="007F0076" w:rsidP="00E87182">
            <w:pPr>
              <w:pStyle w:val="Marginlie"/>
              <w:rPr>
                <w:spacing w:val="0"/>
                <w:lang w:eastAsia="en-US"/>
              </w:rPr>
            </w:pPr>
          </w:p>
        </w:tc>
        <w:tc>
          <w:tcPr>
            <w:tcW w:w="223" w:type="dxa"/>
          </w:tcPr>
          <w:p w14:paraId="7F03D71F" w14:textId="77777777" w:rsidR="007F0076" w:rsidRPr="00995C95" w:rsidRDefault="007F0076" w:rsidP="00E87182">
            <w:pPr>
              <w:pStyle w:val="Textpoznpodarou1"/>
              <w:jc w:val="both"/>
              <w:rPr>
                <w:lang w:eastAsia="en-US"/>
              </w:rPr>
            </w:pPr>
          </w:p>
        </w:tc>
        <w:tc>
          <w:tcPr>
            <w:tcW w:w="7625" w:type="dxa"/>
            <w:hideMark/>
          </w:tcPr>
          <w:p w14:paraId="5160C628" w14:textId="139951F1" w:rsidR="007F0076" w:rsidRPr="00995C95" w:rsidRDefault="0071517E" w:rsidP="00E87182">
            <w:pPr>
              <w:spacing w:after="0"/>
              <w:rPr>
                <w:lang w:eastAsia="en-US"/>
              </w:rPr>
            </w:pPr>
            <w:r w:rsidRPr="00995C95">
              <w:rPr>
                <w:rFonts w:cs="Arial"/>
                <w:b/>
                <w:bCs/>
                <w:color w:val="000000"/>
                <w:sz w:val="18"/>
                <w:szCs w:val="18"/>
                <w:lang w:eastAsia="en-US"/>
              </w:rPr>
              <w:t xml:space="preserve">Chart </w:t>
            </w:r>
            <w:r w:rsidR="007F0076" w:rsidRPr="00995C95">
              <w:rPr>
                <w:rFonts w:cs="Arial"/>
                <w:b/>
                <w:bCs/>
                <w:color w:val="000000"/>
                <w:sz w:val="18"/>
                <w:szCs w:val="18"/>
                <w:lang w:eastAsia="en-US"/>
              </w:rPr>
              <w:t>1</w:t>
            </w:r>
            <w:r w:rsidR="00281666" w:rsidRPr="00995C95">
              <w:rPr>
                <w:rFonts w:cs="Arial"/>
                <w:b/>
                <w:bCs/>
                <w:color w:val="000000"/>
                <w:sz w:val="18"/>
                <w:szCs w:val="18"/>
                <w:lang w:eastAsia="en-US"/>
              </w:rPr>
              <w:t>1</w:t>
            </w:r>
            <w:r w:rsidR="007F0076" w:rsidRPr="00995C95">
              <w:rPr>
                <w:rFonts w:cs="Arial"/>
                <w:b/>
                <w:bCs/>
                <w:color w:val="000000"/>
                <w:sz w:val="18"/>
                <w:szCs w:val="18"/>
                <w:lang w:eastAsia="en-US"/>
              </w:rPr>
              <w:t xml:space="preserve"> </w:t>
            </w:r>
            <w:r w:rsidR="007C7252" w:rsidRPr="00995C95">
              <w:rPr>
                <w:rFonts w:cs="Arial"/>
                <w:b/>
                <w:bCs/>
                <w:color w:val="000000"/>
                <w:sz w:val="18"/>
                <w:szCs w:val="18"/>
              </w:rPr>
              <w:t xml:space="preserve">Prices in the selected divisions of the consumer price index </w:t>
            </w:r>
            <w:r w:rsidR="007C7252" w:rsidRPr="00995C95">
              <w:rPr>
                <w:rFonts w:cs="Arial"/>
                <w:color w:val="000000"/>
                <w:sz w:val="18"/>
                <w:szCs w:val="18"/>
              </w:rPr>
              <w:t>(year-on-year in %)</w:t>
            </w:r>
          </w:p>
        </w:tc>
      </w:tr>
      <w:tr w:rsidR="007F0076" w:rsidRPr="00995C95" w14:paraId="4E243B6E" w14:textId="77777777" w:rsidTr="0071371F">
        <w:tblPrEx>
          <w:tblCellMar>
            <w:left w:w="70" w:type="dxa"/>
            <w:right w:w="70" w:type="dxa"/>
          </w:tblCellMar>
        </w:tblPrEx>
        <w:trPr>
          <w:trHeight w:val="145"/>
        </w:trPr>
        <w:tc>
          <w:tcPr>
            <w:tcW w:w="1791" w:type="dxa"/>
          </w:tcPr>
          <w:p w14:paraId="5196D4DE" w14:textId="77777777" w:rsidR="007F0076" w:rsidRPr="00995C95" w:rsidRDefault="007F0076" w:rsidP="00E87182">
            <w:pPr>
              <w:pStyle w:val="Marginlie"/>
              <w:rPr>
                <w:spacing w:val="0"/>
                <w:lang w:eastAsia="en-US"/>
              </w:rPr>
            </w:pPr>
          </w:p>
        </w:tc>
        <w:tc>
          <w:tcPr>
            <w:tcW w:w="223" w:type="dxa"/>
          </w:tcPr>
          <w:p w14:paraId="22712F3A" w14:textId="77777777" w:rsidR="007F0076" w:rsidRPr="00995C95" w:rsidRDefault="007F0076" w:rsidP="00E87182">
            <w:pPr>
              <w:pStyle w:val="Textpoznpodarou1"/>
              <w:jc w:val="both"/>
              <w:rPr>
                <w:lang w:eastAsia="en-US"/>
              </w:rPr>
            </w:pPr>
          </w:p>
        </w:tc>
        <w:tc>
          <w:tcPr>
            <w:tcW w:w="7625" w:type="dxa"/>
            <w:hideMark/>
          </w:tcPr>
          <w:p w14:paraId="6B2D9118" w14:textId="47B8B256" w:rsidR="007F0076" w:rsidRPr="00995C95" w:rsidRDefault="0071371F" w:rsidP="00E87182">
            <w:pPr>
              <w:spacing w:after="0"/>
              <w:jc w:val="center"/>
              <w:rPr>
                <w:lang w:eastAsia="en-US"/>
              </w:rPr>
            </w:pPr>
            <w:r>
              <w:rPr>
                <w:noProof/>
              </w:rPr>
              <w:drawing>
                <wp:inline distT="0" distB="0" distL="0" distR="0" wp14:anchorId="139E722C" wp14:editId="408ECF29">
                  <wp:extent cx="4737600" cy="3556375"/>
                  <wp:effectExtent l="0" t="0" r="6350" b="6350"/>
                  <wp:docPr id="1826650510" name="Graf 1">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7F0076" w:rsidRPr="00995C95" w14:paraId="3AE9E0FD" w14:textId="77777777" w:rsidTr="00E87182">
        <w:trPr>
          <w:trHeight w:val="145"/>
        </w:trPr>
        <w:tc>
          <w:tcPr>
            <w:tcW w:w="1791" w:type="dxa"/>
          </w:tcPr>
          <w:p w14:paraId="5F08D296" w14:textId="77777777" w:rsidR="007F0076" w:rsidRPr="00995C95" w:rsidRDefault="007F0076" w:rsidP="00E87182">
            <w:pPr>
              <w:pStyle w:val="Marginlie"/>
              <w:rPr>
                <w:spacing w:val="0"/>
                <w:lang w:eastAsia="en-US"/>
              </w:rPr>
            </w:pPr>
          </w:p>
        </w:tc>
        <w:tc>
          <w:tcPr>
            <w:tcW w:w="223" w:type="dxa"/>
          </w:tcPr>
          <w:p w14:paraId="7083A659" w14:textId="77777777" w:rsidR="007F0076" w:rsidRPr="00995C95" w:rsidRDefault="007F0076" w:rsidP="00E87182">
            <w:pPr>
              <w:pStyle w:val="Textpoznpodarou1"/>
              <w:jc w:val="both"/>
              <w:rPr>
                <w:lang w:eastAsia="en-US"/>
              </w:rPr>
            </w:pPr>
          </w:p>
        </w:tc>
        <w:tc>
          <w:tcPr>
            <w:tcW w:w="7625" w:type="dxa"/>
            <w:hideMark/>
          </w:tcPr>
          <w:p w14:paraId="059186B7" w14:textId="4AF66B22" w:rsidR="00586C79" w:rsidRPr="00995C95" w:rsidRDefault="00995C95" w:rsidP="0071371F">
            <w:pPr>
              <w:jc w:val="left"/>
              <w:rPr>
                <w:sz w:val="16"/>
                <w:szCs w:val="16"/>
                <w:lang w:eastAsia="en-US"/>
              </w:rPr>
            </w:pPr>
            <w:r w:rsidRPr="00995C95">
              <w:rPr>
                <w:sz w:val="16"/>
                <w:szCs w:val="16"/>
                <w:lang w:eastAsia="en-US"/>
              </w:rPr>
              <w:t>Source</w:t>
            </w:r>
            <w:r w:rsidR="007F0076" w:rsidRPr="00995C95">
              <w:rPr>
                <w:sz w:val="16"/>
                <w:szCs w:val="16"/>
                <w:lang w:eastAsia="en-US"/>
              </w:rPr>
              <w:t xml:space="preserve">: </w:t>
            </w:r>
            <w:r w:rsidR="00586C79" w:rsidRPr="00995C95">
              <w:rPr>
                <w:sz w:val="16"/>
                <w:szCs w:val="16"/>
                <w:lang w:eastAsia="en-US"/>
              </w:rPr>
              <w:t>CZSO</w:t>
            </w:r>
          </w:p>
        </w:tc>
      </w:tr>
      <w:tr w:rsidR="007F0076" w:rsidRPr="00995C95" w14:paraId="0FC8B672" w14:textId="77777777" w:rsidTr="00E87182">
        <w:trPr>
          <w:trHeight w:val="145"/>
        </w:trPr>
        <w:tc>
          <w:tcPr>
            <w:tcW w:w="1791" w:type="dxa"/>
          </w:tcPr>
          <w:p w14:paraId="396920D4" w14:textId="6520CEEE" w:rsidR="007F0076" w:rsidRPr="00995C95" w:rsidRDefault="005C45E1" w:rsidP="005C45E1">
            <w:pPr>
              <w:pStyle w:val="Marginlie"/>
              <w:rPr>
                <w:spacing w:val="0"/>
                <w:lang w:eastAsia="en-US"/>
              </w:rPr>
            </w:pPr>
            <w:r w:rsidRPr="00995C95">
              <w:rPr>
                <w:spacing w:val="0"/>
                <w:lang w:eastAsia="en-US"/>
              </w:rPr>
              <w:t>Year-on-year growth</w:t>
            </w:r>
            <w:r w:rsidR="005A2052" w:rsidRPr="00995C95">
              <w:rPr>
                <w:spacing w:val="0"/>
                <w:lang w:eastAsia="en-US"/>
              </w:rPr>
              <w:t xml:space="preserve"> of</w:t>
            </w:r>
            <w:r w:rsidRPr="00995C95">
              <w:rPr>
                <w:spacing w:val="0"/>
                <w:lang w:eastAsia="en-US"/>
              </w:rPr>
              <w:t xml:space="preserve"> consumer prices slowed down at the end of the year.</w:t>
            </w:r>
          </w:p>
        </w:tc>
        <w:tc>
          <w:tcPr>
            <w:tcW w:w="223" w:type="dxa"/>
          </w:tcPr>
          <w:p w14:paraId="111D3378" w14:textId="77777777" w:rsidR="007F0076" w:rsidRPr="00995C95" w:rsidRDefault="007F0076" w:rsidP="00E87182">
            <w:pPr>
              <w:pStyle w:val="Textpoznpodarou1"/>
              <w:jc w:val="both"/>
              <w:rPr>
                <w:lang w:eastAsia="en-US"/>
              </w:rPr>
            </w:pPr>
          </w:p>
        </w:tc>
        <w:tc>
          <w:tcPr>
            <w:tcW w:w="7625" w:type="dxa"/>
          </w:tcPr>
          <w:p w14:paraId="284C3CE4" w14:textId="72EEE553" w:rsidR="007F0076" w:rsidRPr="00995C95" w:rsidRDefault="00FF61F3" w:rsidP="00FF61F3">
            <w:pPr>
              <w:rPr>
                <w:lang w:eastAsia="en-US"/>
              </w:rPr>
            </w:pPr>
            <w:r w:rsidRPr="00995C95">
              <w:rPr>
                <w:lang w:eastAsia="en-US"/>
              </w:rPr>
              <w:t xml:space="preserve">The year-on-year dynamics of the consumer price index weakened towards the end of 2025, and prices were thus higher by 2.2% in Q4. The slowdown was mainly due to a </w:t>
            </w:r>
            <w:r w:rsidR="00C718F3" w:rsidRPr="00995C95">
              <w:rPr>
                <w:lang w:eastAsia="en-US"/>
              </w:rPr>
              <w:t>drop of f</w:t>
            </w:r>
            <w:r w:rsidRPr="00995C95">
              <w:rPr>
                <w:lang w:eastAsia="en-US"/>
              </w:rPr>
              <w:t>ood and non-alcoholic beverage price</w:t>
            </w:r>
            <w:r w:rsidR="00C718F3" w:rsidRPr="00995C95">
              <w:rPr>
                <w:lang w:eastAsia="en-US"/>
              </w:rPr>
              <w:t>s</w:t>
            </w:r>
            <w:r w:rsidRPr="00995C95">
              <w:rPr>
                <w:lang w:eastAsia="en-US"/>
              </w:rPr>
              <w:t xml:space="preserve">. The position of the division with the strongest contribution to the </w:t>
            </w:r>
            <w:r w:rsidR="00D24011" w:rsidRPr="00995C95">
              <w:rPr>
                <w:lang w:eastAsia="en-US"/>
              </w:rPr>
              <w:t xml:space="preserve">total </w:t>
            </w:r>
            <w:r w:rsidRPr="00995C95">
              <w:rPr>
                <w:lang w:eastAsia="en-US"/>
              </w:rPr>
              <w:t xml:space="preserve">year-on-year growth </w:t>
            </w:r>
            <w:r w:rsidR="00D24011" w:rsidRPr="00995C95">
              <w:rPr>
                <w:lang w:eastAsia="en-US"/>
              </w:rPr>
              <w:t xml:space="preserve">of </w:t>
            </w:r>
            <w:r w:rsidRPr="00995C95">
              <w:rPr>
                <w:lang w:eastAsia="en-US"/>
              </w:rPr>
              <w:t xml:space="preserve">consumer prices was thus </w:t>
            </w:r>
            <w:r w:rsidRPr="00995C95">
              <w:rPr>
                <w:lang w:eastAsia="en-US"/>
              </w:rPr>
              <w:lastRenderedPageBreak/>
              <w:t xml:space="preserve">again taken over by housing and energy in </w:t>
            </w:r>
            <w:r w:rsidR="00D24011" w:rsidRPr="00995C95">
              <w:rPr>
                <w:lang w:eastAsia="en-US"/>
              </w:rPr>
              <w:t>Q</w:t>
            </w:r>
            <w:r w:rsidRPr="00995C95">
              <w:rPr>
                <w:lang w:eastAsia="en-US"/>
              </w:rPr>
              <w:t xml:space="preserve">4. Alcoholic beverages and tobacco, recreation and culture, and food and accommodation also contributed significantly to the year-on-year growth </w:t>
            </w:r>
            <w:r w:rsidR="00981177" w:rsidRPr="00995C95">
              <w:rPr>
                <w:lang w:eastAsia="en-US"/>
              </w:rPr>
              <w:t xml:space="preserve">of </w:t>
            </w:r>
            <w:r w:rsidRPr="00995C95">
              <w:rPr>
                <w:lang w:eastAsia="en-US"/>
              </w:rPr>
              <w:t xml:space="preserve">consumer prices in Q4. On a quarter-on-quarter basis, consumer prices decreased by 0.2% in Q4 2025 (the first decline since Q4 2023), mainly due to developments </w:t>
            </w:r>
            <w:r w:rsidR="00A53458" w:rsidRPr="00995C95">
              <w:rPr>
                <w:lang w:eastAsia="en-US"/>
              </w:rPr>
              <w:t xml:space="preserve">of </w:t>
            </w:r>
            <w:r w:rsidRPr="00995C95">
              <w:rPr>
                <w:lang w:eastAsia="en-US"/>
              </w:rPr>
              <w:t xml:space="preserve">food and non-alcoholic beverages, recreation and culture </w:t>
            </w:r>
            <w:r w:rsidR="00A53458" w:rsidRPr="00995C95">
              <w:rPr>
                <w:lang w:eastAsia="en-US"/>
              </w:rPr>
              <w:t xml:space="preserve">and transportation </w:t>
            </w:r>
            <w:r w:rsidRPr="00995C95">
              <w:rPr>
                <w:lang w:eastAsia="en-US"/>
              </w:rPr>
              <w:t>prices</w:t>
            </w:r>
            <w:r w:rsidR="00A53458" w:rsidRPr="00995C95">
              <w:rPr>
                <w:lang w:eastAsia="en-US"/>
              </w:rPr>
              <w:t xml:space="preserve">. </w:t>
            </w:r>
            <w:r w:rsidR="007F0076" w:rsidRPr="00995C95">
              <w:rPr>
                <w:lang w:eastAsia="en-US"/>
              </w:rPr>
              <w:t xml:space="preserve">      </w:t>
            </w:r>
          </w:p>
        </w:tc>
      </w:tr>
      <w:tr w:rsidR="007F0076" w:rsidRPr="00995C95" w14:paraId="32350428" w14:textId="77777777" w:rsidTr="00E87182">
        <w:trPr>
          <w:trHeight w:val="145"/>
        </w:trPr>
        <w:tc>
          <w:tcPr>
            <w:tcW w:w="1791" w:type="dxa"/>
          </w:tcPr>
          <w:p w14:paraId="220BEF0F" w14:textId="3282A71E" w:rsidR="007F0076" w:rsidRPr="00995C95" w:rsidRDefault="00EE0AE7" w:rsidP="00EE0AE7">
            <w:pPr>
              <w:pStyle w:val="Marginlie"/>
              <w:rPr>
                <w:spacing w:val="0"/>
                <w:lang w:eastAsia="en-US"/>
              </w:rPr>
            </w:pPr>
            <w:r w:rsidRPr="00995C95">
              <w:rPr>
                <w:spacing w:val="0"/>
                <w:lang w:eastAsia="en-US"/>
              </w:rPr>
              <w:lastRenderedPageBreak/>
              <w:t xml:space="preserve">Food prices contributed the most to the increase </w:t>
            </w:r>
            <w:r w:rsidR="00235BFD" w:rsidRPr="00995C95">
              <w:rPr>
                <w:spacing w:val="0"/>
                <w:lang w:eastAsia="en-US"/>
              </w:rPr>
              <w:t>of</w:t>
            </w:r>
            <w:r w:rsidRPr="00995C95">
              <w:rPr>
                <w:spacing w:val="0"/>
                <w:lang w:eastAsia="en-US"/>
              </w:rPr>
              <w:t xml:space="preserve"> the price level.</w:t>
            </w:r>
            <w:r w:rsidR="00235BFD" w:rsidRPr="00995C95">
              <w:rPr>
                <w:spacing w:val="0"/>
                <w:lang w:eastAsia="en-US"/>
              </w:rPr>
              <w:t xml:space="preserve"> </w:t>
            </w:r>
          </w:p>
        </w:tc>
        <w:tc>
          <w:tcPr>
            <w:tcW w:w="223" w:type="dxa"/>
          </w:tcPr>
          <w:p w14:paraId="3EDEDC67" w14:textId="77777777" w:rsidR="007F0076" w:rsidRPr="00995C95" w:rsidRDefault="007F0076" w:rsidP="00E87182">
            <w:pPr>
              <w:pStyle w:val="Textpoznpodarou1"/>
              <w:jc w:val="both"/>
              <w:rPr>
                <w:lang w:eastAsia="en-US"/>
              </w:rPr>
            </w:pPr>
          </w:p>
        </w:tc>
        <w:tc>
          <w:tcPr>
            <w:tcW w:w="7625" w:type="dxa"/>
          </w:tcPr>
          <w:p w14:paraId="06BA3FFA" w14:textId="75DDE028" w:rsidR="007F0076" w:rsidRPr="00995C95" w:rsidRDefault="00A527E8" w:rsidP="00A527E8">
            <w:pPr>
              <w:rPr>
                <w:lang w:eastAsia="en-US"/>
              </w:rPr>
            </w:pPr>
            <w:r w:rsidRPr="00995C95">
              <w:rPr>
                <w:lang w:eastAsia="en-US"/>
              </w:rPr>
              <w:t>Prices of food and non-alcoholic beverages rose significantly</w:t>
            </w:r>
            <w:r w:rsidR="00235BFD" w:rsidRPr="00995C95">
              <w:rPr>
                <w:lang w:eastAsia="en-US"/>
              </w:rPr>
              <w:t>,</w:t>
            </w:r>
            <w:r w:rsidRPr="00995C95">
              <w:rPr>
                <w:lang w:eastAsia="en-US"/>
              </w:rPr>
              <w:t xml:space="preserve"> year-on-year</w:t>
            </w:r>
            <w:r w:rsidR="00235BFD" w:rsidRPr="00995C95">
              <w:rPr>
                <w:lang w:eastAsia="en-US"/>
              </w:rPr>
              <w:t>,</w:t>
            </w:r>
            <w:r w:rsidRPr="00995C95">
              <w:rPr>
                <w:lang w:eastAsia="en-US"/>
              </w:rPr>
              <w:t xml:space="preserve"> for most of last year (over 5% in</w:t>
            </w:r>
            <w:r w:rsidR="00235BFD" w:rsidRPr="00995C95">
              <w:rPr>
                <w:lang w:eastAsia="en-US"/>
              </w:rPr>
              <w:t xml:space="preserve"> H1</w:t>
            </w:r>
            <w:r w:rsidRPr="00995C95">
              <w:rPr>
                <w:lang w:eastAsia="en-US"/>
              </w:rPr>
              <w:t xml:space="preserve">, 4.2% in </w:t>
            </w:r>
            <w:r w:rsidR="004E285C" w:rsidRPr="00995C95">
              <w:rPr>
                <w:lang w:eastAsia="en-US"/>
              </w:rPr>
              <w:t>Q</w:t>
            </w:r>
            <w:r w:rsidRPr="00995C95">
              <w:rPr>
                <w:lang w:eastAsia="en-US"/>
              </w:rPr>
              <w:t xml:space="preserve">3) and increased by </w:t>
            </w:r>
            <w:r w:rsidR="004E285C" w:rsidRPr="00995C95">
              <w:rPr>
                <w:lang w:eastAsia="en-US"/>
              </w:rPr>
              <w:t xml:space="preserve">total </w:t>
            </w:r>
            <w:r w:rsidRPr="00995C95">
              <w:rPr>
                <w:lang w:eastAsia="en-US"/>
              </w:rPr>
              <w:t xml:space="preserve">4.2%. In 2025, the prices of milk, cheese and eggs (8.2%), sugar, confectionery and related products (6.4%) and non-alcoholic beverages (6.2%) increased the most. There was also a significant increase </w:t>
            </w:r>
            <w:r w:rsidR="003B00FF" w:rsidRPr="00995C95">
              <w:rPr>
                <w:lang w:eastAsia="en-US"/>
              </w:rPr>
              <w:t xml:space="preserve">of </w:t>
            </w:r>
            <w:r w:rsidRPr="00995C95">
              <w:rPr>
                <w:lang w:eastAsia="en-US"/>
              </w:rPr>
              <w:t xml:space="preserve">the prices of oils and fats (5.6%), fruit (5.3%) and meat (4.3%). Prices of </w:t>
            </w:r>
            <w:r w:rsidR="00331C10">
              <w:rPr>
                <w:lang w:eastAsia="en-US"/>
              </w:rPr>
              <w:t xml:space="preserve">bread and </w:t>
            </w:r>
            <w:r w:rsidR="00774C0A">
              <w:rPr>
                <w:lang w:eastAsia="en-US"/>
              </w:rPr>
              <w:t>cereals</w:t>
            </w:r>
            <w:r w:rsidRPr="00995C95">
              <w:rPr>
                <w:lang w:eastAsia="en-US"/>
              </w:rPr>
              <w:t xml:space="preserve"> maintained a moderate growth rate throughout the year</w:t>
            </w:r>
            <w:r w:rsidR="00015B45" w:rsidRPr="00995C95">
              <w:rPr>
                <w:lang w:eastAsia="en-US"/>
              </w:rPr>
              <w:t xml:space="preserve"> and </w:t>
            </w:r>
            <w:r w:rsidRPr="00995C95">
              <w:rPr>
                <w:lang w:eastAsia="en-US"/>
              </w:rPr>
              <w:t>increas</w:t>
            </w:r>
            <w:r w:rsidR="00015B45" w:rsidRPr="00995C95">
              <w:rPr>
                <w:lang w:eastAsia="en-US"/>
              </w:rPr>
              <w:t xml:space="preserve">ed </w:t>
            </w:r>
            <w:r w:rsidRPr="00995C95">
              <w:rPr>
                <w:lang w:eastAsia="en-US"/>
              </w:rPr>
              <w:t xml:space="preserve">by </w:t>
            </w:r>
            <w:r w:rsidR="00015B45" w:rsidRPr="00995C95">
              <w:rPr>
                <w:lang w:eastAsia="en-US"/>
              </w:rPr>
              <w:t xml:space="preserve">total </w:t>
            </w:r>
            <w:r w:rsidRPr="00995C95">
              <w:rPr>
                <w:lang w:eastAsia="en-US"/>
              </w:rPr>
              <w:t xml:space="preserve">2.2%. Only vegetable prices fell (−2.2%). The </w:t>
            </w:r>
            <w:r w:rsidR="007F74C4" w:rsidRPr="00995C95">
              <w:rPr>
                <w:lang w:eastAsia="en-US"/>
              </w:rPr>
              <w:t>Q</w:t>
            </w:r>
            <w:r w:rsidRPr="00995C95">
              <w:rPr>
                <w:lang w:eastAsia="en-US"/>
              </w:rPr>
              <w:t>4 itself brought a significant slowdown</w:t>
            </w:r>
            <w:r w:rsidR="005C63DE" w:rsidRPr="00995C95">
              <w:rPr>
                <w:lang w:eastAsia="en-US"/>
              </w:rPr>
              <w:t xml:space="preserve"> of </w:t>
            </w:r>
            <w:r w:rsidRPr="00995C95">
              <w:rPr>
                <w:lang w:eastAsia="en-US"/>
              </w:rPr>
              <w:t xml:space="preserve">year-on-year growth </w:t>
            </w:r>
            <w:r w:rsidR="005C63DE" w:rsidRPr="00995C95">
              <w:rPr>
                <w:lang w:eastAsia="en-US"/>
              </w:rPr>
              <w:t xml:space="preserve">of </w:t>
            </w:r>
            <w:r w:rsidRPr="00995C95">
              <w:rPr>
                <w:lang w:eastAsia="en-US"/>
              </w:rPr>
              <w:t xml:space="preserve">food and non-alcoholic beverages prices to 2.5%, which also corresponded to a quarter-on-quarter decline of 0.7%. The slowdown was mainly due to a year-on-year fall </w:t>
            </w:r>
            <w:r w:rsidR="00773598" w:rsidRPr="00995C95">
              <w:rPr>
                <w:lang w:eastAsia="en-US"/>
              </w:rPr>
              <w:t xml:space="preserve">of </w:t>
            </w:r>
            <w:r w:rsidRPr="00995C95">
              <w:rPr>
                <w:lang w:eastAsia="en-US"/>
              </w:rPr>
              <w:t xml:space="preserve">prices of oils and fats by 10.6% and also a decrease </w:t>
            </w:r>
            <w:r w:rsidR="00C132F3" w:rsidRPr="00995C95">
              <w:rPr>
                <w:lang w:eastAsia="en-US"/>
              </w:rPr>
              <w:t xml:space="preserve">of </w:t>
            </w:r>
            <w:r w:rsidRPr="00995C95">
              <w:rPr>
                <w:lang w:eastAsia="en-US"/>
              </w:rPr>
              <w:t xml:space="preserve">fruit prices by 4.9%. In the rest of the </w:t>
            </w:r>
            <w:r w:rsidR="005B650E" w:rsidRPr="00995C95">
              <w:rPr>
                <w:lang w:eastAsia="en-US"/>
              </w:rPr>
              <w:t>division</w:t>
            </w:r>
            <w:r w:rsidRPr="00995C95">
              <w:rPr>
                <w:lang w:eastAsia="en-US"/>
              </w:rPr>
              <w:t xml:space="preserve">, price dynamics remained broadly stable. Strong year-on-year growth was maintained mainly by the prices of sugar and confectionery </w:t>
            </w:r>
            <w:r w:rsidR="005B650E" w:rsidRPr="00995C95">
              <w:rPr>
                <w:lang w:eastAsia="en-US"/>
              </w:rPr>
              <w:t xml:space="preserve">products </w:t>
            </w:r>
            <w:r w:rsidRPr="00995C95">
              <w:rPr>
                <w:lang w:eastAsia="en-US"/>
              </w:rPr>
              <w:t>(6.0%), milk, cheese and eggs and meat (both 5.3%) and non-alcoholic beverages (5.1%). Prices of alcoholic beverages and tobacco also contributed significantly to consumer price growth last year, although their increase of 4.0% was the lowest since 2019.</w:t>
            </w:r>
            <w:r w:rsidR="00666DCD" w:rsidRPr="00995C95">
              <w:rPr>
                <w:lang w:eastAsia="en-US"/>
              </w:rPr>
              <w:t xml:space="preserve"> A</w:t>
            </w:r>
            <w:r w:rsidRPr="00995C95">
              <w:rPr>
                <w:lang w:eastAsia="en-US"/>
              </w:rPr>
              <w:t>lcohol and tobacco prices increased by 4.1%</w:t>
            </w:r>
            <w:r w:rsidR="00666DCD" w:rsidRPr="00995C95">
              <w:rPr>
                <w:lang w:eastAsia="en-US"/>
              </w:rPr>
              <w:t>,</w:t>
            </w:r>
            <w:r w:rsidRPr="00995C95">
              <w:rPr>
                <w:lang w:eastAsia="en-US"/>
              </w:rPr>
              <w:t xml:space="preserve"> year-on-year</w:t>
            </w:r>
            <w:r w:rsidR="00666DCD" w:rsidRPr="00995C95">
              <w:rPr>
                <w:lang w:eastAsia="en-US"/>
              </w:rPr>
              <w:t>,</w:t>
            </w:r>
            <w:r w:rsidRPr="00995C95">
              <w:rPr>
                <w:lang w:eastAsia="en-US"/>
              </w:rPr>
              <w:t xml:space="preserve"> and by 0.6%</w:t>
            </w:r>
            <w:r w:rsidR="00666DCD" w:rsidRPr="00995C95">
              <w:rPr>
                <w:lang w:eastAsia="en-US"/>
              </w:rPr>
              <w:t>,</w:t>
            </w:r>
            <w:r w:rsidRPr="00995C95">
              <w:rPr>
                <w:lang w:eastAsia="en-US"/>
              </w:rPr>
              <w:t xml:space="preserve"> quarter-on-quarter</w:t>
            </w:r>
            <w:r w:rsidR="00666DCD" w:rsidRPr="00995C95">
              <w:rPr>
                <w:lang w:eastAsia="en-US"/>
              </w:rPr>
              <w:t xml:space="preserve">, </w:t>
            </w:r>
            <w:r w:rsidR="00E96CF8">
              <w:rPr>
                <w:lang w:eastAsia="en-US"/>
              </w:rPr>
              <w:t xml:space="preserve">in </w:t>
            </w:r>
            <w:r w:rsidR="00666DCD" w:rsidRPr="00995C95">
              <w:rPr>
                <w:lang w:eastAsia="en-US"/>
              </w:rPr>
              <w:t xml:space="preserve">Q4 alone. </w:t>
            </w:r>
          </w:p>
        </w:tc>
      </w:tr>
      <w:tr w:rsidR="007F0076" w:rsidRPr="00995C95" w14:paraId="3CD71ABA" w14:textId="77777777" w:rsidTr="00E87182">
        <w:trPr>
          <w:trHeight w:val="145"/>
        </w:trPr>
        <w:tc>
          <w:tcPr>
            <w:tcW w:w="1791" w:type="dxa"/>
          </w:tcPr>
          <w:p w14:paraId="36ED3E0F" w14:textId="463D080D" w:rsidR="007F0076" w:rsidRPr="00995C95" w:rsidRDefault="00B53A26" w:rsidP="00B53A26">
            <w:pPr>
              <w:pStyle w:val="Marginlie"/>
              <w:rPr>
                <w:spacing w:val="0"/>
                <w:lang w:eastAsia="en-US"/>
              </w:rPr>
            </w:pPr>
            <w:r w:rsidRPr="00995C95">
              <w:rPr>
                <w:spacing w:val="0"/>
                <w:lang w:eastAsia="en-US"/>
              </w:rPr>
              <w:t>Housing and energy prices maintained a stable role in consumer prices</w:t>
            </w:r>
            <w:r w:rsidR="00740CF5" w:rsidRPr="00995C95">
              <w:rPr>
                <w:spacing w:val="0"/>
                <w:lang w:eastAsia="en-US"/>
              </w:rPr>
              <w:t xml:space="preserve"> development</w:t>
            </w:r>
            <w:r w:rsidRPr="00995C95">
              <w:rPr>
                <w:spacing w:val="0"/>
                <w:lang w:eastAsia="en-US"/>
              </w:rPr>
              <w:t>.</w:t>
            </w:r>
          </w:p>
        </w:tc>
        <w:tc>
          <w:tcPr>
            <w:tcW w:w="223" w:type="dxa"/>
          </w:tcPr>
          <w:p w14:paraId="4672A2E2" w14:textId="77777777" w:rsidR="007F0076" w:rsidRPr="00995C95" w:rsidRDefault="007F0076" w:rsidP="00E87182">
            <w:pPr>
              <w:pStyle w:val="Textpoznpodarou1"/>
              <w:jc w:val="both"/>
              <w:rPr>
                <w:lang w:eastAsia="en-US"/>
              </w:rPr>
            </w:pPr>
          </w:p>
        </w:tc>
        <w:tc>
          <w:tcPr>
            <w:tcW w:w="7625" w:type="dxa"/>
          </w:tcPr>
          <w:p w14:paraId="36DFA559" w14:textId="1AB01709" w:rsidR="007F0076" w:rsidRPr="00995C95" w:rsidRDefault="007755ED" w:rsidP="007755ED">
            <w:pPr>
              <w:rPr>
                <w:lang w:eastAsia="en-US"/>
              </w:rPr>
            </w:pPr>
            <w:r w:rsidRPr="00995C95">
              <w:rPr>
                <w:lang w:eastAsia="en-US"/>
              </w:rPr>
              <w:t>Housing and energy prices rose by 1.8% last year, which was the lowest increase since 2017. However, given the weight of this consumer basket</w:t>
            </w:r>
            <w:r w:rsidR="00707CCC" w:rsidRPr="00995C95">
              <w:rPr>
                <w:lang w:eastAsia="en-US"/>
              </w:rPr>
              <w:t xml:space="preserve"> division</w:t>
            </w:r>
            <w:r w:rsidRPr="00995C95">
              <w:rPr>
                <w:lang w:eastAsia="en-US"/>
              </w:rPr>
              <w:t xml:space="preserve">, housing and energy still contributed significantly to </w:t>
            </w:r>
            <w:r w:rsidR="007B4498" w:rsidRPr="00995C95">
              <w:rPr>
                <w:lang w:eastAsia="en-US"/>
              </w:rPr>
              <w:t xml:space="preserve">the total </w:t>
            </w:r>
            <w:r w:rsidRPr="00995C95">
              <w:rPr>
                <w:lang w:eastAsia="en-US"/>
              </w:rPr>
              <w:t xml:space="preserve">consumer price growth despite the slowdown. </w:t>
            </w:r>
            <w:r w:rsidR="00FC0CF0" w:rsidRPr="00995C95">
              <w:rPr>
                <w:lang w:eastAsia="en-US"/>
              </w:rPr>
              <w:t>T</w:t>
            </w:r>
            <w:r w:rsidRPr="00995C95">
              <w:rPr>
                <w:lang w:eastAsia="en-US"/>
              </w:rPr>
              <w:t xml:space="preserve">he </w:t>
            </w:r>
            <w:r w:rsidR="0034571B" w:rsidRPr="00995C95">
              <w:rPr>
                <w:lang w:eastAsia="en-US"/>
              </w:rPr>
              <w:t xml:space="preserve">reduction of </w:t>
            </w:r>
            <w:r w:rsidRPr="00995C95">
              <w:rPr>
                <w:lang w:eastAsia="en-US"/>
              </w:rPr>
              <w:t>housing and energy prices was driven solely by the prices of electricity, heat, gas and other fuels, which were lower by 3.4%</w:t>
            </w:r>
            <w:r w:rsidR="0034571B" w:rsidRPr="00995C95">
              <w:rPr>
                <w:lang w:eastAsia="en-US"/>
              </w:rPr>
              <w:t xml:space="preserve"> last year</w:t>
            </w:r>
            <w:r w:rsidRPr="00995C95">
              <w:rPr>
                <w:lang w:eastAsia="en-US"/>
              </w:rPr>
              <w:t xml:space="preserve">. On the </w:t>
            </w:r>
            <w:r w:rsidR="0034571B" w:rsidRPr="00995C95">
              <w:rPr>
                <w:lang w:eastAsia="en-US"/>
              </w:rPr>
              <w:t>contrary</w:t>
            </w:r>
            <w:r w:rsidRPr="00995C95">
              <w:rPr>
                <w:lang w:eastAsia="en-US"/>
              </w:rPr>
              <w:t>, rent</w:t>
            </w:r>
            <w:r w:rsidR="00435656" w:rsidRPr="00995C95">
              <w:rPr>
                <w:lang w:eastAsia="en-US"/>
              </w:rPr>
              <w:t xml:space="preserve">als for housing </w:t>
            </w:r>
            <w:r w:rsidRPr="00995C95">
              <w:rPr>
                <w:lang w:eastAsia="en-US"/>
              </w:rPr>
              <w:t>(6.1%) a</w:t>
            </w:r>
            <w:r w:rsidR="00435656" w:rsidRPr="00995C95">
              <w:rPr>
                <w:lang w:eastAsia="en-US"/>
              </w:rPr>
              <w:t xml:space="preserve">s well as </w:t>
            </w:r>
            <w:r w:rsidRPr="00995C95">
              <w:rPr>
                <w:lang w:eastAsia="en-US"/>
              </w:rPr>
              <w:t>imputed rent</w:t>
            </w:r>
            <w:r w:rsidR="00A22C64">
              <w:rPr>
                <w:lang w:eastAsia="en-US"/>
              </w:rPr>
              <w:t>al</w:t>
            </w:r>
            <w:r w:rsidRPr="00995C95">
              <w:rPr>
                <w:lang w:eastAsia="en-US"/>
              </w:rPr>
              <w:t>s</w:t>
            </w:r>
            <w:r w:rsidR="00292B59" w:rsidRPr="00995C95">
              <w:rPr>
                <w:rStyle w:val="Znakapoznpodarou"/>
                <w:lang w:eastAsia="en-US"/>
              </w:rPr>
              <w:footnoteReference w:id="78"/>
            </w:r>
            <w:r w:rsidRPr="00995C95">
              <w:rPr>
                <w:lang w:eastAsia="en-US"/>
              </w:rPr>
              <w:t xml:space="preserve"> (4.4%) grew significantly, and other housing-related services (3.9%) and routine maintenance and minor repairs</w:t>
            </w:r>
            <w:r w:rsidR="009A1DEB" w:rsidRPr="00995C95">
              <w:rPr>
                <w:lang w:eastAsia="en-US"/>
              </w:rPr>
              <w:t xml:space="preserve"> of dwellings</w:t>
            </w:r>
            <w:r w:rsidRPr="00995C95">
              <w:rPr>
                <w:lang w:eastAsia="en-US"/>
              </w:rPr>
              <w:t xml:space="preserve"> (3.4%) continued to have </w:t>
            </w:r>
            <w:r w:rsidR="00634F8F" w:rsidRPr="00995C95">
              <w:rPr>
                <w:lang w:eastAsia="en-US"/>
              </w:rPr>
              <w:t xml:space="preserve">considerable </w:t>
            </w:r>
            <w:r w:rsidRPr="00995C95">
              <w:rPr>
                <w:lang w:eastAsia="en-US"/>
              </w:rPr>
              <w:t xml:space="preserve">price dynamics. </w:t>
            </w:r>
            <w:r w:rsidR="009A1DEB" w:rsidRPr="00995C95">
              <w:rPr>
                <w:lang w:eastAsia="en-US"/>
              </w:rPr>
              <w:t>H</w:t>
            </w:r>
            <w:r w:rsidRPr="00995C95">
              <w:rPr>
                <w:lang w:eastAsia="en-US"/>
              </w:rPr>
              <w:t>ousing and energy prices increased by 1.9%</w:t>
            </w:r>
            <w:r w:rsidR="009A1DEB" w:rsidRPr="00995C95">
              <w:rPr>
                <w:lang w:eastAsia="en-US"/>
              </w:rPr>
              <w:t>,</w:t>
            </w:r>
            <w:r w:rsidRPr="00995C95">
              <w:rPr>
                <w:lang w:eastAsia="en-US"/>
              </w:rPr>
              <w:t xml:space="preserve"> year-on-year</w:t>
            </w:r>
            <w:r w:rsidR="009A1DEB" w:rsidRPr="00995C95">
              <w:rPr>
                <w:lang w:eastAsia="en-US"/>
              </w:rPr>
              <w:t>, in Q4 alone</w:t>
            </w:r>
            <w:r w:rsidRPr="00995C95">
              <w:rPr>
                <w:lang w:eastAsia="en-US"/>
              </w:rPr>
              <w:t xml:space="preserve"> and by 0.5%</w:t>
            </w:r>
            <w:r w:rsidR="009A1DEB" w:rsidRPr="00995C95">
              <w:rPr>
                <w:lang w:eastAsia="en-US"/>
              </w:rPr>
              <w:t>,</w:t>
            </w:r>
            <w:r w:rsidRPr="00995C95">
              <w:rPr>
                <w:lang w:eastAsia="en-US"/>
              </w:rPr>
              <w:t xml:space="preserve"> quarter-on-quarter. The prices of rent</w:t>
            </w:r>
            <w:r w:rsidR="00756EAB" w:rsidRPr="00995C95">
              <w:rPr>
                <w:lang w:eastAsia="en-US"/>
              </w:rPr>
              <w:t xml:space="preserve">als for housing </w:t>
            </w:r>
            <w:r w:rsidRPr="00995C95">
              <w:rPr>
                <w:lang w:eastAsia="en-US"/>
              </w:rPr>
              <w:t>(6.1%) and imputed rent</w:t>
            </w:r>
            <w:r w:rsidR="009B7C76">
              <w:rPr>
                <w:lang w:eastAsia="en-US"/>
              </w:rPr>
              <w:t>al</w:t>
            </w:r>
            <w:r w:rsidRPr="00995C95">
              <w:rPr>
                <w:lang w:eastAsia="en-US"/>
              </w:rPr>
              <w:t>s (4.8%) increased the most, y</w:t>
            </w:r>
            <w:r w:rsidR="00756EAB" w:rsidRPr="00995C95">
              <w:rPr>
                <w:lang w:eastAsia="en-US"/>
              </w:rPr>
              <w:t>ear</w:t>
            </w:r>
            <w:r w:rsidRPr="00995C95">
              <w:rPr>
                <w:lang w:eastAsia="en-US"/>
              </w:rPr>
              <w:t>-o</w:t>
            </w:r>
            <w:r w:rsidR="00756EAB" w:rsidRPr="00995C95">
              <w:rPr>
                <w:lang w:eastAsia="en-US"/>
              </w:rPr>
              <w:t>n</w:t>
            </w:r>
            <w:r w:rsidRPr="00995C95">
              <w:rPr>
                <w:lang w:eastAsia="en-US"/>
              </w:rPr>
              <w:t>-y</w:t>
            </w:r>
            <w:r w:rsidR="00756EAB" w:rsidRPr="00995C95">
              <w:rPr>
                <w:lang w:eastAsia="en-US"/>
              </w:rPr>
              <w:t>ear</w:t>
            </w:r>
            <w:r w:rsidRPr="00995C95">
              <w:rPr>
                <w:lang w:eastAsia="en-US"/>
              </w:rPr>
              <w:t>. Prices of other housing-related services (3.9%) and routine maintenance and minor repairs (3.4%) maintained a significant pace. Prices of electricity, heat, gas and other fuels were the only ones to fall</w:t>
            </w:r>
            <w:r w:rsidR="00213515" w:rsidRPr="00995C95">
              <w:rPr>
                <w:lang w:eastAsia="en-US"/>
              </w:rPr>
              <w:t>,</w:t>
            </w:r>
            <w:r w:rsidRPr="00995C95">
              <w:rPr>
                <w:lang w:eastAsia="en-US"/>
              </w:rPr>
              <w:t xml:space="preserve"> year-on-year (−3.9%).</w:t>
            </w:r>
            <w:r w:rsidR="007F0076" w:rsidRPr="00995C95">
              <w:rPr>
                <w:lang w:eastAsia="en-US"/>
              </w:rPr>
              <w:t xml:space="preserve"> </w:t>
            </w:r>
          </w:p>
        </w:tc>
      </w:tr>
      <w:tr w:rsidR="007F0076" w:rsidRPr="00995C95" w14:paraId="7BC6BE08" w14:textId="77777777" w:rsidTr="00E87182">
        <w:trPr>
          <w:trHeight w:val="145"/>
        </w:trPr>
        <w:tc>
          <w:tcPr>
            <w:tcW w:w="1791" w:type="dxa"/>
          </w:tcPr>
          <w:p w14:paraId="232931C8" w14:textId="35A72ED5" w:rsidR="007F0076" w:rsidRPr="00995C95" w:rsidRDefault="002B62BB" w:rsidP="002B62BB">
            <w:pPr>
              <w:pStyle w:val="Marginlie"/>
              <w:rPr>
                <w:spacing w:val="0"/>
                <w:lang w:eastAsia="en-US"/>
              </w:rPr>
            </w:pPr>
            <w:r w:rsidRPr="00995C95">
              <w:rPr>
                <w:spacing w:val="0"/>
                <w:lang w:eastAsia="en-US"/>
              </w:rPr>
              <w:t>Prices of services increased significantly last year.</w:t>
            </w:r>
          </w:p>
        </w:tc>
        <w:tc>
          <w:tcPr>
            <w:tcW w:w="223" w:type="dxa"/>
          </w:tcPr>
          <w:p w14:paraId="7E6781D2" w14:textId="77777777" w:rsidR="007F0076" w:rsidRPr="00995C95" w:rsidRDefault="007F0076" w:rsidP="00E87182">
            <w:pPr>
              <w:pStyle w:val="Textpoznpodarou1"/>
              <w:jc w:val="both"/>
              <w:rPr>
                <w:lang w:eastAsia="en-US"/>
              </w:rPr>
            </w:pPr>
          </w:p>
        </w:tc>
        <w:tc>
          <w:tcPr>
            <w:tcW w:w="7625" w:type="dxa"/>
          </w:tcPr>
          <w:p w14:paraId="6636F64B" w14:textId="5CAF15E6" w:rsidR="007F0076" w:rsidRPr="00995C95" w:rsidRDefault="00310A58" w:rsidP="00310A58">
            <w:pPr>
              <w:spacing w:after="0"/>
              <w:rPr>
                <w:lang w:eastAsia="en-US"/>
              </w:rPr>
            </w:pPr>
            <w:r w:rsidRPr="00995C95">
              <w:rPr>
                <w:lang w:eastAsia="en-US"/>
              </w:rPr>
              <w:t xml:space="preserve">A characteristic feature of price growth in 2025 was the </w:t>
            </w:r>
            <w:r w:rsidR="00806CCE" w:rsidRPr="00995C95">
              <w:rPr>
                <w:lang w:eastAsia="en-US"/>
              </w:rPr>
              <w:t xml:space="preserve">ongoing </w:t>
            </w:r>
            <w:r w:rsidRPr="00995C95">
              <w:rPr>
                <w:lang w:eastAsia="en-US"/>
              </w:rPr>
              <w:t xml:space="preserve">strong dynamics of services prices. This was reflected in particular in the development </w:t>
            </w:r>
            <w:r w:rsidR="0089151D" w:rsidRPr="00995C95">
              <w:rPr>
                <w:lang w:eastAsia="en-US"/>
              </w:rPr>
              <w:t xml:space="preserve">of </w:t>
            </w:r>
            <w:r w:rsidRPr="00995C95">
              <w:rPr>
                <w:lang w:eastAsia="en-US"/>
              </w:rPr>
              <w:t xml:space="preserve">the food and accommodation </w:t>
            </w:r>
            <w:r w:rsidR="0089151D" w:rsidRPr="00995C95">
              <w:rPr>
                <w:lang w:eastAsia="en-US"/>
              </w:rPr>
              <w:t>division</w:t>
            </w:r>
            <w:r w:rsidRPr="00995C95">
              <w:rPr>
                <w:lang w:eastAsia="en-US"/>
              </w:rPr>
              <w:t xml:space="preserve">, where prices increased by 4.9% last year. Prices of accommodation services (7.4%) rose more significantly than prices of </w:t>
            </w:r>
            <w:r w:rsidR="00ED049D" w:rsidRPr="00995C95">
              <w:rPr>
                <w:lang w:eastAsia="en-US"/>
              </w:rPr>
              <w:t xml:space="preserve">food service </w:t>
            </w:r>
            <w:r w:rsidRPr="00995C95">
              <w:rPr>
                <w:lang w:eastAsia="en-US"/>
              </w:rPr>
              <w:t>(4.6%). Stable strong year-on-year price dynamics was maintained throughout the year</w:t>
            </w:r>
            <w:r w:rsidR="00764344" w:rsidRPr="00995C95">
              <w:rPr>
                <w:lang w:eastAsia="en-US"/>
              </w:rPr>
              <w:t xml:space="preserve"> in this division</w:t>
            </w:r>
            <w:r w:rsidRPr="00995C95">
              <w:rPr>
                <w:lang w:eastAsia="en-US"/>
              </w:rPr>
              <w:t>, and prices of food and accommodation increased by 4.7%</w:t>
            </w:r>
            <w:r w:rsidR="00764344" w:rsidRPr="00995C95">
              <w:rPr>
                <w:lang w:eastAsia="en-US"/>
              </w:rPr>
              <w:t>,</w:t>
            </w:r>
            <w:r w:rsidRPr="00995C95">
              <w:rPr>
                <w:lang w:eastAsia="en-US"/>
              </w:rPr>
              <w:t xml:space="preserve"> year-on-year</w:t>
            </w:r>
            <w:r w:rsidR="00764344" w:rsidRPr="00995C95">
              <w:rPr>
                <w:lang w:eastAsia="en-US"/>
              </w:rPr>
              <w:t>, in Q4</w:t>
            </w:r>
            <w:r w:rsidRPr="00995C95">
              <w:rPr>
                <w:lang w:eastAsia="en-US"/>
              </w:rPr>
              <w:t xml:space="preserve"> and by 0.9%</w:t>
            </w:r>
            <w:r w:rsidR="00764344" w:rsidRPr="00995C95">
              <w:rPr>
                <w:lang w:eastAsia="en-US"/>
              </w:rPr>
              <w:t>,</w:t>
            </w:r>
            <w:r w:rsidRPr="00995C95">
              <w:rPr>
                <w:lang w:eastAsia="en-US"/>
              </w:rPr>
              <w:t xml:space="preserve"> quarter-on-quarter. Prices of recreation and culture also increased at an above-average pace, rising by 3.7% for the whole of 2025. The increase was mainly driven by prices of recreational and cultural services (5.8%) and </w:t>
            </w:r>
            <w:r w:rsidR="008B4FCF" w:rsidRPr="00995C95">
              <w:rPr>
                <w:lang w:eastAsia="en-US"/>
              </w:rPr>
              <w:t xml:space="preserve">package </w:t>
            </w:r>
            <w:r w:rsidRPr="00995C95">
              <w:rPr>
                <w:lang w:eastAsia="en-US"/>
              </w:rPr>
              <w:t xml:space="preserve">holidays (4.3%). Prices of newspapers, books and stationery also rose strongly (3.9%). </w:t>
            </w:r>
            <w:r w:rsidR="00D133BB" w:rsidRPr="00995C95">
              <w:rPr>
                <w:lang w:eastAsia="en-US"/>
              </w:rPr>
              <w:t xml:space="preserve">The </w:t>
            </w:r>
            <w:r w:rsidRPr="00995C95">
              <w:rPr>
                <w:lang w:eastAsia="en-US"/>
              </w:rPr>
              <w:t xml:space="preserve">year-on-year increase </w:t>
            </w:r>
            <w:r w:rsidR="00D133BB" w:rsidRPr="00995C95">
              <w:rPr>
                <w:lang w:eastAsia="en-US"/>
              </w:rPr>
              <w:t xml:space="preserve">of </w:t>
            </w:r>
            <w:r w:rsidRPr="00995C95">
              <w:rPr>
                <w:lang w:eastAsia="en-US"/>
              </w:rPr>
              <w:t>prices of recreation and culture weakened to 3.8%</w:t>
            </w:r>
            <w:r w:rsidR="00D133BB" w:rsidRPr="00995C95">
              <w:rPr>
                <w:lang w:eastAsia="en-US"/>
              </w:rPr>
              <w:t xml:space="preserve"> in Q4 alone</w:t>
            </w:r>
            <w:r w:rsidRPr="00995C95">
              <w:rPr>
                <w:lang w:eastAsia="en-US"/>
              </w:rPr>
              <w:t xml:space="preserve">, reflecting the usual seasonal quarter-on-quarter decrease </w:t>
            </w:r>
            <w:r w:rsidR="00D133BB" w:rsidRPr="00995C95">
              <w:rPr>
                <w:lang w:eastAsia="en-US"/>
              </w:rPr>
              <w:t>of</w:t>
            </w:r>
            <w:r w:rsidRPr="00995C95">
              <w:rPr>
                <w:lang w:eastAsia="en-US"/>
              </w:rPr>
              <w:t xml:space="preserve"> prices (−3.7%, </w:t>
            </w:r>
            <w:r w:rsidRPr="00995C95">
              <w:rPr>
                <w:lang w:eastAsia="en-US"/>
              </w:rPr>
              <w:lastRenderedPageBreak/>
              <w:t xml:space="preserve">mainly </w:t>
            </w:r>
            <w:r w:rsidR="00D133BB" w:rsidRPr="00995C95">
              <w:rPr>
                <w:lang w:eastAsia="en-US"/>
              </w:rPr>
              <w:t xml:space="preserve">package </w:t>
            </w:r>
            <w:r w:rsidRPr="00995C95">
              <w:rPr>
                <w:lang w:eastAsia="en-US"/>
              </w:rPr>
              <w:t>holidays). Prices of other goods and services increased by 3.2% last year</w:t>
            </w:r>
            <w:r w:rsidR="00EC6FA8" w:rsidRPr="00995C95">
              <w:rPr>
                <w:rStyle w:val="Znakapoznpodarou"/>
                <w:lang w:eastAsia="en-US"/>
              </w:rPr>
              <w:footnoteReference w:id="79"/>
            </w:r>
            <w:r w:rsidRPr="00995C95">
              <w:rPr>
                <w:lang w:eastAsia="en-US"/>
              </w:rPr>
              <w:t xml:space="preserve">. </w:t>
            </w:r>
            <w:r w:rsidR="00EC6FA8" w:rsidRPr="00995C95">
              <w:rPr>
                <w:lang w:eastAsia="en-US"/>
              </w:rPr>
              <w:t>P</w:t>
            </w:r>
            <w:r w:rsidRPr="00995C95">
              <w:rPr>
                <w:lang w:eastAsia="en-US"/>
              </w:rPr>
              <w:t xml:space="preserve">rices </w:t>
            </w:r>
            <w:r w:rsidR="00EC6FA8" w:rsidRPr="00995C95">
              <w:rPr>
                <w:lang w:eastAsia="en-US"/>
              </w:rPr>
              <w:t>of</w:t>
            </w:r>
            <w:r w:rsidRPr="00995C95">
              <w:rPr>
                <w:lang w:eastAsia="en-US"/>
              </w:rPr>
              <w:t xml:space="preserve"> education increased significantly (8.7%)</w:t>
            </w:r>
            <w:r w:rsidR="00EC6FA8" w:rsidRPr="00995C95">
              <w:rPr>
                <w:lang w:eastAsia="en-US"/>
              </w:rPr>
              <w:t xml:space="preserve"> last year</w:t>
            </w:r>
            <w:r w:rsidRPr="00995C95">
              <w:rPr>
                <w:lang w:eastAsia="en-US"/>
              </w:rPr>
              <w:t xml:space="preserve"> – an exceptionally strong quarter-on-quarter increase of 6.9% at the end of 2024 was still visible. The high comparative bas</w:t>
            </w:r>
            <w:r w:rsidR="007653FB" w:rsidRPr="00995C95">
              <w:rPr>
                <w:lang w:eastAsia="en-US"/>
              </w:rPr>
              <w:t xml:space="preserve">is </w:t>
            </w:r>
            <w:r w:rsidRPr="00995C95">
              <w:rPr>
                <w:lang w:eastAsia="en-US"/>
              </w:rPr>
              <w:t xml:space="preserve">was also evident in the weakening of the year-on-year growth rate of education prices to 4.1% in </w:t>
            </w:r>
            <w:r w:rsidR="007653FB" w:rsidRPr="00995C95">
              <w:rPr>
                <w:lang w:eastAsia="en-US"/>
              </w:rPr>
              <w:t>Q4 2025</w:t>
            </w:r>
            <w:r w:rsidRPr="00995C95">
              <w:rPr>
                <w:lang w:eastAsia="en-US"/>
              </w:rPr>
              <w:t xml:space="preserve">. The quarter-on-quarter increase reached 2.3%. </w:t>
            </w:r>
            <w:r w:rsidR="00FB52BA" w:rsidRPr="00995C95">
              <w:rPr>
                <w:lang w:eastAsia="en-US"/>
              </w:rPr>
              <w:t>Prices in the area of h</w:t>
            </w:r>
            <w:r w:rsidRPr="00995C95">
              <w:rPr>
                <w:lang w:eastAsia="en-US"/>
              </w:rPr>
              <w:t>ealth were 3.4% higher last year and increased by 3.1%</w:t>
            </w:r>
            <w:r w:rsidR="00FB52BA" w:rsidRPr="00995C95">
              <w:rPr>
                <w:lang w:eastAsia="en-US"/>
              </w:rPr>
              <w:t>,</w:t>
            </w:r>
            <w:r w:rsidRPr="00995C95">
              <w:rPr>
                <w:lang w:eastAsia="en-US"/>
              </w:rPr>
              <w:t xml:space="preserve"> year-on-year</w:t>
            </w:r>
            <w:r w:rsidR="00FB52BA" w:rsidRPr="00995C95">
              <w:rPr>
                <w:lang w:eastAsia="en-US"/>
              </w:rPr>
              <w:t>,</w:t>
            </w:r>
            <w:r w:rsidRPr="00995C95">
              <w:rPr>
                <w:lang w:eastAsia="en-US"/>
              </w:rPr>
              <w:t xml:space="preserve"> in Q4 alone.</w:t>
            </w:r>
            <w:r w:rsidR="00B90BAE" w:rsidRPr="00995C95">
              <w:rPr>
                <w:lang w:eastAsia="en-US"/>
              </w:rPr>
              <w:t xml:space="preserve"> </w:t>
            </w:r>
          </w:p>
          <w:p w14:paraId="63EC5005" w14:textId="759E90BB" w:rsidR="007E7DD7" w:rsidRPr="00995C95" w:rsidRDefault="007E7DD7" w:rsidP="00310A58">
            <w:pPr>
              <w:spacing w:after="0"/>
              <w:rPr>
                <w:lang w:eastAsia="en-US"/>
              </w:rPr>
            </w:pPr>
          </w:p>
        </w:tc>
      </w:tr>
      <w:tr w:rsidR="007F0076" w:rsidRPr="00995C95" w14:paraId="4C391100" w14:textId="77777777" w:rsidTr="00E87182">
        <w:trPr>
          <w:trHeight w:val="145"/>
        </w:trPr>
        <w:tc>
          <w:tcPr>
            <w:tcW w:w="1791" w:type="dxa"/>
          </w:tcPr>
          <w:p w14:paraId="12754088" w14:textId="2418CA77" w:rsidR="007F0076" w:rsidRPr="00995C95" w:rsidRDefault="007C4955" w:rsidP="007C4955">
            <w:pPr>
              <w:pStyle w:val="Marginlie"/>
              <w:rPr>
                <w:spacing w:val="0"/>
                <w:lang w:eastAsia="en-US"/>
              </w:rPr>
            </w:pPr>
            <w:r w:rsidRPr="00995C95">
              <w:rPr>
                <w:spacing w:val="0"/>
                <w:lang w:eastAsia="en-US"/>
              </w:rPr>
              <w:lastRenderedPageBreak/>
              <w:t>A slight increase was recorded</w:t>
            </w:r>
            <w:r w:rsidR="00361951" w:rsidRPr="00995C95">
              <w:rPr>
                <w:spacing w:val="0"/>
                <w:lang w:eastAsia="en-US"/>
              </w:rPr>
              <w:t xml:space="preserve"> for </w:t>
            </w:r>
            <w:r w:rsidRPr="00995C95">
              <w:rPr>
                <w:spacing w:val="0"/>
                <w:lang w:eastAsia="en-US"/>
              </w:rPr>
              <w:t>the prices of home furnishings</w:t>
            </w:r>
            <w:r w:rsidR="00361951" w:rsidRPr="00995C95">
              <w:rPr>
                <w:spacing w:val="0"/>
                <w:lang w:eastAsia="en-US"/>
              </w:rPr>
              <w:t xml:space="preserve"> last year</w:t>
            </w:r>
            <w:r w:rsidRPr="00995C95">
              <w:rPr>
                <w:spacing w:val="0"/>
                <w:lang w:eastAsia="en-US"/>
              </w:rPr>
              <w:t>.</w:t>
            </w:r>
          </w:p>
        </w:tc>
        <w:tc>
          <w:tcPr>
            <w:tcW w:w="223" w:type="dxa"/>
          </w:tcPr>
          <w:p w14:paraId="37394C31" w14:textId="77777777" w:rsidR="007F0076" w:rsidRPr="00995C95" w:rsidRDefault="007F0076" w:rsidP="00E87182">
            <w:pPr>
              <w:pStyle w:val="Textpoznpodarou1"/>
              <w:jc w:val="both"/>
              <w:rPr>
                <w:lang w:eastAsia="en-US"/>
              </w:rPr>
            </w:pPr>
          </w:p>
        </w:tc>
        <w:tc>
          <w:tcPr>
            <w:tcW w:w="7625" w:type="dxa"/>
          </w:tcPr>
          <w:p w14:paraId="2C2CC2C7" w14:textId="1B22C273" w:rsidR="007F0076" w:rsidRPr="00995C95" w:rsidRDefault="008D5398" w:rsidP="008D5398">
            <w:pPr>
              <w:rPr>
                <w:lang w:eastAsia="en-US"/>
              </w:rPr>
            </w:pPr>
            <w:r w:rsidRPr="00995C95">
              <w:rPr>
                <w:lang w:eastAsia="en-US"/>
              </w:rPr>
              <w:t xml:space="preserve">Within the consumer basket, prices of </w:t>
            </w:r>
            <w:r w:rsidR="0051484B" w:rsidRPr="00995C95">
              <w:rPr>
                <w:lang w:eastAsia="en-US"/>
              </w:rPr>
              <w:t xml:space="preserve">home </w:t>
            </w:r>
            <w:r w:rsidRPr="00995C95">
              <w:rPr>
                <w:lang w:eastAsia="en-US"/>
              </w:rPr>
              <w:t xml:space="preserve">furnishings, household </w:t>
            </w:r>
            <w:r w:rsidR="0051484B" w:rsidRPr="00995C95">
              <w:rPr>
                <w:lang w:eastAsia="en-US"/>
              </w:rPr>
              <w:t xml:space="preserve">equipment </w:t>
            </w:r>
            <w:r w:rsidRPr="00995C95">
              <w:rPr>
                <w:lang w:eastAsia="en-US"/>
              </w:rPr>
              <w:t xml:space="preserve">and repairs rose only slightly last year (1.4%). Household textiles recorded a relatively high price increase (6.8%) and furniture, furnishings and floor coverings also increased in price (2.6%). However, prices in the rest of the division rather stagnated or decreased in the case of goods and services for routine household maintenance (−1.7%). The </w:t>
            </w:r>
            <w:r w:rsidR="00410C52" w:rsidRPr="00995C95">
              <w:rPr>
                <w:lang w:eastAsia="en-US"/>
              </w:rPr>
              <w:t xml:space="preserve">division </w:t>
            </w:r>
            <w:r w:rsidRPr="00995C95">
              <w:rPr>
                <w:lang w:eastAsia="en-US"/>
              </w:rPr>
              <w:t xml:space="preserve">maintained a stable growth rate throughout the </w:t>
            </w:r>
            <w:r w:rsidR="00F6657C" w:rsidRPr="00995C95">
              <w:rPr>
                <w:lang w:eastAsia="en-US"/>
              </w:rPr>
              <w:t>year,</w:t>
            </w:r>
            <w:r w:rsidRPr="00995C95">
              <w:rPr>
                <w:lang w:eastAsia="en-US"/>
              </w:rPr>
              <w:t xml:space="preserve"> and the year-on-year increase </w:t>
            </w:r>
            <w:r w:rsidR="00F6657C" w:rsidRPr="00995C95">
              <w:rPr>
                <w:lang w:eastAsia="en-US"/>
              </w:rPr>
              <w:t xml:space="preserve">of </w:t>
            </w:r>
            <w:r w:rsidRPr="00995C95">
              <w:rPr>
                <w:lang w:eastAsia="en-US"/>
              </w:rPr>
              <w:t>prices of furnishings, equipment and repairs reached 1.3%</w:t>
            </w:r>
            <w:r w:rsidR="00410C52" w:rsidRPr="00995C95">
              <w:rPr>
                <w:lang w:eastAsia="en-US"/>
              </w:rPr>
              <w:t xml:space="preserve"> in Q4 alone</w:t>
            </w:r>
            <w:r w:rsidRPr="00995C95">
              <w:rPr>
                <w:lang w:eastAsia="en-US"/>
              </w:rPr>
              <w:t>. Quarter-on-quarter, prices increased by 0.1%</w:t>
            </w:r>
            <w:r w:rsidR="00A044C1" w:rsidRPr="00995C95">
              <w:rPr>
                <w:lang w:eastAsia="en-US"/>
              </w:rPr>
              <w:t xml:space="preserve"> here</w:t>
            </w:r>
            <w:r w:rsidRPr="00995C95">
              <w:rPr>
                <w:lang w:eastAsia="en-US"/>
              </w:rPr>
              <w:t>. Prices of post offices and telecommunications increased by 0.4% last year, were higher by 0.5%</w:t>
            </w:r>
            <w:r w:rsidR="00A044C1" w:rsidRPr="00995C95">
              <w:rPr>
                <w:lang w:eastAsia="en-US"/>
              </w:rPr>
              <w:t>,</w:t>
            </w:r>
            <w:r w:rsidRPr="00995C95">
              <w:rPr>
                <w:lang w:eastAsia="en-US"/>
              </w:rPr>
              <w:t xml:space="preserve"> year-on-year</w:t>
            </w:r>
            <w:r w:rsidR="00A044C1" w:rsidRPr="00995C95">
              <w:rPr>
                <w:lang w:eastAsia="en-US"/>
              </w:rPr>
              <w:t>,</w:t>
            </w:r>
            <w:r w:rsidRPr="00995C95">
              <w:rPr>
                <w:lang w:eastAsia="en-US"/>
              </w:rPr>
              <w:t xml:space="preserve"> in </w:t>
            </w:r>
            <w:r w:rsidR="00A044C1" w:rsidRPr="00995C95">
              <w:rPr>
                <w:lang w:eastAsia="en-US"/>
              </w:rPr>
              <w:t>Q</w:t>
            </w:r>
            <w:r w:rsidRPr="00995C95">
              <w:rPr>
                <w:lang w:eastAsia="en-US"/>
              </w:rPr>
              <w:t>4</w:t>
            </w:r>
            <w:r w:rsidR="00A044C1" w:rsidRPr="00995C95">
              <w:rPr>
                <w:lang w:eastAsia="en-US"/>
              </w:rPr>
              <w:t xml:space="preserve"> </w:t>
            </w:r>
            <w:r w:rsidRPr="00995C95">
              <w:rPr>
                <w:lang w:eastAsia="en-US"/>
              </w:rPr>
              <w:t>alone and remained unchanged</w:t>
            </w:r>
            <w:r w:rsidR="00A044C1" w:rsidRPr="00995C95">
              <w:rPr>
                <w:lang w:eastAsia="en-US"/>
              </w:rPr>
              <w:t>,</w:t>
            </w:r>
            <w:r w:rsidRPr="00995C95">
              <w:rPr>
                <w:lang w:eastAsia="en-US"/>
              </w:rPr>
              <w:t xml:space="preserve"> quarter-on-quarter.</w:t>
            </w:r>
            <w:r w:rsidR="007F0076" w:rsidRPr="00995C95">
              <w:rPr>
                <w:lang w:eastAsia="en-US"/>
              </w:rPr>
              <w:t xml:space="preserve"> </w:t>
            </w:r>
          </w:p>
        </w:tc>
      </w:tr>
      <w:tr w:rsidR="007F0076" w:rsidRPr="00995C95" w14:paraId="1166E067" w14:textId="77777777" w:rsidTr="00E87182">
        <w:trPr>
          <w:trHeight w:val="145"/>
        </w:trPr>
        <w:tc>
          <w:tcPr>
            <w:tcW w:w="1791" w:type="dxa"/>
          </w:tcPr>
          <w:p w14:paraId="444E1C7E" w14:textId="183E4419" w:rsidR="007F0076" w:rsidRPr="00995C95" w:rsidRDefault="00216255" w:rsidP="00216255">
            <w:pPr>
              <w:pStyle w:val="Marginlie"/>
              <w:rPr>
                <w:spacing w:val="0"/>
                <w:lang w:eastAsia="en-US"/>
              </w:rPr>
            </w:pPr>
            <w:r w:rsidRPr="00995C95">
              <w:rPr>
                <w:spacing w:val="0"/>
                <w:lang w:eastAsia="en-US"/>
              </w:rPr>
              <w:t xml:space="preserve">A decline was recorded last year </w:t>
            </w:r>
            <w:r w:rsidR="006234F7" w:rsidRPr="00995C95">
              <w:rPr>
                <w:spacing w:val="0"/>
                <w:lang w:eastAsia="en-US"/>
              </w:rPr>
              <w:t xml:space="preserve">for </w:t>
            </w:r>
            <w:r w:rsidRPr="00995C95">
              <w:rPr>
                <w:spacing w:val="0"/>
                <w:lang w:eastAsia="en-US"/>
              </w:rPr>
              <w:t>the prices of clothing and footwear and transport</w:t>
            </w:r>
            <w:r w:rsidR="006234F7" w:rsidRPr="00995C95">
              <w:rPr>
                <w:spacing w:val="0"/>
                <w:lang w:eastAsia="en-US"/>
              </w:rPr>
              <w:t>ation</w:t>
            </w:r>
            <w:r w:rsidRPr="00995C95">
              <w:rPr>
                <w:spacing w:val="0"/>
                <w:lang w:eastAsia="en-US"/>
              </w:rPr>
              <w:t>.</w:t>
            </w:r>
          </w:p>
        </w:tc>
        <w:tc>
          <w:tcPr>
            <w:tcW w:w="223" w:type="dxa"/>
          </w:tcPr>
          <w:p w14:paraId="03A7F268" w14:textId="77777777" w:rsidR="007F0076" w:rsidRPr="00995C95" w:rsidRDefault="007F0076" w:rsidP="00E87182">
            <w:pPr>
              <w:pStyle w:val="Textpoznpodarou1"/>
              <w:jc w:val="both"/>
              <w:rPr>
                <w:lang w:eastAsia="en-US"/>
              </w:rPr>
            </w:pPr>
          </w:p>
        </w:tc>
        <w:tc>
          <w:tcPr>
            <w:tcW w:w="7625" w:type="dxa"/>
          </w:tcPr>
          <w:p w14:paraId="5D0B3115" w14:textId="7F302B4E" w:rsidR="007F0076" w:rsidRPr="00995C95" w:rsidRDefault="006234F7" w:rsidP="00C21721">
            <w:pPr>
              <w:rPr>
                <w:lang w:eastAsia="en-US"/>
              </w:rPr>
            </w:pPr>
            <w:r w:rsidRPr="00995C95">
              <w:rPr>
                <w:lang w:eastAsia="en-US"/>
              </w:rPr>
              <w:t>P</w:t>
            </w:r>
            <w:r w:rsidR="00C21721" w:rsidRPr="00995C95">
              <w:rPr>
                <w:lang w:eastAsia="en-US"/>
              </w:rPr>
              <w:t xml:space="preserve">rices fell </w:t>
            </w:r>
            <w:r w:rsidR="00376778" w:rsidRPr="00995C95">
              <w:rPr>
                <w:lang w:eastAsia="en-US"/>
              </w:rPr>
              <w:t xml:space="preserve">in </w:t>
            </w:r>
            <w:r w:rsidR="00C21721" w:rsidRPr="00995C95">
              <w:rPr>
                <w:lang w:eastAsia="en-US"/>
              </w:rPr>
              <w:t xml:space="preserve">only two </w:t>
            </w:r>
            <w:r w:rsidRPr="00995C95">
              <w:rPr>
                <w:lang w:eastAsia="en-US"/>
              </w:rPr>
              <w:t>divisions, last year.</w:t>
            </w:r>
            <w:r w:rsidR="00C21721" w:rsidRPr="00995C95">
              <w:rPr>
                <w:lang w:eastAsia="en-US"/>
              </w:rPr>
              <w:t xml:space="preserve"> The first was clothing and footwear (−1.9%), where the year-on-year decline was maintained throughout the year.</w:t>
            </w:r>
            <w:r w:rsidR="00376778" w:rsidRPr="00995C95">
              <w:rPr>
                <w:lang w:eastAsia="en-US"/>
              </w:rPr>
              <w:t xml:space="preserve"> T</w:t>
            </w:r>
            <w:r w:rsidR="00C21721" w:rsidRPr="00995C95">
              <w:rPr>
                <w:lang w:eastAsia="en-US"/>
              </w:rPr>
              <w:t xml:space="preserve">he year-on-year decrease </w:t>
            </w:r>
            <w:r w:rsidR="00376778" w:rsidRPr="00995C95">
              <w:rPr>
                <w:lang w:eastAsia="en-US"/>
              </w:rPr>
              <w:t xml:space="preserve">of </w:t>
            </w:r>
            <w:r w:rsidR="00C21721" w:rsidRPr="00995C95">
              <w:rPr>
                <w:lang w:eastAsia="en-US"/>
              </w:rPr>
              <w:t>prices reached 2.0%</w:t>
            </w:r>
            <w:r w:rsidR="00376778" w:rsidRPr="00995C95">
              <w:rPr>
                <w:lang w:eastAsia="en-US"/>
              </w:rPr>
              <w:t xml:space="preserve"> in Q4</w:t>
            </w:r>
            <w:r w:rsidR="00C21721" w:rsidRPr="00995C95">
              <w:rPr>
                <w:lang w:eastAsia="en-US"/>
              </w:rPr>
              <w:t>, but there was a significant increase of 1.2%</w:t>
            </w:r>
            <w:r w:rsidR="00376778" w:rsidRPr="00995C95">
              <w:rPr>
                <w:lang w:eastAsia="en-US"/>
              </w:rPr>
              <w:t>,</w:t>
            </w:r>
            <w:r w:rsidR="00C21721" w:rsidRPr="00995C95">
              <w:rPr>
                <w:lang w:eastAsia="en-US"/>
              </w:rPr>
              <w:t xml:space="preserve"> quarter-on-quarter. The second </w:t>
            </w:r>
            <w:r w:rsidR="00376778" w:rsidRPr="00995C95">
              <w:rPr>
                <w:lang w:eastAsia="en-US"/>
              </w:rPr>
              <w:t xml:space="preserve">division, </w:t>
            </w:r>
            <w:r w:rsidR="00C21721" w:rsidRPr="00995C95">
              <w:rPr>
                <w:lang w:eastAsia="en-US"/>
              </w:rPr>
              <w:t xml:space="preserve">where </w:t>
            </w:r>
            <w:r w:rsidR="00B13EF3" w:rsidRPr="00995C95">
              <w:rPr>
                <w:lang w:eastAsia="en-US"/>
              </w:rPr>
              <w:t xml:space="preserve">total </w:t>
            </w:r>
            <w:r w:rsidR="00C21721" w:rsidRPr="00995C95">
              <w:rPr>
                <w:lang w:eastAsia="en-US"/>
              </w:rPr>
              <w:t>prices decreased was transport</w:t>
            </w:r>
            <w:r w:rsidR="00AA58D7" w:rsidRPr="00995C95">
              <w:rPr>
                <w:lang w:eastAsia="en-US"/>
              </w:rPr>
              <w:t>ation</w:t>
            </w:r>
            <w:r w:rsidR="00C21721" w:rsidRPr="00995C95">
              <w:rPr>
                <w:lang w:eastAsia="en-US"/>
              </w:rPr>
              <w:t xml:space="preserve"> (−0.8%), which was mainly affected by a </w:t>
            </w:r>
            <w:r w:rsidR="00B13EF3" w:rsidRPr="00995C95">
              <w:rPr>
                <w:lang w:eastAsia="en-US"/>
              </w:rPr>
              <w:t xml:space="preserve">reduced cost </w:t>
            </w:r>
            <w:r w:rsidR="00C21721" w:rsidRPr="00995C95">
              <w:rPr>
                <w:lang w:eastAsia="en-US"/>
              </w:rPr>
              <w:t xml:space="preserve">of the operation of personal transport vehicles (−2.5%), especially a decrease </w:t>
            </w:r>
            <w:r w:rsidR="00FB52DF" w:rsidRPr="00995C95">
              <w:rPr>
                <w:lang w:eastAsia="en-US"/>
              </w:rPr>
              <w:t>of</w:t>
            </w:r>
            <w:r w:rsidR="00C21721" w:rsidRPr="00995C95">
              <w:rPr>
                <w:lang w:eastAsia="en-US"/>
              </w:rPr>
              <w:t xml:space="preserve"> fuel prices (−6.8%). </w:t>
            </w:r>
            <w:r w:rsidR="006266AD" w:rsidRPr="00995C95">
              <w:rPr>
                <w:lang w:eastAsia="en-US"/>
              </w:rPr>
              <w:t>Purchase prices of motor vehicles</w:t>
            </w:r>
            <w:r w:rsidR="00C21721" w:rsidRPr="00995C95">
              <w:rPr>
                <w:lang w:eastAsia="en-US"/>
              </w:rPr>
              <w:t>, motorcycles and bicycles were only slightly higher last year (0.6%). Only the costs of transport</w:t>
            </w:r>
            <w:r w:rsidR="008644C3" w:rsidRPr="00995C95">
              <w:rPr>
                <w:lang w:eastAsia="en-US"/>
              </w:rPr>
              <w:t>ation</w:t>
            </w:r>
            <w:r w:rsidR="00C21721" w:rsidRPr="00995C95">
              <w:rPr>
                <w:lang w:eastAsia="en-US"/>
              </w:rPr>
              <w:t xml:space="preserve"> services increased more significantly (3.2%)</w:t>
            </w:r>
            <w:r w:rsidR="008644C3" w:rsidRPr="00995C95">
              <w:rPr>
                <w:lang w:eastAsia="en-US"/>
              </w:rPr>
              <w:t xml:space="preserve"> within the development of </w:t>
            </w:r>
            <w:r w:rsidR="00AF3683" w:rsidRPr="00995C95">
              <w:rPr>
                <w:lang w:eastAsia="en-US"/>
              </w:rPr>
              <w:t>transportation prices</w:t>
            </w:r>
            <w:r w:rsidR="00C21721" w:rsidRPr="00995C95">
              <w:rPr>
                <w:lang w:eastAsia="en-US"/>
              </w:rPr>
              <w:t>. Depending on the development of fuel prices, transport</w:t>
            </w:r>
            <w:r w:rsidR="008C4486" w:rsidRPr="00995C95">
              <w:rPr>
                <w:lang w:eastAsia="en-US"/>
              </w:rPr>
              <w:t>ation</w:t>
            </w:r>
            <w:r w:rsidR="00C21721" w:rsidRPr="00995C95">
              <w:rPr>
                <w:lang w:eastAsia="en-US"/>
              </w:rPr>
              <w:t xml:space="preserve"> prices occasionally went from falling to year-on-year stagnation during the year, which was also the case in </w:t>
            </w:r>
            <w:r w:rsidR="00520D1D" w:rsidRPr="00995C95">
              <w:rPr>
                <w:lang w:eastAsia="en-US"/>
              </w:rPr>
              <w:t>Q</w:t>
            </w:r>
            <w:r w:rsidR="00C21721" w:rsidRPr="00995C95">
              <w:rPr>
                <w:lang w:eastAsia="en-US"/>
              </w:rPr>
              <w:t>4</w:t>
            </w:r>
            <w:r w:rsidR="00520D1D" w:rsidRPr="00995C95">
              <w:rPr>
                <w:lang w:eastAsia="en-US"/>
              </w:rPr>
              <w:t xml:space="preserve"> </w:t>
            </w:r>
            <w:r w:rsidR="00C21721" w:rsidRPr="00995C95">
              <w:rPr>
                <w:lang w:eastAsia="en-US"/>
              </w:rPr>
              <w:t>(growth by 0.1%</w:t>
            </w:r>
            <w:r w:rsidR="00520D1D" w:rsidRPr="00995C95">
              <w:rPr>
                <w:lang w:eastAsia="en-US"/>
              </w:rPr>
              <w:t>,</w:t>
            </w:r>
            <w:r w:rsidR="00C21721" w:rsidRPr="00995C95">
              <w:rPr>
                <w:lang w:eastAsia="en-US"/>
              </w:rPr>
              <w:t xml:space="preserve"> year-on-year, −0.1%</w:t>
            </w:r>
            <w:r w:rsidR="00520D1D" w:rsidRPr="00995C95">
              <w:rPr>
                <w:lang w:eastAsia="en-US"/>
              </w:rPr>
              <w:t>,</w:t>
            </w:r>
            <w:r w:rsidR="00C21721" w:rsidRPr="00995C95">
              <w:rPr>
                <w:lang w:eastAsia="en-US"/>
              </w:rPr>
              <w:t xml:space="preserve"> quarter-on-quarter). Prices of </w:t>
            </w:r>
            <w:r w:rsidR="00406D06" w:rsidRPr="00995C95">
              <w:rPr>
                <w:lang w:eastAsia="en-US"/>
              </w:rPr>
              <w:t xml:space="preserve">operation of personal transport equipment </w:t>
            </w:r>
            <w:r w:rsidR="00C21721" w:rsidRPr="00995C95">
              <w:rPr>
                <w:lang w:eastAsia="en-US"/>
              </w:rPr>
              <w:t>decreased by 0.9%, y</w:t>
            </w:r>
            <w:r w:rsidR="00406D06" w:rsidRPr="00995C95">
              <w:rPr>
                <w:lang w:eastAsia="en-US"/>
              </w:rPr>
              <w:t>ear</w:t>
            </w:r>
            <w:r w:rsidR="00C21721" w:rsidRPr="00995C95">
              <w:rPr>
                <w:lang w:eastAsia="en-US"/>
              </w:rPr>
              <w:t>-o</w:t>
            </w:r>
            <w:r w:rsidR="00406D06" w:rsidRPr="00995C95">
              <w:rPr>
                <w:lang w:eastAsia="en-US"/>
              </w:rPr>
              <w:t>n</w:t>
            </w:r>
            <w:r w:rsidR="00C21721" w:rsidRPr="00995C95">
              <w:rPr>
                <w:lang w:eastAsia="en-US"/>
              </w:rPr>
              <w:t>-y</w:t>
            </w:r>
            <w:r w:rsidR="00406D06" w:rsidRPr="00995C95">
              <w:rPr>
                <w:lang w:eastAsia="en-US"/>
              </w:rPr>
              <w:t>ear</w:t>
            </w:r>
            <w:r w:rsidR="00C21721" w:rsidRPr="00995C95">
              <w:rPr>
                <w:lang w:eastAsia="en-US"/>
              </w:rPr>
              <w:t xml:space="preserve">, in Q4. </w:t>
            </w:r>
            <w:r w:rsidR="00406D06" w:rsidRPr="00995C95">
              <w:rPr>
                <w:lang w:eastAsia="en-US"/>
              </w:rPr>
              <w:t>T</w:t>
            </w:r>
            <w:r w:rsidR="00C21721" w:rsidRPr="00995C95">
              <w:rPr>
                <w:lang w:eastAsia="en-US"/>
              </w:rPr>
              <w:t xml:space="preserve">he year-on-year increase weakened to 1.4% </w:t>
            </w:r>
            <w:r w:rsidR="00406D06" w:rsidRPr="00995C95">
              <w:rPr>
                <w:lang w:eastAsia="en-US"/>
              </w:rPr>
              <w:t>for transportation services</w:t>
            </w:r>
            <w:r w:rsidR="00432D19" w:rsidRPr="00995C95">
              <w:rPr>
                <w:lang w:eastAsia="en-US"/>
              </w:rPr>
              <w:t xml:space="preserve"> </w:t>
            </w:r>
            <w:r w:rsidR="00C21721" w:rsidRPr="00995C95">
              <w:rPr>
                <w:lang w:eastAsia="en-US"/>
              </w:rPr>
              <w:t xml:space="preserve">and the purchase prices of </w:t>
            </w:r>
            <w:r w:rsidR="00432D19" w:rsidRPr="00995C95">
              <w:rPr>
                <w:lang w:eastAsia="en-US"/>
              </w:rPr>
              <w:t>motor vehicles</w:t>
            </w:r>
            <w:r w:rsidR="00C21721" w:rsidRPr="00995C95">
              <w:rPr>
                <w:lang w:eastAsia="en-US"/>
              </w:rPr>
              <w:t>, motorcycles and bicycles were higher by 1.2%.</w:t>
            </w:r>
            <w:r w:rsidRPr="00995C95">
              <w:rPr>
                <w:lang w:eastAsia="en-US"/>
              </w:rPr>
              <w:t xml:space="preserve"> </w:t>
            </w:r>
          </w:p>
        </w:tc>
      </w:tr>
      <w:tr w:rsidR="007F0076" w:rsidRPr="00995C95" w14:paraId="1FA54CD2" w14:textId="77777777" w:rsidTr="00E87182">
        <w:trPr>
          <w:trHeight w:val="145"/>
        </w:trPr>
        <w:tc>
          <w:tcPr>
            <w:tcW w:w="1791" w:type="dxa"/>
            <w:hideMark/>
          </w:tcPr>
          <w:p w14:paraId="32BB86DE" w14:textId="7926F689" w:rsidR="007F0076" w:rsidRPr="00995C95" w:rsidRDefault="00223BF5" w:rsidP="00223BF5">
            <w:pPr>
              <w:pStyle w:val="Marginlie"/>
              <w:rPr>
                <w:spacing w:val="0"/>
                <w:lang w:eastAsia="en-US"/>
              </w:rPr>
            </w:pPr>
            <w:r w:rsidRPr="00995C95">
              <w:rPr>
                <w:spacing w:val="0"/>
                <w:lang w:eastAsia="en-US"/>
              </w:rPr>
              <w:t xml:space="preserve">Consumer prices increased by 2.5% in the EU in 2025. </w:t>
            </w:r>
          </w:p>
        </w:tc>
        <w:tc>
          <w:tcPr>
            <w:tcW w:w="223" w:type="dxa"/>
          </w:tcPr>
          <w:p w14:paraId="5F31B602" w14:textId="77777777" w:rsidR="007F0076" w:rsidRPr="00995C95" w:rsidRDefault="007F0076" w:rsidP="00E87182">
            <w:pPr>
              <w:pStyle w:val="Textpoznpodarou1"/>
              <w:jc w:val="both"/>
              <w:rPr>
                <w:lang w:eastAsia="en-US"/>
              </w:rPr>
            </w:pPr>
          </w:p>
        </w:tc>
        <w:tc>
          <w:tcPr>
            <w:tcW w:w="7625" w:type="dxa"/>
            <w:hideMark/>
          </w:tcPr>
          <w:p w14:paraId="11204FE2" w14:textId="58D2A15D" w:rsidR="007F0076" w:rsidRPr="00995C95" w:rsidRDefault="00E472EB" w:rsidP="00E472EB">
            <w:pPr>
              <w:rPr>
                <w:lang w:eastAsia="en-US"/>
              </w:rPr>
            </w:pPr>
            <w:r w:rsidRPr="00995C95">
              <w:rPr>
                <w:bCs/>
              </w:rPr>
              <w:t>The Harmonised Index of Consumer Prices (HICP)</w:t>
            </w:r>
            <w:r w:rsidR="008E72A6" w:rsidRPr="00995C95">
              <w:rPr>
                <w:rStyle w:val="Znakapoznpodarou"/>
                <w:lang w:eastAsia="en-US"/>
              </w:rPr>
              <w:footnoteReference w:id="80"/>
            </w:r>
            <w:r w:rsidRPr="00995C95">
              <w:rPr>
                <w:bCs/>
              </w:rPr>
              <w:t xml:space="preserve"> in the European Union increased by 2.5% in 2025. The pace slowed slightly compared to the previous year (2.6%) and the structure of price growth also changed. </w:t>
            </w:r>
            <w:r w:rsidR="00554DC2" w:rsidRPr="00995C95">
              <w:rPr>
                <w:bCs/>
              </w:rPr>
              <w:t>T</w:t>
            </w:r>
            <w:r w:rsidRPr="00995C95">
              <w:rPr>
                <w:bCs/>
              </w:rPr>
              <w:t xml:space="preserve">he increase </w:t>
            </w:r>
            <w:r w:rsidR="00554DC2" w:rsidRPr="00995C95">
              <w:rPr>
                <w:bCs/>
              </w:rPr>
              <w:t>of</w:t>
            </w:r>
            <w:r w:rsidRPr="00995C95">
              <w:rPr>
                <w:bCs/>
              </w:rPr>
              <w:t xml:space="preserve"> food and non-alcoholic beverages prices (3.3%) and housing and energy</w:t>
            </w:r>
            <w:r w:rsidR="00BE19ED" w:rsidRPr="00995C95">
              <w:rPr>
                <w:bCs/>
              </w:rPr>
              <w:t xml:space="preserve"> prices</w:t>
            </w:r>
            <w:r w:rsidRPr="00995C95">
              <w:rPr>
                <w:bCs/>
              </w:rPr>
              <w:t xml:space="preserve"> (2.8%) strengthened in the EU. On the </w:t>
            </w:r>
            <w:r w:rsidR="00BE19ED" w:rsidRPr="00995C95">
              <w:rPr>
                <w:bCs/>
              </w:rPr>
              <w:t>contrary</w:t>
            </w:r>
            <w:r w:rsidRPr="00995C95">
              <w:rPr>
                <w:bCs/>
              </w:rPr>
              <w:t xml:space="preserve">, the prices of alcohol and tobacco (4.4%), accommodation and food </w:t>
            </w:r>
            <w:r w:rsidR="00BE19ED" w:rsidRPr="00995C95">
              <w:rPr>
                <w:bCs/>
              </w:rPr>
              <w:t xml:space="preserve">service </w:t>
            </w:r>
            <w:r w:rsidRPr="00995C95">
              <w:rPr>
                <w:bCs/>
              </w:rPr>
              <w:t xml:space="preserve">(4.0%), recreation and culture (1.9%) increased more moderately, and the growth of prices of clothing and footwear (0.4%) almost </w:t>
            </w:r>
            <w:r w:rsidR="00547D28" w:rsidRPr="00995C95">
              <w:rPr>
                <w:bCs/>
              </w:rPr>
              <w:t>ceased</w:t>
            </w:r>
            <w:r w:rsidRPr="00995C95">
              <w:rPr>
                <w:bCs/>
              </w:rPr>
              <w:t>. In 2025, only telecom</w:t>
            </w:r>
            <w:r w:rsidR="00547D28" w:rsidRPr="00995C95">
              <w:rPr>
                <w:bCs/>
              </w:rPr>
              <w:t xml:space="preserve">munications </w:t>
            </w:r>
            <w:r w:rsidRPr="00995C95">
              <w:rPr>
                <w:bCs/>
              </w:rPr>
              <w:t>prices fell in the EU (-1.5%). Consumer prices rose in all EU countries last year. Price increases in Cyprus (0.8%) and France (0.9%) fell below 1%. By contrast,</w:t>
            </w:r>
            <w:r w:rsidR="00860454" w:rsidRPr="00995C95">
              <w:rPr>
                <w:bCs/>
              </w:rPr>
              <w:t xml:space="preserve"> </w:t>
            </w:r>
            <w:r w:rsidR="00A17A35" w:rsidRPr="00995C95">
              <w:rPr>
                <w:bCs/>
              </w:rPr>
              <w:t xml:space="preserve">HICP </w:t>
            </w:r>
            <w:r w:rsidRPr="00995C95">
              <w:rPr>
                <w:bCs/>
              </w:rPr>
              <w:t>grew the most by a significant margin</w:t>
            </w:r>
            <w:r w:rsidR="00860454" w:rsidRPr="00995C95">
              <w:rPr>
                <w:bCs/>
              </w:rPr>
              <w:t xml:space="preserve"> in Romania (6.8%)</w:t>
            </w:r>
            <w:r w:rsidRPr="00995C95">
              <w:rPr>
                <w:bCs/>
              </w:rPr>
              <w:t xml:space="preserve">, followed by Estonia (4.8%), Croatia and Hungary (both 4.4%). In Czechia, HICP growth moderated to 2.3%. In </w:t>
            </w:r>
            <w:r w:rsidR="00117E12" w:rsidRPr="00995C95">
              <w:rPr>
                <w:bCs/>
              </w:rPr>
              <w:t>Q</w:t>
            </w:r>
            <w:r w:rsidRPr="00995C95">
              <w:rPr>
                <w:bCs/>
              </w:rPr>
              <w:t>4</w:t>
            </w:r>
            <w:r w:rsidR="00117E12" w:rsidRPr="00995C95">
              <w:rPr>
                <w:bCs/>
              </w:rPr>
              <w:t xml:space="preserve"> </w:t>
            </w:r>
            <w:r w:rsidRPr="00995C95">
              <w:rPr>
                <w:bCs/>
              </w:rPr>
              <w:t xml:space="preserve">alone, the HICP grew by 2.4% </w:t>
            </w:r>
            <w:r w:rsidR="007A72C3" w:rsidRPr="00995C95">
              <w:rPr>
                <w:bCs/>
              </w:rPr>
              <w:t xml:space="preserve">in the EU, </w:t>
            </w:r>
            <w:r w:rsidRPr="00995C95">
              <w:rPr>
                <w:bCs/>
              </w:rPr>
              <w:t>year-on-year</w:t>
            </w:r>
            <w:r w:rsidR="007A72C3" w:rsidRPr="00995C95">
              <w:rPr>
                <w:bCs/>
              </w:rPr>
              <w:t>,</w:t>
            </w:r>
            <w:r w:rsidRPr="00995C95">
              <w:rPr>
                <w:bCs/>
              </w:rPr>
              <w:t xml:space="preserve"> and by 0.3%</w:t>
            </w:r>
            <w:r w:rsidR="007A72C3" w:rsidRPr="00995C95">
              <w:rPr>
                <w:bCs/>
              </w:rPr>
              <w:t>,</w:t>
            </w:r>
            <w:r w:rsidRPr="00995C95">
              <w:rPr>
                <w:bCs/>
              </w:rPr>
              <w:t xml:space="preserve"> quarter-on-quarter. The slight slowdown </w:t>
            </w:r>
            <w:r w:rsidR="007A72C3" w:rsidRPr="00995C95">
              <w:rPr>
                <w:bCs/>
              </w:rPr>
              <w:t xml:space="preserve">of </w:t>
            </w:r>
            <w:r w:rsidR="00227DA6" w:rsidRPr="00995C95">
              <w:rPr>
                <w:bCs/>
              </w:rPr>
              <w:t xml:space="preserve">the year-on-year pace </w:t>
            </w:r>
            <w:r w:rsidRPr="00995C95">
              <w:rPr>
                <w:bCs/>
              </w:rPr>
              <w:t xml:space="preserve">of the HICP was mainly due to the development of food and non-alcoholic beverages prices (a moderation of the increase to 2.9%). Prices of accommodation and </w:t>
            </w:r>
            <w:r w:rsidR="008D38B6" w:rsidRPr="00995C95">
              <w:rPr>
                <w:bCs/>
              </w:rPr>
              <w:t xml:space="preserve">food service </w:t>
            </w:r>
            <w:r w:rsidRPr="00995C95">
              <w:rPr>
                <w:bCs/>
              </w:rPr>
              <w:t>and other services continued to rise strongly. Only telecommunications prices decreased</w:t>
            </w:r>
            <w:r w:rsidR="008D38B6" w:rsidRPr="00995C95">
              <w:rPr>
                <w:bCs/>
              </w:rPr>
              <w:t>,</w:t>
            </w:r>
            <w:r w:rsidRPr="00995C95">
              <w:rPr>
                <w:bCs/>
              </w:rPr>
              <w:t xml:space="preserve"> </w:t>
            </w:r>
            <w:r w:rsidRPr="00995C95">
              <w:rPr>
                <w:bCs/>
              </w:rPr>
              <w:lastRenderedPageBreak/>
              <w:t xml:space="preserve">year-on-year (−0.6%). </w:t>
            </w:r>
            <w:r w:rsidR="00DE3DE3" w:rsidRPr="00995C95">
              <w:rPr>
                <w:bCs/>
              </w:rPr>
              <w:t xml:space="preserve">Prices were raised the most, </w:t>
            </w:r>
            <w:r w:rsidRPr="00995C95">
              <w:rPr>
                <w:bCs/>
              </w:rPr>
              <w:t>year-on-year</w:t>
            </w:r>
            <w:r w:rsidR="00DE3DE3" w:rsidRPr="00995C95">
              <w:rPr>
                <w:bCs/>
              </w:rPr>
              <w:t xml:space="preserve">, </w:t>
            </w:r>
            <w:r w:rsidRPr="00995C95">
              <w:rPr>
                <w:bCs/>
              </w:rPr>
              <w:t>in Romania (8.6%), Estonia (4.4%) and Croatia (4.0%)</w:t>
            </w:r>
            <w:r w:rsidR="00B96FAD" w:rsidRPr="00995C95">
              <w:rPr>
                <w:bCs/>
              </w:rPr>
              <w:t xml:space="preserve"> in Q4</w:t>
            </w:r>
            <w:r w:rsidRPr="00995C95">
              <w:rPr>
                <w:bCs/>
              </w:rPr>
              <w:t>. Prices in Cyprus (0.1%) practically stagnated, and prices in France (0.8%) and Italy (1.2%) increased only slightly</w:t>
            </w:r>
            <w:r w:rsidR="005B720C" w:rsidRPr="00995C95">
              <w:rPr>
                <w:bCs/>
              </w:rPr>
              <w:t>,</w:t>
            </w:r>
            <w:r w:rsidRPr="00995C95">
              <w:rPr>
                <w:bCs/>
              </w:rPr>
              <w:t xml:space="preserve"> year-on-year.</w:t>
            </w:r>
            <w:r w:rsidR="008D38B6" w:rsidRPr="00995C95">
              <w:rPr>
                <w:bCs/>
              </w:rPr>
              <w:t xml:space="preserve"> </w:t>
            </w:r>
          </w:p>
        </w:tc>
      </w:tr>
      <w:tr w:rsidR="007F0076" w:rsidRPr="00995C95" w14:paraId="0A75621E" w14:textId="77777777" w:rsidTr="00E87182">
        <w:trPr>
          <w:trHeight w:val="145"/>
        </w:trPr>
        <w:tc>
          <w:tcPr>
            <w:tcW w:w="1791" w:type="dxa"/>
          </w:tcPr>
          <w:p w14:paraId="2380E537" w14:textId="58731078" w:rsidR="007F0076" w:rsidRPr="00995C95" w:rsidRDefault="00F472FC" w:rsidP="00F472FC">
            <w:pPr>
              <w:pStyle w:val="Marginlie"/>
              <w:rPr>
                <w:spacing w:val="0"/>
                <w:lang w:eastAsia="en-US"/>
              </w:rPr>
            </w:pPr>
            <w:r w:rsidRPr="00995C95">
              <w:rPr>
                <w:spacing w:val="0"/>
                <w:lang w:eastAsia="en-US"/>
              </w:rPr>
              <w:lastRenderedPageBreak/>
              <w:t xml:space="preserve">Year-on-year growth </w:t>
            </w:r>
            <w:r w:rsidR="0023038D" w:rsidRPr="00995C95">
              <w:rPr>
                <w:spacing w:val="0"/>
                <w:lang w:eastAsia="en-US"/>
              </w:rPr>
              <w:t xml:space="preserve">of catalogue prices of dwellings </w:t>
            </w:r>
            <w:r w:rsidRPr="00995C95">
              <w:rPr>
                <w:spacing w:val="0"/>
                <w:lang w:eastAsia="en-US"/>
              </w:rPr>
              <w:t xml:space="preserve">peaked in </w:t>
            </w:r>
            <w:r w:rsidR="0023038D" w:rsidRPr="00995C95">
              <w:rPr>
                <w:spacing w:val="0"/>
                <w:lang w:eastAsia="en-US"/>
              </w:rPr>
              <w:t xml:space="preserve">H2. </w:t>
            </w:r>
          </w:p>
        </w:tc>
        <w:tc>
          <w:tcPr>
            <w:tcW w:w="223" w:type="dxa"/>
          </w:tcPr>
          <w:p w14:paraId="22E6290D" w14:textId="77777777" w:rsidR="007F0076" w:rsidRPr="00995C95" w:rsidRDefault="007F0076" w:rsidP="00E87182">
            <w:pPr>
              <w:pStyle w:val="Textpoznpodarou1"/>
              <w:jc w:val="both"/>
              <w:rPr>
                <w:lang w:eastAsia="en-US"/>
              </w:rPr>
            </w:pPr>
          </w:p>
        </w:tc>
        <w:tc>
          <w:tcPr>
            <w:tcW w:w="7625" w:type="dxa"/>
          </w:tcPr>
          <w:p w14:paraId="72C1A8CB" w14:textId="2B223EDB" w:rsidR="007F0076" w:rsidRPr="00995C95" w:rsidRDefault="0023038D" w:rsidP="0010109F">
            <w:pPr>
              <w:rPr>
                <w:lang w:eastAsia="en-US"/>
              </w:rPr>
            </w:pPr>
            <w:r w:rsidRPr="00995C95">
              <w:rPr>
                <w:lang w:eastAsia="en-US"/>
              </w:rPr>
              <w:t xml:space="preserve">Catalogue prices of dwellings </w:t>
            </w:r>
            <w:r w:rsidR="0010109F" w:rsidRPr="00995C95">
              <w:rPr>
                <w:lang w:eastAsia="en-US"/>
              </w:rPr>
              <w:t>in the Czech Republic increased by 16.8%</w:t>
            </w:r>
            <w:r w:rsidRPr="00995C95">
              <w:rPr>
                <w:lang w:eastAsia="en-US"/>
              </w:rPr>
              <w:t xml:space="preserve">, </w:t>
            </w:r>
            <w:r w:rsidR="0010109F" w:rsidRPr="00995C95">
              <w:rPr>
                <w:lang w:eastAsia="en-US"/>
              </w:rPr>
              <w:t>year-on-year</w:t>
            </w:r>
            <w:r w:rsidRPr="00995C95">
              <w:rPr>
                <w:lang w:eastAsia="en-US"/>
              </w:rPr>
              <w:t>, in 2025</w:t>
            </w:r>
            <w:r w:rsidR="0010109F" w:rsidRPr="00995C95">
              <w:rPr>
                <w:lang w:eastAsia="en-US"/>
              </w:rPr>
              <w:t xml:space="preserve">. Compared to the previous year, there was a sharp acceleration </w:t>
            </w:r>
            <w:r w:rsidRPr="00995C95">
              <w:rPr>
                <w:lang w:eastAsia="en-US"/>
              </w:rPr>
              <w:t xml:space="preserve">of </w:t>
            </w:r>
            <w:r w:rsidR="0010109F" w:rsidRPr="00995C95">
              <w:rPr>
                <w:lang w:eastAsia="en-US"/>
              </w:rPr>
              <w:t xml:space="preserve">price dynamics, both </w:t>
            </w:r>
            <w:r w:rsidR="00E476F4" w:rsidRPr="00995C95">
              <w:rPr>
                <w:lang w:eastAsia="en-US"/>
              </w:rPr>
              <w:t xml:space="preserve">regarding the </w:t>
            </w:r>
            <w:r w:rsidR="0010109F" w:rsidRPr="00995C95">
              <w:rPr>
                <w:lang w:eastAsia="en-US"/>
              </w:rPr>
              <w:t xml:space="preserve">prices of </w:t>
            </w:r>
            <w:r w:rsidR="00E476F4" w:rsidRPr="00995C95">
              <w:rPr>
                <w:lang w:eastAsia="en-US"/>
              </w:rPr>
              <w:t>dwellings i</w:t>
            </w:r>
            <w:r w:rsidR="0010109F" w:rsidRPr="00995C95">
              <w:rPr>
                <w:lang w:eastAsia="en-US"/>
              </w:rPr>
              <w:t xml:space="preserve">n Prague (15.8%) and outside Prague (17.9%). The acceleration </w:t>
            </w:r>
            <w:r w:rsidR="00E62BB4" w:rsidRPr="00995C95">
              <w:rPr>
                <w:lang w:eastAsia="en-US"/>
              </w:rPr>
              <w:t xml:space="preserve">of </w:t>
            </w:r>
            <w:r w:rsidR="0010109F" w:rsidRPr="00995C95">
              <w:rPr>
                <w:lang w:eastAsia="en-US"/>
              </w:rPr>
              <w:t xml:space="preserve">the year-on-year growth rate of </w:t>
            </w:r>
            <w:r w:rsidR="00E62BB4" w:rsidRPr="00995C95">
              <w:rPr>
                <w:lang w:eastAsia="en-US"/>
              </w:rPr>
              <w:t xml:space="preserve">catalogue </w:t>
            </w:r>
            <w:r w:rsidR="0010109F" w:rsidRPr="00995C95">
              <w:rPr>
                <w:lang w:eastAsia="en-US"/>
              </w:rPr>
              <w:t xml:space="preserve">prices of </w:t>
            </w:r>
            <w:r w:rsidR="00E62BB4" w:rsidRPr="00995C95">
              <w:rPr>
                <w:lang w:eastAsia="en-US"/>
              </w:rPr>
              <w:t xml:space="preserve">dwellings </w:t>
            </w:r>
            <w:r w:rsidR="0010109F" w:rsidRPr="00995C95">
              <w:rPr>
                <w:lang w:eastAsia="en-US"/>
              </w:rPr>
              <w:t>in the Czech Republic peaked in</w:t>
            </w:r>
            <w:r w:rsidR="00E62BB4" w:rsidRPr="00995C95">
              <w:rPr>
                <w:lang w:eastAsia="en-US"/>
              </w:rPr>
              <w:t xml:space="preserve"> H2</w:t>
            </w:r>
            <w:r w:rsidR="0010109F" w:rsidRPr="00995C95">
              <w:rPr>
                <w:lang w:eastAsia="en-US"/>
              </w:rPr>
              <w:t>, and the increase slowed slightly to 16.9%</w:t>
            </w:r>
            <w:r w:rsidR="002A53C9" w:rsidRPr="00995C95">
              <w:rPr>
                <w:lang w:eastAsia="en-US"/>
              </w:rPr>
              <w:t xml:space="preserve"> in Q4</w:t>
            </w:r>
            <w:r w:rsidR="0010109F" w:rsidRPr="00995C95">
              <w:rPr>
                <w:lang w:eastAsia="en-US"/>
              </w:rPr>
              <w:t xml:space="preserve">. The quarter-on-quarter increase was also milder (2.4%). The slowdown </w:t>
            </w:r>
            <w:r w:rsidR="002A53C9" w:rsidRPr="00995C95">
              <w:rPr>
                <w:lang w:eastAsia="en-US"/>
              </w:rPr>
              <w:t>of</w:t>
            </w:r>
            <w:r w:rsidR="0010109F" w:rsidRPr="00995C95">
              <w:rPr>
                <w:lang w:eastAsia="en-US"/>
              </w:rPr>
              <w:t xml:space="preserve"> the year-on-year pace was mainly due to the </w:t>
            </w:r>
            <w:r w:rsidR="00832736" w:rsidRPr="00995C95">
              <w:rPr>
                <w:lang w:eastAsia="en-US"/>
              </w:rPr>
              <w:t xml:space="preserve">catalogue prices of dwellings </w:t>
            </w:r>
            <w:r w:rsidR="0010109F" w:rsidRPr="00995C95">
              <w:rPr>
                <w:lang w:eastAsia="en-US"/>
              </w:rPr>
              <w:t xml:space="preserve">in Prague (14.8% in Q4, 16.1% in Q3), while the price increase for </w:t>
            </w:r>
            <w:r w:rsidR="00832736" w:rsidRPr="00995C95">
              <w:rPr>
                <w:lang w:eastAsia="en-US"/>
              </w:rPr>
              <w:t xml:space="preserve">dwellings </w:t>
            </w:r>
            <w:r w:rsidR="0010109F" w:rsidRPr="00995C95">
              <w:rPr>
                <w:lang w:eastAsia="en-US"/>
              </w:rPr>
              <w:t xml:space="preserve">outside Prague fell from 19.5% in Q3 to 19.2% in Q4. The year-on-year and quarter-on-quarter dynamics of realized prices of older </w:t>
            </w:r>
            <w:r w:rsidR="00F72904" w:rsidRPr="00995C95">
              <w:rPr>
                <w:lang w:eastAsia="en-US"/>
              </w:rPr>
              <w:t xml:space="preserve">dwellings </w:t>
            </w:r>
            <w:r w:rsidR="0010109F" w:rsidRPr="00995C95">
              <w:rPr>
                <w:lang w:eastAsia="en-US"/>
              </w:rPr>
              <w:t>in the Czech Republic have been stable for several quarters. In Q4 2025, they increased by 16.0%</w:t>
            </w:r>
            <w:r w:rsidR="00F72904" w:rsidRPr="00995C95">
              <w:rPr>
                <w:lang w:eastAsia="en-US"/>
              </w:rPr>
              <w:t>,</w:t>
            </w:r>
            <w:r w:rsidR="0010109F" w:rsidRPr="00995C95">
              <w:rPr>
                <w:lang w:eastAsia="en-US"/>
              </w:rPr>
              <w:t xml:space="preserve"> year-on-year, with a quarter-on-quarter increase of 3.7%. </w:t>
            </w:r>
            <w:r w:rsidR="00F42CA5" w:rsidRPr="00995C95">
              <w:rPr>
                <w:lang w:eastAsia="en-US"/>
              </w:rPr>
              <w:t>R</w:t>
            </w:r>
            <w:r w:rsidR="0010109F" w:rsidRPr="00995C95">
              <w:rPr>
                <w:lang w:eastAsia="en-US"/>
              </w:rPr>
              <w:t xml:space="preserve">ealized prices of older </w:t>
            </w:r>
            <w:r w:rsidR="00F42CA5" w:rsidRPr="00995C95">
              <w:rPr>
                <w:lang w:eastAsia="en-US"/>
              </w:rPr>
              <w:t xml:space="preserve">dwellings </w:t>
            </w:r>
            <w:r w:rsidR="0010109F" w:rsidRPr="00995C95">
              <w:rPr>
                <w:lang w:eastAsia="en-US"/>
              </w:rPr>
              <w:t>increased by 13.7%, y</w:t>
            </w:r>
            <w:r w:rsidR="00F42CA5" w:rsidRPr="00995C95">
              <w:rPr>
                <w:lang w:eastAsia="en-US"/>
              </w:rPr>
              <w:t>ear</w:t>
            </w:r>
            <w:r w:rsidR="0010109F" w:rsidRPr="00995C95">
              <w:rPr>
                <w:lang w:eastAsia="en-US"/>
              </w:rPr>
              <w:t>-o</w:t>
            </w:r>
            <w:r w:rsidR="00F42CA5" w:rsidRPr="00995C95">
              <w:rPr>
                <w:lang w:eastAsia="en-US"/>
              </w:rPr>
              <w:t>n</w:t>
            </w:r>
            <w:r w:rsidR="0010109F" w:rsidRPr="00995C95">
              <w:rPr>
                <w:lang w:eastAsia="en-US"/>
              </w:rPr>
              <w:t>-y</w:t>
            </w:r>
            <w:r w:rsidR="00F42CA5" w:rsidRPr="00995C95">
              <w:rPr>
                <w:lang w:eastAsia="en-US"/>
              </w:rPr>
              <w:t>ear</w:t>
            </w:r>
            <w:r w:rsidR="0010109F" w:rsidRPr="00995C95">
              <w:rPr>
                <w:lang w:eastAsia="en-US"/>
              </w:rPr>
              <w:t>,</w:t>
            </w:r>
            <w:r w:rsidR="00F42CA5" w:rsidRPr="00995C95">
              <w:rPr>
                <w:lang w:eastAsia="en-US"/>
              </w:rPr>
              <w:t xml:space="preserve"> in Prague alone</w:t>
            </w:r>
            <w:r w:rsidR="0010109F" w:rsidRPr="00995C95">
              <w:rPr>
                <w:lang w:eastAsia="en-US"/>
              </w:rPr>
              <w:t xml:space="preserve"> and </w:t>
            </w:r>
            <w:r w:rsidR="00F42CA5" w:rsidRPr="00995C95">
              <w:rPr>
                <w:lang w:eastAsia="en-US"/>
              </w:rPr>
              <w:t xml:space="preserve">by 16.6% </w:t>
            </w:r>
            <w:r w:rsidR="0010109F" w:rsidRPr="00995C95">
              <w:rPr>
                <w:lang w:eastAsia="en-US"/>
              </w:rPr>
              <w:t>outside Prague</w:t>
            </w:r>
            <w:r w:rsidR="00F42CA5" w:rsidRPr="00995C95">
              <w:rPr>
                <w:lang w:eastAsia="en-US"/>
              </w:rPr>
              <w:t>.</w:t>
            </w:r>
            <w:r w:rsidR="0010109F" w:rsidRPr="00995C95">
              <w:rPr>
                <w:lang w:eastAsia="en-US"/>
              </w:rPr>
              <w:t xml:space="preserve"> Prices of new </w:t>
            </w:r>
            <w:r w:rsidR="00323353" w:rsidRPr="00995C95">
              <w:rPr>
                <w:lang w:eastAsia="en-US"/>
              </w:rPr>
              <w:t>dwellings</w:t>
            </w:r>
            <w:r w:rsidR="0010109F" w:rsidRPr="00995C95">
              <w:rPr>
                <w:lang w:eastAsia="en-US"/>
              </w:rPr>
              <w:t xml:space="preserve">, which are only available for Prague, showed a noticeable </w:t>
            </w:r>
            <w:r w:rsidR="00323353" w:rsidRPr="00995C95">
              <w:rPr>
                <w:lang w:eastAsia="en-US"/>
              </w:rPr>
              <w:t xml:space="preserve">growth </w:t>
            </w:r>
            <w:r w:rsidR="0010109F" w:rsidRPr="00995C95">
              <w:rPr>
                <w:lang w:eastAsia="en-US"/>
              </w:rPr>
              <w:t>slowdown in Q4 2025 – prices increased by 13.3%</w:t>
            </w:r>
            <w:r w:rsidR="00323353" w:rsidRPr="00995C95">
              <w:rPr>
                <w:lang w:eastAsia="en-US"/>
              </w:rPr>
              <w:t>,</w:t>
            </w:r>
            <w:r w:rsidR="0010109F" w:rsidRPr="00995C95">
              <w:rPr>
                <w:lang w:eastAsia="en-US"/>
              </w:rPr>
              <w:t xml:space="preserve"> year-on-year</w:t>
            </w:r>
            <w:r w:rsidR="00323353" w:rsidRPr="00995C95">
              <w:rPr>
                <w:lang w:eastAsia="en-US"/>
              </w:rPr>
              <w:t>,</w:t>
            </w:r>
            <w:r w:rsidR="0010109F" w:rsidRPr="00995C95">
              <w:rPr>
                <w:lang w:eastAsia="en-US"/>
              </w:rPr>
              <w:t xml:space="preserve"> and by 0.9%</w:t>
            </w:r>
            <w:r w:rsidR="00323353" w:rsidRPr="00995C95">
              <w:rPr>
                <w:lang w:eastAsia="en-US"/>
              </w:rPr>
              <w:t>,</w:t>
            </w:r>
            <w:r w:rsidR="0010109F" w:rsidRPr="00995C95">
              <w:rPr>
                <w:lang w:eastAsia="en-US"/>
              </w:rPr>
              <w:t xml:space="preserve"> quarter-on-quarter, which was the lowest since Q3 2024.</w:t>
            </w:r>
            <w:r w:rsidR="007F0076" w:rsidRPr="00995C95">
              <w:rPr>
                <w:lang w:eastAsia="en-US"/>
              </w:rPr>
              <w:t xml:space="preserve"> </w:t>
            </w:r>
          </w:p>
        </w:tc>
      </w:tr>
      <w:tr w:rsidR="007F0076" w:rsidRPr="00995C95" w14:paraId="0582D38C" w14:textId="77777777" w:rsidTr="00E87182">
        <w:trPr>
          <w:trHeight w:val="145"/>
        </w:trPr>
        <w:tc>
          <w:tcPr>
            <w:tcW w:w="1791" w:type="dxa"/>
          </w:tcPr>
          <w:p w14:paraId="5441E1CE" w14:textId="77777777" w:rsidR="007F0076" w:rsidRPr="00995C95" w:rsidRDefault="007F0076" w:rsidP="00E87182">
            <w:pPr>
              <w:pStyle w:val="Marginlie"/>
              <w:rPr>
                <w:spacing w:val="0"/>
                <w:lang w:eastAsia="en-US"/>
              </w:rPr>
            </w:pPr>
          </w:p>
        </w:tc>
        <w:tc>
          <w:tcPr>
            <w:tcW w:w="223" w:type="dxa"/>
          </w:tcPr>
          <w:p w14:paraId="7E806B8E" w14:textId="77777777" w:rsidR="007F0076" w:rsidRPr="00995C95" w:rsidRDefault="007F0076" w:rsidP="00E87182">
            <w:pPr>
              <w:pStyle w:val="Textpoznpodarou1"/>
              <w:jc w:val="both"/>
              <w:rPr>
                <w:lang w:eastAsia="en-US"/>
              </w:rPr>
            </w:pPr>
          </w:p>
        </w:tc>
        <w:tc>
          <w:tcPr>
            <w:tcW w:w="7625" w:type="dxa"/>
            <w:hideMark/>
          </w:tcPr>
          <w:p w14:paraId="1FAB30FB" w14:textId="3B77B17B" w:rsidR="007F0076" w:rsidRPr="00995C95" w:rsidRDefault="00E476F4" w:rsidP="00E87182">
            <w:pPr>
              <w:spacing w:after="0"/>
              <w:rPr>
                <w:rStyle w:val="Znakapoznpodarou"/>
              </w:rPr>
            </w:pPr>
            <w:r w:rsidRPr="00995C95">
              <w:rPr>
                <w:b/>
                <w:sz w:val="18"/>
                <w:szCs w:val="18"/>
                <w:lang w:eastAsia="en-US"/>
              </w:rPr>
              <w:t xml:space="preserve">Chart </w:t>
            </w:r>
            <w:r w:rsidR="007F0076" w:rsidRPr="00995C95">
              <w:rPr>
                <w:b/>
                <w:sz w:val="18"/>
                <w:szCs w:val="18"/>
                <w:lang w:eastAsia="en-US"/>
              </w:rPr>
              <w:t>1</w:t>
            </w:r>
            <w:r w:rsidR="00281666" w:rsidRPr="00995C95">
              <w:rPr>
                <w:b/>
                <w:sz w:val="18"/>
                <w:szCs w:val="18"/>
                <w:lang w:eastAsia="en-US"/>
              </w:rPr>
              <w:t>2</w:t>
            </w:r>
            <w:r w:rsidR="007F0076" w:rsidRPr="00995C95">
              <w:rPr>
                <w:b/>
                <w:sz w:val="18"/>
                <w:szCs w:val="18"/>
                <w:lang w:eastAsia="en-US"/>
              </w:rPr>
              <w:t xml:space="preserve"> </w:t>
            </w:r>
            <w:r w:rsidR="00C354A2" w:rsidRPr="00995C95">
              <w:rPr>
                <w:b/>
                <w:sz w:val="18"/>
                <w:szCs w:val="18"/>
                <w:lang w:eastAsia="en-US"/>
              </w:rPr>
              <w:t xml:space="preserve">Real estate prices </w:t>
            </w:r>
            <w:r w:rsidR="00C354A2" w:rsidRPr="00995C95">
              <w:rPr>
                <w:sz w:val="18"/>
                <w:szCs w:val="18"/>
                <w:lang w:eastAsia="en-US"/>
              </w:rPr>
              <w:t>(year-on-year change, in %)</w:t>
            </w:r>
          </w:p>
        </w:tc>
      </w:tr>
      <w:tr w:rsidR="007F0076" w:rsidRPr="00995C95" w14:paraId="038B98A9" w14:textId="77777777" w:rsidTr="00F923AC">
        <w:tblPrEx>
          <w:tblCellMar>
            <w:left w:w="70" w:type="dxa"/>
            <w:right w:w="70" w:type="dxa"/>
          </w:tblCellMar>
        </w:tblPrEx>
        <w:trPr>
          <w:trHeight w:val="145"/>
        </w:trPr>
        <w:tc>
          <w:tcPr>
            <w:tcW w:w="1791" w:type="dxa"/>
          </w:tcPr>
          <w:p w14:paraId="06FA447B" w14:textId="77777777" w:rsidR="007F0076" w:rsidRPr="00995C95" w:rsidRDefault="007F0076" w:rsidP="00E87182">
            <w:pPr>
              <w:pStyle w:val="Marginlie"/>
              <w:rPr>
                <w:spacing w:val="0"/>
              </w:rPr>
            </w:pPr>
          </w:p>
        </w:tc>
        <w:tc>
          <w:tcPr>
            <w:tcW w:w="223" w:type="dxa"/>
          </w:tcPr>
          <w:p w14:paraId="4A21D303" w14:textId="77777777" w:rsidR="007F0076" w:rsidRPr="00995C95" w:rsidRDefault="007F0076" w:rsidP="00E87182">
            <w:pPr>
              <w:pStyle w:val="Textpoznpodarou1"/>
              <w:jc w:val="both"/>
              <w:rPr>
                <w:lang w:eastAsia="en-US"/>
              </w:rPr>
            </w:pPr>
          </w:p>
        </w:tc>
        <w:tc>
          <w:tcPr>
            <w:tcW w:w="7625" w:type="dxa"/>
            <w:hideMark/>
          </w:tcPr>
          <w:p w14:paraId="0EA8FA00" w14:textId="17DA0AA3" w:rsidR="007F0076" w:rsidRPr="00995C95" w:rsidRDefault="00F923AC" w:rsidP="00E87182">
            <w:pPr>
              <w:spacing w:after="0"/>
              <w:rPr>
                <w:rStyle w:val="Znakapoznpodarou"/>
              </w:rPr>
            </w:pPr>
            <w:r>
              <w:rPr>
                <w:noProof/>
              </w:rPr>
              <w:drawing>
                <wp:inline distT="0" distB="0" distL="0" distR="0" wp14:anchorId="22D6CE9B" wp14:editId="25C0DD69">
                  <wp:extent cx="4737600" cy="3553200"/>
                  <wp:effectExtent l="0" t="0" r="6350" b="0"/>
                  <wp:docPr id="1836118406" name="Graf 1">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7F0076" w:rsidRPr="00995C95" w14:paraId="2507BBC4" w14:textId="77777777" w:rsidTr="00E87182">
        <w:trPr>
          <w:trHeight w:val="145"/>
        </w:trPr>
        <w:tc>
          <w:tcPr>
            <w:tcW w:w="1791" w:type="dxa"/>
          </w:tcPr>
          <w:p w14:paraId="1D6C49E3" w14:textId="77777777" w:rsidR="007F0076" w:rsidRPr="00995C95" w:rsidRDefault="007F0076" w:rsidP="00E87182">
            <w:pPr>
              <w:pStyle w:val="Marginlie"/>
              <w:rPr>
                <w:spacing w:val="0"/>
              </w:rPr>
            </w:pPr>
          </w:p>
        </w:tc>
        <w:tc>
          <w:tcPr>
            <w:tcW w:w="223" w:type="dxa"/>
          </w:tcPr>
          <w:p w14:paraId="5E5B4FAC" w14:textId="77777777" w:rsidR="007F0076" w:rsidRPr="00995C95" w:rsidRDefault="007F0076" w:rsidP="00E87182">
            <w:pPr>
              <w:pStyle w:val="Textpoznpodarou1"/>
              <w:jc w:val="both"/>
              <w:rPr>
                <w:lang w:eastAsia="en-US"/>
              </w:rPr>
            </w:pPr>
          </w:p>
        </w:tc>
        <w:tc>
          <w:tcPr>
            <w:tcW w:w="7625" w:type="dxa"/>
            <w:hideMark/>
          </w:tcPr>
          <w:p w14:paraId="700C5AE3" w14:textId="562355BE" w:rsidR="00753EB4" w:rsidRPr="00995C95" w:rsidRDefault="00753EB4" w:rsidP="00F923AC">
            <w:pPr>
              <w:spacing w:after="120"/>
              <w:jc w:val="left"/>
              <w:rPr>
                <w:rStyle w:val="Znakapoznpodarou"/>
                <w:sz w:val="16"/>
                <w:szCs w:val="16"/>
              </w:rPr>
            </w:pPr>
            <w:r w:rsidRPr="00995C95">
              <w:rPr>
                <w:sz w:val="16"/>
                <w:szCs w:val="16"/>
                <w:lang w:eastAsia="en-US"/>
              </w:rPr>
              <w:t>Source</w:t>
            </w:r>
            <w:r w:rsidR="007F0076" w:rsidRPr="00995C95">
              <w:rPr>
                <w:sz w:val="16"/>
                <w:szCs w:val="16"/>
                <w:lang w:eastAsia="en-US"/>
              </w:rPr>
              <w:t xml:space="preserve">: </w:t>
            </w:r>
            <w:r w:rsidRPr="00995C95">
              <w:rPr>
                <w:sz w:val="16"/>
                <w:szCs w:val="16"/>
                <w:lang w:eastAsia="en-US"/>
              </w:rPr>
              <w:t>CZSO</w:t>
            </w:r>
          </w:p>
        </w:tc>
      </w:tr>
      <w:tr w:rsidR="007F0076" w:rsidRPr="00995C95" w14:paraId="6F04C298" w14:textId="77777777" w:rsidTr="00E87182">
        <w:trPr>
          <w:trHeight w:val="145"/>
        </w:trPr>
        <w:tc>
          <w:tcPr>
            <w:tcW w:w="1791" w:type="dxa"/>
          </w:tcPr>
          <w:p w14:paraId="34BB0713" w14:textId="5FA48523" w:rsidR="007F0076" w:rsidRPr="00995C95" w:rsidRDefault="00DD0A61" w:rsidP="00DD0A61">
            <w:pPr>
              <w:pStyle w:val="Marginlie"/>
              <w:rPr>
                <w:spacing w:val="0"/>
                <w:lang w:eastAsia="en-US"/>
              </w:rPr>
            </w:pPr>
            <w:r w:rsidRPr="00995C95">
              <w:rPr>
                <w:spacing w:val="0"/>
                <w:lang w:eastAsia="en-US"/>
              </w:rPr>
              <w:t xml:space="preserve">Industrial producer prices fell </w:t>
            </w:r>
            <w:r w:rsidR="0089588A" w:rsidRPr="00995C95">
              <w:rPr>
                <w:spacing w:val="0"/>
                <w:lang w:eastAsia="en-US"/>
              </w:rPr>
              <w:t xml:space="preserve">in total </w:t>
            </w:r>
            <w:r w:rsidRPr="00995C95">
              <w:rPr>
                <w:spacing w:val="0"/>
                <w:lang w:eastAsia="en-US"/>
              </w:rPr>
              <w:t>last year.</w:t>
            </w:r>
          </w:p>
        </w:tc>
        <w:tc>
          <w:tcPr>
            <w:tcW w:w="223" w:type="dxa"/>
          </w:tcPr>
          <w:p w14:paraId="060B3893" w14:textId="77777777" w:rsidR="007F0076" w:rsidRPr="00995C95" w:rsidRDefault="007F0076" w:rsidP="00E87182">
            <w:pPr>
              <w:pStyle w:val="Textpoznpodarou1"/>
              <w:jc w:val="both"/>
              <w:rPr>
                <w:lang w:eastAsia="en-US"/>
              </w:rPr>
            </w:pPr>
          </w:p>
        </w:tc>
        <w:tc>
          <w:tcPr>
            <w:tcW w:w="7625" w:type="dxa"/>
          </w:tcPr>
          <w:p w14:paraId="77861C9E" w14:textId="4F7F9352" w:rsidR="007F0076" w:rsidRPr="00995C95" w:rsidRDefault="0089588A" w:rsidP="00F26464">
            <w:pPr>
              <w:rPr>
                <w:lang w:eastAsia="en-US"/>
              </w:rPr>
            </w:pPr>
            <w:r w:rsidRPr="00995C95">
              <w:rPr>
                <w:lang w:eastAsia="en-US"/>
              </w:rPr>
              <w:t>In total</w:t>
            </w:r>
            <w:r w:rsidR="00F26464" w:rsidRPr="00995C95">
              <w:rPr>
                <w:lang w:eastAsia="en-US"/>
              </w:rPr>
              <w:t>, industrial producer prices fell by 0.8% in 2025, the first decrease since 2016. Only prices of water supply and related services were higher</w:t>
            </w:r>
            <w:r w:rsidR="00192938" w:rsidRPr="00995C95">
              <w:rPr>
                <w:lang w:eastAsia="en-US"/>
              </w:rPr>
              <w:t>,</w:t>
            </w:r>
            <w:r w:rsidR="00F26464" w:rsidRPr="00995C95">
              <w:rPr>
                <w:lang w:eastAsia="en-US"/>
              </w:rPr>
              <w:t xml:space="preserve"> year-on-year (4.1%). Mining and quarrying prices fell the most (−3.8%). </w:t>
            </w:r>
            <w:r w:rsidR="0005414D" w:rsidRPr="00995C95">
              <w:rPr>
                <w:lang w:eastAsia="en-US"/>
              </w:rPr>
              <w:t xml:space="preserve">Among </w:t>
            </w:r>
            <w:r w:rsidR="00F26464" w:rsidRPr="00995C95">
              <w:rPr>
                <w:lang w:eastAsia="en-US"/>
              </w:rPr>
              <w:t xml:space="preserve">these, the prices of coal and lignite mining fell by 9.6% and </w:t>
            </w:r>
            <w:r w:rsidR="00643D6B" w:rsidRPr="00995C95">
              <w:rPr>
                <w:lang w:eastAsia="en-US"/>
              </w:rPr>
              <w:t xml:space="preserve">crude </w:t>
            </w:r>
            <w:r w:rsidR="00F26464" w:rsidRPr="00995C95">
              <w:rPr>
                <w:lang w:eastAsia="en-US"/>
              </w:rPr>
              <w:t xml:space="preserve">oil and natural gas by 15.5%. On the </w:t>
            </w:r>
            <w:r w:rsidR="0005414D" w:rsidRPr="00995C95">
              <w:rPr>
                <w:lang w:eastAsia="en-US"/>
              </w:rPr>
              <w:t>contrary</w:t>
            </w:r>
            <w:r w:rsidR="00F26464" w:rsidRPr="00995C95">
              <w:rPr>
                <w:lang w:eastAsia="en-US"/>
              </w:rPr>
              <w:t>, prices of other mining, especially construction materials, rose (5.8%). Prices for electricity, gas, steam and air-condition</w:t>
            </w:r>
            <w:r w:rsidR="00F503E4" w:rsidRPr="00995C95">
              <w:rPr>
                <w:lang w:eastAsia="en-US"/>
              </w:rPr>
              <w:t xml:space="preserve">ing </w:t>
            </w:r>
            <w:r w:rsidR="00F26464" w:rsidRPr="00995C95">
              <w:rPr>
                <w:lang w:eastAsia="en-US"/>
              </w:rPr>
              <w:t xml:space="preserve">were 2.9% lower in 2025. The year-on-year development of prices of products and services in manufacturing was around the stagnation threshold for most of the year, and </w:t>
            </w:r>
            <w:r w:rsidR="0067086B" w:rsidRPr="00995C95">
              <w:rPr>
                <w:lang w:eastAsia="en-US"/>
              </w:rPr>
              <w:t xml:space="preserve">total </w:t>
            </w:r>
            <w:r w:rsidR="00F26464" w:rsidRPr="00995C95">
              <w:rPr>
                <w:lang w:eastAsia="en-US"/>
              </w:rPr>
              <w:t xml:space="preserve">prices in this </w:t>
            </w:r>
            <w:r w:rsidR="0067086B" w:rsidRPr="00995C95">
              <w:rPr>
                <w:lang w:eastAsia="en-US"/>
              </w:rPr>
              <w:t xml:space="preserve">division </w:t>
            </w:r>
            <w:r w:rsidR="00F26464" w:rsidRPr="00995C95">
              <w:rPr>
                <w:lang w:eastAsia="en-US"/>
              </w:rPr>
              <w:t xml:space="preserve">fell by 0.2% last year. </w:t>
            </w:r>
            <w:r w:rsidR="00113951" w:rsidRPr="00995C95">
              <w:rPr>
                <w:lang w:eastAsia="en-US"/>
              </w:rPr>
              <w:t>P</w:t>
            </w:r>
            <w:r w:rsidR="00F26464" w:rsidRPr="00995C95">
              <w:rPr>
                <w:lang w:eastAsia="en-US"/>
              </w:rPr>
              <w:t xml:space="preserve">rices of chemicals and </w:t>
            </w:r>
            <w:r w:rsidR="000968F4" w:rsidRPr="00995C95">
              <w:rPr>
                <w:lang w:eastAsia="en-US"/>
              </w:rPr>
              <w:t xml:space="preserve">chemical products </w:t>
            </w:r>
            <w:r w:rsidR="00F26464" w:rsidRPr="00995C95">
              <w:rPr>
                <w:lang w:eastAsia="en-US"/>
              </w:rPr>
              <w:t xml:space="preserve">(−5.6%), basic metals (−2.6%), </w:t>
            </w:r>
            <w:r w:rsidR="00F26464" w:rsidRPr="00995C95">
              <w:rPr>
                <w:lang w:eastAsia="en-US"/>
              </w:rPr>
              <w:lastRenderedPageBreak/>
              <w:t>electrical equipment (−1.3%), metal</w:t>
            </w:r>
            <w:r w:rsidR="000968F4" w:rsidRPr="00995C95">
              <w:rPr>
                <w:lang w:eastAsia="en-US"/>
              </w:rPr>
              <w:t>working</w:t>
            </w:r>
            <w:r w:rsidR="00F26464" w:rsidRPr="00995C95">
              <w:rPr>
                <w:lang w:eastAsia="en-US"/>
              </w:rPr>
              <w:t xml:space="preserve"> products (−0.5%) </w:t>
            </w:r>
            <w:r w:rsidR="000968F4" w:rsidRPr="00995C95">
              <w:rPr>
                <w:lang w:eastAsia="en-US"/>
              </w:rPr>
              <w:t xml:space="preserve">or </w:t>
            </w:r>
            <w:r w:rsidR="00F26464" w:rsidRPr="00995C95">
              <w:rPr>
                <w:lang w:eastAsia="en-US"/>
              </w:rPr>
              <w:t>motor vehicles (−0.2%) were lower</w:t>
            </w:r>
            <w:r w:rsidR="000968F4" w:rsidRPr="00995C95">
              <w:rPr>
                <w:lang w:eastAsia="en-US"/>
              </w:rPr>
              <w:t xml:space="preserve"> last year</w:t>
            </w:r>
            <w:r w:rsidR="00F26464" w:rsidRPr="00995C95">
              <w:rPr>
                <w:lang w:eastAsia="en-US"/>
              </w:rPr>
              <w:t xml:space="preserve">. </w:t>
            </w:r>
            <w:r w:rsidR="000968F4" w:rsidRPr="00995C95">
              <w:rPr>
                <w:lang w:eastAsia="en-US"/>
              </w:rPr>
              <w:t>In contrast</w:t>
            </w:r>
            <w:r w:rsidR="00F26464" w:rsidRPr="00995C95">
              <w:rPr>
                <w:lang w:eastAsia="en-US"/>
              </w:rPr>
              <w:t>, prices of wood and wooden products (4.8%), clothing (4.4%), repairs, maintenance and installation of machinery and equipment (4.1%), other</w:t>
            </w:r>
            <w:r w:rsidR="00CA6C88" w:rsidRPr="00995C95">
              <w:rPr>
                <w:lang w:eastAsia="en-US"/>
              </w:rPr>
              <w:t xml:space="preserve"> </w:t>
            </w:r>
            <w:r w:rsidR="00F26464" w:rsidRPr="00995C95">
              <w:rPr>
                <w:lang w:eastAsia="en-US"/>
              </w:rPr>
              <w:t>transport</w:t>
            </w:r>
            <w:r w:rsidR="00CA6C88" w:rsidRPr="00995C95">
              <w:rPr>
                <w:lang w:eastAsia="en-US"/>
              </w:rPr>
              <w:t xml:space="preserve"> equipment</w:t>
            </w:r>
            <w:r w:rsidR="00F26464" w:rsidRPr="00995C95">
              <w:rPr>
                <w:lang w:eastAsia="en-US"/>
              </w:rPr>
              <w:t xml:space="preserve"> (3.9%) and basic pharmaceutical products and preparations (3.1%) increased significantly.</w:t>
            </w:r>
            <w:r w:rsidR="007F0076" w:rsidRPr="00995C95">
              <w:rPr>
                <w:lang w:eastAsia="en-US"/>
              </w:rPr>
              <w:t xml:space="preserve"> </w:t>
            </w:r>
          </w:p>
        </w:tc>
      </w:tr>
      <w:tr w:rsidR="007F0076" w:rsidRPr="00995C95" w14:paraId="227B0F09" w14:textId="77777777" w:rsidTr="00E87182">
        <w:trPr>
          <w:trHeight w:val="145"/>
        </w:trPr>
        <w:tc>
          <w:tcPr>
            <w:tcW w:w="1791" w:type="dxa"/>
          </w:tcPr>
          <w:p w14:paraId="24AA4252" w14:textId="2435ECB9" w:rsidR="007F0076" w:rsidRPr="00995C95" w:rsidRDefault="004D797A" w:rsidP="004D4C36">
            <w:pPr>
              <w:pStyle w:val="Marginlie"/>
              <w:rPr>
                <w:spacing w:val="0"/>
                <w:lang w:eastAsia="en-US"/>
              </w:rPr>
            </w:pPr>
            <w:r w:rsidRPr="00995C95">
              <w:rPr>
                <w:lang w:eastAsia="en-US"/>
              </w:rPr>
              <w:lastRenderedPageBreak/>
              <w:t>The year-on-year dec</w:t>
            </w:r>
            <w:r w:rsidR="004D4C36" w:rsidRPr="00995C95">
              <w:rPr>
                <w:lang w:eastAsia="en-US"/>
              </w:rPr>
              <w:t xml:space="preserve">rease of </w:t>
            </w:r>
            <w:r w:rsidRPr="00995C95">
              <w:rPr>
                <w:lang w:eastAsia="en-US"/>
              </w:rPr>
              <w:t>industrial producer prices deepened during the year.</w:t>
            </w:r>
          </w:p>
        </w:tc>
        <w:tc>
          <w:tcPr>
            <w:tcW w:w="223" w:type="dxa"/>
          </w:tcPr>
          <w:p w14:paraId="32BF1C6E" w14:textId="77777777" w:rsidR="007F0076" w:rsidRPr="00995C95" w:rsidRDefault="007F0076" w:rsidP="00E87182">
            <w:pPr>
              <w:pStyle w:val="Textpoznpodarou1"/>
              <w:jc w:val="both"/>
              <w:rPr>
                <w:lang w:eastAsia="en-US"/>
              </w:rPr>
            </w:pPr>
          </w:p>
        </w:tc>
        <w:tc>
          <w:tcPr>
            <w:tcW w:w="7625" w:type="dxa"/>
            <w:hideMark/>
          </w:tcPr>
          <w:p w14:paraId="68B27D3A" w14:textId="29991DF6" w:rsidR="007F0076" w:rsidRPr="00995C95" w:rsidRDefault="00E94D5E" w:rsidP="002C3E22">
            <w:pPr>
              <w:rPr>
                <w:lang w:eastAsia="en-US"/>
              </w:rPr>
            </w:pPr>
            <w:r w:rsidRPr="00995C95">
              <w:rPr>
                <w:lang w:eastAsia="en-US"/>
              </w:rPr>
              <w:t xml:space="preserve">In the course of the year, </w:t>
            </w:r>
            <w:r w:rsidR="00B74326" w:rsidRPr="00995C95">
              <w:rPr>
                <w:lang w:eastAsia="en-US"/>
              </w:rPr>
              <w:t>t</w:t>
            </w:r>
            <w:r w:rsidR="002C3E22" w:rsidRPr="00995C95">
              <w:rPr>
                <w:lang w:eastAsia="en-US"/>
              </w:rPr>
              <w:t>he d</w:t>
            </w:r>
            <w:r w:rsidRPr="00995C95">
              <w:rPr>
                <w:lang w:eastAsia="en-US"/>
              </w:rPr>
              <w:t xml:space="preserve">rop of </w:t>
            </w:r>
            <w:r w:rsidR="002C3E22" w:rsidRPr="00995C95">
              <w:rPr>
                <w:lang w:eastAsia="en-US"/>
              </w:rPr>
              <w:t xml:space="preserve">industrial producer prices gradually deepened </w:t>
            </w:r>
            <w:r w:rsidRPr="00995C95">
              <w:rPr>
                <w:lang w:eastAsia="en-US"/>
              </w:rPr>
              <w:t xml:space="preserve">down </w:t>
            </w:r>
            <w:r w:rsidR="002C3E22" w:rsidRPr="00995C95">
              <w:rPr>
                <w:lang w:eastAsia="en-US"/>
              </w:rPr>
              <w:t>to -1.5% in Q4. Industrial producer prices decreased by 0.2%, quarter-on-quarter. Mining and quarrying prices maintained a similar year-on-year decline as in the previous quarter (-4.2%) and fell by 0.4%</w:t>
            </w:r>
            <w:r w:rsidR="00804BA6" w:rsidRPr="00995C95">
              <w:rPr>
                <w:lang w:eastAsia="en-US"/>
              </w:rPr>
              <w:t>,</w:t>
            </w:r>
            <w:r w:rsidR="002C3E22" w:rsidRPr="00995C95">
              <w:rPr>
                <w:lang w:eastAsia="en-US"/>
              </w:rPr>
              <w:t xml:space="preserve"> quarter-on-quarter. The development within the </w:t>
            </w:r>
            <w:r w:rsidR="00804BA6" w:rsidRPr="00995C95">
              <w:rPr>
                <w:lang w:eastAsia="en-US"/>
              </w:rPr>
              <w:t xml:space="preserve">division </w:t>
            </w:r>
            <w:r w:rsidR="002C3E22" w:rsidRPr="00995C95">
              <w:rPr>
                <w:lang w:eastAsia="en-US"/>
              </w:rPr>
              <w:t xml:space="preserve">did not differ from the rest of the year. The prices of coal and lignite mining (−10.0%) and </w:t>
            </w:r>
            <w:r w:rsidR="00343FA5" w:rsidRPr="00995C95">
              <w:rPr>
                <w:lang w:eastAsia="en-US"/>
              </w:rPr>
              <w:t xml:space="preserve">crude </w:t>
            </w:r>
            <w:r w:rsidR="002C3E22" w:rsidRPr="00995C95">
              <w:rPr>
                <w:lang w:eastAsia="en-US"/>
              </w:rPr>
              <w:t>oil and gas (−15.0%) decreased the most, y</w:t>
            </w:r>
            <w:r w:rsidR="003619E4" w:rsidRPr="00995C95">
              <w:rPr>
                <w:lang w:eastAsia="en-US"/>
              </w:rPr>
              <w:t>ear</w:t>
            </w:r>
            <w:r w:rsidR="002C3E22" w:rsidRPr="00995C95">
              <w:rPr>
                <w:lang w:eastAsia="en-US"/>
              </w:rPr>
              <w:t>-o</w:t>
            </w:r>
            <w:r w:rsidR="003619E4" w:rsidRPr="00995C95">
              <w:rPr>
                <w:lang w:eastAsia="en-US"/>
              </w:rPr>
              <w:t>n</w:t>
            </w:r>
            <w:r w:rsidR="002C3E22" w:rsidRPr="00995C95">
              <w:rPr>
                <w:lang w:eastAsia="en-US"/>
              </w:rPr>
              <w:t>-y</w:t>
            </w:r>
            <w:r w:rsidR="003619E4" w:rsidRPr="00995C95">
              <w:rPr>
                <w:lang w:eastAsia="en-US"/>
              </w:rPr>
              <w:t>ear</w:t>
            </w:r>
            <w:r w:rsidR="002C3E22" w:rsidRPr="00995C95">
              <w:rPr>
                <w:lang w:eastAsia="en-US"/>
              </w:rPr>
              <w:t xml:space="preserve">. On the </w:t>
            </w:r>
            <w:r w:rsidR="003619E4" w:rsidRPr="00995C95">
              <w:rPr>
                <w:lang w:eastAsia="en-US"/>
              </w:rPr>
              <w:t>contrary</w:t>
            </w:r>
            <w:r w:rsidR="002C3E22" w:rsidRPr="00995C95">
              <w:rPr>
                <w:lang w:eastAsia="en-US"/>
              </w:rPr>
              <w:t xml:space="preserve">, prices of other mining rose (5.2%). The year-on-year </w:t>
            </w:r>
            <w:r w:rsidR="003619E4" w:rsidRPr="00995C95">
              <w:rPr>
                <w:lang w:eastAsia="en-US"/>
              </w:rPr>
              <w:t xml:space="preserve">fall of </w:t>
            </w:r>
            <w:r w:rsidR="002C3E22" w:rsidRPr="00995C95">
              <w:rPr>
                <w:lang w:eastAsia="en-US"/>
              </w:rPr>
              <w:t>electricity, gas, steam and air-condition</w:t>
            </w:r>
            <w:r w:rsidR="00C2750F" w:rsidRPr="00995C95">
              <w:rPr>
                <w:lang w:eastAsia="en-US"/>
              </w:rPr>
              <w:t xml:space="preserve">ing </w:t>
            </w:r>
            <w:r w:rsidR="002C3E22" w:rsidRPr="00995C95">
              <w:rPr>
                <w:lang w:eastAsia="en-US"/>
              </w:rPr>
              <w:t>prices deepened to -3.8% in Q4 and prices were 1.2% higher</w:t>
            </w:r>
            <w:r w:rsidR="00C2750F" w:rsidRPr="00995C95">
              <w:rPr>
                <w:lang w:eastAsia="en-US"/>
              </w:rPr>
              <w:t>,</w:t>
            </w:r>
            <w:r w:rsidR="002C3E22" w:rsidRPr="00995C95">
              <w:rPr>
                <w:lang w:eastAsia="en-US"/>
              </w:rPr>
              <w:t xml:space="preserve"> quarter-on-quarter. The year-on-year dec</w:t>
            </w:r>
            <w:r w:rsidR="0046530C" w:rsidRPr="00995C95">
              <w:rPr>
                <w:lang w:eastAsia="en-US"/>
              </w:rPr>
              <w:t xml:space="preserve">rease of prices of </w:t>
            </w:r>
            <w:r w:rsidR="002C3E22" w:rsidRPr="00995C95">
              <w:rPr>
                <w:lang w:eastAsia="en-US"/>
              </w:rPr>
              <w:t xml:space="preserve">manufacturing products and services deepened to -0.9% in Q4 and prices fell by 0.6%, quarter-on-quarter. </w:t>
            </w:r>
            <w:r w:rsidR="00442D09" w:rsidRPr="00995C95">
              <w:rPr>
                <w:lang w:eastAsia="en-US"/>
              </w:rPr>
              <w:t>Especially p</w:t>
            </w:r>
            <w:r w:rsidR="002C3E22" w:rsidRPr="00995C95">
              <w:rPr>
                <w:lang w:eastAsia="en-US"/>
              </w:rPr>
              <w:t xml:space="preserve">rices of chemicals and </w:t>
            </w:r>
            <w:r w:rsidR="00442D09" w:rsidRPr="00995C95">
              <w:rPr>
                <w:lang w:eastAsia="en-US"/>
              </w:rPr>
              <w:t xml:space="preserve">chemical products slumped, </w:t>
            </w:r>
            <w:r w:rsidR="002C3E22" w:rsidRPr="00995C95">
              <w:rPr>
                <w:lang w:eastAsia="en-US"/>
              </w:rPr>
              <w:t xml:space="preserve">year-on-year (−8.1%), while the decline deepened </w:t>
            </w:r>
            <w:r w:rsidR="00442D09" w:rsidRPr="00995C95">
              <w:rPr>
                <w:lang w:eastAsia="en-US"/>
              </w:rPr>
              <w:t xml:space="preserve">for </w:t>
            </w:r>
            <w:r w:rsidR="002C3E22" w:rsidRPr="00995C95">
              <w:rPr>
                <w:lang w:eastAsia="en-US"/>
              </w:rPr>
              <w:t>paper and paper products (−3.7%), and prices of basic metals (−2.7%), motor vehicles (−2.0%), electrical equipment (−2.0%) and metal</w:t>
            </w:r>
            <w:r w:rsidR="00D7385F" w:rsidRPr="00995C95">
              <w:rPr>
                <w:lang w:eastAsia="en-US"/>
              </w:rPr>
              <w:t>working</w:t>
            </w:r>
            <w:r w:rsidR="002C3E22" w:rsidRPr="00995C95">
              <w:rPr>
                <w:lang w:eastAsia="en-US"/>
              </w:rPr>
              <w:t xml:space="preserve"> products (−0.9%) were also lower. At the end of the year, prices of computers, electronic and optical </w:t>
            </w:r>
            <w:r w:rsidR="0063327C" w:rsidRPr="00995C95">
              <w:rPr>
                <w:lang w:eastAsia="en-US"/>
              </w:rPr>
              <w:t xml:space="preserve">appliances </w:t>
            </w:r>
            <w:r w:rsidR="002C3E22" w:rsidRPr="00995C95">
              <w:rPr>
                <w:lang w:eastAsia="en-US"/>
              </w:rPr>
              <w:t>and equipment (−1.7%) and rubber and plastic products (−1.3%) fell</w:t>
            </w:r>
            <w:r w:rsidR="0063327C" w:rsidRPr="00995C95">
              <w:rPr>
                <w:lang w:eastAsia="en-US"/>
              </w:rPr>
              <w:t>,</w:t>
            </w:r>
            <w:r w:rsidR="002C3E22" w:rsidRPr="00995C95">
              <w:rPr>
                <w:lang w:eastAsia="en-US"/>
              </w:rPr>
              <w:t xml:space="preserve"> year-on-year. On the </w:t>
            </w:r>
            <w:r w:rsidR="0063327C" w:rsidRPr="00995C95">
              <w:rPr>
                <w:lang w:eastAsia="en-US"/>
              </w:rPr>
              <w:t>contrary</w:t>
            </w:r>
            <w:r w:rsidR="002C3E22" w:rsidRPr="00995C95">
              <w:rPr>
                <w:lang w:eastAsia="en-US"/>
              </w:rPr>
              <w:t xml:space="preserve">, the year-on-year increase </w:t>
            </w:r>
            <w:r w:rsidR="0063327C" w:rsidRPr="00995C95">
              <w:rPr>
                <w:lang w:eastAsia="en-US"/>
              </w:rPr>
              <w:t>of</w:t>
            </w:r>
            <w:r w:rsidR="002C3E22" w:rsidRPr="00995C95">
              <w:rPr>
                <w:lang w:eastAsia="en-US"/>
              </w:rPr>
              <w:t xml:space="preserve"> prices of wood and wood products accelerated significantly (7.5%), while prices of other transport</w:t>
            </w:r>
            <w:r w:rsidR="007E6A6D" w:rsidRPr="00995C95">
              <w:rPr>
                <w:lang w:eastAsia="en-US"/>
              </w:rPr>
              <w:t xml:space="preserve"> equipment</w:t>
            </w:r>
            <w:r w:rsidR="002C3E22" w:rsidRPr="00995C95">
              <w:rPr>
                <w:lang w:eastAsia="en-US"/>
              </w:rPr>
              <w:t xml:space="preserve"> (4.2%), repairs, maintenance and installation of machinery and equipment (3.9%), clothing (3.6%), furniture (3.2%) and basic pharmaceutical products and preparations (3.1%) were also higher.</w:t>
            </w:r>
            <w:r w:rsidR="0004072B" w:rsidRPr="00995C95">
              <w:rPr>
                <w:lang w:eastAsia="en-US"/>
              </w:rPr>
              <w:t xml:space="preserve"> </w:t>
            </w:r>
          </w:p>
        </w:tc>
      </w:tr>
      <w:tr w:rsidR="007F0076" w:rsidRPr="00995C95" w14:paraId="67E8BA7F" w14:textId="77777777" w:rsidTr="00E87182">
        <w:trPr>
          <w:trHeight w:val="145"/>
        </w:trPr>
        <w:tc>
          <w:tcPr>
            <w:tcW w:w="1791" w:type="dxa"/>
          </w:tcPr>
          <w:p w14:paraId="65FC9480" w14:textId="77777777" w:rsidR="007F0076" w:rsidRPr="00995C95" w:rsidRDefault="007F0076" w:rsidP="00E87182">
            <w:pPr>
              <w:pStyle w:val="Marginlie"/>
              <w:rPr>
                <w:spacing w:val="0"/>
                <w:lang w:eastAsia="en-US"/>
              </w:rPr>
            </w:pPr>
          </w:p>
        </w:tc>
        <w:tc>
          <w:tcPr>
            <w:tcW w:w="223" w:type="dxa"/>
          </w:tcPr>
          <w:p w14:paraId="25D9D03D" w14:textId="77777777" w:rsidR="007F0076" w:rsidRPr="00995C95" w:rsidRDefault="007F0076" w:rsidP="00E87182">
            <w:pPr>
              <w:pStyle w:val="Textpoznpodarou1"/>
              <w:jc w:val="both"/>
              <w:rPr>
                <w:lang w:eastAsia="en-US"/>
              </w:rPr>
            </w:pPr>
          </w:p>
        </w:tc>
        <w:tc>
          <w:tcPr>
            <w:tcW w:w="7625" w:type="dxa"/>
            <w:hideMark/>
          </w:tcPr>
          <w:p w14:paraId="3016708E" w14:textId="2D93AC29" w:rsidR="007F0076" w:rsidRPr="00995C95" w:rsidRDefault="00CA6C88" w:rsidP="00E87182">
            <w:pPr>
              <w:spacing w:after="0"/>
              <w:rPr>
                <w:lang w:eastAsia="en-US"/>
              </w:rPr>
            </w:pPr>
            <w:r w:rsidRPr="00995C95">
              <w:rPr>
                <w:b/>
                <w:sz w:val="18"/>
                <w:szCs w:val="18"/>
                <w:lang w:eastAsia="en-US"/>
              </w:rPr>
              <w:t xml:space="preserve">Chart </w:t>
            </w:r>
            <w:r w:rsidR="007F0076" w:rsidRPr="00995C95">
              <w:rPr>
                <w:b/>
                <w:sz w:val="18"/>
                <w:szCs w:val="18"/>
                <w:lang w:eastAsia="en-US"/>
              </w:rPr>
              <w:t>1</w:t>
            </w:r>
            <w:r w:rsidR="00281666" w:rsidRPr="00995C95">
              <w:rPr>
                <w:b/>
                <w:sz w:val="18"/>
                <w:szCs w:val="18"/>
                <w:lang w:eastAsia="en-US"/>
              </w:rPr>
              <w:t>3</w:t>
            </w:r>
            <w:r w:rsidR="007F0076" w:rsidRPr="00995C95">
              <w:rPr>
                <w:b/>
                <w:sz w:val="18"/>
                <w:szCs w:val="18"/>
                <w:lang w:eastAsia="en-US"/>
              </w:rPr>
              <w:t xml:space="preserve"> </w:t>
            </w:r>
            <w:r w:rsidR="005938E3" w:rsidRPr="00995C95">
              <w:rPr>
                <w:b/>
                <w:sz w:val="18"/>
                <w:szCs w:val="18"/>
                <w:lang w:eastAsia="en-US"/>
              </w:rPr>
              <w:t xml:space="preserve">Prices of main groups of industrial producers </w:t>
            </w:r>
            <w:r w:rsidR="005938E3" w:rsidRPr="00995C95">
              <w:rPr>
                <w:bCs/>
                <w:sz w:val="18"/>
                <w:szCs w:val="18"/>
                <w:lang w:eastAsia="en-US"/>
              </w:rPr>
              <w:t>(year-on-year change, in %, based on CPA classification)</w:t>
            </w:r>
            <w:r w:rsidR="005938E3" w:rsidRPr="00995C95">
              <w:rPr>
                <w:b/>
                <w:sz w:val="18"/>
                <w:szCs w:val="18"/>
                <w:lang w:eastAsia="en-US"/>
              </w:rPr>
              <w:t xml:space="preserve">  </w:t>
            </w:r>
          </w:p>
        </w:tc>
      </w:tr>
      <w:tr w:rsidR="007F0076" w:rsidRPr="00995C95" w14:paraId="5188B4C6" w14:textId="77777777" w:rsidTr="00F923AC">
        <w:tblPrEx>
          <w:tblCellMar>
            <w:left w:w="70" w:type="dxa"/>
            <w:right w:w="70" w:type="dxa"/>
          </w:tblCellMar>
        </w:tblPrEx>
        <w:trPr>
          <w:trHeight w:val="145"/>
        </w:trPr>
        <w:tc>
          <w:tcPr>
            <w:tcW w:w="1791" w:type="dxa"/>
          </w:tcPr>
          <w:p w14:paraId="66477BD7" w14:textId="77777777" w:rsidR="007F0076" w:rsidRPr="00995C95" w:rsidRDefault="007F0076" w:rsidP="00E87182">
            <w:pPr>
              <w:pStyle w:val="Marginlie"/>
              <w:rPr>
                <w:spacing w:val="0"/>
                <w:lang w:eastAsia="en-US"/>
              </w:rPr>
            </w:pPr>
          </w:p>
        </w:tc>
        <w:tc>
          <w:tcPr>
            <w:tcW w:w="223" w:type="dxa"/>
          </w:tcPr>
          <w:p w14:paraId="5F66E1E9" w14:textId="77777777" w:rsidR="007F0076" w:rsidRPr="00995C95" w:rsidRDefault="007F0076" w:rsidP="00E87182">
            <w:pPr>
              <w:pStyle w:val="Textpoznpodarou1"/>
              <w:jc w:val="both"/>
              <w:rPr>
                <w:lang w:eastAsia="en-US"/>
              </w:rPr>
            </w:pPr>
          </w:p>
        </w:tc>
        <w:tc>
          <w:tcPr>
            <w:tcW w:w="7625" w:type="dxa"/>
            <w:hideMark/>
          </w:tcPr>
          <w:p w14:paraId="08F59CB0" w14:textId="0E0A2300" w:rsidR="007F0076" w:rsidRPr="00995C95" w:rsidRDefault="00F923AC" w:rsidP="00E87182">
            <w:pPr>
              <w:spacing w:after="0"/>
              <w:jc w:val="center"/>
              <w:rPr>
                <w:lang w:eastAsia="en-US"/>
              </w:rPr>
            </w:pPr>
            <w:r>
              <w:rPr>
                <w:noProof/>
              </w:rPr>
              <w:drawing>
                <wp:inline distT="0" distB="0" distL="0" distR="0" wp14:anchorId="35ED76EA" wp14:editId="71F7C685">
                  <wp:extent cx="4722350" cy="3564975"/>
                  <wp:effectExtent l="0" t="0" r="2540" b="0"/>
                  <wp:docPr id="1995851112" name="Graf 1">
                    <a:extLst xmlns:a="http://schemas.openxmlformats.org/drawingml/2006/main">
                      <a:ext uri="{FF2B5EF4-FFF2-40B4-BE49-F238E27FC236}">
                        <a16:creationId xmlns:a16="http://schemas.microsoft.com/office/drawing/2014/main" id="{A96326AA-2E19-A591-4C15-9F538FA2AF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7F0076" w:rsidRPr="00995C95" w14:paraId="1B04C3D8" w14:textId="77777777" w:rsidTr="00E87182">
        <w:trPr>
          <w:trHeight w:val="145"/>
        </w:trPr>
        <w:tc>
          <w:tcPr>
            <w:tcW w:w="1791" w:type="dxa"/>
          </w:tcPr>
          <w:p w14:paraId="048BE98C" w14:textId="77777777" w:rsidR="007F0076" w:rsidRPr="00995C95" w:rsidRDefault="007F0076" w:rsidP="00E87182">
            <w:pPr>
              <w:pStyle w:val="Marginlie"/>
              <w:rPr>
                <w:spacing w:val="0"/>
                <w:lang w:eastAsia="en-US"/>
              </w:rPr>
            </w:pPr>
          </w:p>
        </w:tc>
        <w:tc>
          <w:tcPr>
            <w:tcW w:w="223" w:type="dxa"/>
          </w:tcPr>
          <w:p w14:paraId="068B5CA1" w14:textId="77777777" w:rsidR="007F0076" w:rsidRPr="00995C95" w:rsidRDefault="007F0076" w:rsidP="00E87182">
            <w:pPr>
              <w:pStyle w:val="Textpoznpodarou1"/>
              <w:jc w:val="both"/>
              <w:rPr>
                <w:lang w:eastAsia="en-US"/>
              </w:rPr>
            </w:pPr>
          </w:p>
        </w:tc>
        <w:tc>
          <w:tcPr>
            <w:tcW w:w="7625" w:type="dxa"/>
            <w:hideMark/>
          </w:tcPr>
          <w:p w14:paraId="2B6D4BE1" w14:textId="6EF34D25" w:rsidR="00A24A80" w:rsidRPr="00995C95" w:rsidRDefault="007E6A6D" w:rsidP="00F923AC">
            <w:pPr>
              <w:jc w:val="left"/>
              <w:rPr>
                <w:b/>
                <w:bCs/>
                <w:sz w:val="16"/>
                <w:szCs w:val="16"/>
                <w:lang w:eastAsia="en-US"/>
              </w:rPr>
            </w:pPr>
            <w:r w:rsidRPr="00995C95">
              <w:rPr>
                <w:sz w:val="16"/>
                <w:szCs w:val="16"/>
                <w:lang w:eastAsia="en-US"/>
              </w:rPr>
              <w:t>Source</w:t>
            </w:r>
            <w:r w:rsidR="007F0076" w:rsidRPr="00995C95">
              <w:rPr>
                <w:sz w:val="16"/>
                <w:szCs w:val="16"/>
                <w:lang w:eastAsia="en-US"/>
              </w:rPr>
              <w:t xml:space="preserve">: </w:t>
            </w:r>
            <w:r w:rsidRPr="00995C95">
              <w:rPr>
                <w:sz w:val="16"/>
                <w:szCs w:val="16"/>
                <w:lang w:eastAsia="en-US"/>
              </w:rPr>
              <w:t>CZSO</w:t>
            </w:r>
          </w:p>
        </w:tc>
      </w:tr>
      <w:tr w:rsidR="007F0076" w:rsidRPr="00995C95" w14:paraId="74DF1ECB" w14:textId="77777777" w:rsidTr="00E87182">
        <w:trPr>
          <w:trHeight w:val="145"/>
        </w:trPr>
        <w:tc>
          <w:tcPr>
            <w:tcW w:w="1791" w:type="dxa"/>
            <w:hideMark/>
          </w:tcPr>
          <w:p w14:paraId="20D9E56D" w14:textId="23C499FD" w:rsidR="007F0076" w:rsidRPr="00995C95" w:rsidRDefault="00BA3029" w:rsidP="00BA3029">
            <w:pPr>
              <w:pStyle w:val="Marginlie"/>
              <w:rPr>
                <w:spacing w:val="0"/>
                <w:lang w:eastAsia="en-US"/>
              </w:rPr>
            </w:pPr>
            <w:r w:rsidRPr="00995C95">
              <w:rPr>
                <w:spacing w:val="0"/>
                <w:lang w:eastAsia="en-US"/>
              </w:rPr>
              <w:lastRenderedPageBreak/>
              <w:t>Industrial producer prices in the EU rose slightly last year.</w:t>
            </w:r>
          </w:p>
        </w:tc>
        <w:tc>
          <w:tcPr>
            <w:tcW w:w="223" w:type="dxa"/>
          </w:tcPr>
          <w:p w14:paraId="624343AA" w14:textId="77777777" w:rsidR="007F0076" w:rsidRPr="00995C95" w:rsidRDefault="007F0076" w:rsidP="00E87182">
            <w:pPr>
              <w:pStyle w:val="Textpoznpodarou1"/>
              <w:jc w:val="both"/>
              <w:rPr>
                <w:lang w:eastAsia="en-US"/>
              </w:rPr>
            </w:pPr>
          </w:p>
        </w:tc>
        <w:tc>
          <w:tcPr>
            <w:tcW w:w="7625" w:type="dxa"/>
            <w:hideMark/>
          </w:tcPr>
          <w:p w14:paraId="4987AC05" w14:textId="23DCBAA2" w:rsidR="007F0076" w:rsidRPr="00995C95" w:rsidRDefault="004D40CC" w:rsidP="005F3F91">
            <w:pPr>
              <w:rPr>
                <w:lang w:eastAsia="en-US"/>
              </w:rPr>
            </w:pPr>
            <w:r w:rsidRPr="00995C95">
              <w:rPr>
                <w:lang w:eastAsia="en-US"/>
              </w:rPr>
              <w:t>Total i</w:t>
            </w:r>
            <w:r w:rsidR="005F3F91" w:rsidRPr="00995C95">
              <w:rPr>
                <w:lang w:eastAsia="en-US"/>
              </w:rPr>
              <w:t>ndustrial producer prices in the EU</w:t>
            </w:r>
            <w:r w:rsidRPr="00995C95">
              <w:rPr>
                <w:rStyle w:val="Znakapoznpodarou"/>
                <w:lang w:eastAsia="en-US"/>
              </w:rPr>
              <w:footnoteReference w:id="81"/>
            </w:r>
            <w:r w:rsidRPr="00995C95">
              <w:rPr>
                <w:lang w:eastAsia="en-US"/>
              </w:rPr>
              <w:t xml:space="preserve"> </w:t>
            </w:r>
            <w:r w:rsidR="005F3F91" w:rsidRPr="00995C95">
              <w:rPr>
                <w:lang w:eastAsia="en-US"/>
              </w:rPr>
              <w:t>increased by 0.5% in 2025. Prices of electricity, gas, steam and air conditioning (0.8%), mining and quarrying (0.5%) and manufacturing products and services (0.3%) were slightly higher. Industrial producer prices increased the most in Bulgaria (13.2%), Denmark (3.6%) and Romania (3.1%)</w:t>
            </w:r>
            <w:r w:rsidR="007057B2" w:rsidRPr="00995C95">
              <w:rPr>
                <w:lang w:eastAsia="en-US"/>
              </w:rPr>
              <w:t xml:space="preserve"> last year</w:t>
            </w:r>
            <w:r w:rsidR="005F3F91" w:rsidRPr="00995C95">
              <w:rPr>
                <w:lang w:eastAsia="en-US"/>
              </w:rPr>
              <w:t xml:space="preserve">. By contrast, the most significant decreases were recorded in Luxembourg (−4.2%), Portugal (−2.5%) and Lithuania (−2.1%). Under the influence of the sharp quarter-on-quarter decline </w:t>
            </w:r>
            <w:r w:rsidR="007057B2" w:rsidRPr="00995C95">
              <w:rPr>
                <w:lang w:eastAsia="en-US"/>
              </w:rPr>
              <w:t>of</w:t>
            </w:r>
            <w:r w:rsidR="005F3F91" w:rsidRPr="00995C95">
              <w:rPr>
                <w:lang w:eastAsia="en-US"/>
              </w:rPr>
              <w:t xml:space="preserve"> prices that occurred in Q2, a slowdown </w:t>
            </w:r>
            <w:r w:rsidR="00720155" w:rsidRPr="00995C95">
              <w:rPr>
                <w:lang w:eastAsia="en-US"/>
              </w:rPr>
              <w:t xml:space="preserve">of year-on-year </w:t>
            </w:r>
            <w:r w:rsidR="005F3F91" w:rsidRPr="00995C95">
              <w:rPr>
                <w:lang w:eastAsia="en-US"/>
              </w:rPr>
              <w:t xml:space="preserve">industrial producer price growth to </w:t>
            </w:r>
            <w:r w:rsidR="00C12629">
              <w:rPr>
                <w:lang w:eastAsia="en-US"/>
              </w:rPr>
              <w:t>−</w:t>
            </w:r>
            <w:r w:rsidR="005F3F91" w:rsidRPr="00995C95">
              <w:rPr>
                <w:lang w:eastAsia="en-US"/>
              </w:rPr>
              <w:t>1.0% in Q4 (with a quarter-on-quarter increase of 0.2%) was evident in the course of 2025. Prices of electricity, gas, steam and air-condition</w:t>
            </w:r>
            <w:r w:rsidR="0045677C" w:rsidRPr="00995C95">
              <w:rPr>
                <w:lang w:eastAsia="en-US"/>
              </w:rPr>
              <w:t xml:space="preserve">ing </w:t>
            </w:r>
            <w:r w:rsidR="005F3F91" w:rsidRPr="00995C95">
              <w:rPr>
                <w:lang w:eastAsia="en-US"/>
              </w:rPr>
              <w:t>(−5.2%), which had a key impact on the above-described dynamics, and mining and quarrying prices (−2.7%), declined</w:t>
            </w:r>
            <w:r w:rsidR="00072C02" w:rsidRPr="00995C95">
              <w:rPr>
                <w:lang w:eastAsia="en-US"/>
              </w:rPr>
              <w:t>,</w:t>
            </w:r>
            <w:r w:rsidR="005F3F91" w:rsidRPr="00995C95">
              <w:rPr>
                <w:lang w:eastAsia="en-US"/>
              </w:rPr>
              <w:t xml:space="preserve"> year-on-year.</w:t>
            </w:r>
            <w:r w:rsidR="0029663C" w:rsidRPr="00995C95">
              <w:rPr>
                <w:lang w:eastAsia="en-US"/>
              </w:rPr>
              <w:t xml:space="preserve"> T</w:t>
            </w:r>
            <w:r w:rsidR="005F3F91" w:rsidRPr="00995C95">
              <w:rPr>
                <w:lang w:eastAsia="en-US"/>
              </w:rPr>
              <w:t>he year-on-year price growth was moderate (0.4%)</w:t>
            </w:r>
            <w:r w:rsidR="0029663C" w:rsidRPr="00995C95">
              <w:rPr>
                <w:lang w:eastAsia="en-US"/>
              </w:rPr>
              <w:t xml:space="preserve"> in manufacturing</w:t>
            </w:r>
            <w:r w:rsidR="005F3F91" w:rsidRPr="00995C95">
              <w:rPr>
                <w:lang w:eastAsia="en-US"/>
              </w:rPr>
              <w:t>. Industrial producer prices increased the most in Q4</w:t>
            </w:r>
            <w:r w:rsidR="0029663C" w:rsidRPr="00995C95">
              <w:rPr>
                <w:lang w:eastAsia="en-US"/>
              </w:rPr>
              <w:t>,</w:t>
            </w:r>
            <w:r w:rsidR="005F3F91" w:rsidRPr="00995C95">
              <w:rPr>
                <w:lang w:eastAsia="en-US"/>
              </w:rPr>
              <w:t xml:space="preserve"> year-on-year</w:t>
            </w:r>
            <w:r w:rsidR="0029663C" w:rsidRPr="00995C95">
              <w:rPr>
                <w:lang w:eastAsia="en-US"/>
              </w:rPr>
              <w:t>,</w:t>
            </w:r>
            <w:r w:rsidR="005F3F91" w:rsidRPr="00995C95">
              <w:rPr>
                <w:lang w:eastAsia="en-US"/>
              </w:rPr>
              <w:t xml:space="preserve"> in Bulgaria (13.6%), Romania (6.7%) and Sweden (3.0%). By contrast, Luxembourg (-5.9%), Ireland (-4.0%) and Portugal (-3.3%) saw the most price falls.</w:t>
            </w:r>
            <w:r w:rsidR="00072C02" w:rsidRPr="00995C95">
              <w:rPr>
                <w:lang w:eastAsia="en-US"/>
              </w:rPr>
              <w:t xml:space="preserve"> </w:t>
            </w:r>
          </w:p>
        </w:tc>
      </w:tr>
      <w:tr w:rsidR="007F0076" w:rsidRPr="00995C95" w14:paraId="3DD237DF" w14:textId="77777777" w:rsidTr="00E87182">
        <w:trPr>
          <w:trHeight w:val="145"/>
        </w:trPr>
        <w:tc>
          <w:tcPr>
            <w:tcW w:w="1791" w:type="dxa"/>
            <w:hideMark/>
          </w:tcPr>
          <w:p w14:paraId="2EAD4FED" w14:textId="1157A714" w:rsidR="007F0076" w:rsidRPr="00995C95" w:rsidRDefault="00B333BC" w:rsidP="00B333BC">
            <w:pPr>
              <w:pStyle w:val="Marginlie"/>
              <w:rPr>
                <w:spacing w:val="0"/>
                <w:lang w:eastAsia="en-US"/>
              </w:rPr>
            </w:pPr>
            <w:r w:rsidRPr="00995C95">
              <w:rPr>
                <w:spacing w:val="0"/>
                <w:lang w:eastAsia="en-US"/>
              </w:rPr>
              <w:t>Prices of construction work</w:t>
            </w:r>
            <w:r w:rsidR="0084472B" w:rsidRPr="00995C95">
              <w:rPr>
                <w:spacing w:val="0"/>
                <w:lang w:eastAsia="en-US"/>
              </w:rPr>
              <w:t>s</w:t>
            </w:r>
            <w:r w:rsidRPr="00995C95">
              <w:rPr>
                <w:spacing w:val="0"/>
                <w:lang w:eastAsia="en-US"/>
              </w:rPr>
              <w:t xml:space="preserve"> increased by 3.0% last year.</w:t>
            </w:r>
            <w:r w:rsidR="00264251" w:rsidRPr="00995C95">
              <w:rPr>
                <w:spacing w:val="0"/>
                <w:lang w:eastAsia="en-US"/>
              </w:rPr>
              <w:t xml:space="preserve"> </w:t>
            </w:r>
          </w:p>
        </w:tc>
        <w:tc>
          <w:tcPr>
            <w:tcW w:w="223" w:type="dxa"/>
          </w:tcPr>
          <w:p w14:paraId="49E00C71" w14:textId="77777777" w:rsidR="007F0076" w:rsidRPr="00995C95" w:rsidRDefault="007F0076" w:rsidP="00E87182">
            <w:pPr>
              <w:pStyle w:val="Textpoznpodarou1"/>
              <w:jc w:val="both"/>
              <w:rPr>
                <w:lang w:eastAsia="en-US"/>
              </w:rPr>
            </w:pPr>
          </w:p>
        </w:tc>
        <w:tc>
          <w:tcPr>
            <w:tcW w:w="7625" w:type="dxa"/>
            <w:hideMark/>
          </w:tcPr>
          <w:p w14:paraId="334A209F" w14:textId="6AB15E1D" w:rsidR="007F0076" w:rsidRPr="00995C95" w:rsidRDefault="00DF4A1C" w:rsidP="001D7AC6">
            <w:pPr>
              <w:rPr>
                <w:lang w:eastAsia="en-US"/>
              </w:rPr>
            </w:pPr>
            <w:r w:rsidRPr="00995C95">
              <w:rPr>
                <w:lang w:eastAsia="en-US"/>
              </w:rPr>
              <w:t>According to estimates, the prices of construction work</w:t>
            </w:r>
            <w:r w:rsidR="0084472B" w:rsidRPr="00995C95">
              <w:rPr>
                <w:lang w:eastAsia="en-US"/>
              </w:rPr>
              <w:t>s</w:t>
            </w:r>
            <w:r w:rsidRPr="00995C95">
              <w:rPr>
                <w:lang w:eastAsia="en-US"/>
              </w:rPr>
              <w:t xml:space="preserve"> were on average 3.0% higher for the whole 2025 compared to 2024. This meant a boost </w:t>
            </w:r>
            <w:r w:rsidR="001D7AC6" w:rsidRPr="00995C95">
              <w:rPr>
                <w:lang w:eastAsia="en-US"/>
              </w:rPr>
              <w:t xml:space="preserve">of </w:t>
            </w:r>
            <w:r w:rsidRPr="00995C95">
              <w:rPr>
                <w:lang w:eastAsia="en-US"/>
              </w:rPr>
              <w:t xml:space="preserve">growth (prices rose by 2.0% in 2024). Prices of materials and products consumed in construction increased on average by 1.0% for the whole of 2025 (they were lower by 0.5% in 2024). </w:t>
            </w:r>
            <w:r w:rsidR="00202226" w:rsidRPr="00995C95">
              <w:rPr>
                <w:lang w:eastAsia="en-US"/>
              </w:rPr>
              <w:t>T</w:t>
            </w:r>
            <w:r w:rsidRPr="00995C95">
              <w:rPr>
                <w:lang w:eastAsia="en-US"/>
              </w:rPr>
              <w:t>he year-on-year growth rate of construction prices was stable</w:t>
            </w:r>
            <w:r w:rsidR="00202226" w:rsidRPr="00995C95">
              <w:rPr>
                <w:lang w:eastAsia="en-US"/>
              </w:rPr>
              <w:t xml:space="preserve"> throughout 2025</w:t>
            </w:r>
            <w:r w:rsidRPr="00995C95">
              <w:rPr>
                <w:lang w:eastAsia="en-US"/>
              </w:rPr>
              <w:t>, and prices increased by 3.1%</w:t>
            </w:r>
            <w:r w:rsidR="0099450E" w:rsidRPr="00995C95">
              <w:rPr>
                <w:lang w:eastAsia="en-US"/>
              </w:rPr>
              <w:t>,</w:t>
            </w:r>
            <w:r w:rsidRPr="00995C95">
              <w:rPr>
                <w:lang w:eastAsia="en-US"/>
              </w:rPr>
              <w:t xml:space="preserve"> year-on-year</w:t>
            </w:r>
            <w:r w:rsidR="0099450E" w:rsidRPr="00995C95">
              <w:rPr>
                <w:lang w:eastAsia="en-US"/>
              </w:rPr>
              <w:t>, in Q4 alone</w:t>
            </w:r>
            <w:r w:rsidRPr="00995C95">
              <w:rPr>
                <w:lang w:eastAsia="en-US"/>
              </w:rPr>
              <w:t xml:space="preserve"> and were 0.7% higher</w:t>
            </w:r>
            <w:r w:rsidR="0099450E" w:rsidRPr="00995C95">
              <w:rPr>
                <w:lang w:eastAsia="en-US"/>
              </w:rPr>
              <w:t>,</w:t>
            </w:r>
            <w:r w:rsidRPr="00995C95">
              <w:rPr>
                <w:lang w:eastAsia="en-US"/>
              </w:rPr>
              <w:t xml:space="preserve"> quarter-on-quarter. Prices of materials and products consumed in construction increased by 1.2%</w:t>
            </w:r>
            <w:r w:rsidR="00410EB0" w:rsidRPr="00995C95">
              <w:rPr>
                <w:lang w:eastAsia="en-US"/>
              </w:rPr>
              <w:t>, year-on-year a</w:t>
            </w:r>
            <w:r w:rsidRPr="00995C95">
              <w:rPr>
                <w:lang w:eastAsia="en-US"/>
              </w:rPr>
              <w:t>nd by 0.3%</w:t>
            </w:r>
            <w:r w:rsidR="00410EB0" w:rsidRPr="00995C95">
              <w:rPr>
                <w:lang w:eastAsia="en-US"/>
              </w:rPr>
              <w:t xml:space="preserve">, quarter-on-quarter </w:t>
            </w:r>
            <w:r w:rsidRPr="00995C95">
              <w:rPr>
                <w:lang w:eastAsia="en-US"/>
              </w:rPr>
              <w:t>in Q4.</w:t>
            </w:r>
            <w:r w:rsidR="001D7AC6" w:rsidRPr="00995C95">
              <w:rPr>
                <w:lang w:eastAsia="en-US"/>
              </w:rPr>
              <w:t xml:space="preserve"> </w:t>
            </w:r>
          </w:p>
        </w:tc>
      </w:tr>
      <w:tr w:rsidR="007F0076" w:rsidRPr="00995C95" w14:paraId="244AA66B" w14:textId="77777777" w:rsidTr="00E87182">
        <w:trPr>
          <w:trHeight w:val="145"/>
        </w:trPr>
        <w:tc>
          <w:tcPr>
            <w:tcW w:w="1791" w:type="dxa"/>
            <w:hideMark/>
          </w:tcPr>
          <w:p w14:paraId="44B6441F" w14:textId="16859E88" w:rsidR="007F0076" w:rsidRPr="00995C95" w:rsidRDefault="002F48F7" w:rsidP="002F48F7">
            <w:pPr>
              <w:pStyle w:val="Marginlie"/>
              <w:rPr>
                <w:spacing w:val="0"/>
                <w:lang w:eastAsia="en-US"/>
              </w:rPr>
            </w:pPr>
            <w:r w:rsidRPr="00995C95">
              <w:rPr>
                <w:spacing w:val="0"/>
                <w:lang w:eastAsia="en-US"/>
              </w:rPr>
              <w:t xml:space="preserve">The growth </w:t>
            </w:r>
            <w:r w:rsidR="005A6E72" w:rsidRPr="00995C95">
              <w:rPr>
                <w:spacing w:val="0"/>
                <w:lang w:eastAsia="en-US"/>
              </w:rPr>
              <w:t>of</w:t>
            </w:r>
            <w:r w:rsidRPr="00995C95">
              <w:rPr>
                <w:spacing w:val="0"/>
                <w:lang w:eastAsia="en-US"/>
              </w:rPr>
              <w:t xml:space="preserve"> prices of market services was significantly influenced by the prices of advertising services and market research.</w:t>
            </w:r>
          </w:p>
        </w:tc>
        <w:tc>
          <w:tcPr>
            <w:tcW w:w="223" w:type="dxa"/>
          </w:tcPr>
          <w:p w14:paraId="1F60387F" w14:textId="77777777" w:rsidR="007F0076" w:rsidRPr="00995C95" w:rsidRDefault="007F0076" w:rsidP="00E87182">
            <w:pPr>
              <w:pStyle w:val="Textpoznpodarou1"/>
              <w:jc w:val="both"/>
              <w:rPr>
                <w:lang w:eastAsia="en-US"/>
              </w:rPr>
            </w:pPr>
          </w:p>
        </w:tc>
        <w:tc>
          <w:tcPr>
            <w:tcW w:w="7625" w:type="dxa"/>
            <w:hideMark/>
          </w:tcPr>
          <w:p w14:paraId="496434CE" w14:textId="47E8967E" w:rsidR="007F0076" w:rsidRPr="00995C95" w:rsidRDefault="005A6E72" w:rsidP="005C17A3">
            <w:pPr>
              <w:rPr>
                <w:lang w:eastAsia="en-US"/>
              </w:rPr>
            </w:pPr>
            <w:r w:rsidRPr="00995C95">
              <w:rPr>
                <w:lang w:eastAsia="en-US"/>
              </w:rPr>
              <w:t xml:space="preserve">Prices of market services increased by 4.1% in 2024. Prices of advertising services and market research increased the most (13.9%), followed by security and </w:t>
            </w:r>
            <w:r w:rsidR="008C0B3A" w:rsidRPr="00995C95">
              <w:rPr>
                <w:lang w:eastAsia="en-US"/>
              </w:rPr>
              <w:t xml:space="preserve">investigation activities </w:t>
            </w:r>
            <w:r w:rsidRPr="00995C95">
              <w:rPr>
                <w:lang w:eastAsia="en-US"/>
              </w:rPr>
              <w:t xml:space="preserve">(11.7%) and employment services (9.2%). Prices of warehousing and support </w:t>
            </w:r>
            <w:r w:rsidR="004B1321" w:rsidRPr="00995C95">
              <w:rPr>
                <w:lang w:eastAsia="en-US"/>
              </w:rPr>
              <w:t xml:space="preserve">activities for transportation </w:t>
            </w:r>
            <w:r w:rsidRPr="00995C95">
              <w:rPr>
                <w:lang w:eastAsia="en-US"/>
              </w:rPr>
              <w:t xml:space="preserve">(6.1%), publishing services (5.1%), insurance, reinsurance and pension financing (4.5%), postal and courier services (4.3%), real estate services (3.9%) and </w:t>
            </w:r>
            <w:r w:rsidR="003D6A58" w:rsidRPr="00995C95">
              <w:rPr>
                <w:lang w:eastAsia="en-US"/>
              </w:rPr>
              <w:t xml:space="preserve">computer </w:t>
            </w:r>
            <w:r w:rsidRPr="00995C95">
              <w:rPr>
                <w:lang w:eastAsia="en-US"/>
              </w:rPr>
              <w:t xml:space="preserve">programming and related consulting services (3.7%) also increased significantly. </w:t>
            </w:r>
            <w:r w:rsidR="00D35C3D" w:rsidRPr="00995C95">
              <w:rPr>
                <w:lang w:eastAsia="en-US"/>
              </w:rPr>
              <w:t xml:space="preserve">Only the </w:t>
            </w:r>
            <w:r w:rsidRPr="00995C95">
              <w:rPr>
                <w:lang w:eastAsia="en-US"/>
              </w:rPr>
              <w:t>administrative, office</w:t>
            </w:r>
            <w:r w:rsidR="004C64E7" w:rsidRPr="00995C95">
              <w:rPr>
                <w:lang w:eastAsia="en-US"/>
              </w:rPr>
              <w:t xml:space="preserve"> support</w:t>
            </w:r>
            <w:r w:rsidRPr="00995C95">
              <w:rPr>
                <w:lang w:eastAsia="en-US"/>
              </w:rPr>
              <w:t xml:space="preserve"> and other business support </w:t>
            </w:r>
            <w:r w:rsidR="00AF76EF" w:rsidRPr="00995C95">
              <w:rPr>
                <w:lang w:eastAsia="en-US"/>
              </w:rPr>
              <w:t xml:space="preserve">activities </w:t>
            </w:r>
            <w:r w:rsidRPr="00995C95">
              <w:rPr>
                <w:lang w:eastAsia="en-US"/>
              </w:rPr>
              <w:t xml:space="preserve">recorded a 0.5% decrease </w:t>
            </w:r>
            <w:r w:rsidR="00DE161B" w:rsidRPr="00995C95">
              <w:rPr>
                <w:lang w:eastAsia="en-US"/>
              </w:rPr>
              <w:t xml:space="preserve">of </w:t>
            </w:r>
            <w:r w:rsidRPr="00995C95">
              <w:rPr>
                <w:lang w:eastAsia="en-US"/>
              </w:rPr>
              <w:t xml:space="preserve">prices. In Q4 alone, year-on-year growth </w:t>
            </w:r>
            <w:r w:rsidR="00AF76EF" w:rsidRPr="00995C95">
              <w:rPr>
                <w:lang w:eastAsia="en-US"/>
              </w:rPr>
              <w:t>of</w:t>
            </w:r>
            <w:r w:rsidRPr="00995C95">
              <w:rPr>
                <w:lang w:eastAsia="en-US"/>
              </w:rPr>
              <w:t xml:space="preserve"> prices of market services slowed slightly to 4.2%. </w:t>
            </w:r>
            <w:r w:rsidR="005259A8" w:rsidRPr="00995C95">
              <w:rPr>
                <w:lang w:eastAsia="en-US"/>
              </w:rPr>
              <w:t>P</w:t>
            </w:r>
            <w:r w:rsidRPr="00995C95">
              <w:rPr>
                <w:lang w:eastAsia="en-US"/>
              </w:rPr>
              <w:t>rices increased by 1.4%</w:t>
            </w:r>
            <w:r w:rsidR="005259A8" w:rsidRPr="00995C95">
              <w:rPr>
                <w:lang w:eastAsia="en-US"/>
              </w:rPr>
              <w:t>, quarter-on-quarter</w:t>
            </w:r>
            <w:r w:rsidRPr="00995C95">
              <w:rPr>
                <w:lang w:eastAsia="en-US"/>
              </w:rPr>
              <w:t xml:space="preserve">. </w:t>
            </w:r>
            <w:r w:rsidR="005259A8" w:rsidRPr="00995C95">
              <w:rPr>
                <w:lang w:eastAsia="en-US"/>
              </w:rPr>
              <w:t>T</w:t>
            </w:r>
            <w:r w:rsidRPr="00995C95">
              <w:rPr>
                <w:lang w:eastAsia="en-US"/>
              </w:rPr>
              <w:t xml:space="preserve">he prices of programming and broadcasting (15.2%), advertising services and market research (16.7%), security and </w:t>
            </w:r>
            <w:r w:rsidR="00D445AD" w:rsidRPr="00995C95">
              <w:rPr>
                <w:lang w:eastAsia="en-US"/>
              </w:rPr>
              <w:t xml:space="preserve">investigation activities </w:t>
            </w:r>
            <w:r w:rsidRPr="00995C95">
              <w:rPr>
                <w:lang w:eastAsia="en-US"/>
              </w:rPr>
              <w:t xml:space="preserve">(12.0%) and employment </w:t>
            </w:r>
            <w:r w:rsidR="008147D5" w:rsidRPr="00995C95">
              <w:rPr>
                <w:lang w:eastAsia="en-US"/>
              </w:rPr>
              <w:t xml:space="preserve">activities </w:t>
            </w:r>
            <w:r w:rsidRPr="00995C95">
              <w:rPr>
                <w:lang w:eastAsia="en-US"/>
              </w:rPr>
              <w:t>(8.9%) grew the most</w:t>
            </w:r>
            <w:r w:rsidR="008147D5" w:rsidRPr="00995C95">
              <w:rPr>
                <w:lang w:eastAsia="en-US"/>
              </w:rPr>
              <w:t>,</w:t>
            </w:r>
            <w:r w:rsidRPr="00995C95">
              <w:rPr>
                <w:lang w:eastAsia="en-US"/>
              </w:rPr>
              <w:t xml:space="preserve"> year-on-year</w:t>
            </w:r>
            <w:r w:rsidR="00AC634C" w:rsidRPr="00995C95">
              <w:rPr>
                <w:lang w:eastAsia="en-US"/>
              </w:rPr>
              <w:t>, i</w:t>
            </w:r>
            <w:r w:rsidR="005259A8" w:rsidRPr="00995C95">
              <w:rPr>
                <w:lang w:eastAsia="en-US"/>
              </w:rPr>
              <w:t>n the last quarter of 2025</w:t>
            </w:r>
            <w:r w:rsidRPr="00995C95">
              <w:rPr>
                <w:lang w:eastAsia="en-US"/>
              </w:rPr>
              <w:t xml:space="preserve">. Prices of warehousing </w:t>
            </w:r>
            <w:r w:rsidR="00A91EF3" w:rsidRPr="00995C95">
              <w:rPr>
                <w:lang w:eastAsia="en-US"/>
              </w:rPr>
              <w:t xml:space="preserve">and support activities for transportation </w:t>
            </w:r>
            <w:r w:rsidRPr="00995C95">
              <w:rPr>
                <w:lang w:eastAsia="en-US"/>
              </w:rPr>
              <w:t xml:space="preserve">(6.2%), publishing services (6.2%), </w:t>
            </w:r>
            <w:r w:rsidR="005C17A3" w:rsidRPr="00995C95">
              <w:rPr>
                <w:lang w:eastAsia="en-US"/>
              </w:rPr>
              <w:t xml:space="preserve">motion picture, video and television programme production </w:t>
            </w:r>
            <w:r w:rsidRPr="00995C95">
              <w:rPr>
                <w:lang w:eastAsia="en-US"/>
              </w:rPr>
              <w:t>(5.1%) or insurance, reinsurance and pension financing (5.0%) were also higher. Prices of water transport (−0.4%), rental and operating leasing services (−0.3%), land and pipeline transport (−0.2%) and administrative, office</w:t>
            </w:r>
            <w:r w:rsidR="000E5E94" w:rsidRPr="00995C95">
              <w:rPr>
                <w:lang w:eastAsia="en-US"/>
              </w:rPr>
              <w:t xml:space="preserve"> support</w:t>
            </w:r>
            <w:r w:rsidRPr="00995C95">
              <w:rPr>
                <w:lang w:eastAsia="en-US"/>
              </w:rPr>
              <w:t xml:space="preserve"> and other business support </w:t>
            </w:r>
            <w:r w:rsidR="000E5E94" w:rsidRPr="00995C95">
              <w:rPr>
                <w:lang w:eastAsia="en-US"/>
              </w:rPr>
              <w:t xml:space="preserve">activities </w:t>
            </w:r>
            <w:r w:rsidRPr="00995C95">
              <w:rPr>
                <w:lang w:eastAsia="en-US"/>
              </w:rPr>
              <w:t>(−0.1%) decreased, y</w:t>
            </w:r>
            <w:r w:rsidR="008A473C" w:rsidRPr="00995C95">
              <w:rPr>
                <w:lang w:eastAsia="en-US"/>
              </w:rPr>
              <w:t>ear</w:t>
            </w:r>
            <w:r w:rsidRPr="00995C95">
              <w:rPr>
                <w:lang w:eastAsia="en-US"/>
              </w:rPr>
              <w:t>-o</w:t>
            </w:r>
            <w:r w:rsidR="008A473C" w:rsidRPr="00995C95">
              <w:rPr>
                <w:lang w:eastAsia="en-US"/>
              </w:rPr>
              <w:t>n</w:t>
            </w:r>
            <w:r w:rsidRPr="00995C95">
              <w:rPr>
                <w:lang w:eastAsia="en-US"/>
              </w:rPr>
              <w:t>-y</w:t>
            </w:r>
            <w:r w:rsidR="008A473C" w:rsidRPr="00995C95">
              <w:rPr>
                <w:lang w:eastAsia="en-US"/>
              </w:rPr>
              <w:t>ear</w:t>
            </w:r>
            <w:r w:rsidRPr="00995C95">
              <w:rPr>
                <w:lang w:eastAsia="en-US"/>
              </w:rPr>
              <w:t>.</w:t>
            </w:r>
            <w:r w:rsidR="008C0B3A" w:rsidRPr="00995C95">
              <w:rPr>
                <w:lang w:eastAsia="en-US"/>
              </w:rPr>
              <w:t xml:space="preserve"> </w:t>
            </w:r>
            <w:r w:rsidR="007F0076" w:rsidRPr="00995C95">
              <w:rPr>
                <w:lang w:eastAsia="en-US"/>
              </w:rPr>
              <w:t xml:space="preserve"> </w:t>
            </w:r>
          </w:p>
        </w:tc>
      </w:tr>
      <w:tr w:rsidR="007F0076" w:rsidRPr="00995C95" w14:paraId="481530E8" w14:textId="77777777" w:rsidTr="00E87182">
        <w:trPr>
          <w:trHeight w:val="145"/>
        </w:trPr>
        <w:tc>
          <w:tcPr>
            <w:tcW w:w="1791" w:type="dxa"/>
            <w:hideMark/>
          </w:tcPr>
          <w:p w14:paraId="5EDF19B5" w14:textId="4B6E9EB2" w:rsidR="007F0076" w:rsidRPr="00995C95" w:rsidRDefault="007A7985" w:rsidP="007A7985">
            <w:pPr>
              <w:pStyle w:val="Marginlie"/>
              <w:rPr>
                <w:spacing w:val="0"/>
                <w:lang w:eastAsia="en-US"/>
              </w:rPr>
            </w:pPr>
            <w:r w:rsidRPr="00995C95">
              <w:rPr>
                <w:spacing w:val="0"/>
                <w:lang w:eastAsia="en-US"/>
              </w:rPr>
              <w:t>Last year, the prices of livestock production rose sharply.</w:t>
            </w:r>
          </w:p>
        </w:tc>
        <w:tc>
          <w:tcPr>
            <w:tcW w:w="223" w:type="dxa"/>
          </w:tcPr>
          <w:p w14:paraId="2FEA0F7E" w14:textId="77777777" w:rsidR="007F0076" w:rsidRPr="00995C95" w:rsidRDefault="007F0076" w:rsidP="00E87182">
            <w:pPr>
              <w:pStyle w:val="Textpoznpodarou1"/>
              <w:jc w:val="both"/>
              <w:rPr>
                <w:lang w:eastAsia="en-US"/>
              </w:rPr>
            </w:pPr>
          </w:p>
        </w:tc>
        <w:tc>
          <w:tcPr>
            <w:tcW w:w="7625" w:type="dxa"/>
            <w:hideMark/>
          </w:tcPr>
          <w:p w14:paraId="41612D57" w14:textId="43FD57E4" w:rsidR="007F0076" w:rsidRPr="00995C95" w:rsidRDefault="00AF4D60" w:rsidP="008D2F53">
            <w:pPr>
              <w:rPr>
                <w:lang w:eastAsia="en-US"/>
              </w:rPr>
            </w:pPr>
            <w:r w:rsidRPr="00995C95">
              <w:rPr>
                <w:lang w:eastAsia="en-US"/>
              </w:rPr>
              <w:t xml:space="preserve">Total </w:t>
            </w:r>
            <w:r w:rsidR="008D2F53" w:rsidRPr="00995C95">
              <w:rPr>
                <w:lang w:eastAsia="en-US"/>
              </w:rPr>
              <w:t xml:space="preserve">agricultural production prices (including fish) increased by 7.9% in 2025. The growth was driven mainly by developments in </w:t>
            </w:r>
            <w:r w:rsidR="00D13273" w:rsidRPr="00995C95">
              <w:rPr>
                <w:lang w:eastAsia="en-US"/>
              </w:rPr>
              <w:t xml:space="preserve">animal </w:t>
            </w:r>
            <w:r w:rsidR="008D2F53" w:rsidRPr="00995C95">
              <w:rPr>
                <w:lang w:eastAsia="en-US"/>
              </w:rPr>
              <w:t xml:space="preserve">production, but crop production prices were also higher last year, </w:t>
            </w:r>
            <w:r w:rsidR="00D13273" w:rsidRPr="00995C95">
              <w:rPr>
                <w:lang w:eastAsia="en-US"/>
              </w:rPr>
              <w:t xml:space="preserve">specifically </w:t>
            </w:r>
            <w:r w:rsidR="008D2F53" w:rsidRPr="00995C95">
              <w:rPr>
                <w:lang w:eastAsia="en-US"/>
              </w:rPr>
              <w:t xml:space="preserve">by 3.0%. Prices of </w:t>
            </w:r>
            <w:r w:rsidR="00966E1F">
              <w:rPr>
                <w:lang w:eastAsia="en-US"/>
              </w:rPr>
              <w:t xml:space="preserve">weight-important </w:t>
            </w:r>
            <w:r w:rsidR="008D2F53" w:rsidRPr="00995C95">
              <w:rPr>
                <w:lang w:eastAsia="en-US"/>
              </w:rPr>
              <w:t xml:space="preserve">cereals (5.2%), mainly wheat (6.9%), maize (10.3%) and other cereals (especially triticale, 4.9%) were higher. On the </w:t>
            </w:r>
            <w:r w:rsidR="00F91FCF" w:rsidRPr="00995C95">
              <w:rPr>
                <w:lang w:eastAsia="en-US"/>
              </w:rPr>
              <w:t>contrary</w:t>
            </w:r>
            <w:r w:rsidR="008D2F53" w:rsidRPr="00995C95">
              <w:rPr>
                <w:lang w:eastAsia="en-US"/>
              </w:rPr>
              <w:t xml:space="preserve">, barley prices stagnated (0.3%) and </w:t>
            </w:r>
            <w:r w:rsidR="005005CD" w:rsidRPr="00995C95">
              <w:rPr>
                <w:lang w:eastAsia="en-US"/>
              </w:rPr>
              <w:t xml:space="preserve">prices of </w:t>
            </w:r>
            <w:r w:rsidR="008D2F53" w:rsidRPr="00995C95">
              <w:rPr>
                <w:lang w:eastAsia="en-US"/>
              </w:rPr>
              <w:t xml:space="preserve">rye (−4.3%) and oats (−10.1%) fell. A strong increase was recorded </w:t>
            </w:r>
            <w:r w:rsidR="00F5317B" w:rsidRPr="00995C95">
              <w:rPr>
                <w:lang w:eastAsia="en-US"/>
              </w:rPr>
              <w:t xml:space="preserve">for </w:t>
            </w:r>
            <w:r w:rsidR="008D2F53" w:rsidRPr="00995C95">
              <w:rPr>
                <w:lang w:eastAsia="en-US"/>
              </w:rPr>
              <w:t xml:space="preserve">industrial crops (7.4%, driven mainly by </w:t>
            </w:r>
            <w:r w:rsidR="00F5317B" w:rsidRPr="00995C95">
              <w:rPr>
                <w:lang w:eastAsia="en-US"/>
              </w:rPr>
              <w:t xml:space="preserve">growth of </w:t>
            </w:r>
            <w:r w:rsidR="008D2F53" w:rsidRPr="00995C95">
              <w:rPr>
                <w:lang w:eastAsia="en-US"/>
              </w:rPr>
              <w:t xml:space="preserve">prices of oilseeds by 13.2% and hops by 10.0%, prices of sugar beet fell by 16.8%) and grapes (12.4%). Prices of </w:t>
            </w:r>
            <w:r w:rsidR="003145B3" w:rsidRPr="00995C95">
              <w:rPr>
                <w:lang w:eastAsia="en-US"/>
              </w:rPr>
              <w:t xml:space="preserve">fodder </w:t>
            </w:r>
            <w:r w:rsidR="008D2F53" w:rsidRPr="00995C95">
              <w:rPr>
                <w:lang w:eastAsia="en-US"/>
              </w:rPr>
              <w:t xml:space="preserve">crops (3.1%) </w:t>
            </w:r>
            <w:r w:rsidR="008D2F53" w:rsidRPr="00995C95">
              <w:rPr>
                <w:lang w:eastAsia="en-US"/>
              </w:rPr>
              <w:lastRenderedPageBreak/>
              <w:t xml:space="preserve">and fruit (3.8%) were also higher last year. On the </w:t>
            </w:r>
            <w:r w:rsidR="00706755" w:rsidRPr="00995C95">
              <w:rPr>
                <w:lang w:eastAsia="en-US"/>
              </w:rPr>
              <w:t>contrary</w:t>
            </w:r>
            <w:r w:rsidR="008D2F53" w:rsidRPr="00995C95">
              <w:rPr>
                <w:lang w:eastAsia="en-US"/>
              </w:rPr>
              <w:t>, a strong dec</w:t>
            </w:r>
            <w:r w:rsidR="00706755" w:rsidRPr="00995C95">
              <w:rPr>
                <w:lang w:eastAsia="en-US"/>
              </w:rPr>
              <w:t xml:space="preserve">rease </w:t>
            </w:r>
            <w:r w:rsidR="008D2F53" w:rsidRPr="00995C95">
              <w:rPr>
                <w:lang w:eastAsia="en-US"/>
              </w:rPr>
              <w:t xml:space="preserve">was recorded </w:t>
            </w:r>
            <w:r w:rsidR="00706755" w:rsidRPr="00995C95">
              <w:rPr>
                <w:lang w:eastAsia="en-US"/>
              </w:rPr>
              <w:t xml:space="preserve">for </w:t>
            </w:r>
            <w:r w:rsidR="008D2F53" w:rsidRPr="00995C95">
              <w:rPr>
                <w:lang w:eastAsia="en-US"/>
              </w:rPr>
              <w:t xml:space="preserve">the prices of potatoes (−20.1%) and </w:t>
            </w:r>
            <w:r w:rsidR="00C96F2E" w:rsidRPr="00995C95">
              <w:rPr>
                <w:lang w:eastAsia="en-US"/>
              </w:rPr>
              <w:t xml:space="preserve">further </w:t>
            </w:r>
            <w:r w:rsidR="008D2F53" w:rsidRPr="00995C95">
              <w:rPr>
                <w:lang w:eastAsia="en-US"/>
              </w:rPr>
              <w:t xml:space="preserve">vegetables and horticultural products (−3.4%). Livestock production reported a sharp </w:t>
            </w:r>
            <w:r w:rsidR="003355FA" w:rsidRPr="00995C95">
              <w:rPr>
                <w:lang w:eastAsia="en-US"/>
              </w:rPr>
              <w:t xml:space="preserve">price hike </w:t>
            </w:r>
            <w:r w:rsidR="008D2F53" w:rsidRPr="00995C95">
              <w:rPr>
                <w:lang w:eastAsia="en-US"/>
              </w:rPr>
              <w:t xml:space="preserve">last year (14.7%). </w:t>
            </w:r>
            <w:r w:rsidR="003355FA" w:rsidRPr="00995C95">
              <w:rPr>
                <w:lang w:eastAsia="en-US"/>
              </w:rPr>
              <w:t>Except for</w:t>
            </w:r>
            <w:r w:rsidR="008D2F53" w:rsidRPr="00995C95">
              <w:rPr>
                <w:lang w:eastAsia="en-US"/>
              </w:rPr>
              <w:t xml:space="preserve"> pig prices (−9.8%), prices rose across this </w:t>
            </w:r>
            <w:r w:rsidR="00C60B8B" w:rsidRPr="00995C95">
              <w:rPr>
                <w:lang w:eastAsia="en-US"/>
              </w:rPr>
              <w:t xml:space="preserve">total </w:t>
            </w:r>
            <w:r w:rsidR="008D2F53" w:rsidRPr="00995C95">
              <w:rPr>
                <w:lang w:eastAsia="en-US"/>
              </w:rPr>
              <w:t>segment of agricultural production. Prices of cattle increased sharply (32.0%</w:t>
            </w:r>
            <w:proofErr w:type="gramStart"/>
            <w:r w:rsidR="008D2F53" w:rsidRPr="00995C95">
              <w:rPr>
                <w:lang w:eastAsia="en-US"/>
              </w:rPr>
              <w:t>)</w:t>
            </w:r>
            <w:proofErr w:type="gramEnd"/>
            <w:r w:rsidR="008D2F53" w:rsidRPr="00995C95">
              <w:rPr>
                <w:lang w:eastAsia="en-US"/>
              </w:rPr>
              <w:t xml:space="preserve"> and poultry prices increased (8.0%). </w:t>
            </w:r>
            <w:r w:rsidR="00A21D25" w:rsidRPr="00995C95">
              <w:rPr>
                <w:lang w:eastAsia="en-US"/>
              </w:rPr>
              <w:t xml:space="preserve">Considerable </w:t>
            </w:r>
            <w:r w:rsidR="008D2F53" w:rsidRPr="00995C95">
              <w:rPr>
                <w:lang w:eastAsia="en-US"/>
              </w:rPr>
              <w:t xml:space="preserve">increase </w:t>
            </w:r>
            <w:r w:rsidR="00A21D25" w:rsidRPr="00995C95">
              <w:rPr>
                <w:lang w:eastAsia="en-US"/>
              </w:rPr>
              <w:t xml:space="preserve">of </w:t>
            </w:r>
            <w:r w:rsidR="008D2F53" w:rsidRPr="00995C95">
              <w:rPr>
                <w:lang w:eastAsia="en-US"/>
              </w:rPr>
              <w:t>the prices of eggs (36.0%) and milk (16.8%)</w:t>
            </w:r>
            <w:r w:rsidR="006B436C" w:rsidRPr="00995C95">
              <w:rPr>
                <w:lang w:eastAsia="en-US"/>
              </w:rPr>
              <w:t xml:space="preserve"> then had significant consequences for final consumers</w:t>
            </w:r>
            <w:r w:rsidR="008D2F53" w:rsidRPr="00995C95">
              <w:rPr>
                <w:lang w:eastAsia="en-US"/>
              </w:rPr>
              <w:t>.</w:t>
            </w:r>
            <w:r w:rsidR="00E26274" w:rsidRPr="00995C95">
              <w:rPr>
                <w:lang w:eastAsia="en-US"/>
              </w:rPr>
              <w:t xml:space="preserve"> </w:t>
            </w:r>
          </w:p>
        </w:tc>
      </w:tr>
      <w:tr w:rsidR="007F0076" w:rsidRPr="00995C95" w14:paraId="7F7DD6CF" w14:textId="77777777" w:rsidTr="00E87182">
        <w:trPr>
          <w:trHeight w:val="145"/>
        </w:trPr>
        <w:tc>
          <w:tcPr>
            <w:tcW w:w="1791" w:type="dxa"/>
          </w:tcPr>
          <w:p w14:paraId="70020700" w14:textId="3838701A" w:rsidR="007F0076" w:rsidRPr="00995C95" w:rsidRDefault="005005CD" w:rsidP="00CE233D">
            <w:pPr>
              <w:pStyle w:val="Marginlie"/>
              <w:rPr>
                <w:spacing w:val="0"/>
                <w:lang w:eastAsia="en-US"/>
              </w:rPr>
            </w:pPr>
            <w:r w:rsidRPr="00995C95">
              <w:rPr>
                <w:spacing w:val="0"/>
                <w:lang w:eastAsia="en-US"/>
              </w:rPr>
              <w:lastRenderedPageBreak/>
              <w:t>P</w:t>
            </w:r>
            <w:r w:rsidR="00CE233D" w:rsidRPr="00995C95">
              <w:rPr>
                <w:spacing w:val="0"/>
                <w:lang w:eastAsia="en-US"/>
              </w:rPr>
              <w:t xml:space="preserve">rices </w:t>
            </w:r>
            <w:r w:rsidRPr="00995C95">
              <w:rPr>
                <w:spacing w:val="0"/>
                <w:lang w:eastAsia="en-US"/>
              </w:rPr>
              <w:t>of</w:t>
            </w:r>
            <w:r w:rsidR="00CE233D" w:rsidRPr="00995C95">
              <w:rPr>
                <w:spacing w:val="0"/>
                <w:lang w:eastAsia="en-US"/>
              </w:rPr>
              <w:t xml:space="preserve"> crop production decreased</w:t>
            </w:r>
            <w:r w:rsidRPr="00995C95">
              <w:rPr>
                <w:spacing w:val="0"/>
                <w:lang w:eastAsia="en-US"/>
              </w:rPr>
              <w:t>,</w:t>
            </w:r>
            <w:r w:rsidR="00CE233D" w:rsidRPr="00995C95">
              <w:rPr>
                <w:spacing w:val="0"/>
                <w:lang w:eastAsia="en-US"/>
              </w:rPr>
              <w:t xml:space="preserve"> year-on-year</w:t>
            </w:r>
            <w:r w:rsidRPr="00995C95">
              <w:rPr>
                <w:spacing w:val="0"/>
                <w:lang w:eastAsia="en-US"/>
              </w:rPr>
              <w:t>, in Q4</w:t>
            </w:r>
            <w:r w:rsidR="00CE233D" w:rsidRPr="00995C95">
              <w:rPr>
                <w:spacing w:val="0"/>
                <w:lang w:eastAsia="en-US"/>
              </w:rPr>
              <w:t>.</w:t>
            </w:r>
          </w:p>
        </w:tc>
        <w:tc>
          <w:tcPr>
            <w:tcW w:w="223" w:type="dxa"/>
          </w:tcPr>
          <w:p w14:paraId="18D37939" w14:textId="77777777" w:rsidR="007F0076" w:rsidRPr="00995C95" w:rsidRDefault="007F0076" w:rsidP="00E87182">
            <w:pPr>
              <w:pStyle w:val="Textpoznpodarou1"/>
              <w:jc w:val="both"/>
              <w:rPr>
                <w:lang w:eastAsia="en-US"/>
              </w:rPr>
            </w:pPr>
          </w:p>
        </w:tc>
        <w:tc>
          <w:tcPr>
            <w:tcW w:w="7625" w:type="dxa"/>
          </w:tcPr>
          <w:p w14:paraId="03DE3AAE" w14:textId="7DEFF5D7" w:rsidR="007F0076" w:rsidRPr="00995C95" w:rsidRDefault="00ED5CBD" w:rsidP="00ED5CBD">
            <w:pPr>
              <w:rPr>
                <w:lang w:eastAsia="en-US"/>
              </w:rPr>
            </w:pPr>
            <w:r w:rsidRPr="00995C95">
              <w:rPr>
                <w:lang w:eastAsia="en-US"/>
              </w:rPr>
              <w:t xml:space="preserve">The current episode of year-on-year growth </w:t>
            </w:r>
            <w:r w:rsidR="00983035" w:rsidRPr="00995C95">
              <w:rPr>
                <w:lang w:eastAsia="en-US"/>
              </w:rPr>
              <w:t xml:space="preserve">of </w:t>
            </w:r>
            <w:r w:rsidRPr="00995C95">
              <w:rPr>
                <w:lang w:eastAsia="en-US"/>
              </w:rPr>
              <w:t>agricultural producer prices began as early as the end of 2024 and this high comparison bas</w:t>
            </w:r>
            <w:r w:rsidR="00B977D1" w:rsidRPr="00995C95">
              <w:rPr>
                <w:lang w:eastAsia="en-US"/>
              </w:rPr>
              <w:t xml:space="preserve">is </w:t>
            </w:r>
            <w:r w:rsidRPr="00995C95">
              <w:rPr>
                <w:lang w:eastAsia="en-US"/>
              </w:rPr>
              <w:t xml:space="preserve">was one of the reasons for the significant slowdown </w:t>
            </w:r>
            <w:r w:rsidR="00B977D1" w:rsidRPr="00995C95">
              <w:rPr>
                <w:lang w:eastAsia="en-US"/>
              </w:rPr>
              <w:t xml:space="preserve">of </w:t>
            </w:r>
            <w:r w:rsidRPr="00995C95">
              <w:rPr>
                <w:lang w:eastAsia="en-US"/>
              </w:rPr>
              <w:t>year-on-year price growth to 0.9% in Q4 2025. Crop production prices fell by 5.9%</w:t>
            </w:r>
            <w:r w:rsidR="00B977D1" w:rsidRPr="00995C95">
              <w:rPr>
                <w:lang w:eastAsia="en-US"/>
              </w:rPr>
              <w:t>,</w:t>
            </w:r>
            <w:r w:rsidRPr="00995C95">
              <w:rPr>
                <w:lang w:eastAsia="en-US"/>
              </w:rPr>
              <w:t xml:space="preserve"> year-on-year</w:t>
            </w:r>
            <w:r w:rsidR="00B977D1" w:rsidRPr="00995C95">
              <w:rPr>
                <w:lang w:eastAsia="en-US"/>
              </w:rPr>
              <w:t>,</w:t>
            </w:r>
            <w:r w:rsidRPr="00995C95">
              <w:rPr>
                <w:lang w:eastAsia="en-US"/>
              </w:rPr>
              <w:t xml:space="preserve"> in Q4. Cereal prices were lower by 7.0%, y</w:t>
            </w:r>
            <w:r w:rsidR="00B977D1" w:rsidRPr="00995C95">
              <w:rPr>
                <w:lang w:eastAsia="en-US"/>
              </w:rPr>
              <w:t>ear</w:t>
            </w:r>
            <w:r w:rsidRPr="00995C95">
              <w:rPr>
                <w:lang w:eastAsia="en-US"/>
              </w:rPr>
              <w:t>-o</w:t>
            </w:r>
            <w:r w:rsidR="00B977D1" w:rsidRPr="00995C95">
              <w:rPr>
                <w:lang w:eastAsia="en-US"/>
              </w:rPr>
              <w:t>n</w:t>
            </w:r>
            <w:r w:rsidRPr="00995C95">
              <w:rPr>
                <w:lang w:eastAsia="en-US"/>
              </w:rPr>
              <w:t>-y</w:t>
            </w:r>
            <w:r w:rsidR="00B977D1" w:rsidRPr="00995C95">
              <w:rPr>
                <w:lang w:eastAsia="en-US"/>
              </w:rPr>
              <w:t>ear</w:t>
            </w:r>
            <w:r w:rsidRPr="00995C95">
              <w:rPr>
                <w:lang w:eastAsia="en-US"/>
              </w:rPr>
              <w:t xml:space="preserve"> (wheat −7.9%, barley −3.5%, maize −10.1%). Fruit fell by 19.3%, potatoes by 18.3%, industrial crops by 7.6% and feed crop prices fell by 1.9%. On the </w:t>
            </w:r>
            <w:r w:rsidR="003F5AD6" w:rsidRPr="00995C95">
              <w:rPr>
                <w:lang w:eastAsia="en-US"/>
              </w:rPr>
              <w:t>contrary</w:t>
            </w:r>
            <w:r w:rsidRPr="00995C95">
              <w:rPr>
                <w:lang w:eastAsia="en-US"/>
              </w:rPr>
              <w:t>, the year-on-year dec</w:t>
            </w:r>
            <w:r w:rsidR="003F5AD6" w:rsidRPr="00995C95">
              <w:rPr>
                <w:lang w:eastAsia="en-US"/>
              </w:rPr>
              <w:t xml:space="preserve">rease of </w:t>
            </w:r>
            <w:r w:rsidRPr="00995C95">
              <w:rPr>
                <w:lang w:eastAsia="en-US"/>
              </w:rPr>
              <w:t xml:space="preserve">prices of vegetables and horticultural products </w:t>
            </w:r>
            <w:r w:rsidR="007B1827" w:rsidRPr="00995C95">
              <w:rPr>
                <w:lang w:eastAsia="en-US"/>
              </w:rPr>
              <w:t xml:space="preserve">halted </w:t>
            </w:r>
            <w:r w:rsidRPr="00995C95">
              <w:rPr>
                <w:lang w:eastAsia="en-US"/>
              </w:rPr>
              <w:t xml:space="preserve">in </w:t>
            </w:r>
            <w:r w:rsidR="007B1827" w:rsidRPr="00995C95">
              <w:rPr>
                <w:lang w:eastAsia="en-US"/>
              </w:rPr>
              <w:t>Q</w:t>
            </w:r>
            <w:r w:rsidRPr="00995C95">
              <w:rPr>
                <w:lang w:eastAsia="en-US"/>
              </w:rPr>
              <w:t>4</w:t>
            </w:r>
            <w:r w:rsidR="007B1827" w:rsidRPr="00995C95">
              <w:rPr>
                <w:lang w:eastAsia="en-US"/>
              </w:rPr>
              <w:t xml:space="preserve"> </w:t>
            </w:r>
            <w:r w:rsidRPr="00995C95">
              <w:rPr>
                <w:lang w:eastAsia="en-US"/>
              </w:rPr>
              <w:t>(prices stagnated). Year-on-year growth</w:t>
            </w:r>
            <w:r w:rsidR="009748DF" w:rsidRPr="00995C95">
              <w:rPr>
                <w:lang w:eastAsia="en-US"/>
              </w:rPr>
              <w:t xml:space="preserve"> of </w:t>
            </w:r>
            <w:r w:rsidRPr="00995C95">
              <w:rPr>
                <w:lang w:eastAsia="en-US"/>
              </w:rPr>
              <w:t xml:space="preserve">livestock prices slowed to 12.7% in </w:t>
            </w:r>
            <w:r w:rsidR="009748DF" w:rsidRPr="00995C95">
              <w:rPr>
                <w:lang w:eastAsia="en-US"/>
              </w:rPr>
              <w:t>Q</w:t>
            </w:r>
            <w:r w:rsidRPr="00995C95">
              <w:rPr>
                <w:lang w:eastAsia="en-US"/>
              </w:rPr>
              <w:t xml:space="preserve">4. The dynamics of cattle prices (year-on-year growth of 39.8%) and poultry (11.9%) remained virtually unchanged, and the slowdown </w:t>
            </w:r>
            <w:r w:rsidR="009714FD" w:rsidRPr="00995C95">
              <w:rPr>
                <w:lang w:eastAsia="en-US"/>
              </w:rPr>
              <w:t xml:space="preserve">of </w:t>
            </w:r>
            <w:r w:rsidRPr="00995C95">
              <w:rPr>
                <w:lang w:eastAsia="en-US"/>
              </w:rPr>
              <w:t xml:space="preserve">egg price growth (35.4%) was only cosmetic. The year-on-year growth </w:t>
            </w:r>
            <w:r w:rsidR="004C1A40" w:rsidRPr="00995C95">
              <w:rPr>
                <w:lang w:eastAsia="en-US"/>
              </w:rPr>
              <w:t>of</w:t>
            </w:r>
            <w:r w:rsidRPr="00995C95">
              <w:rPr>
                <w:lang w:eastAsia="en-US"/>
              </w:rPr>
              <w:t xml:space="preserve"> milk prices decreased by approximately half (10.3%). The decline </w:t>
            </w:r>
            <w:r w:rsidR="004C1A40" w:rsidRPr="00995C95">
              <w:rPr>
                <w:lang w:eastAsia="en-US"/>
              </w:rPr>
              <w:t xml:space="preserve">of </w:t>
            </w:r>
            <w:r w:rsidRPr="00995C95">
              <w:rPr>
                <w:lang w:eastAsia="en-US"/>
              </w:rPr>
              <w:t xml:space="preserve">pig prices deepened to </w:t>
            </w:r>
            <w:r w:rsidR="00A64B59">
              <w:rPr>
                <w:lang w:eastAsia="en-US"/>
              </w:rPr>
              <w:t>−</w:t>
            </w:r>
            <w:r w:rsidRPr="00995C95">
              <w:rPr>
                <w:lang w:eastAsia="en-US"/>
              </w:rPr>
              <w:t>13.1%.</w:t>
            </w:r>
            <w:r w:rsidR="007B1827" w:rsidRPr="00995C95">
              <w:rPr>
                <w:lang w:eastAsia="en-US"/>
              </w:rPr>
              <w:t xml:space="preserve"> </w:t>
            </w:r>
          </w:p>
        </w:tc>
      </w:tr>
      <w:tr w:rsidR="007F0076" w:rsidRPr="00995C95" w14:paraId="0ED2680E" w14:textId="77777777" w:rsidTr="00E87182">
        <w:trPr>
          <w:trHeight w:val="145"/>
        </w:trPr>
        <w:tc>
          <w:tcPr>
            <w:tcW w:w="1791" w:type="dxa"/>
            <w:hideMark/>
          </w:tcPr>
          <w:p w14:paraId="19A6CCD8" w14:textId="3A00C980" w:rsidR="007F0076" w:rsidRPr="00995C95" w:rsidRDefault="00235014" w:rsidP="00235014">
            <w:pPr>
              <w:pStyle w:val="Marginlie"/>
              <w:rPr>
                <w:spacing w:val="0"/>
                <w:lang w:eastAsia="en-US"/>
              </w:rPr>
            </w:pPr>
            <w:r w:rsidRPr="00995C95">
              <w:rPr>
                <w:spacing w:val="0"/>
                <w:lang w:eastAsia="en-US"/>
              </w:rPr>
              <w:t>Export prices fell in 2025.</w:t>
            </w:r>
          </w:p>
        </w:tc>
        <w:tc>
          <w:tcPr>
            <w:tcW w:w="223" w:type="dxa"/>
          </w:tcPr>
          <w:p w14:paraId="2F0D47DF" w14:textId="77777777" w:rsidR="007F0076" w:rsidRPr="00995C95" w:rsidRDefault="007F0076" w:rsidP="00E87182">
            <w:pPr>
              <w:pStyle w:val="Textpoznpodarou1"/>
              <w:jc w:val="both"/>
              <w:rPr>
                <w:lang w:eastAsia="en-US"/>
              </w:rPr>
            </w:pPr>
          </w:p>
        </w:tc>
        <w:tc>
          <w:tcPr>
            <w:tcW w:w="7625" w:type="dxa"/>
            <w:hideMark/>
          </w:tcPr>
          <w:p w14:paraId="2B8B01D7" w14:textId="4C9A47AC" w:rsidR="007F0076" w:rsidRPr="00995C95" w:rsidRDefault="00536EE7" w:rsidP="00536EE7">
            <w:pPr>
              <w:rPr>
                <w:lang w:eastAsia="en-US"/>
              </w:rPr>
            </w:pPr>
            <w:r w:rsidRPr="00995C95">
              <w:rPr>
                <w:lang w:eastAsia="en-US"/>
              </w:rPr>
              <w:t>International trade prices were strongly influenced by the appreciation of the koruna against the euro and the dollar</w:t>
            </w:r>
            <w:r w:rsidR="00E43EC0" w:rsidRPr="00995C95">
              <w:rPr>
                <w:lang w:eastAsia="en-US"/>
              </w:rPr>
              <w:t xml:space="preserve"> throughout 2025</w:t>
            </w:r>
            <w:r w:rsidR="00E43EC0" w:rsidRPr="00995C95">
              <w:rPr>
                <w:rStyle w:val="Znakapoznpodarou"/>
                <w:lang w:eastAsia="en-US"/>
              </w:rPr>
              <w:footnoteReference w:id="82"/>
            </w:r>
            <w:r w:rsidR="00E43EC0" w:rsidRPr="00995C95">
              <w:rPr>
                <w:lang w:eastAsia="en-US"/>
              </w:rPr>
              <w:t>.</w:t>
            </w:r>
            <w:r w:rsidRPr="00995C95">
              <w:rPr>
                <w:lang w:eastAsia="en-US"/>
              </w:rPr>
              <w:t xml:space="preserve"> This had a significant anti-inflationary effect, especially in a year-on-year comparison. </w:t>
            </w:r>
            <w:r w:rsidR="00E43EC0" w:rsidRPr="00995C95">
              <w:rPr>
                <w:lang w:eastAsia="en-US"/>
              </w:rPr>
              <w:t>E</w:t>
            </w:r>
            <w:r w:rsidRPr="00995C95">
              <w:rPr>
                <w:lang w:eastAsia="en-US"/>
              </w:rPr>
              <w:t>xport prices of goods decreased by 1.2%</w:t>
            </w:r>
            <w:r w:rsidR="009D29DB" w:rsidRPr="00995C95">
              <w:rPr>
                <w:lang w:eastAsia="en-US"/>
              </w:rPr>
              <w:t xml:space="preserve"> for total 2025</w:t>
            </w:r>
            <w:r w:rsidRPr="00995C95">
              <w:rPr>
                <w:lang w:eastAsia="en-US"/>
              </w:rPr>
              <w:t>. Only prices of agricultural, forestry and fish</w:t>
            </w:r>
            <w:r w:rsidR="009D29DB" w:rsidRPr="00995C95">
              <w:rPr>
                <w:lang w:eastAsia="en-US"/>
              </w:rPr>
              <w:t>ing p</w:t>
            </w:r>
            <w:r w:rsidRPr="00995C95">
              <w:rPr>
                <w:lang w:eastAsia="en-US"/>
              </w:rPr>
              <w:t>roducts (5.5%) and electricity, gas, steam and air-condition</w:t>
            </w:r>
            <w:r w:rsidR="009D29DB" w:rsidRPr="00995C95">
              <w:rPr>
                <w:lang w:eastAsia="en-US"/>
              </w:rPr>
              <w:t xml:space="preserve">ing </w:t>
            </w:r>
            <w:r w:rsidRPr="00995C95">
              <w:rPr>
                <w:lang w:eastAsia="en-US"/>
              </w:rPr>
              <w:t xml:space="preserve">(2.8%) increased. Deep declines were recorded in mining and quarrying (−12.0%) and </w:t>
            </w:r>
            <w:r w:rsidR="00481CEB" w:rsidRPr="00995C95">
              <w:rPr>
                <w:lang w:eastAsia="en-US"/>
              </w:rPr>
              <w:t xml:space="preserve">water supply and sewerage and waste management and remediation activities </w:t>
            </w:r>
            <w:r w:rsidRPr="00995C95">
              <w:rPr>
                <w:lang w:eastAsia="en-US"/>
              </w:rPr>
              <w:t xml:space="preserve">(−9.5%). Prices of manufacturing products also decreased (−1.3%), especially coke and refined petroleum products (−15.0%), chemicals and </w:t>
            </w:r>
            <w:r w:rsidR="00783F21" w:rsidRPr="00995C95">
              <w:rPr>
                <w:lang w:eastAsia="en-US"/>
              </w:rPr>
              <w:t xml:space="preserve">chemical goods </w:t>
            </w:r>
            <w:r w:rsidRPr="00995C95">
              <w:rPr>
                <w:lang w:eastAsia="en-US"/>
              </w:rPr>
              <w:t xml:space="preserve">(−5.2%), furniture (−4.5%) and basic metals (−3.8%). Export prices also declined </w:t>
            </w:r>
            <w:r w:rsidR="00EF27E6" w:rsidRPr="00995C95">
              <w:rPr>
                <w:lang w:eastAsia="en-US"/>
              </w:rPr>
              <w:t xml:space="preserve">during </w:t>
            </w:r>
            <w:r w:rsidRPr="00995C95">
              <w:rPr>
                <w:lang w:eastAsia="en-US"/>
              </w:rPr>
              <w:t xml:space="preserve">the year in major export </w:t>
            </w:r>
            <w:r w:rsidR="00EF27E6" w:rsidRPr="00995C95">
              <w:rPr>
                <w:lang w:eastAsia="en-US"/>
              </w:rPr>
              <w:t xml:space="preserve">branches </w:t>
            </w:r>
            <w:r w:rsidRPr="00995C95">
              <w:rPr>
                <w:lang w:eastAsia="en-US"/>
              </w:rPr>
              <w:t>such as electrical equipment (</w:t>
            </w:r>
            <w:r w:rsidR="00362328">
              <w:rPr>
                <w:lang w:eastAsia="en-US"/>
              </w:rPr>
              <w:t>−</w:t>
            </w:r>
            <w:r w:rsidRPr="00995C95">
              <w:rPr>
                <w:lang w:eastAsia="en-US"/>
              </w:rPr>
              <w:t xml:space="preserve">2.0% for the full year 2025), computers, electronic and optical </w:t>
            </w:r>
            <w:r w:rsidR="002659AC" w:rsidRPr="00995C95">
              <w:rPr>
                <w:lang w:eastAsia="en-US"/>
              </w:rPr>
              <w:t xml:space="preserve">appliances </w:t>
            </w:r>
            <w:r w:rsidRPr="00995C95">
              <w:rPr>
                <w:lang w:eastAsia="en-US"/>
              </w:rPr>
              <w:t>(</w:t>
            </w:r>
            <w:r w:rsidR="00362328">
              <w:rPr>
                <w:lang w:eastAsia="en-US"/>
              </w:rPr>
              <w:t>−</w:t>
            </w:r>
            <w:r w:rsidRPr="00995C95">
              <w:rPr>
                <w:lang w:eastAsia="en-US"/>
              </w:rPr>
              <w:t>1.7%), machinery and equipment (</w:t>
            </w:r>
            <w:r w:rsidR="00362328">
              <w:rPr>
                <w:lang w:eastAsia="en-US"/>
              </w:rPr>
              <w:t>−</w:t>
            </w:r>
            <w:r w:rsidRPr="00995C95">
              <w:rPr>
                <w:lang w:eastAsia="en-US"/>
              </w:rPr>
              <w:t>0.6%), metal</w:t>
            </w:r>
            <w:r w:rsidR="002659AC" w:rsidRPr="00995C95">
              <w:rPr>
                <w:lang w:eastAsia="en-US"/>
              </w:rPr>
              <w:t>working</w:t>
            </w:r>
            <w:r w:rsidRPr="00995C95">
              <w:rPr>
                <w:lang w:eastAsia="en-US"/>
              </w:rPr>
              <w:t xml:space="preserve"> products (</w:t>
            </w:r>
            <w:r w:rsidR="00362328">
              <w:rPr>
                <w:lang w:eastAsia="en-US"/>
              </w:rPr>
              <w:t>−</w:t>
            </w:r>
            <w:r w:rsidRPr="00995C95">
              <w:rPr>
                <w:lang w:eastAsia="en-US"/>
              </w:rPr>
              <w:t>0.3%) and motor vehicles (</w:t>
            </w:r>
            <w:r w:rsidR="00362328">
              <w:rPr>
                <w:lang w:eastAsia="en-US"/>
              </w:rPr>
              <w:t>−</w:t>
            </w:r>
            <w:r w:rsidRPr="00995C95">
              <w:rPr>
                <w:lang w:eastAsia="en-US"/>
              </w:rPr>
              <w:t xml:space="preserve">0.2%). A more significant increase was recorded only </w:t>
            </w:r>
            <w:r w:rsidR="00215DC5" w:rsidRPr="00995C95">
              <w:rPr>
                <w:lang w:eastAsia="en-US"/>
              </w:rPr>
              <w:t xml:space="preserve">for </w:t>
            </w:r>
            <w:r w:rsidRPr="00995C95">
              <w:rPr>
                <w:lang w:eastAsia="en-US"/>
              </w:rPr>
              <w:t xml:space="preserve">the export prices of wood and wood products except furniture (6.5%). </w:t>
            </w:r>
          </w:p>
        </w:tc>
      </w:tr>
      <w:tr w:rsidR="007F0076" w:rsidRPr="00995C95" w14:paraId="0A36DA53" w14:textId="77777777" w:rsidTr="00E87182">
        <w:trPr>
          <w:trHeight w:val="145"/>
        </w:trPr>
        <w:tc>
          <w:tcPr>
            <w:tcW w:w="1791" w:type="dxa"/>
          </w:tcPr>
          <w:p w14:paraId="38EE977C" w14:textId="3BE07330" w:rsidR="007F0076" w:rsidRPr="00995C95" w:rsidRDefault="008E215D" w:rsidP="008E215D">
            <w:pPr>
              <w:pStyle w:val="Marginlie"/>
              <w:rPr>
                <w:spacing w:val="0"/>
                <w:lang w:eastAsia="en-US"/>
              </w:rPr>
            </w:pPr>
            <w:r w:rsidRPr="00995C95">
              <w:rPr>
                <w:spacing w:val="0"/>
                <w:lang w:eastAsia="en-US"/>
              </w:rPr>
              <w:t xml:space="preserve">The year-on-year decline </w:t>
            </w:r>
            <w:r w:rsidR="007038CD" w:rsidRPr="00995C95">
              <w:rPr>
                <w:spacing w:val="0"/>
                <w:lang w:eastAsia="en-US"/>
              </w:rPr>
              <w:t xml:space="preserve">of </w:t>
            </w:r>
            <w:r w:rsidRPr="00995C95">
              <w:rPr>
                <w:spacing w:val="0"/>
                <w:lang w:eastAsia="en-US"/>
              </w:rPr>
              <w:t>export prices of goods gradually deepened during the year.</w:t>
            </w:r>
            <w:r w:rsidR="00804202" w:rsidRPr="00995C95">
              <w:rPr>
                <w:spacing w:val="0"/>
                <w:lang w:eastAsia="en-US"/>
              </w:rPr>
              <w:t xml:space="preserve"> </w:t>
            </w:r>
          </w:p>
        </w:tc>
        <w:tc>
          <w:tcPr>
            <w:tcW w:w="223" w:type="dxa"/>
          </w:tcPr>
          <w:p w14:paraId="343644F1" w14:textId="77777777" w:rsidR="007F0076" w:rsidRPr="00995C95" w:rsidRDefault="007F0076" w:rsidP="00E87182">
            <w:pPr>
              <w:pStyle w:val="Textpoznpodarou1"/>
              <w:jc w:val="both"/>
              <w:rPr>
                <w:lang w:eastAsia="en-US"/>
              </w:rPr>
            </w:pPr>
          </w:p>
        </w:tc>
        <w:tc>
          <w:tcPr>
            <w:tcW w:w="7625" w:type="dxa"/>
          </w:tcPr>
          <w:p w14:paraId="20FFA3AD" w14:textId="2302E03D" w:rsidR="007F0076" w:rsidRPr="00995C95" w:rsidRDefault="00235CCD" w:rsidP="00235CCD">
            <w:pPr>
              <w:rPr>
                <w:lang w:eastAsia="en-US"/>
              </w:rPr>
            </w:pPr>
            <w:r w:rsidRPr="00995C95">
              <w:rPr>
                <w:lang w:eastAsia="en-US"/>
              </w:rPr>
              <w:t>In the course of 2025, the year-on-year dec</w:t>
            </w:r>
            <w:r w:rsidR="00A178D0" w:rsidRPr="00995C95">
              <w:rPr>
                <w:lang w:eastAsia="en-US"/>
              </w:rPr>
              <w:t>rease of</w:t>
            </w:r>
            <w:r w:rsidRPr="00995C95">
              <w:rPr>
                <w:lang w:eastAsia="en-US"/>
              </w:rPr>
              <w:t xml:space="preserve"> export prices of goods gradually deepened </w:t>
            </w:r>
            <w:r w:rsidR="00A178D0" w:rsidRPr="00995C95">
              <w:rPr>
                <w:lang w:eastAsia="en-US"/>
              </w:rPr>
              <w:t xml:space="preserve">down </w:t>
            </w:r>
            <w:r w:rsidRPr="00995C95">
              <w:rPr>
                <w:lang w:eastAsia="en-US"/>
              </w:rPr>
              <w:t xml:space="preserve">to -4.2% in Q4. </w:t>
            </w:r>
            <w:r w:rsidR="00E47774" w:rsidRPr="00995C95">
              <w:rPr>
                <w:lang w:eastAsia="en-US"/>
              </w:rPr>
              <w:t>P</w:t>
            </w:r>
            <w:r w:rsidRPr="00995C95">
              <w:rPr>
                <w:lang w:eastAsia="en-US"/>
              </w:rPr>
              <w:t>rices of electricity, gas, steam and air-condition</w:t>
            </w:r>
            <w:r w:rsidR="00E47774" w:rsidRPr="00995C95">
              <w:rPr>
                <w:lang w:eastAsia="en-US"/>
              </w:rPr>
              <w:t xml:space="preserve">ing, </w:t>
            </w:r>
            <w:r w:rsidRPr="00995C95">
              <w:rPr>
                <w:lang w:eastAsia="en-US"/>
              </w:rPr>
              <w:t>which gradually reached a year-on-year decline of 16.4%</w:t>
            </w:r>
            <w:r w:rsidR="00F96D69" w:rsidRPr="00995C95">
              <w:rPr>
                <w:lang w:eastAsia="en-US"/>
              </w:rPr>
              <w:t xml:space="preserve"> were t</w:t>
            </w:r>
            <w:r w:rsidR="00E47774" w:rsidRPr="00995C95">
              <w:rPr>
                <w:lang w:eastAsia="en-US"/>
              </w:rPr>
              <w:t xml:space="preserve">he main driver of this development </w:t>
            </w:r>
            <w:r w:rsidR="00F96D69" w:rsidRPr="00995C95">
              <w:rPr>
                <w:lang w:eastAsia="en-US"/>
              </w:rPr>
              <w:t xml:space="preserve">in Q4. </w:t>
            </w:r>
            <w:r w:rsidRPr="00995C95">
              <w:rPr>
                <w:lang w:eastAsia="en-US"/>
              </w:rPr>
              <w:t xml:space="preserve">A deep decline </w:t>
            </w:r>
            <w:r w:rsidR="00AE63ED" w:rsidRPr="00995C95">
              <w:rPr>
                <w:lang w:eastAsia="en-US"/>
              </w:rPr>
              <w:t xml:space="preserve">of </w:t>
            </w:r>
            <w:r w:rsidRPr="00995C95">
              <w:rPr>
                <w:lang w:eastAsia="en-US"/>
              </w:rPr>
              <w:t xml:space="preserve">prices of mining and quarrying (−11.1%) and </w:t>
            </w:r>
            <w:r w:rsidR="00AE63ED" w:rsidRPr="00995C95">
              <w:rPr>
                <w:lang w:eastAsia="en-US"/>
              </w:rPr>
              <w:t xml:space="preserve">water supply and sewerage and waste management </w:t>
            </w:r>
            <w:r w:rsidRPr="00995C95">
              <w:rPr>
                <w:lang w:eastAsia="en-US"/>
              </w:rPr>
              <w:t>activities (−10.0%) also continued. The year-on-year dec</w:t>
            </w:r>
            <w:r w:rsidR="004F1744" w:rsidRPr="00995C95">
              <w:rPr>
                <w:lang w:eastAsia="en-US"/>
              </w:rPr>
              <w:t xml:space="preserve">rease of </w:t>
            </w:r>
            <w:r w:rsidRPr="00995C95">
              <w:rPr>
                <w:lang w:eastAsia="en-US"/>
              </w:rPr>
              <w:t>manufacturing product</w:t>
            </w:r>
            <w:r w:rsidR="004F1744" w:rsidRPr="00995C95">
              <w:rPr>
                <w:lang w:eastAsia="en-US"/>
              </w:rPr>
              <w:t xml:space="preserve"> prices </w:t>
            </w:r>
            <w:r w:rsidRPr="00995C95">
              <w:rPr>
                <w:lang w:eastAsia="en-US"/>
              </w:rPr>
              <w:t>also deepened to 3.9% in Q4. At the end of the year, prices decreased</w:t>
            </w:r>
            <w:r w:rsidR="004F1744" w:rsidRPr="00995C95">
              <w:rPr>
                <w:lang w:eastAsia="en-US"/>
              </w:rPr>
              <w:t>,</w:t>
            </w:r>
            <w:r w:rsidRPr="00995C95">
              <w:rPr>
                <w:lang w:eastAsia="en-US"/>
              </w:rPr>
              <w:t xml:space="preserve"> year-on-year</w:t>
            </w:r>
            <w:r w:rsidR="004F1744" w:rsidRPr="00995C95">
              <w:rPr>
                <w:lang w:eastAsia="en-US"/>
              </w:rPr>
              <w:t>,</w:t>
            </w:r>
            <w:r w:rsidRPr="00995C95">
              <w:rPr>
                <w:lang w:eastAsia="en-US"/>
              </w:rPr>
              <w:t xml:space="preserve"> in most </w:t>
            </w:r>
            <w:r w:rsidR="004F1744" w:rsidRPr="00995C95">
              <w:rPr>
                <w:lang w:eastAsia="en-US"/>
              </w:rPr>
              <w:t>divisions</w:t>
            </w:r>
            <w:r w:rsidRPr="00995C95">
              <w:rPr>
                <w:lang w:eastAsia="en-US"/>
              </w:rPr>
              <w:t xml:space="preserve">, </w:t>
            </w:r>
            <w:r w:rsidR="0024148B" w:rsidRPr="00995C95">
              <w:rPr>
                <w:lang w:eastAsia="en-US"/>
              </w:rPr>
              <w:t>except for</w:t>
            </w:r>
            <w:r w:rsidRPr="00995C95">
              <w:rPr>
                <w:lang w:eastAsia="en-US"/>
              </w:rPr>
              <w:t xml:space="preserve"> prices of wood and wooden products </w:t>
            </w:r>
            <w:r w:rsidR="0024148B" w:rsidRPr="00995C95">
              <w:rPr>
                <w:lang w:eastAsia="en-US"/>
              </w:rPr>
              <w:t xml:space="preserve">apart from furniture </w:t>
            </w:r>
            <w:r w:rsidRPr="00995C95">
              <w:rPr>
                <w:lang w:eastAsia="en-US"/>
              </w:rPr>
              <w:t xml:space="preserve">(5.8%) and beverages (0.4%). The most significant price decreases were recorded for coke and refined petroleum products (−13.5%), chemicals and </w:t>
            </w:r>
            <w:r w:rsidR="00934B5F" w:rsidRPr="00995C95">
              <w:rPr>
                <w:lang w:eastAsia="en-US"/>
              </w:rPr>
              <w:t xml:space="preserve">chemical goods </w:t>
            </w:r>
            <w:r w:rsidRPr="00995C95">
              <w:rPr>
                <w:lang w:eastAsia="en-US"/>
              </w:rPr>
              <w:t>(−9.0%), paper and paper products (−7.4%) and furniture (−6.4%). The only section where prices rose were products of agriculture, forestry and fish</w:t>
            </w:r>
            <w:r w:rsidR="00DE58BE" w:rsidRPr="00995C95">
              <w:rPr>
                <w:lang w:eastAsia="en-US"/>
              </w:rPr>
              <w:t xml:space="preserve">ing </w:t>
            </w:r>
            <w:r w:rsidRPr="00995C95">
              <w:rPr>
                <w:lang w:eastAsia="en-US"/>
              </w:rPr>
              <w:t xml:space="preserve">(2.2%). However, even here, the year-on-year increase weakened during the year. Quarter-on-quarter, export prices fell by 0.7% </w:t>
            </w:r>
            <w:r w:rsidRPr="00995C95">
              <w:rPr>
                <w:lang w:eastAsia="en-US"/>
              </w:rPr>
              <w:lastRenderedPageBreak/>
              <w:t>in Q4, which was a s</w:t>
            </w:r>
            <w:r w:rsidR="003C3BFE" w:rsidRPr="00995C95">
              <w:rPr>
                <w:lang w:eastAsia="en-US"/>
              </w:rPr>
              <w:t xml:space="preserve">maller </w:t>
            </w:r>
            <w:r w:rsidRPr="00995C95">
              <w:rPr>
                <w:lang w:eastAsia="en-US"/>
              </w:rPr>
              <w:t xml:space="preserve">decline </w:t>
            </w:r>
            <w:r w:rsidR="003C3BFE" w:rsidRPr="00995C95">
              <w:rPr>
                <w:lang w:eastAsia="en-US"/>
              </w:rPr>
              <w:t xml:space="preserve">compared to the </w:t>
            </w:r>
            <w:r w:rsidRPr="00995C95">
              <w:rPr>
                <w:lang w:eastAsia="en-US"/>
              </w:rPr>
              <w:t xml:space="preserve">previous two quarters. Export prices in mining and quarrying (−3.5%), manufacturing products (−1.0%) and </w:t>
            </w:r>
            <w:r w:rsidR="00011B41" w:rsidRPr="00995C95">
              <w:rPr>
                <w:lang w:eastAsia="en-US"/>
              </w:rPr>
              <w:t xml:space="preserve">water supply and sewerage and waste management activities </w:t>
            </w:r>
            <w:r w:rsidRPr="00995C95">
              <w:rPr>
                <w:lang w:eastAsia="en-US"/>
              </w:rPr>
              <w:t xml:space="preserve">(−2.8%) were lower. On the </w:t>
            </w:r>
            <w:r w:rsidR="00011B41" w:rsidRPr="00995C95">
              <w:rPr>
                <w:lang w:eastAsia="en-US"/>
              </w:rPr>
              <w:t>contrary</w:t>
            </w:r>
            <w:r w:rsidRPr="00995C95">
              <w:rPr>
                <w:lang w:eastAsia="en-US"/>
              </w:rPr>
              <w:t xml:space="preserve">, there was a significant quarter-on-quarter increase </w:t>
            </w:r>
            <w:r w:rsidR="00011B41" w:rsidRPr="00995C95">
              <w:rPr>
                <w:lang w:eastAsia="en-US"/>
              </w:rPr>
              <w:t xml:space="preserve">of </w:t>
            </w:r>
            <w:r w:rsidRPr="00995C95">
              <w:rPr>
                <w:lang w:eastAsia="en-US"/>
              </w:rPr>
              <w:t>the prices of electricity, gas, steam and air-condition</w:t>
            </w:r>
            <w:r w:rsidR="00E95491" w:rsidRPr="00995C95">
              <w:rPr>
                <w:lang w:eastAsia="en-US"/>
              </w:rPr>
              <w:t xml:space="preserve">ing </w:t>
            </w:r>
            <w:r w:rsidRPr="00995C95">
              <w:rPr>
                <w:lang w:eastAsia="en-US"/>
              </w:rPr>
              <w:t>(7.9%) and prices of agricultural, forestry and fish</w:t>
            </w:r>
            <w:r w:rsidR="005C572E" w:rsidRPr="00995C95">
              <w:rPr>
                <w:lang w:eastAsia="en-US"/>
              </w:rPr>
              <w:t>ing</w:t>
            </w:r>
            <w:r w:rsidRPr="00995C95">
              <w:rPr>
                <w:lang w:eastAsia="en-US"/>
              </w:rPr>
              <w:t xml:space="preserve"> products also increased (2.8%).</w:t>
            </w:r>
            <w:r w:rsidR="003C3BFE" w:rsidRPr="00995C95">
              <w:rPr>
                <w:lang w:eastAsia="en-US"/>
              </w:rPr>
              <w:t xml:space="preserve"> </w:t>
            </w:r>
          </w:p>
        </w:tc>
      </w:tr>
      <w:tr w:rsidR="007F0076" w:rsidRPr="00995C95" w14:paraId="6CC10516" w14:textId="77777777" w:rsidTr="00E87182">
        <w:trPr>
          <w:trHeight w:val="145"/>
        </w:trPr>
        <w:tc>
          <w:tcPr>
            <w:tcW w:w="1791" w:type="dxa"/>
          </w:tcPr>
          <w:p w14:paraId="756257A6" w14:textId="649508FF" w:rsidR="007F0076" w:rsidRPr="00995C95" w:rsidRDefault="00991E07" w:rsidP="00991E07">
            <w:pPr>
              <w:pStyle w:val="Marginlie"/>
              <w:rPr>
                <w:spacing w:val="0"/>
                <w:lang w:eastAsia="en-US"/>
              </w:rPr>
            </w:pPr>
            <w:r w:rsidRPr="00995C95">
              <w:rPr>
                <w:spacing w:val="0"/>
                <w:lang w:eastAsia="en-US"/>
              </w:rPr>
              <w:lastRenderedPageBreak/>
              <w:t>Import prices in mining and quarrying fell sharply.</w:t>
            </w:r>
            <w:r w:rsidR="00E95491" w:rsidRPr="00995C95">
              <w:rPr>
                <w:spacing w:val="0"/>
                <w:lang w:eastAsia="en-US"/>
              </w:rPr>
              <w:t xml:space="preserve"> </w:t>
            </w:r>
          </w:p>
        </w:tc>
        <w:tc>
          <w:tcPr>
            <w:tcW w:w="223" w:type="dxa"/>
          </w:tcPr>
          <w:p w14:paraId="58C96FAB" w14:textId="77777777" w:rsidR="007F0076" w:rsidRPr="00995C95" w:rsidRDefault="007F0076" w:rsidP="00E87182">
            <w:pPr>
              <w:pStyle w:val="Textpoznpodarou1"/>
              <w:jc w:val="both"/>
              <w:rPr>
                <w:lang w:eastAsia="en-US"/>
              </w:rPr>
            </w:pPr>
          </w:p>
        </w:tc>
        <w:tc>
          <w:tcPr>
            <w:tcW w:w="7625" w:type="dxa"/>
            <w:hideMark/>
          </w:tcPr>
          <w:p w14:paraId="42CDD068" w14:textId="6CCAAD51" w:rsidR="007F0076" w:rsidRPr="00995C95" w:rsidRDefault="00996DBD" w:rsidP="00996DBD">
            <w:pPr>
              <w:rPr>
                <w:b/>
                <w:bCs/>
                <w:lang w:eastAsia="en-US"/>
              </w:rPr>
            </w:pPr>
            <w:r w:rsidRPr="00995C95">
              <w:rPr>
                <w:lang w:eastAsia="en-US"/>
              </w:rPr>
              <w:t xml:space="preserve">The dynamics of import prices was similar to that of exports, </w:t>
            </w:r>
            <w:r w:rsidR="00230D06" w:rsidRPr="00995C95">
              <w:rPr>
                <w:lang w:eastAsia="en-US"/>
              </w:rPr>
              <w:t xml:space="preserve">the </w:t>
            </w:r>
            <w:r w:rsidRPr="00995C95">
              <w:rPr>
                <w:lang w:eastAsia="en-US"/>
              </w:rPr>
              <w:t>year-on-year dec</w:t>
            </w:r>
            <w:r w:rsidR="00230D06" w:rsidRPr="00995C95">
              <w:rPr>
                <w:lang w:eastAsia="en-US"/>
              </w:rPr>
              <w:t xml:space="preserve">rease gradually deepened during </w:t>
            </w:r>
            <w:r w:rsidRPr="00995C95">
              <w:rPr>
                <w:lang w:eastAsia="en-US"/>
              </w:rPr>
              <w:t xml:space="preserve">2025 and </w:t>
            </w:r>
            <w:r w:rsidR="00230D06" w:rsidRPr="00995C95">
              <w:rPr>
                <w:lang w:eastAsia="en-US"/>
              </w:rPr>
              <w:t xml:space="preserve">total </w:t>
            </w:r>
            <w:r w:rsidRPr="00995C95">
              <w:rPr>
                <w:lang w:eastAsia="en-US"/>
              </w:rPr>
              <w:t>prices fell by 1.6% last year. Import prices of agricultural, forestry and fish</w:t>
            </w:r>
            <w:r w:rsidR="00230D06" w:rsidRPr="00995C95">
              <w:rPr>
                <w:lang w:eastAsia="en-US"/>
              </w:rPr>
              <w:t xml:space="preserve">ing </w:t>
            </w:r>
            <w:r w:rsidRPr="00995C95">
              <w:rPr>
                <w:lang w:eastAsia="en-US"/>
              </w:rPr>
              <w:t>products were higher by 6.3% and electricity, gas, steam and air-condition</w:t>
            </w:r>
            <w:r w:rsidR="00230D06" w:rsidRPr="00995C95">
              <w:rPr>
                <w:lang w:eastAsia="en-US"/>
              </w:rPr>
              <w:t xml:space="preserve">ing </w:t>
            </w:r>
            <w:r w:rsidRPr="00995C95">
              <w:rPr>
                <w:lang w:eastAsia="en-US"/>
              </w:rPr>
              <w:t xml:space="preserve">by 4.6%, </w:t>
            </w:r>
            <w:r w:rsidR="008B5F6A" w:rsidRPr="00995C95">
              <w:rPr>
                <w:lang w:eastAsia="en-US"/>
              </w:rPr>
              <w:t xml:space="preserve">however </w:t>
            </w:r>
            <w:r w:rsidRPr="00995C95">
              <w:rPr>
                <w:lang w:eastAsia="en-US"/>
              </w:rPr>
              <w:t xml:space="preserve">the resulting </w:t>
            </w:r>
            <w:r w:rsidR="00230D06" w:rsidRPr="00995C95">
              <w:rPr>
                <w:lang w:eastAsia="en-US"/>
              </w:rPr>
              <w:t xml:space="preserve">total </w:t>
            </w:r>
            <w:r w:rsidR="008B5F6A" w:rsidRPr="00995C95">
              <w:rPr>
                <w:lang w:eastAsia="en-US"/>
              </w:rPr>
              <w:t xml:space="preserve">plunge </w:t>
            </w:r>
            <w:r w:rsidR="00230D06" w:rsidRPr="00995C95">
              <w:rPr>
                <w:lang w:eastAsia="en-US"/>
              </w:rPr>
              <w:t xml:space="preserve">of </w:t>
            </w:r>
            <w:r w:rsidRPr="00995C95">
              <w:rPr>
                <w:lang w:eastAsia="en-US"/>
              </w:rPr>
              <w:t xml:space="preserve">prices </w:t>
            </w:r>
            <w:r w:rsidR="008B5F6A" w:rsidRPr="00995C95">
              <w:rPr>
                <w:lang w:eastAsia="en-US"/>
              </w:rPr>
              <w:t>resulted from the f</w:t>
            </w:r>
            <w:r w:rsidRPr="00995C95">
              <w:rPr>
                <w:lang w:eastAsia="en-US"/>
              </w:rPr>
              <w:t xml:space="preserve">all </w:t>
            </w:r>
            <w:r w:rsidR="00230D06" w:rsidRPr="00995C95">
              <w:rPr>
                <w:lang w:eastAsia="en-US"/>
              </w:rPr>
              <w:t xml:space="preserve">of </w:t>
            </w:r>
            <w:r w:rsidRPr="00995C95">
              <w:rPr>
                <w:lang w:eastAsia="en-US"/>
              </w:rPr>
              <w:t xml:space="preserve">import prices of mining and quarrying by 10.7% and of manufacturing products by 1.2%. </w:t>
            </w:r>
            <w:r w:rsidR="008B5F6A" w:rsidRPr="00995C95">
              <w:rPr>
                <w:lang w:eastAsia="en-US"/>
              </w:rPr>
              <w:t>T</w:t>
            </w:r>
            <w:r w:rsidRPr="00995C95">
              <w:rPr>
                <w:lang w:eastAsia="en-US"/>
              </w:rPr>
              <w:t xml:space="preserve">he decline </w:t>
            </w:r>
            <w:r w:rsidR="008B5F6A" w:rsidRPr="00995C95">
              <w:rPr>
                <w:lang w:eastAsia="en-US"/>
              </w:rPr>
              <w:t>of</w:t>
            </w:r>
            <w:r w:rsidRPr="00995C95">
              <w:rPr>
                <w:lang w:eastAsia="en-US"/>
              </w:rPr>
              <w:t xml:space="preserve"> import prices deepened to -5.1%</w:t>
            </w:r>
            <w:r w:rsidR="008B5F6A" w:rsidRPr="00995C95">
              <w:rPr>
                <w:lang w:eastAsia="en-US"/>
              </w:rPr>
              <w:t xml:space="preserve"> in Q4</w:t>
            </w:r>
            <w:r w:rsidRPr="00995C95">
              <w:rPr>
                <w:lang w:eastAsia="en-US"/>
              </w:rPr>
              <w:t>. This was due to an accent</w:t>
            </w:r>
            <w:r w:rsidR="003B224C" w:rsidRPr="00995C95">
              <w:rPr>
                <w:lang w:eastAsia="en-US"/>
              </w:rPr>
              <w:t xml:space="preserve">uated fall of </w:t>
            </w:r>
            <w:r w:rsidRPr="00995C95">
              <w:rPr>
                <w:lang w:eastAsia="en-US"/>
              </w:rPr>
              <w:t>mining and quarrying</w:t>
            </w:r>
            <w:r w:rsidR="003B224C" w:rsidRPr="00995C95">
              <w:rPr>
                <w:lang w:eastAsia="en-US"/>
              </w:rPr>
              <w:t xml:space="preserve"> </w:t>
            </w:r>
            <w:r w:rsidR="005C572E" w:rsidRPr="00995C95">
              <w:rPr>
                <w:lang w:eastAsia="en-US"/>
              </w:rPr>
              <w:t>prices to</w:t>
            </w:r>
            <w:r w:rsidRPr="00995C95">
              <w:rPr>
                <w:lang w:eastAsia="en-US"/>
              </w:rPr>
              <w:t xml:space="preserve"> −23.0%, </w:t>
            </w:r>
            <w:r w:rsidR="003B224C" w:rsidRPr="00995C95">
              <w:rPr>
                <w:lang w:eastAsia="en-US"/>
              </w:rPr>
              <w:t xml:space="preserve">nevertheless </w:t>
            </w:r>
            <w:r w:rsidRPr="00995C95">
              <w:rPr>
                <w:lang w:eastAsia="en-US"/>
              </w:rPr>
              <w:t xml:space="preserve">a more noticeable decline was also recorded </w:t>
            </w:r>
            <w:r w:rsidR="003B224C" w:rsidRPr="00995C95">
              <w:rPr>
                <w:lang w:eastAsia="en-US"/>
              </w:rPr>
              <w:t xml:space="preserve">regarding </w:t>
            </w:r>
            <w:r w:rsidRPr="00995C95">
              <w:rPr>
                <w:lang w:eastAsia="en-US"/>
              </w:rPr>
              <w:t>the prices of imports of electricity, gas, steam and air-condition</w:t>
            </w:r>
            <w:r w:rsidR="003B224C" w:rsidRPr="00995C95">
              <w:rPr>
                <w:lang w:eastAsia="en-US"/>
              </w:rPr>
              <w:t xml:space="preserve">ing </w:t>
            </w:r>
            <w:r w:rsidRPr="00995C95">
              <w:rPr>
                <w:lang w:eastAsia="en-US"/>
              </w:rPr>
              <w:t>(−8.6%) and prices of manufacturing products (−3.9%). Prices of products of agriculture, forestry and fish</w:t>
            </w:r>
            <w:r w:rsidR="00EB5180" w:rsidRPr="00995C95">
              <w:rPr>
                <w:lang w:eastAsia="en-US"/>
              </w:rPr>
              <w:t xml:space="preserve">ing </w:t>
            </w:r>
            <w:r w:rsidRPr="00995C95">
              <w:rPr>
                <w:lang w:eastAsia="en-US"/>
              </w:rPr>
              <w:t>stagnated</w:t>
            </w:r>
            <w:r w:rsidR="00EB5180" w:rsidRPr="00995C95">
              <w:rPr>
                <w:lang w:eastAsia="en-US"/>
              </w:rPr>
              <w:t>,</w:t>
            </w:r>
            <w:r w:rsidRPr="00995C95">
              <w:rPr>
                <w:lang w:eastAsia="en-US"/>
              </w:rPr>
              <w:t xml:space="preserve"> year-on-year. Import prices fell by 1.1%</w:t>
            </w:r>
            <w:r w:rsidR="001B7DE2" w:rsidRPr="00995C95">
              <w:rPr>
                <w:lang w:eastAsia="en-US"/>
              </w:rPr>
              <w:t>,</w:t>
            </w:r>
            <w:r w:rsidRPr="00995C95">
              <w:rPr>
                <w:lang w:eastAsia="en-US"/>
              </w:rPr>
              <w:t xml:space="preserve"> quarter-on-quarter</w:t>
            </w:r>
            <w:r w:rsidR="001B7DE2" w:rsidRPr="00995C95">
              <w:rPr>
                <w:lang w:eastAsia="en-US"/>
              </w:rPr>
              <w:t>,</w:t>
            </w:r>
            <w:r w:rsidRPr="00995C95">
              <w:rPr>
                <w:lang w:eastAsia="en-US"/>
              </w:rPr>
              <w:t xml:space="preserve"> in Q4. Import prices were lower by 6.4%</w:t>
            </w:r>
            <w:r w:rsidR="001B7DE2" w:rsidRPr="00995C95">
              <w:rPr>
                <w:lang w:eastAsia="en-US"/>
              </w:rPr>
              <w:t xml:space="preserve"> in mining and quarrying</w:t>
            </w:r>
            <w:r w:rsidRPr="00995C95">
              <w:rPr>
                <w:lang w:eastAsia="en-US"/>
              </w:rPr>
              <w:t>, quarter-on-quarter, and by 0.9%, y</w:t>
            </w:r>
            <w:r w:rsidR="001B7DE2" w:rsidRPr="00995C95">
              <w:rPr>
                <w:lang w:eastAsia="en-US"/>
              </w:rPr>
              <w:t>ear</w:t>
            </w:r>
            <w:r w:rsidRPr="00995C95">
              <w:rPr>
                <w:lang w:eastAsia="en-US"/>
              </w:rPr>
              <w:t>-o</w:t>
            </w:r>
            <w:r w:rsidR="001B7DE2" w:rsidRPr="00995C95">
              <w:rPr>
                <w:lang w:eastAsia="en-US"/>
              </w:rPr>
              <w:t>n</w:t>
            </w:r>
            <w:r w:rsidRPr="00995C95">
              <w:rPr>
                <w:lang w:eastAsia="en-US"/>
              </w:rPr>
              <w:t>-y</w:t>
            </w:r>
            <w:r w:rsidR="001B7DE2" w:rsidRPr="00995C95">
              <w:rPr>
                <w:lang w:eastAsia="en-US"/>
              </w:rPr>
              <w:t>ear</w:t>
            </w:r>
            <w:r w:rsidRPr="00995C95">
              <w:rPr>
                <w:lang w:eastAsia="en-US"/>
              </w:rPr>
              <w:t xml:space="preserve">. On the </w:t>
            </w:r>
            <w:r w:rsidR="001B7DE2" w:rsidRPr="00995C95">
              <w:rPr>
                <w:lang w:eastAsia="en-US"/>
              </w:rPr>
              <w:t>contrary</w:t>
            </w:r>
            <w:r w:rsidRPr="00995C95">
              <w:rPr>
                <w:lang w:eastAsia="en-US"/>
              </w:rPr>
              <w:t>, the prices of imported electricity, gas, steam and air-condition</w:t>
            </w:r>
            <w:r w:rsidR="001B7DE2" w:rsidRPr="00995C95">
              <w:rPr>
                <w:lang w:eastAsia="en-US"/>
              </w:rPr>
              <w:t xml:space="preserve">ing </w:t>
            </w:r>
            <w:r w:rsidRPr="00995C95">
              <w:rPr>
                <w:lang w:eastAsia="en-US"/>
              </w:rPr>
              <w:t>increased by 11.0% and products of agriculture, forestry and fish</w:t>
            </w:r>
            <w:r w:rsidR="0026031E" w:rsidRPr="00995C95">
              <w:rPr>
                <w:lang w:eastAsia="en-US"/>
              </w:rPr>
              <w:t xml:space="preserve">ing </w:t>
            </w:r>
            <w:r w:rsidRPr="00995C95">
              <w:rPr>
                <w:lang w:eastAsia="en-US"/>
              </w:rPr>
              <w:t>by 2.1%.</w:t>
            </w:r>
            <w:r w:rsidR="00EB5180" w:rsidRPr="00995C95">
              <w:rPr>
                <w:lang w:eastAsia="en-US"/>
              </w:rPr>
              <w:t xml:space="preserve"> </w:t>
            </w:r>
          </w:p>
        </w:tc>
      </w:tr>
      <w:tr w:rsidR="007F0076" w:rsidRPr="00995C95" w14:paraId="0E41CC7D" w14:textId="77777777" w:rsidTr="00E87182">
        <w:trPr>
          <w:trHeight w:val="145"/>
        </w:trPr>
        <w:tc>
          <w:tcPr>
            <w:tcW w:w="1791" w:type="dxa"/>
          </w:tcPr>
          <w:p w14:paraId="43ED1EFE" w14:textId="246F0762" w:rsidR="007F0076" w:rsidRPr="00995C95" w:rsidRDefault="000D3FEF" w:rsidP="00E87182">
            <w:pPr>
              <w:pStyle w:val="Marginlie"/>
              <w:rPr>
                <w:spacing w:val="0"/>
                <w:lang w:eastAsia="en-US"/>
              </w:rPr>
            </w:pPr>
            <w:r w:rsidRPr="00995C95">
              <w:rPr>
                <w:spacing w:val="0"/>
                <w:lang w:eastAsia="en-US"/>
              </w:rPr>
              <w:t xml:space="preserve">Terms of trade were positive in </w:t>
            </w:r>
            <w:r w:rsidR="007F0076" w:rsidRPr="00995C95">
              <w:rPr>
                <w:spacing w:val="0"/>
                <w:lang w:eastAsia="en-US"/>
              </w:rPr>
              <w:t>2025.</w:t>
            </w:r>
          </w:p>
        </w:tc>
        <w:tc>
          <w:tcPr>
            <w:tcW w:w="223" w:type="dxa"/>
          </w:tcPr>
          <w:p w14:paraId="7ACAD5CE" w14:textId="77777777" w:rsidR="007F0076" w:rsidRPr="00995C95" w:rsidRDefault="007F0076" w:rsidP="00E87182">
            <w:pPr>
              <w:pStyle w:val="Textpoznpodarou1"/>
              <w:jc w:val="both"/>
              <w:rPr>
                <w:lang w:eastAsia="en-US"/>
              </w:rPr>
            </w:pPr>
          </w:p>
        </w:tc>
        <w:tc>
          <w:tcPr>
            <w:tcW w:w="7625" w:type="dxa"/>
          </w:tcPr>
          <w:p w14:paraId="52793061" w14:textId="1E6BCC3A" w:rsidR="007F0076" w:rsidRPr="00995C95" w:rsidRDefault="0069608D" w:rsidP="0069608D">
            <w:pPr>
              <w:rPr>
                <w:lang w:eastAsia="en-US"/>
              </w:rPr>
            </w:pPr>
            <w:r w:rsidRPr="00995C95">
              <w:rPr>
                <w:lang w:eastAsia="en-US"/>
              </w:rPr>
              <w:t xml:space="preserve">The terms </w:t>
            </w:r>
            <w:r w:rsidR="00D17BB8" w:rsidRPr="00995C95">
              <w:rPr>
                <w:lang w:eastAsia="en-US"/>
              </w:rPr>
              <w:t xml:space="preserve">of </w:t>
            </w:r>
            <w:r w:rsidR="00230D06" w:rsidRPr="00995C95">
              <w:rPr>
                <w:lang w:eastAsia="en-US"/>
              </w:rPr>
              <w:t xml:space="preserve">trade </w:t>
            </w:r>
            <w:r w:rsidRPr="00995C95">
              <w:rPr>
                <w:lang w:eastAsia="en-US"/>
              </w:rPr>
              <w:t xml:space="preserve">of </w:t>
            </w:r>
            <w:r w:rsidR="00230D06" w:rsidRPr="00995C95">
              <w:rPr>
                <w:lang w:eastAsia="en-US"/>
              </w:rPr>
              <w:t xml:space="preserve">international </w:t>
            </w:r>
            <w:r w:rsidRPr="00995C95">
              <w:rPr>
                <w:lang w:eastAsia="en-US"/>
              </w:rPr>
              <w:t xml:space="preserve">trade </w:t>
            </w:r>
            <w:r w:rsidR="00230D06" w:rsidRPr="00995C95">
              <w:rPr>
                <w:lang w:eastAsia="en-US"/>
              </w:rPr>
              <w:t xml:space="preserve">with </w:t>
            </w:r>
            <w:r w:rsidRPr="00995C95">
              <w:rPr>
                <w:lang w:eastAsia="en-US"/>
              </w:rPr>
              <w:t xml:space="preserve">goods were positive in all quarters of 2025 and reached </w:t>
            </w:r>
            <w:r w:rsidR="00230D06" w:rsidRPr="00995C95">
              <w:rPr>
                <w:lang w:eastAsia="en-US"/>
              </w:rPr>
              <w:t xml:space="preserve">a total of </w:t>
            </w:r>
            <w:r w:rsidRPr="00995C95">
              <w:rPr>
                <w:lang w:eastAsia="en-US"/>
              </w:rPr>
              <w:t xml:space="preserve">100.5%. In Q4 alone, year-on-year </w:t>
            </w:r>
            <w:r w:rsidR="00B2322A" w:rsidRPr="00995C95">
              <w:rPr>
                <w:lang w:eastAsia="en-US"/>
              </w:rPr>
              <w:t xml:space="preserve">terms of trade </w:t>
            </w:r>
            <w:r w:rsidRPr="00995C95">
              <w:rPr>
                <w:lang w:eastAsia="en-US"/>
              </w:rPr>
              <w:t xml:space="preserve">amounted to 100.9%. </w:t>
            </w:r>
            <w:r w:rsidR="00151BE2" w:rsidRPr="00995C95">
              <w:rPr>
                <w:lang w:eastAsia="en-US"/>
              </w:rPr>
              <w:t xml:space="preserve">The terms of trade were considerably </w:t>
            </w:r>
            <w:r w:rsidRPr="00995C95">
              <w:rPr>
                <w:lang w:eastAsia="en-US"/>
              </w:rPr>
              <w:t>positive in mining and quarrying products (115.4%) and products of agriculture, forestry and fish</w:t>
            </w:r>
            <w:r w:rsidR="006C1901" w:rsidRPr="00995C95">
              <w:rPr>
                <w:lang w:eastAsia="en-US"/>
              </w:rPr>
              <w:t xml:space="preserve">ing </w:t>
            </w:r>
            <w:r w:rsidRPr="00995C95">
              <w:rPr>
                <w:lang w:eastAsia="en-US"/>
              </w:rPr>
              <w:t xml:space="preserve">(102.2%). The terms of trade </w:t>
            </w:r>
            <w:r w:rsidR="00DF2C89" w:rsidRPr="00995C95">
              <w:rPr>
                <w:lang w:eastAsia="en-US"/>
              </w:rPr>
              <w:t xml:space="preserve">with manufacturing </w:t>
            </w:r>
            <w:r w:rsidRPr="00995C95">
              <w:rPr>
                <w:lang w:eastAsia="en-US"/>
              </w:rPr>
              <w:t xml:space="preserve">products reached 100.0%. On the </w:t>
            </w:r>
            <w:r w:rsidR="00DF2C89" w:rsidRPr="00995C95">
              <w:rPr>
                <w:lang w:eastAsia="en-US"/>
              </w:rPr>
              <w:t>contrary</w:t>
            </w:r>
            <w:r w:rsidRPr="00995C95">
              <w:rPr>
                <w:lang w:eastAsia="en-US"/>
              </w:rPr>
              <w:t>, the terms of trade in electricity, gas, steam and air-condition</w:t>
            </w:r>
            <w:r w:rsidR="005E57C0" w:rsidRPr="00995C95">
              <w:rPr>
                <w:lang w:eastAsia="en-US"/>
              </w:rPr>
              <w:t xml:space="preserve">ing </w:t>
            </w:r>
            <w:r w:rsidRPr="00995C95">
              <w:rPr>
                <w:lang w:eastAsia="en-US"/>
              </w:rPr>
              <w:t>(91.4%) moved into negative territory in</w:t>
            </w:r>
            <w:r w:rsidR="005E57C0" w:rsidRPr="00995C95">
              <w:rPr>
                <w:lang w:eastAsia="en-US"/>
              </w:rPr>
              <w:t xml:space="preserve"> Q4</w:t>
            </w:r>
            <w:r w:rsidRPr="00995C95">
              <w:rPr>
                <w:lang w:eastAsia="en-US"/>
              </w:rPr>
              <w:t xml:space="preserve">. Quarter-on-quarter terms of </w:t>
            </w:r>
            <w:r w:rsidR="00A220CB" w:rsidRPr="00995C95">
              <w:rPr>
                <w:lang w:eastAsia="en-US"/>
              </w:rPr>
              <w:t xml:space="preserve">international </w:t>
            </w:r>
            <w:r w:rsidRPr="00995C95">
              <w:rPr>
                <w:lang w:eastAsia="en-US"/>
              </w:rPr>
              <w:t xml:space="preserve">trade </w:t>
            </w:r>
            <w:r w:rsidR="00A220CB" w:rsidRPr="00995C95">
              <w:rPr>
                <w:lang w:eastAsia="en-US"/>
              </w:rPr>
              <w:t xml:space="preserve">with </w:t>
            </w:r>
            <w:r w:rsidRPr="00995C95">
              <w:rPr>
                <w:lang w:eastAsia="en-US"/>
              </w:rPr>
              <w:t xml:space="preserve">goods reached 100.4% in </w:t>
            </w:r>
            <w:r w:rsidR="00A220CB" w:rsidRPr="00995C95">
              <w:rPr>
                <w:lang w:eastAsia="en-US"/>
              </w:rPr>
              <w:t>Q</w:t>
            </w:r>
            <w:r w:rsidRPr="00995C95">
              <w:rPr>
                <w:lang w:eastAsia="en-US"/>
              </w:rPr>
              <w:t xml:space="preserve">4. </w:t>
            </w:r>
            <w:r w:rsidR="00B21017" w:rsidRPr="00995C95">
              <w:rPr>
                <w:lang w:eastAsia="en-US"/>
              </w:rPr>
              <w:t xml:space="preserve">Terms </w:t>
            </w:r>
            <w:r w:rsidRPr="00995C95">
              <w:rPr>
                <w:lang w:eastAsia="en-US"/>
              </w:rPr>
              <w:t xml:space="preserve">of trade were </w:t>
            </w:r>
            <w:r w:rsidR="00B21017" w:rsidRPr="00995C95">
              <w:rPr>
                <w:lang w:eastAsia="en-US"/>
              </w:rPr>
              <w:t xml:space="preserve">positive </w:t>
            </w:r>
            <w:r w:rsidRPr="00995C95">
              <w:rPr>
                <w:lang w:eastAsia="en-US"/>
              </w:rPr>
              <w:t>in mining and quarrying (103.0%) and products of agriculture, forestry and fish</w:t>
            </w:r>
            <w:r w:rsidR="00B21017" w:rsidRPr="00995C95">
              <w:rPr>
                <w:lang w:eastAsia="en-US"/>
              </w:rPr>
              <w:t xml:space="preserve">ing </w:t>
            </w:r>
            <w:r w:rsidRPr="00995C95">
              <w:rPr>
                <w:lang w:eastAsia="en-US"/>
              </w:rPr>
              <w:t xml:space="preserve">(100.6%). </w:t>
            </w:r>
            <w:r w:rsidR="00B21017" w:rsidRPr="00995C95">
              <w:rPr>
                <w:lang w:eastAsia="en-US"/>
              </w:rPr>
              <w:t>In contrast</w:t>
            </w:r>
            <w:r w:rsidRPr="00995C95">
              <w:rPr>
                <w:lang w:eastAsia="en-US"/>
              </w:rPr>
              <w:t xml:space="preserve">, quarter-on-quarter terms of trade </w:t>
            </w:r>
            <w:r w:rsidR="00B21017" w:rsidRPr="00995C95">
              <w:rPr>
                <w:lang w:eastAsia="en-US"/>
              </w:rPr>
              <w:t xml:space="preserve">with </w:t>
            </w:r>
            <w:r w:rsidRPr="00995C95">
              <w:rPr>
                <w:lang w:eastAsia="en-US"/>
              </w:rPr>
              <w:t>electricity, gas, steam and air-condition</w:t>
            </w:r>
            <w:r w:rsidR="00B21017" w:rsidRPr="00995C95">
              <w:rPr>
                <w:lang w:eastAsia="en-US"/>
              </w:rPr>
              <w:t xml:space="preserve">ing </w:t>
            </w:r>
            <w:r w:rsidRPr="00995C95">
              <w:rPr>
                <w:lang w:eastAsia="en-US"/>
              </w:rPr>
              <w:t>(97.1%) and manufacturing products (99.9%) were negative.</w:t>
            </w:r>
            <w:r w:rsidR="00230D06" w:rsidRPr="00995C95">
              <w:rPr>
                <w:lang w:eastAsia="en-US"/>
              </w:rPr>
              <w:t xml:space="preserve"> </w:t>
            </w:r>
          </w:p>
        </w:tc>
      </w:tr>
    </w:tbl>
    <w:p w14:paraId="0D4E8352" w14:textId="77777777" w:rsidR="007F0076" w:rsidRPr="00995C95" w:rsidRDefault="007F0076" w:rsidP="007F0076">
      <w:pPr>
        <w:spacing w:after="0"/>
      </w:pPr>
    </w:p>
    <w:p w14:paraId="1810A534" w14:textId="77777777" w:rsidR="007F0076" w:rsidRPr="00995C95" w:rsidRDefault="007F0076" w:rsidP="007F0076">
      <w:pPr>
        <w:spacing w:after="0"/>
        <w:rPr>
          <w:highlight w:val="yellow"/>
        </w:rPr>
      </w:pPr>
    </w:p>
    <w:p w14:paraId="369FDD3D" w14:textId="77777777" w:rsidR="006A2056" w:rsidRPr="00995C95" w:rsidRDefault="006A2056">
      <w:pPr>
        <w:spacing w:after="0" w:line="240" w:lineRule="auto"/>
        <w:jc w:val="left"/>
        <w:rPr>
          <w:rFonts w:eastAsia="MS Gothic"/>
          <w:b/>
          <w:bCs/>
          <w:color w:val="86BF5E"/>
          <w:sz w:val="32"/>
          <w:szCs w:val="28"/>
          <w:highlight w:val="yellow"/>
        </w:rPr>
      </w:pPr>
      <w:r w:rsidRPr="00995C95">
        <w:rPr>
          <w:highlight w:val="yellow"/>
        </w:rPr>
        <w:br w:type="page"/>
      </w:r>
    </w:p>
    <w:p w14:paraId="070DD564" w14:textId="77777777" w:rsidR="0032050F" w:rsidRPr="00995C95" w:rsidRDefault="0032050F" w:rsidP="0032050F">
      <w:pPr>
        <w:pStyle w:val="Nadpis1"/>
        <w:rPr>
          <w:lang w:val="en-GB"/>
        </w:rPr>
      </w:pPr>
      <w:bookmarkStart w:id="26" w:name="_Toc193366677"/>
      <w:bookmarkStart w:id="27" w:name="_Toc227235020"/>
      <w:r w:rsidRPr="00995C95">
        <w:rPr>
          <w:lang w:val="en-GB"/>
        </w:rPr>
        <w:lastRenderedPageBreak/>
        <w:t>6. Labour Market</w:t>
      </w:r>
      <w:bookmarkEnd w:id="26"/>
      <w:bookmarkEnd w:id="27"/>
    </w:p>
    <w:tbl>
      <w:tblPr>
        <w:tblW w:w="9674" w:type="dxa"/>
        <w:tblInd w:w="-35" w:type="dxa"/>
        <w:tblCellMar>
          <w:left w:w="0" w:type="dxa"/>
          <w:right w:w="0" w:type="dxa"/>
        </w:tblCellMar>
        <w:tblLook w:val="00A0" w:firstRow="1" w:lastRow="0" w:firstColumn="1" w:lastColumn="0" w:noHBand="0" w:noVBand="0"/>
      </w:tblPr>
      <w:tblGrid>
        <w:gridCol w:w="1755"/>
        <w:gridCol w:w="176"/>
        <w:gridCol w:w="7743"/>
      </w:tblGrid>
      <w:tr w:rsidR="0032050F" w:rsidRPr="00995C95" w14:paraId="407D36A5" w14:textId="77777777" w:rsidTr="00E25E8B">
        <w:trPr>
          <w:trHeight w:val="155"/>
        </w:trPr>
        <w:tc>
          <w:tcPr>
            <w:tcW w:w="1755" w:type="dxa"/>
            <w:tcMar>
              <w:left w:w="0" w:type="dxa"/>
            </w:tcMar>
          </w:tcPr>
          <w:p w14:paraId="38C01B85" w14:textId="77777777" w:rsidR="0032050F" w:rsidRDefault="0032050F" w:rsidP="00E25E8B">
            <w:pPr>
              <w:pStyle w:val="Marginlie"/>
              <w:rPr>
                <w:color w:val="000000" w:themeColor="text1"/>
                <w:spacing w:val="0"/>
              </w:rPr>
            </w:pPr>
            <w:r w:rsidRPr="00995C95">
              <w:rPr>
                <w:color w:val="000000" w:themeColor="text1"/>
                <w:spacing w:val="0"/>
              </w:rPr>
              <w:t xml:space="preserve">Branch-differentiated employment growth continued, saturated largely from abroad. However, the number of unemployed also increased slightly. </w:t>
            </w:r>
          </w:p>
          <w:p w14:paraId="3CEC8E04" w14:textId="77777777" w:rsidR="0032050F" w:rsidRPr="00995C95" w:rsidRDefault="0032050F" w:rsidP="00E25E8B">
            <w:pPr>
              <w:pStyle w:val="Marginlie"/>
              <w:rPr>
                <w:color w:val="000000" w:themeColor="text1"/>
                <w:spacing w:val="0"/>
              </w:rPr>
            </w:pPr>
            <w:r w:rsidRPr="00995C95">
              <w:rPr>
                <w:color w:val="000000" w:themeColor="text1"/>
                <w:spacing w:val="0"/>
              </w:rPr>
              <w:t>Wage growth maintained a brisk pace.</w:t>
            </w:r>
          </w:p>
        </w:tc>
        <w:tc>
          <w:tcPr>
            <w:tcW w:w="176" w:type="dxa"/>
            <w:tcMar>
              <w:left w:w="0" w:type="dxa"/>
            </w:tcMar>
          </w:tcPr>
          <w:p w14:paraId="5A10FAFB" w14:textId="77777777" w:rsidR="0032050F" w:rsidRPr="00995C95" w:rsidRDefault="0032050F" w:rsidP="00E25E8B">
            <w:pPr>
              <w:pStyle w:val="Textpoznpodarou"/>
              <w:spacing w:after="120"/>
              <w:jc w:val="both"/>
              <w:rPr>
                <w:color w:val="000000" w:themeColor="text1"/>
                <w:spacing w:val="-4"/>
              </w:rPr>
            </w:pPr>
          </w:p>
        </w:tc>
        <w:tc>
          <w:tcPr>
            <w:tcW w:w="7743" w:type="dxa"/>
            <w:tcMar>
              <w:left w:w="0" w:type="dxa"/>
            </w:tcMar>
          </w:tcPr>
          <w:p w14:paraId="58794C9E" w14:textId="77777777" w:rsidR="0032050F" w:rsidRPr="00995C95" w:rsidRDefault="0032050F" w:rsidP="00E25E8B">
            <w:pPr>
              <w:spacing w:after="200"/>
              <w:rPr>
                <w:color w:val="000000" w:themeColor="text1"/>
                <w:szCs w:val="20"/>
              </w:rPr>
            </w:pPr>
            <w:r w:rsidRPr="00995C95">
              <w:rPr>
                <w:color w:val="000000" w:themeColor="text1"/>
                <w:szCs w:val="20"/>
              </w:rPr>
              <w:t xml:space="preserve">The strengthening of the economy's output was gradually reflected in the labour market in 2025. There was a slight increase of the number of both employees and self-employed persons, the focus of which was on services, which generally benefited from growing domestic demand. The growth of investment activity in the economy was reflected in construction performance, employment and wages. The improved situation in industry was also partly reflected in employment towards the end of the year. The influx of workers from abroad, in addition to Ukraine, also from distant Asian countries continued at an enhanced intensity. Companies' expectations in the area of employment were improving, a positive shift was evident in trade and construction, and currently also in industry. Unemployment, including its long-term component, increased slightly. The supply of job vacancies stagnated and a long-term structural mismatch between supply and demand persisted. Brisk nominal wage growth continued and there was no apparent tendency for the dynamics to weaken from their quarter-on-quarter rates. Wage growth accelerated for the lowest-paid employees at the end of the year. The stabilisation of the price level in the economy led to rapid growth of real wages, which has been evident in all major economic activities since the beginning of last year. The purchasing power of gross employee earnings reached the level of Q4 2019 at the end of the year. </w:t>
            </w:r>
          </w:p>
        </w:tc>
      </w:tr>
      <w:tr w:rsidR="0032050F" w:rsidRPr="00995C95" w14:paraId="12858312" w14:textId="77777777" w:rsidTr="00E25E8B">
        <w:trPr>
          <w:trHeight w:val="155"/>
        </w:trPr>
        <w:tc>
          <w:tcPr>
            <w:tcW w:w="1755" w:type="dxa"/>
            <w:tcMar>
              <w:left w:w="0" w:type="dxa"/>
            </w:tcMar>
          </w:tcPr>
          <w:p w14:paraId="1EA62B57" w14:textId="77777777" w:rsidR="0032050F" w:rsidRPr="00995C95" w:rsidRDefault="0032050F" w:rsidP="00E25E8B">
            <w:pPr>
              <w:pStyle w:val="Marginlie"/>
              <w:spacing w:after="120"/>
              <w:rPr>
                <w:color w:val="0D0D0D" w:themeColor="text1" w:themeTint="F2"/>
                <w:spacing w:val="-4"/>
              </w:rPr>
            </w:pPr>
            <w:r w:rsidRPr="00995C95">
              <w:rPr>
                <w:color w:val="0D0D0D" w:themeColor="text1" w:themeTint="F2"/>
                <w:spacing w:val="-4"/>
              </w:rPr>
              <w:t xml:space="preserve">Employment increased, quarter-on-quarter, for most of last year. The number of workers in the Czech Republic has again moved to an all-time high. </w:t>
            </w:r>
          </w:p>
        </w:tc>
        <w:tc>
          <w:tcPr>
            <w:tcW w:w="176" w:type="dxa"/>
            <w:tcMar>
              <w:left w:w="0" w:type="dxa"/>
            </w:tcMar>
          </w:tcPr>
          <w:p w14:paraId="67D96273" w14:textId="77777777" w:rsidR="0032050F" w:rsidRPr="00995C95" w:rsidRDefault="0032050F" w:rsidP="00E25E8B">
            <w:pPr>
              <w:pStyle w:val="Textpoznpodarou"/>
              <w:spacing w:after="120"/>
              <w:jc w:val="both"/>
              <w:rPr>
                <w:color w:val="0D0D0D" w:themeColor="text1" w:themeTint="F2"/>
                <w:spacing w:val="-4"/>
              </w:rPr>
            </w:pPr>
          </w:p>
        </w:tc>
        <w:tc>
          <w:tcPr>
            <w:tcW w:w="7743" w:type="dxa"/>
            <w:tcMar>
              <w:left w:w="0" w:type="dxa"/>
            </w:tcMar>
          </w:tcPr>
          <w:p w14:paraId="19A2B850" w14:textId="77777777" w:rsidR="0032050F" w:rsidRPr="00995C95" w:rsidRDefault="0032050F" w:rsidP="00E25E8B">
            <w:r w:rsidRPr="00995C95">
              <w:t>The employment growth rate increased at the beginning of last year. Total employment</w:t>
            </w:r>
            <w:r w:rsidRPr="00995C95">
              <w:rPr>
                <w:color w:val="0D0D0D" w:themeColor="text1" w:themeTint="F2"/>
                <w:vertAlign w:val="superscript"/>
              </w:rPr>
              <w:footnoteReference w:id="83"/>
            </w:r>
            <w:r w:rsidRPr="00995C95">
              <w:t xml:space="preserve"> increased by 0.4%, quarter-on-quarter, in Q1 2025 and by 0.5% in the following period. This recovery was due to most of the services branches, as well as industry, which experienced a partial stabilisation (and the number of employees did not decrease here anymore, quarter-on-quarter, in Q2). However, the total brisk pace was not maintained in Q3, and the number of employees only stagnated at the very end of the year, mainly due to a partial correction in the economic group trade, transport, accommodation and food service activities. Employment in the total economy currently stood at a record 5.52 million people and was already 2.7% higher (+145 thousand) compared to the peak from the last boom period (Q4 2018), mainly as result of the development of public services</w:t>
            </w:r>
            <w:r w:rsidRPr="00995C95">
              <w:rPr>
                <w:rStyle w:val="Znakapoznpodarou"/>
              </w:rPr>
              <w:footnoteReference w:id="84"/>
            </w:r>
            <w:r w:rsidRPr="00995C95">
              <w:t xml:space="preserve">. </w:t>
            </w:r>
          </w:p>
        </w:tc>
      </w:tr>
      <w:tr w:rsidR="0032050F" w:rsidRPr="00995C95" w14:paraId="08BB1449" w14:textId="77777777" w:rsidTr="00E25E8B">
        <w:trPr>
          <w:trHeight w:val="155"/>
        </w:trPr>
        <w:tc>
          <w:tcPr>
            <w:tcW w:w="1755" w:type="dxa"/>
            <w:tcMar>
              <w:left w:w="0" w:type="dxa"/>
            </w:tcMar>
          </w:tcPr>
          <w:p w14:paraId="2702113F" w14:textId="77777777" w:rsidR="0032050F" w:rsidRPr="00995C95" w:rsidRDefault="0032050F" w:rsidP="00E25E8B">
            <w:pPr>
              <w:pStyle w:val="Marginlie"/>
              <w:rPr>
                <w:color w:val="0D0D0D" w:themeColor="text1" w:themeTint="F2"/>
                <w:spacing w:val="-4"/>
              </w:rPr>
            </w:pPr>
            <w:r w:rsidRPr="00995C95">
              <w:rPr>
                <w:color w:val="0D0D0D" w:themeColor="text1" w:themeTint="F2"/>
                <w:spacing w:val="-4"/>
              </w:rPr>
              <w:t xml:space="preserve">Both employees and small entrepreneurs participated on the slight year-on-year growth of the number of employees. </w:t>
            </w:r>
          </w:p>
          <w:p w14:paraId="155C7136" w14:textId="77777777" w:rsidR="0032050F" w:rsidRPr="00995C95" w:rsidRDefault="0032050F" w:rsidP="00E25E8B">
            <w:pPr>
              <w:pStyle w:val="Marginlie"/>
              <w:rPr>
                <w:color w:val="0D0D0D" w:themeColor="text1" w:themeTint="F2"/>
                <w:spacing w:val="-4"/>
              </w:rPr>
            </w:pPr>
          </w:p>
          <w:p w14:paraId="166FD77F" w14:textId="77777777" w:rsidR="0032050F" w:rsidRPr="00995C95" w:rsidRDefault="0032050F" w:rsidP="00E25E8B">
            <w:pPr>
              <w:pStyle w:val="Marginlie"/>
              <w:rPr>
                <w:color w:val="0D0D0D" w:themeColor="text1" w:themeTint="F2"/>
                <w:spacing w:val="-4"/>
              </w:rPr>
            </w:pPr>
          </w:p>
          <w:p w14:paraId="5BAAE36D" w14:textId="77777777" w:rsidR="0032050F" w:rsidRPr="00995C95" w:rsidRDefault="0032050F" w:rsidP="00E25E8B">
            <w:pPr>
              <w:pStyle w:val="Marginlie"/>
              <w:rPr>
                <w:color w:val="0D0D0D" w:themeColor="text1" w:themeTint="F2"/>
                <w:spacing w:val="-4"/>
              </w:rPr>
            </w:pPr>
          </w:p>
          <w:p w14:paraId="45E3A098" w14:textId="77777777" w:rsidR="0032050F" w:rsidRPr="00995C95" w:rsidRDefault="0032050F" w:rsidP="00E25E8B">
            <w:pPr>
              <w:pStyle w:val="Marginlie"/>
              <w:rPr>
                <w:color w:val="0D0D0D" w:themeColor="text1" w:themeTint="F2"/>
                <w:spacing w:val="-4"/>
              </w:rPr>
            </w:pPr>
          </w:p>
          <w:p w14:paraId="4894B272" w14:textId="77777777" w:rsidR="0032050F" w:rsidRPr="00995C95" w:rsidRDefault="0032050F" w:rsidP="00E25E8B">
            <w:pPr>
              <w:pStyle w:val="Marginlie"/>
              <w:rPr>
                <w:color w:val="0D0D0D" w:themeColor="text1" w:themeTint="F2"/>
                <w:spacing w:val="-4"/>
              </w:rPr>
            </w:pPr>
          </w:p>
          <w:p w14:paraId="0B8EA758" w14:textId="77777777" w:rsidR="0032050F" w:rsidRPr="00995C95" w:rsidRDefault="0032050F" w:rsidP="00E25E8B">
            <w:pPr>
              <w:pStyle w:val="Marginlie"/>
              <w:rPr>
                <w:color w:val="0D0D0D" w:themeColor="text1" w:themeTint="F2"/>
                <w:spacing w:val="0"/>
              </w:rPr>
            </w:pPr>
            <w:r w:rsidRPr="00995C95">
              <w:rPr>
                <w:color w:val="0D0D0D" w:themeColor="text1" w:themeTint="F2"/>
                <w:spacing w:val="0"/>
              </w:rPr>
              <w:lastRenderedPageBreak/>
              <w:t xml:space="preserve">Public services were the focus of employment growth. More advanced business services, real estate, trade and tourism also did well. </w:t>
            </w:r>
          </w:p>
          <w:p w14:paraId="7AB68BF8" w14:textId="77777777" w:rsidR="0032050F" w:rsidRPr="00995C95" w:rsidRDefault="0032050F" w:rsidP="00E25E8B">
            <w:pPr>
              <w:pStyle w:val="Marginlie"/>
              <w:rPr>
                <w:color w:val="0D0D0D" w:themeColor="text1" w:themeTint="F2"/>
                <w:spacing w:val="0"/>
              </w:rPr>
            </w:pPr>
          </w:p>
          <w:p w14:paraId="4824A15A" w14:textId="77777777" w:rsidR="0032050F" w:rsidRPr="00995C95" w:rsidRDefault="0032050F" w:rsidP="00E25E8B">
            <w:pPr>
              <w:pStyle w:val="Marginlie"/>
              <w:rPr>
                <w:color w:val="0D0D0D" w:themeColor="text1" w:themeTint="F2"/>
                <w:spacing w:val="0"/>
              </w:rPr>
            </w:pPr>
          </w:p>
          <w:p w14:paraId="404EE811" w14:textId="77777777" w:rsidR="0032050F" w:rsidRPr="00995C95" w:rsidRDefault="0032050F" w:rsidP="00E25E8B">
            <w:pPr>
              <w:pStyle w:val="Marginlie"/>
              <w:rPr>
                <w:color w:val="0D0D0D" w:themeColor="text1" w:themeTint="F2"/>
                <w:spacing w:val="0"/>
              </w:rPr>
            </w:pPr>
          </w:p>
          <w:p w14:paraId="2E299D02" w14:textId="77777777" w:rsidR="0032050F" w:rsidRPr="00995C95" w:rsidRDefault="0032050F" w:rsidP="00E25E8B">
            <w:pPr>
              <w:pStyle w:val="Marginlie"/>
              <w:rPr>
                <w:color w:val="0D0D0D" w:themeColor="text1" w:themeTint="F2"/>
                <w:spacing w:val="0"/>
              </w:rPr>
            </w:pPr>
          </w:p>
          <w:p w14:paraId="0D791E7C" w14:textId="77777777" w:rsidR="0032050F" w:rsidRPr="00995C95" w:rsidRDefault="0032050F" w:rsidP="00E25E8B">
            <w:pPr>
              <w:pStyle w:val="Marginlie"/>
              <w:rPr>
                <w:color w:val="0D0D0D" w:themeColor="text1" w:themeTint="F2"/>
                <w:spacing w:val="0"/>
              </w:rPr>
            </w:pPr>
          </w:p>
          <w:p w14:paraId="7A933CD5" w14:textId="77777777" w:rsidR="0032050F" w:rsidRPr="00995C95" w:rsidRDefault="0032050F" w:rsidP="00E25E8B">
            <w:pPr>
              <w:pStyle w:val="Marginlie"/>
              <w:rPr>
                <w:color w:val="0D0D0D" w:themeColor="text1" w:themeTint="F2"/>
                <w:spacing w:val="0"/>
              </w:rPr>
            </w:pPr>
          </w:p>
          <w:p w14:paraId="7D91A3A6" w14:textId="77777777" w:rsidR="0032050F" w:rsidRPr="00995C95" w:rsidRDefault="0032050F" w:rsidP="00E25E8B">
            <w:pPr>
              <w:pStyle w:val="Marginlie"/>
              <w:rPr>
                <w:color w:val="0D0D0D" w:themeColor="text1" w:themeTint="F2"/>
                <w:spacing w:val="0"/>
              </w:rPr>
            </w:pPr>
          </w:p>
          <w:p w14:paraId="57400346" w14:textId="77777777" w:rsidR="0032050F" w:rsidRPr="00995C95" w:rsidRDefault="0032050F" w:rsidP="00E25E8B">
            <w:pPr>
              <w:pStyle w:val="Marginlie"/>
              <w:rPr>
                <w:color w:val="0D0D0D" w:themeColor="text1" w:themeTint="F2"/>
                <w:spacing w:val="-4"/>
              </w:rPr>
            </w:pPr>
            <w:r w:rsidRPr="00995C95">
              <w:rPr>
                <w:color w:val="0D0D0D" w:themeColor="text1" w:themeTint="F2"/>
                <w:spacing w:val="0"/>
              </w:rPr>
              <w:t xml:space="preserve">The lowest number of workers was added last year in the time period after year 2012 in the ICT area. The reduction of employment continued in financial activities. </w:t>
            </w:r>
            <w:r w:rsidRPr="00995C95">
              <w:rPr>
                <w:color w:val="0D0D0D" w:themeColor="text1" w:themeTint="F2"/>
                <w:spacing w:val="-4"/>
              </w:rPr>
              <w:t xml:space="preserve"> </w:t>
            </w:r>
          </w:p>
        </w:tc>
        <w:tc>
          <w:tcPr>
            <w:tcW w:w="176" w:type="dxa"/>
            <w:tcMar>
              <w:left w:w="0" w:type="dxa"/>
            </w:tcMar>
          </w:tcPr>
          <w:p w14:paraId="4DCA8AE4" w14:textId="77777777" w:rsidR="0032050F" w:rsidRPr="00995C95" w:rsidRDefault="0032050F" w:rsidP="00E25E8B">
            <w:pPr>
              <w:pStyle w:val="Textpoznpodarou"/>
              <w:spacing w:after="120"/>
              <w:jc w:val="both"/>
              <w:rPr>
                <w:color w:val="0D0D0D" w:themeColor="text1" w:themeTint="F2"/>
                <w:spacing w:val="-4"/>
              </w:rPr>
            </w:pPr>
          </w:p>
        </w:tc>
        <w:tc>
          <w:tcPr>
            <w:tcW w:w="7743" w:type="dxa"/>
            <w:tcMar>
              <w:left w:w="0" w:type="dxa"/>
            </w:tcMar>
          </w:tcPr>
          <w:p w14:paraId="6E3F2D55" w14:textId="77777777" w:rsidR="0032050F" w:rsidRPr="00995C95" w:rsidRDefault="0032050F" w:rsidP="00E25E8B">
            <w:r w:rsidRPr="00995C95">
              <w:t>Total employment increased by 1.1%</w:t>
            </w:r>
            <w:r w:rsidRPr="00995C95">
              <w:rPr>
                <w:rStyle w:val="Znakapoznpodarou"/>
              </w:rPr>
              <w:footnoteReference w:id="85"/>
            </w:r>
            <w:r w:rsidRPr="00995C95">
              <w:t xml:space="preserve"> in 2025, increasing for the fifth time in a row and slightly accelerating compared to the pace the year before last. Not only employees (+46 thousand), but also the self-employed (+12 thousand)</w:t>
            </w:r>
            <w:r w:rsidRPr="00995C95">
              <w:rPr>
                <w:rStyle w:val="Znakapoznpodarou"/>
              </w:rPr>
              <w:footnoteReference w:id="86"/>
            </w:r>
            <w:r w:rsidRPr="00995C95">
              <w:rPr>
                <w:rStyle w:val="Znakapoznpodarou"/>
              </w:rPr>
              <w:t xml:space="preserve"> </w:t>
            </w:r>
            <w:r w:rsidRPr="00995C95">
              <w:t xml:space="preserve">contributed to the growth last year, whose percentage increase was nevertheless half that of employees. From a branch perspective, the services sector continued to play a key role in the total employment dynamics in the economy. If in 2023 the total employment was driven by advanced business services (concentrated mainly in the professional, scientific, technical and administrative activities) and by real estate activities in the subsequent </w:t>
            </w:r>
            <w:r w:rsidRPr="00995C95">
              <w:lastRenderedPageBreak/>
              <w:t>period, public services</w:t>
            </w:r>
            <w:r w:rsidRPr="00995C95">
              <w:rPr>
                <w:rStyle w:val="Znakapoznpodarou"/>
              </w:rPr>
              <w:footnoteReference w:id="87"/>
            </w:r>
            <w:r w:rsidRPr="00995C95">
              <w:t xml:space="preserve"> took over this role last year. There were 1.8% more jobs in them, year-on-year, and all economic activities (human health and social care the most) contributed to this increase, the highest in the last four years. However, employment increased relatively most significantly in the smaller diversified sector of other service activities</w:t>
            </w:r>
            <w:r w:rsidRPr="00995C95">
              <w:rPr>
                <w:rStyle w:val="Znakapoznpodarou"/>
              </w:rPr>
              <w:footnoteReference w:id="88"/>
            </w:r>
            <w:r w:rsidRPr="00995C95">
              <w:t xml:space="preserve">, where the number of entrepreneurs (+4.4%) and employees (+4.0%) increased rapidly, and the total number of workers in this branch, which was significantly affected by anti-pandemic restrictions, thus exceeded the record level of pre-crisis 2018 for the first time. A slower growth persisted in the group trade, transport, accommodation and food service activities last year (+1.0%). On the one hand, trade and tourism-related activities prospered, but at the same time, jobs in transportation and storage were declining, which was connected to the ongoing weaker dynamics of performance in industry. Employment increased by 1.3% in professional, scientific, technical and administrative activities, which mainly concentrate specialists providing advanced services mainly for the corporate sector, which was the lowest in the last four years (also due to a slowdown of growth in the category of employees). Real estate activities developed rapidly (+3.5%), where primarily employment jobs continued to grow. By contrast, total employment in the most advanced services (included in the quaternary sector of the economy) grew only slightly in recent quarters – only by 0.5% in ICT last year (the pace slowed for the third year in a row). It even decreased (by 0.2%, for the second year in a row, solely due to employees) in financial activities. While the total employment growth rate in ICT last year was the weakest since the recession in 2012, it was a confirmation of a longer-term trend related to the development of digitalisation in the financial and insurance activities. In a dynamically changing technological environment, both industries thus face challenges to maintain competitiveness and high productivity and simultaneously effectively use the relatively expensive (and not always easily accessible) work of specialists. </w:t>
            </w:r>
          </w:p>
        </w:tc>
      </w:tr>
      <w:tr w:rsidR="0032050F" w:rsidRPr="00995C95" w14:paraId="4E8D02F8" w14:textId="77777777" w:rsidTr="00E25E8B">
        <w:trPr>
          <w:trHeight w:val="155"/>
        </w:trPr>
        <w:tc>
          <w:tcPr>
            <w:tcW w:w="1755" w:type="dxa"/>
            <w:tcMar>
              <w:left w:w="0" w:type="dxa"/>
            </w:tcMar>
          </w:tcPr>
          <w:p w14:paraId="0C05F87C" w14:textId="77777777" w:rsidR="0032050F" w:rsidRPr="00995C95" w:rsidRDefault="0032050F" w:rsidP="00E25E8B">
            <w:pPr>
              <w:pStyle w:val="Marginlie"/>
              <w:rPr>
                <w:color w:val="0D0D0D" w:themeColor="text1" w:themeTint="F2"/>
              </w:rPr>
            </w:pPr>
            <w:r w:rsidRPr="00995C95">
              <w:rPr>
                <w:color w:val="0D0D0D" w:themeColor="text1" w:themeTint="F2"/>
              </w:rPr>
              <w:lastRenderedPageBreak/>
              <w:t>Employment growth accelerated also thanks to the strengthening of the role of small entrepreneurs in construction.</w:t>
            </w:r>
          </w:p>
          <w:p w14:paraId="5C1A56DB" w14:textId="77777777" w:rsidR="0032050F" w:rsidRPr="00995C95" w:rsidRDefault="0032050F" w:rsidP="00E25E8B">
            <w:pPr>
              <w:pStyle w:val="Marginlie"/>
              <w:rPr>
                <w:color w:val="0D0D0D" w:themeColor="text1" w:themeTint="F2"/>
              </w:rPr>
            </w:pPr>
          </w:p>
          <w:p w14:paraId="7982F708" w14:textId="77777777" w:rsidR="0032050F" w:rsidRPr="00995C95" w:rsidRDefault="0032050F" w:rsidP="00E25E8B">
            <w:pPr>
              <w:pStyle w:val="Marginlie"/>
              <w:rPr>
                <w:color w:val="0D0D0D" w:themeColor="text1" w:themeTint="F2"/>
              </w:rPr>
            </w:pPr>
          </w:p>
          <w:p w14:paraId="304BE831" w14:textId="77777777" w:rsidR="0032050F" w:rsidRPr="00995C95" w:rsidRDefault="0032050F" w:rsidP="00E25E8B">
            <w:pPr>
              <w:pStyle w:val="Marginlie"/>
              <w:rPr>
                <w:color w:val="0D0D0D" w:themeColor="text1" w:themeTint="F2"/>
              </w:rPr>
            </w:pPr>
          </w:p>
          <w:p w14:paraId="6B17640F" w14:textId="77777777" w:rsidR="0032050F" w:rsidRPr="00995C95" w:rsidRDefault="0032050F" w:rsidP="00E25E8B">
            <w:pPr>
              <w:pStyle w:val="Marginlie"/>
              <w:spacing w:after="120"/>
              <w:rPr>
                <w:color w:val="0D0D0D" w:themeColor="text1" w:themeTint="F2"/>
              </w:rPr>
            </w:pPr>
            <w:r w:rsidRPr="00995C95">
              <w:rPr>
                <w:color w:val="0D0D0D" w:themeColor="text1" w:themeTint="F2"/>
                <w:spacing w:val="-4"/>
              </w:rPr>
              <w:t>The reduction of employment in manufacturing eased last year and stopped in Q4. However, the situation in many traditional export industries is still difficult.</w:t>
            </w:r>
          </w:p>
          <w:p w14:paraId="7B667F7E" w14:textId="77777777" w:rsidR="0032050F" w:rsidRPr="00995C95" w:rsidRDefault="0032050F" w:rsidP="00E25E8B">
            <w:pPr>
              <w:pStyle w:val="Marginlie"/>
              <w:spacing w:after="120"/>
              <w:rPr>
                <w:color w:val="0D0D0D" w:themeColor="text1" w:themeTint="F2"/>
              </w:rPr>
            </w:pPr>
          </w:p>
        </w:tc>
        <w:tc>
          <w:tcPr>
            <w:tcW w:w="176" w:type="dxa"/>
            <w:tcMar>
              <w:left w:w="0" w:type="dxa"/>
            </w:tcMar>
          </w:tcPr>
          <w:p w14:paraId="26360248" w14:textId="77777777" w:rsidR="0032050F" w:rsidRPr="00995C95" w:rsidRDefault="0032050F" w:rsidP="00E25E8B">
            <w:pPr>
              <w:pStyle w:val="Textpoznpodarou"/>
              <w:spacing w:after="120"/>
              <w:jc w:val="both"/>
              <w:rPr>
                <w:color w:val="0D0D0D" w:themeColor="text1" w:themeTint="F2"/>
                <w:spacing w:val="-4"/>
              </w:rPr>
            </w:pPr>
          </w:p>
        </w:tc>
        <w:tc>
          <w:tcPr>
            <w:tcW w:w="7743" w:type="dxa"/>
            <w:tcMar>
              <w:left w:w="0" w:type="dxa"/>
            </w:tcMar>
          </w:tcPr>
          <w:p w14:paraId="0102413A" w14:textId="77777777" w:rsidR="0032050F" w:rsidRPr="00995C95" w:rsidRDefault="0032050F" w:rsidP="00E25E8B">
            <w:pPr>
              <w:spacing w:after="200"/>
              <w:rPr>
                <w:b/>
                <w:bCs/>
              </w:rPr>
            </w:pPr>
            <w:r w:rsidRPr="00995C95">
              <w:rPr>
                <w:color w:val="0D0D0D" w:themeColor="text1" w:themeTint="F2"/>
              </w:rPr>
              <w:t xml:space="preserve">Outside the services sector, the number of workers increased only in construction last year (+2.5%). The high stock of construction orders led to a strengthening of employment during the year (up to 3.5% in Q4), to which small entrepreneurs contributed significantly. On the contrary, the number of workers decreased, year-on-year, in manufacturing for the third year in a row. However, last year's reduction was relatively milder here (-0.2%) and was driven by both employees and the self-employed. In addition, external demand for goods recovered in Q4 2025, and domestic investment activity (machinery, weapons) also improved, which was positively reflected in employment – it grew by 0.3% and recorded its first year-on-year growth after thirteen quarters (a positive turnaround was recorded in the segment of small enterprises in industry). In other industry, employment fell by 0.4% for the whole last year after three years of moderate growth. The impact of the deepening slump in mining and quarrying became apparent, and it was not compensated by a slight strengthening of employment in water and waste management. The number of workers did not change significantly in the primary sector of agriculture, forestry and fishing for the third year in a row, but it was 6% lower than in 2018. </w:t>
            </w:r>
            <w:r w:rsidRPr="00995C95">
              <w:t xml:space="preserve"> </w:t>
            </w:r>
          </w:p>
        </w:tc>
      </w:tr>
      <w:tr w:rsidR="0032050F" w:rsidRPr="00995C95" w14:paraId="7A972B46" w14:textId="77777777" w:rsidTr="00E25E8B">
        <w:trPr>
          <w:trHeight w:val="155"/>
        </w:trPr>
        <w:tc>
          <w:tcPr>
            <w:tcW w:w="1755" w:type="dxa"/>
            <w:tcMar>
              <w:left w:w="0" w:type="dxa"/>
            </w:tcMar>
          </w:tcPr>
          <w:p w14:paraId="12B7C714" w14:textId="77777777" w:rsidR="0032050F" w:rsidRPr="00995C95" w:rsidRDefault="0032050F" w:rsidP="00E25E8B">
            <w:pPr>
              <w:pStyle w:val="Marginlie"/>
              <w:spacing w:after="120"/>
              <w:rPr>
                <w:color w:val="0D0D0D" w:themeColor="text1" w:themeTint="F2"/>
                <w:spacing w:val="-4"/>
              </w:rPr>
            </w:pPr>
            <w:r w:rsidRPr="00995C95">
              <w:rPr>
                <w:color w:val="0D0D0D" w:themeColor="text1" w:themeTint="F2"/>
                <w:spacing w:val="-4"/>
              </w:rPr>
              <w:t xml:space="preserve">Hours worked increased faster than the physical number of workers, especially in construction and advanced business services. </w:t>
            </w:r>
          </w:p>
        </w:tc>
        <w:tc>
          <w:tcPr>
            <w:tcW w:w="176" w:type="dxa"/>
            <w:tcMar>
              <w:left w:w="0" w:type="dxa"/>
            </w:tcMar>
          </w:tcPr>
          <w:p w14:paraId="2F5D072F" w14:textId="77777777" w:rsidR="0032050F" w:rsidRPr="00995C95" w:rsidRDefault="0032050F" w:rsidP="00E25E8B">
            <w:pPr>
              <w:pStyle w:val="Textpoznpodarou"/>
              <w:spacing w:after="120"/>
              <w:jc w:val="both"/>
              <w:rPr>
                <w:color w:val="0D0D0D" w:themeColor="text1" w:themeTint="F2"/>
                <w:spacing w:val="-4"/>
              </w:rPr>
            </w:pPr>
          </w:p>
        </w:tc>
        <w:tc>
          <w:tcPr>
            <w:tcW w:w="7743" w:type="dxa"/>
            <w:tcMar>
              <w:left w:w="0" w:type="dxa"/>
            </w:tcMar>
          </w:tcPr>
          <w:p w14:paraId="1EE96367" w14:textId="77777777" w:rsidR="0032050F" w:rsidRPr="00995C95" w:rsidRDefault="0032050F" w:rsidP="00E25E8B">
            <w:pPr>
              <w:spacing w:after="200"/>
            </w:pPr>
            <w:r w:rsidRPr="00995C95">
              <w:t>The total number of hours worked</w:t>
            </w:r>
            <w:r w:rsidRPr="00995C95">
              <w:rPr>
                <w:rStyle w:val="Znakapoznpodarou"/>
                <w:color w:val="0D0D0D" w:themeColor="text1" w:themeTint="F2"/>
              </w:rPr>
              <w:footnoteReference w:id="89"/>
            </w:r>
            <w:r w:rsidRPr="00995C95">
              <w:rPr>
                <w:color w:val="0D0D0D" w:themeColor="text1" w:themeTint="F2"/>
              </w:rPr>
              <w:t xml:space="preserve"> </w:t>
            </w:r>
            <w:r w:rsidRPr="00995C95">
              <w:t>in the economy increased by 2.3%</w:t>
            </w:r>
            <w:r w:rsidRPr="00995C95">
              <w:rPr>
                <w:rStyle w:val="Znakapoznpodarou"/>
              </w:rPr>
              <w:footnoteReference w:id="90"/>
            </w:r>
            <w:r w:rsidRPr="00995C95">
              <w:t xml:space="preserve">, year-on-year, last year, and the pace also accelerated slightly during the year. As in previous years (since the retreat of the COVID-19 pandemic), the number of hours has expanded faster than the number of employed persons (in physical persons). The same was valid with similar intensity for employees and the self-employed last year, and from the point of </w:t>
            </w:r>
            <w:r w:rsidRPr="00995C95">
              <w:lastRenderedPageBreak/>
              <w:t>view of the main economic activities then in general especially for construction (where the number of hours worked compared to employment grew at almost twice the rate), and to a lesser extent also for most other areas of the economy (with the exception of some services branches with a small weight</w:t>
            </w:r>
            <w:r w:rsidRPr="00995C95">
              <w:rPr>
                <w:rStyle w:val="Znakapoznpodarou"/>
              </w:rPr>
              <w:footnoteReference w:id="91"/>
            </w:r>
            <w:r w:rsidRPr="00995C95">
              <w:t xml:space="preserve">). This is related to the lack of manual (both skilled and less skilled) workers, as well as specialists on the market. </w:t>
            </w:r>
          </w:p>
        </w:tc>
      </w:tr>
      <w:tr w:rsidR="0032050F" w:rsidRPr="00995C95" w14:paraId="068B970C" w14:textId="77777777" w:rsidTr="00E25E8B">
        <w:trPr>
          <w:trHeight w:val="155"/>
        </w:trPr>
        <w:tc>
          <w:tcPr>
            <w:tcW w:w="1755" w:type="dxa"/>
            <w:tcMar>
              <w:left w:w="0" w:type="dxa"/>
            </w:tcMar>
          </w:tcPr>
          <w:p w14:paraId="146419DD" w14:textId="77777777" w:rsidR="0032050F" w:rsidRPr="00995C95" w:rsidRDefault="0032050F" w:rsidP="00E25E8B">
            <w:pPr>
              <w:pStyle w:val="Marginlie"/>
              <w:spacing w:after="120"/>
              <w:rPr>
                <w:color w:val="0D0D0D" w:themeColor="text1" w:themeTint="F2"/>
                <w:spacing w:val="-4"/>
              </w:rPr>
            </w:pPr>
            <w:r w:rsidRPr="00995C95">
              <w:rPr>
                <w:color w:val="0D0D0D" w:themeColor="text1" w:themeTint="F2"/>
                <w:spacing w:val="-4"/>
              </w:rPr>
              <w:lastRenderedPageBreak/>
              <w:t xml:space="preserve">Labour productivity growth has resumed, mainly thanks to the ICT branch. Construction or primary sector also prospered. </w:t>
            </w:r>
          </w:p>
        </w:tc>
        <w:tc>
          <w:tcPr>
            <w:tcW w:w="176" w:type="dxa"/>
            <w:tcMar>
              <w:left w:w="0" w:type="dxa"/>
            </w:tcMar>
          </w:tcPr>
          <w:p w14:paraId="5F40E975" w14:textId="77777777" w:rsidR="0032050F" w:rsidRPr="00995C95" w:rsidRDefault="0032050F" w:rsidP="00E25E8B">
            <w:pPr>
              <w:pStyle w:val="Textpoznpodarou"/>
              <w:spacing w:after="120"/>
              <w:jc w:val="both"/>
              <w:rPr>
                <w:color w:val="0D0D0D" w:themeColor="text1" w:themeTint="F2"/>
                <w:spacing w:val="-4"/>
              </w:rPr>
            </w:pPr>
          </w:p>
        </w:tc>
        <w:tc>
          <w:tcPr>
            <w:tcW w:w="7743" w:type="dxa"/>
            <w:tcMar>
              <w:left w:w="0" w:type="dxa"/>
            </w:tcMar>
          </w:tcPr>
          <w:p w14:paraId="584913DB" w14:textId="77777777" w:rsidR="0032050F" w:rsidRPr="00995C95" w:rsidRDefault="0032050F" w:rsidP="00E25E8B">
            <w:pPr>
              <w:rPr>
                <w:color w:val="0D0D0D" w:themeColor="text1" w:themeTint="F2"/>
              </w:rPr>
            </w:pPr>
            <w:r w:rsidRPr="00995C95">
              <w:rPr>
                <w:color w:val="0D0D0D" w:themeColor="text1" w:themeTint="F2"/>
              </w:rPr>
              <w:t>The acceleration of economic performance led to an increase of labour productivity last year, even with a relatively significant growth of hours worked. Hourly productivity</w:t>
            </w:r>
            <w:r w:rsidRPr="00995C95">
              <w:rPr>
                <w:rStyle w:val="Znakapoznpodarou"/>
                <w:color w:val="0D0D0D" w:themeColor="text1" w:themeTint="F2"/>
              </w:rPr>
              <w:footnoteReference w:id="92"/>
            </w:r>
            <w:r w:rsidRPr="00995C95">
              <w:rPr>
                <w:color w:val="0D0D0D" w:themeColor="text1" w:themeTint="F2"/>
              </w:rPr>
              <w:t xml:space="preserve"> increased by 0.3%, year-on-year, and grew for the first time since 2021. It increased the most in ICT (+6.2%) and was also the main driver of productivity growth in total economy. It also grew rapidly in construction (2.2%) and similarly in the primary sector or in the group trade, transport, accommodation and food service. On the contrary, there was a decline in business support service activities for the third year in a row (by 1.4% last year, by 4.3% in total), and productivity also declined slightly in manufacturing and financial activities. A positive turnaround in productivity expressed per worker (in physical persons), which increased slightly, year-on-year, already in Q2 2024. Compared to 2019, this productivity was slightly higher (+2.2%), mainly due to manufacturing, ICT, financial and also the primary sector, where it grew by almost a fifth over this six-year period. By contrast, it lagged behind the pre-crisis level mainly in real estate activities and construction (by 16%). Hourly labour productivity across the economy was completely comparable to year 2019 levels last year. </w:t>
            </w:r>
          </w:p>
        </w:tc>
      </w:tr>
      <w:tr w:rsidR="0032050F" w:rsidRPr="00995C95" w14:paraId="4AE20700" w14:textId="77777777" w:rsidTr="00E25E8B">
        <w:trPr>
          <w:trHeight w:val="155"/>
        </w:trPr>
        <w:tc>
          <w:tcPr>
            <w:tcW w:w="1755" w:type="dxa"/>
            <w:vMerge w:val="restart"/>
            <w:tcMar>
              <w:left w:w="0" w:type="dxa"/>
            </w:tcMar>
          </w:tcPr>
          <w:p w14:paraId="342E5CB6" w14:textId="77777777" w:rsidR="0032050F" w:rsidRPr="00995C95" w:rsidRDefault="0032050F" w:rsidP="00E25E8B">
            <w:pPr>
              <w:pStyle w:val="Marginlie"/>
              <w:spacing w:after="120"/>
              <w:rPr>
                <w:spacing w:val="-4"/>
              </w:rPr>
            </w:pPr>
          </w:p>
        </w:tc>
        <w:tc>
          <w:tcPr>
            <w:tcW w:w="176" w:type="dxa"/>
            <w:vMerge w:val="restart"/>
            <w:tcMar>
              <w:left w:w="0" w:type="dxa"/>
            </w:tcMar>
          </w:tcPr>
          <w:p w14:paraId="71A7722E" w14:textId="77777777" w:rsidR="0032050F" w:rsidRPr="00995C95" w:rsidRDefault="0032050F" w:rsidP="00E25E8B">
            <w:pPr>
              <w:pStyle w:val="Textpoznpodarou"/>
              <w:spacing w:after="120"/>
              <w:jc w:val="both"/>
              <w:rPr>
                <w:spacing w:val="-4"/>
              </w:rPr>
            </w:pPr>
          </w:p>
        </w:tc>
        <w:tc>
          <w:tcPr>
            <w:tcW w:w="7743" w:type="dxa"/>
            <w:tcMar>
              <w:left w:w="0" w:type="dxa"/>
            </w:tcMar>
          </w:tcPr>
          <w:p w14:paraId="3FD4342A" w14:textId="77777777" w:rsidR="0032050F" w:rsidRPr="00995C95" w:rsidRDefault="0032050F" w:rsidP="00E25E8B">
            <w:pPr>
              <w:spacing w:after="0"/>
            </w:pPr>
            <w:r w:rsidRPr="00995C95">
              <w:rPr>
                <w:rFonts w:cs="Arial"/>
                <w:b/>
                <w:bCs/>
                <w:color w:val="000000"/>
                <w:szCs w:val="20"/>
              </w:rPr>
              <w:t>Chart 14</w:t>
            </w:r>
            <w:r w:rsidRPr="00995C95">
              <w:rPr>
                <w:rFonts w:cs="Arial"/>
                <w:b/>
                <w:bCs/>
                <w:color w:val="000000"/>
                <w:sz w:val="18"/>
                <w:szCs w:val="18"/>
              </w:rPr>
              <w:t xml:space="preserve"> </w:t>
            </w:r>
            <w:r w:rsidRPr="00995C95">
              <w:rPr>
                <w:rFonts w:cs="Arial"/>
                <w:b/>
                <w:bCs/>
                <w:color w:val="000000"/>
                <w:szCs w:val="20"/>
              </w:rPr>
              <w:t xml:space="preserve">Total employment </w:t>
            </w:r>
            <w:r w:rsidRPr="009E36B8">
              <w:rPr>
                <w:rFonts w:cs="Arial"/>
                <w:color w:val="000000"/>
                <w:szCs w:val="20"/>
              </w:rPr>
              <w:t xml:space="preserve">(year-on-year in %), </w:t>
            </w:r>
            <w:r w:rsidRPr="00995C95">
              <w:rPr>
                <w:rFonts w:cs="Arial"/>
                <w:b/>
                <w:bCs/>
                <w:color w:val="000000"/>
                <w:szCs w:val="20"/>
              </w:rPr>
              <w:t xml:space="preserve">contributions of branches to year-on-year change of employment (in p. p.), expectations of employment </w:t>
            </w:r>
            <w:r w:rsidRPr="009E36B8">
              <w:rPr>
                <w:rFonts w:cs="Arial"/>
                <w:color w:val="000000"/>
                <w:szCs w:val="20"/>
              </w:rPr>
              <w:t>(in p. p.)</w:t>
            </w:r>
            <w:r w:rsidRPr="009E36B8">
              <w:rPr>
                <w:rFonts w:cs="Arial"/>
                <w:color w:val="000000"/>
                <w:sz w:val="18"/>
                <w:szCs w:val="18"/>
              </w:rPr>
              <w:t xml:space="preserve"> </w:t>
            </w:r>
          </w:p>
        </w:tc>
      </w:tr>
      <w:tr w:rsidR="0032050F" w:rsidRPr="00995C95" w14:paraId="028F3CC8" w14:textId="77777777" w:rsidTr="00E25E8B">
        <w:tblPrEx>
          <w:tblCellMar>
            <w:left w:w="70" w:type="dxa"/>
            <w:right w:w="70" w:type="dxa"/>
          </w:tblCellMar>
        </w:tblPrEx>
        <w:trPr>
          <w:trHeight w:val="155"/>
        </w:trPr>
        <w:tc>
          <w:tcPr>
            <w:tcW w:w="1755" w:type="dxa"/>
            <w:vMerge/>
          </w:tcPr>
          <w:p w14:paraId="5C335960" w14:textId="77777777" w:rsidR="0032050F" w:rsidRPr="00995C95" w:rsidRDefault="0032050F" w:rsidP="00E25E8B">
            <w:pPr>
              <w:pStyle w:val="Marginlie"/>
              <w:spacing w:after="120"/>
              <w:rPr>
                <w:spacing w:val="-4"/>
              </w:rPr>
            </w:pPr>
          </w:p>
        </w:tc>
        <w:tc>
          <w:tcPr>
            <w:tcW w:w="176" w:type="dxa"/>
            <w:vMerge/>
          </w:tcPr>
          <w:p w14:paraId="38F89191" w14:textId="77777777" w:rsidR="0032050F" w:rsidRPr="00995C95" w:rsidRDefault="0032050F" w:rsidP="00E25E8B">
            <w:pPr>
              <w:pStyle w:val="Textpoznpodarou"/>
              <w:spacing w:after="120"/>
              <w:jc w:val="both"/>
              <w:rPr>
                <w:spacing w:val="-4"/>
              </w:rPr>
            </w:pPr>
          </w:p>
        </w:tc>
        <w:tc>
          <w:tcPr>
            <w:tcW w:w="7743" w:type="dxa"/>
          </w:tcPr>
          <w:p w14:paraId="32F52B69" w14:textId="77777777" w:rsidR="0032050F" w:rsidRPr="00995C95" w:rsidRDefault="0032050F" w:rsidP="00E25E8B">
            <w:pPr>
              <w:spacing w:after="40"/>
            </w:pPr>
            <w:r>
              <w:rPr>
                <w:noProof/>
              </w:rPr>
              <w:drawing>
                <wp:inline distT="0" distB="0" distL="0" distR="0" wp14:anchorId="1FEE7EE0" wp14:editId="1B861EB6">
                  <wp:extent cx="4798771" cy="3860165"/>
                  <wp:effectExtent l="0" t="0" r="1905" b="6985"/>
                  <wp:docPr id="158859340" name="Graf 1">
                    <a:extLst xmlns:a="http://schemas.openxmlformats.org/drawingml/2006/main">
                      <a:ext uri="{FF2B5EF4-FFF2-40B4-BE49-F238E27FC236}">
                        <a16:creationId xmlns:a16="http://schemas.microsoft.com/office/drawing/2014/main" id="{00000000-0008-0000-1A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32050F" w:rsidRPr="00995C95" w14:paraId="12BA332C" w14:textId="77777777" w:rsidTr="00E25E8B">
        <w:trPr>
          <w:trHeight w:val="671"/>
        </w:trPr>
        <w:tc>
          <w:tcPr>
            <w:tcW w:w="1755" w:type="dxa"/>
            <w:vMerge/>
            <w:tcMar>
              <w:left w:w="0" w:type="dxa"/>
            </w:tcMar>
          </w:tcPr>
          <w:p w14:paraId="4C1B6BC5" w14:textId="77777777" w:rsidR="0032050F" w:rsidRPr="00995C95" w:rsidRDefault="0032050F" w:rsidP="00E25E8B">
            <w:pPr>
              <w:pStyle w:val="Marginlie"/>
              <w:spacing w:after="120"/>
              <w:rPr>
                <w:spacing w:val="-4"/>
              </w:rPr>
            </w:pPr>
          </w:p>
        </w:tc>
        <w:tc>
          <w:tcPr>
            <w:tcW w:w="176" w:type="dxa"/>
            <w:vMerge/>
            <w:tcMar>
              <w:left w:w="0" w:type="dxa"/>
            </w:tcMar>
          </w:tcPr>
          <w:p w14:paraId="5302375D" w14:textId="77777777" w:rsidR="0032050F" w:rsidRPr="00995C95" w:rsidRDefault="0032050F" w:rsidP="00E25E8B">
            <w:pPr>
              <w:pStyle w:val="Textpoznpodarou"/>
              <w:spacing w:after="120"/>
              <w:jc w:val="both"/>
              <w:rPr>
                <w:spacing w:val="-4"/>
              </w:rPr>
            </w:pPr>
          </w:p>
        </w:tc>
        <w:tc>
          <w:tcPr>
            <w:tcW w:w="7743" w:type="dxa"/>
            <w:tcMar>
              <w:left w:w="0" w:type="dxa"/>
            </w:tcMar>
          </w:tcPr>
          <w:p w14:paraId="1712D09E" w14:textId="77777777" w:rsidR="0032050F" w:rsidRPr="00995C95" w:rsidRDefault="0032050F" w:rsidP="00E25E8B">
            <w:pPr>
              <w:spacing w:after="0" w:line="240" w:lineRule="auto"/>
              <w:rPr>
                <w:rFonts w:cs="Arial"/>
                <w:color w:val="0D0D0D" w:themeColor="text1" w:themeTint="F2"/>
                <w:sz w:val="14"/>
                <w:szCs w:val="14"/>
              </w:rPr>
            </w:pPr>
            <w:r w:rsidRPr="00995C95">
              <w:rPr>
                <w:rFonts w:cs="Arial"/>
                <w:color w:val="0D0D0D" w:themeColor="text1" w:themeTint="F2"/>
                <w:sz w:val="14"/>
                <w:szCs w:val="14"/>
              </w:rPr>
              <w:t xml:space="preserve">* Mining and energetics; Financial and insurance activities; Real estate activities; Arts, entertainment and recreation activities. </w:t>
            </w:r>
          </w:p>
          <w:p w14:paraId="47D9EB1B" w14:textId="77777777" w:rsidR="0032050F" w:rsidRPr="00995C95" w:rsidRDefault="0032050F" w:rsidP="00E25E8B">
            <w:pPr>
              <w:spacing w:after="0" w:line="240" w:lineRule="auto"/>
              <w:rPr>
                <w:rFonts w:cs="Arial"/>
                <w:color w:val="0D0D0D" w:themeColor="text1" w:themeTint="F2"/>
                <w:sz w:val="14"/>
                <w:szCs w:val="14"/>
              </w:rPr>
            </w:pPr>
            <w:r w:rsidRPr="00995C95">
              <w:rPr>
                <w:rFonts w:cs="Arial"/>
                <w:color w:val="0D0D0D" w:themeColor="text1" w:themeTint="F2"/>
                <w:sz w:val="14"/>
                <w:szCs w:val="14"/>
              </w:rPr>
              <w:t xml:space="preserve">Balance of expectations expresses the difference in p.p. between categories growth vs. decrease of employment in the nearest three months. Data are seasonally adjusted and relate to the second month of the given quarter. </w:t>
            </w:r>
          </w:p>
          <w:p w14:paraId="0E1D3D02" w14:textId="77777777" w:rsidR="0032050F" w:rsidRPr="007B67F2" w:rsidRDefault="0032050F" w:rsidP="00E25E8B">
            <w:pPr>
              <w:spacing w:after="0" w:line="240" w:lineRule="auto"/>
              <w:rPr>
                <w:rFonts w:cs="Arial"/>
                <w:sz w:val="14"/>
                <w:szCs w:val="14"/>
              </w:rPr>
            </w:pPr>
            <w:r w:rsidRPr="00995C95">
              <w:rPr>
                <w:rFonts w:cs="Arial"/>
                <w:color w:val="0D0D0D" w:themeColor="text1" w:themeTint="F2"/>
                <w:sz w:val="14"/>
                <w:szCs w:val="14"/>
              </w:rPr>
              <w:t>Source: CZSO (national accounts), Eurostat (business cycle surveys)</w:t>
            </w:r>
            <w:r w:rsidRPr="00995C95">
              <w:rPr>
                <w:rFonts w:cs="Arial"/>
                <w:sz w:val="14"/>
                <w:szCs w:val="14"/>
              </w:rPr>
              <w:t xml:space="preserve"> </w:t>
            </w:r>
          </w:p>
        </w:tc>
      </w:tr>
      <w:tr w:rsidR="0032050F" w:rsidRPr="00995C95" w14:paraId="3CE88E4C" w14:textId="77777777" w:rsidTr="00E25E8B">
        <w:trPr>
          <w:trHeight w:val="145"/>
        </w:trPr>
        <w:tc>
          <w:tcPr>
            <w:tcW w:w="1755" w:type="dxa"/>
            <w:tcMar>
              <w:left w:w="0" w:type="dxa"/>
            </w:tcMar>
          </w:tcPr>
          <w:p w14:paraId="0C49D05E" w14:textId="77777777" w:rsidR="0032050F" w:rsidRPr="00995C95" w:rsidRDefault="0032050F" w:rsidP="00E25E8B">
            <w:pPr>
              <w:pStyle w:val="Marginlie"/>
              <w:spacing w:after="120"/>
              <w:rPr>
                <w:color w:val="0D0D0D" w:themeColor="text1" w:themeTint="F2"/>
                <w:spacing w:val="-4"/>
              </w:rPr>
            </w:pPr>
            <w:r w:rsidRPr="00995C95">
              <w:rPr>
                <w:color w:val="0D0D0D" w:themeColor="text1" w:themeTint="F2"/>
                <w:spacing w:val="-4"/>
              </w:rPr>
              <w:lastRenderedPageBreak/>
              <w:t xml:space="preserve">The growth of the number of working foreigners in the Czech Republic accelerated last year. Their increase was still driven mainly by the citizens of Ukraine. </w:t>
            </w:r>
          </w:p>
          <w:p w14:paraId="06CB4E2A" w14:textId="77777777" w:rsidR="0032050F" w:rsidRPr="00995C95" w:rsidRDefault="0032050F" w:rsidP="00E25E8B">
            <w:pPr>
              <w:pStyle w:val="Marginlie"/>
              <w:spacing w:after="120"/>
              <w:rPr>
                <w:color w:val="0D0D0D" w:themeColor="text1" w:themeTint="F2"/>
                <w:spacing w:val="-4"/>
              </w:rPr>
            </w:pPr>
          </w:p>
          <w:p w14:paraId="40825496" w14:textId="77777777" w:rsidR="0032050F" w:rsidRPr="00995C95" w:rsidRDefault="0032050F" w:rsidP="00E25E8B">
            <w:pPr>
              <w:pStyle w:val="Marginlie"/>
              <w:spacing w:after="120"/>
              <w:rPr>
                <w:color w:val="0D0D0D" w:themeColor="text1" w:themeTint="F2"/>
                <w:spacing w:val="-4"/>
              </w:rPr>
            </w:pPr>
          </w:p>
          <w:p w14:paraId="62F3C23A" w14:textId="77777777" w:rsidR="0032050F" w:rsidRPr="00995C95" w:rsidRDefault="0032050F" w:rsidP="00E25E8B">
            <w:pPr>
              <w:pStyle w:val="Marginlie"/>
              <w:spacing w:after="120"/>
              <w:rPr>
                <w:color w:val="0D0D0D" w:themeColor="text1" w:themeTint="F2"/>
                <w:spacing w:val="-4"/>
              </w:rPr>
            </w:pPr>
          </w:p>
          <w:p w14:paraId="3C6F0CB4" w14:textId="77777777" w:rsidR="0032050F" w:rsidRPr="00995C95" w:rsidRDefault="0032050F" w:rsidP="00E25E8B">
            <w:pPr>
              <w:pStyle w:val="Marginlie"/>
              <w:spacing w:after="120"/>
              <w:rPr>
                <w:color w:val="0D0D0D" w:themeColor="text1" w:themeTint="F2"/>
                <w:spacing w:val="-4"/>
              </w:rPr>
            </w:pPr>
            <w:r w:rsidRPr="00995C95">
              <w:rPr>
                <w:color w:val="0D0D0D" w:themeColor="text1" w:themeTint="F2"/>
                <w:spacing w:val="-4"/>
              </w:rPr>
              <w:t xml:space="preserve">The influx of people from some Asian countries has accelerated. The number of workers from Central and Eastern Europe usually increased only slightly. </w:t>
            </w:r>
          </w:p>
          <w:p w14:paraId="0B4722DF" w14:textId="77777777" w:rsidR="0032050F" w:rsidRPr="00995C95" w:rsidRDefault="0032050F" w:rsidP="00E25E8B">
            <w:pPr>
              <w:pStyle w:val="Marginlie"/>
              <w:rPr>
                <w:color w:val="0D0D0D" w:themeColor="text1" w:themeTint="F2"/>
                <w:spacing w:val="-4"/>
              </w:rPr>
            </w:pPr>
          </w:p>
        </w:tc>
        <w:tc>
          <w:tcPr>
            <w:tcW w:w="176" w:type="dxa"/>
            <w:tcMar>
              <w:left w:w="0" w:type="dxa"/>
            </w:tcMar>
          </w:tcPr>
          <w:p w14:paraId="43117172" w14:textId="77777777" w:rsidR="0032050F" w:rsidRPr="00995C95" w:rsidRDefault="0032050F" w:rsidP="00E25E8B">
            <w:pPr>
              <w:pStyle w:val="Textpoznpodarou"/>
              <w:spacing w:after="120"/>
              <w:jc w:val="both"/>
              <w:rPr>
                <w:color w:val="0D0D0D" w:themeColor="text1" w:themeTint="F2"/>
                <w:spacing w:val="-4"/>
              </w:rPr>
            </w:pPr>
          </w:p>
        </w:tc>
        <w:tc>
          <w:tcPr>
            <w:tcW w:w="7743" w:type="dxa"/>
            <w:tcMar>
              <w:left w:w="0" w:type="dxa"/>
            </w:tcMar>
          </w:tcPr>
          <w:p w14:paraId="0F39F13E" w14:textId="77777777" w:rsidR="0032050F" w:rsidRPr="00995C95" w:rsidRDefault="0032050F" w:rsidP="00E25E8B">
            <w:pPr>
              <w:spacing w:after="220"/>
              <w:rPr>
                <w:color w:val="0D0D0D" w:themeColor="text1" w:themeTint="F2"/>
              </w:rPr>
            </w:pPr>
            <w:r w:rsidRPr="00995C95">
              <w:rPr>
                <w:color w:val="0D0D0D" w:themeColor="text1" w:themeTint="F2"/>
              </w:rPr>
              <w:t>The labour market has long been struggling with a low supply of available labour force in the Czech Republic due to demographic ageing and low birth rates</w:t>
            </w:r>
            <w:r w:rsidRPr="00995C95">
              <w:rPr>
                <w:rStyle w:val="Znakapoznpodarou"/>
                <w:color w:val="0D0D0D" w:themeColor="text1" w:themeTint="F2"/>
              </w:rPr>
              <w:footnoteReference w:id="93"/>
            </w:r>
            <w:r w:rsidRPr="00995C95">
              <w:rPr>
                <w:color w:val="0D0D0D" w:themeColor="text1" w:themeTint="F2"/>
              </w:rPr>
              <w:t>. This, together with the growing pressure of companies to optimize production costs, stimulates the demand of domestic employers for workers from abroad. Legislative changes to reduce the administrative burden in this area have helped to facilitate the employment of foreigners in recent years. This applies to both Ukrainian citizens</w:t>
            </w:r>
            <w:r w:rsidRPr="00995C95">
              <w:rPr>
                <w:rStyle w:val="Znakapoznpodarou"/>
                <w:color w:val="0D0D0D" w:themeColor="text1" w:themeTint="F2"/>
              </w:rPr>
              <w:footnoteReference w:id="94"/>
            </w:r>
            <w:r w:rsidRPr="00995C95">
              <w:rPr>
                <w:color w:val="0D0D0D" w:themeColor="text1" w:themeTint="F2"/>
              </w:rPr>
              <w:t xml:space="preserve"> and foreigners from other countries, not only from economically less developed countries outside the EU</w:t>
            </w:r>
            <w:r w:rsidRPr="00995C95">
              <w:rPr>
                <w:rStyle w:val="Znakapoznpodarou"/>
                <w:color w:val="0D0D0D" w:themeColor="text1" w:themeTint="F2"/>
              </w:rPr>
              <w:footnoteReference w:id="95"/>
            </w:r>
            <w:r w:rsidRPr="00995C95">
              <w:rPr>
                <w:color w:val="0D0D0D" w:themeColor="text1" w:themeTint="F2"/>
              </w:rPr>
              <w:t>. The long-term influx of foreign workers to the Czech Republic therefore continued. In the dominant group of employees, a record 935 thousand of them were registered at the labour offices last December, according to qualified estimates by the Ministry of Labour and Social Affairs. This was 90 thousand more</w:t>
            </w:r>
            <w:r w:rsidRPr="00995C95">
              <w:rPr>
                <w:rStyle w:val="Znakapoznpodarou"/>
                <w:color w:val="0D0D0D" w:themeColor="text1" w:themeTint="F2"/>
              </w:rPr>
              <w:footnoteReference w:id="96"/>
            </w:r>
            <w:r w:rsidRPr="00995C95">
              <w:rPr>
                <w:color w:val="0D0D0D" w:themeColor="text1" w:themeTint="F2"/>
              </w:rPr>
              <w:t>, year-on-year, while the growth rate accelerated compared to previous years. Citizens of Ukraine traditionally accounted for the highest year-on-year increase (+53 thousand to 358 thousand, of which females +27 thousand, to 190 thousand), followed by Slovakia (+13 thousand, to 229 thousand), the Philippines (+4.3 thousand, to 14.0 thousand) and Vietnam (+2.1 thousand, to 23.0 thousand). Among the more important groups of foreigners, the number of citizens of India, China and Kazakhstan, Uzbekistan and Azerbaijan grew rapidly (both around 20%). On the contrary, for a number of large groups of workers from relatively poorer countries of Central and Eastern Europe – mainly from Poland, Bulgaria, Romania and Macedonia – their number grew minimally (up to 2%), while it decreased slightly (up to 5%) for Serbia and Bosnia and Herzegovina. This is related to the gradual levelling of wage levels in this region. A third of all foreigners in employment status in the Czech Republic were registered in Prague (together with the “</w:t>
            </w:r>
            <w:proofErr w:type="spellStart"/>
            <w:r w:rsidRPr="00995C95">
              <w:rPr>
                <w:i/>
                <w:iCs/>
                <w:color w:val="0D0D0D" w:themeColor="text1" w:themeTint="F2"/>
              </w:rPr>
              <w:t>Středočeský</w:t>
            </w:r>
            <w:proofErr w:type="spellEnd"/>
            <w:r w:rsidRPr="00995C95">
              <w:rPr>
                <w:color w:val="0D0D0D" w:themeColor="text1" w:themeTint="F2"/>
              </w:rPr>
              <w:t xml:space="preserve"> region”, half of them). Year-on-year, there was an increase of foreigners in all regions – the highest in Prague (+16%), “</w:t>
            </w:r>
            <w:proofErr w:type="spellStart"/>
            <w:r w:rsidRPr="00995C95">
              <w:rPr>
                <w:i/>
                <w:iCs/>
                <w:color w:val="0D0D0D" w:themeColor="text1" w:themeTint="F2"/>
              </w:rPr>
              <w:t>Olomoucký</w:t>
            </w:r>
            <w:proofErr w:type="spellEnd"/>
            <w:r w:rsidRPr="00995C95">
              <w:rPr>
                <w:color w:val="0D0D0D" w:themeColor="text1" w:themeTint="F2"/>
              </w:rPr>
              <w:t xml:space="preserve"> region” (+15%), “</w:t>
            </w:r>
            <w:proofErr w:type="spellStart"/>
            <w:r w:rsidRPr="00995C95">
              <w:rPr>
                <w:i/>
                <w:iCs/>
                <w:color w:val="0D0D0D" w:themeColor="text1" w:themeTint="F2"/>
              </w:rPr>
              <w:t>Karlovarský</w:t>
            </w:r>
            <w:proofErr w:type="spellEnd"/>
            <w:r w:rsidRPr="00995C95">
              <w:rPr>
                <w:color w:val="0D0D0D" w:themeColor="text1" w:themeTint="F2"/>
              </w:rPr>
              <w:t xml:space="preserve"> region” and “</w:t>
            </w:r>
            <w:proofErr w:type="spellStart"/>
            <w:r w:rsidRPr="00995C95">
              <w:rPr>
                <w:i/>
                <w:iCs/>
                <w:color w:val="0D0D0D" w:themeColor="text1" w:themeTint="F2"/>
              </w:rPr>
              <w:t>Pardubický</w:t>
            </w:r>
            <w:proofErr w:type="spellEnd"/>
            <w:r w:rsidRPr="00995C95">
              <w:rPr>
                <w:color w:val="0D0D0D" w:themeColor="text1" w:themeTint="F2"/>
              </w:rPr>
              <w:t xml:space="preserve"> region” (+10%), and the least in “</w:t>
            </w:r>
            <w:proofErr w:type="spellStart"/>
            <w:r w:rsidRPr="00995C95">
              <w:rPr>
                <w:i/>
                <w:iCs/>
                <w:color w:val="0D0D0D" w:themeColor="text1" w:themeTint="F2"/>
              </w:rPr>
              <w:t>Liberecký</w:t>
            </w:r>
            <w:proofErr w:type="spellEnd"/>
            <w:r w:rsidRPr="00995C95">
              <w:rPr>
                <w:i/>
                <w:iCs/>
                <w:color w:val="0D0D0D" w:themeColor="text1" w:themeTint="F2"/>
              </w:rPr>
              <w:t xml:space="preserve"> </w:t>
            </w:r>
            <w:r w:rsidRPr="00995C95">
              <w:rPr>
                <w:color w:val="0D0D0D" w:themeColor="text1" w:themeTint="F2"/>
              </w:rPr>
              <w:t>region” (+4.5%)</w:t>
            </w:r>
            <w:r w:rsidRPr="00995C95">
              <w:rPr>
                <w:rStyle w:val="Znakapoznpodarou"/>
                <w:color w:val="0D0D0D" w:themeColor="text1" w:themeTint="F2"/>
              </w:rPr>
              <w:footnoteReference w:id="97"/>
            </w:r>
            <w:r w:rsidRPr="00995C95">
              <w:rPr>
                <w:color w:val="0D0D0D" w:themeColor="text1" w:themeTint="F2"/>
              </w:rPr>
              <w:t>.</w:t>
            </w:r>
          </w:p>
        </w:tc>
      </w:tr>
      <w:tr w:rsidR="0032050F" w:rsidRPr="00995C95" w14:paraId="4E7CC99B" w14:textId="77777777" w:rsidTr="00E25E8B">
        <w:trPr>
          <w:trHeight w:val="145"/>
        </w:trPr>
        <w:tc>
          <w:tcPr>
            <w:tcW w:w="1755" w:type="dxa"/>
            <w:tcMar>
              <w:left w:w="0" w:type="dxa"/>
            </w:tcMar>
          </w:tcPr>
          <w:p w14:paraId="40A7CAFB" w14:textId="77777777" w:rsidR="0032050F" w:rsidRPr="00995C95" w:rsidRDefault="0032050F" w:rsidP="00E25E8B">
            <w:pPr>
              <w:pStyle w:val="Marginlie"/>
              <w:spacing w:after="120"/>
              <w:rPr>
                <w:color w:val="0D0D0D" w:themeColor="text1" w:themeTint="F2"/>
                <w:spacing w:val="-4"/>
              </w:rPr>
            </w:pPr>
            <w:r w:rsidRPr="00995C95">
              <w:rPr>
                <w:color w:val="0D0D0D" w:themeColor="text1" w:themeTint="F2"/>
                <w:spacing w:val="-4"/>
              </w:rPr>
              <w:t xml:space="preserve">The year-on-year growth of the employment rate for persons aged 15 to 64 halted at the end of last year. </w:t>
            </w:r>
          </w:p>
          <w:p w14:paraId="0022E311" w14:textId="77777777" w:rsidR="0032050F" w:rsidRPr="00995C95" w:rsidRDefault="0032050F" w:rsidP="00E25E8B">
            <w:pPr>
              <w:pStyle w:val="Marginlie"/>
              <w:spacing w:after="120"/>
              <w:rPr>
                <w:color w:val="0D0D0D" w:themeColor="text1" w:themeTint="F2"/>
                <w:spacing w:val="-4"/>
              </w:rPr>
            </w:pPr>
          </w:p>
          <w:p w14:paraId="556DBB85" w14:textId="77777777" w:rsidR="0032050F" w:rsidRPr="00995C95" w:rsidRDefault="0032050F" w:rsidP="00E25E8B">
            <w:pPr>
              <w:pStyle w:val="Marginlie"/>
              <w:spacing w:after="120"/>
              <w:rPr>
                <w:color w:val="0D0D0D" w:themeColor="text1" w:themeTint="F2"/>
                <w:spacing w:val="-4"/>
              </w:rPr>
            </w:pPr>
          </w:p>
          <w:p w14:paraId="6DBFCDEF" w14:textId="77777777" w:rsidR="0032050F" w:rsidRPr="00995C95" w:rsidRDefault="0032050F" w:rsidP="00E25E8B">
            <w:pPr>
              <w:pStyle w:val="Marginlie"/>
              <w:spacing w:after="120"/>
              <w:rPr>
                <w:color w:val="0D0D0D" w:themeColor="text1" w:themeTint="F2"/>
                <w:spacing w:val="-4"/>
              </w:rPr>
            </w:pPr>
          </w:p>
          <w:p w14:paraId="724C3246" w14:textId="77777777" w:rsidR="0032050F" w:rsidRPr="00995C95" w:rsidRDefault="0032050F" w:rsidP="00E25E8B">
            <w:pPr>
              <w:pStyle w:val="Marginlie"/>
              <w:spacing w:after="120"/>
              <w:rPr>
                <w:color w:val="0D0D0D" w:themeColor="text1" w:themeTint="F2"/>
                <w:spacing w:val="-4"/>
              </w:rPr>
            </w:pPr>
            <w:r w:rsidRPr="00995C95">
              <w:rPr>
                <w:color w:val="0D0D0D" w:themeColor="text1" w:themeTint="F2"/>
                <w:spacing w:val="-4"/>
              </w:rPr>
              <w:lastRenderedPageBreak/>
              <w:t>However, female employment continued to grow, albeit at a more moderate pace.</w:t>
            </w:r>
          </w:p>
          <w:p w14:paraId="7031895C" w14:textId="77777777" w:rsidR="0032050F" w:rsidRPr="00995C95" w:rsidRDefault="0032050F" w:rsidP="00E25E8B">
            <w:pPr>
              <w:pStyle w:val="Marginlie"/>
              <w:rPr>
                <w:color w:val="0D0D0D" w:themeColor="text1" w:themeTint="F2"/>
                <w:spacing w:val="-4"/>
              </w:rPr>
            </w:pPr>
          </w:p>
        </w:tc>
        <w:tc>
          <w:tcPr>
            <w:tcW w:w="176" w:type="dxa"/>
            <w:tcMar>
              <w:left w:w="0" w:type="dxa"/>
            </w:tcMar>
          </w:tcPr>
          <w:p w14:paraId="376F77D9" w14:textId="77777777" w:rsidR="0032050F" w:rsidRPr="00995C95" w:rsidRDefault="0032050F" w:rsidP="00E25E8B">
            <w:pPr>
              <w:pStyle w:val="Textpoznpodarou"/>
              <w:spacing w:after="120"/>
              <w:jc w:val="both"/>
              <w:rPr>
                <w:color w:val="0D0D0D" w:themeColor="text1" w:themeTint="F2"/>
                <w:spacing w:val="-4"/>
              </w:rPr>
            </w:pPr>
          </w:p>
        </w:tc>
        <w:tc>
          <w:tcPr>
            <w:tcW w:w="7743" w:type="dxa"/>
            <w:tcMar>
              <w:left w:w="0" w:type="dxa"/>
            </w:tcMar>
          </w:tcPr>
          <w:p w14:paraId="4A558930" w14:textId="77777777" w:rsidR="0032050F" w:rsidRPr="00995C95" w:rsidRDefault="0032050F" w:rsidP="00E25E8B">
            <w:pPr>
              <w:spacing w:after="220"/>
              <w:rPr>
                <w:color w:val="0D0D0D" w:themeColor="text1" w:themeTint="F2"/>
              </w:rPr>
            </w:pPr>
            <w:r w:rsidRPr="00995C95">
              <w:t>The above trends were reflected in the continuing growth of the number of workers with higher qualifications (especially specialists, technical and professional workers and officials), but employment in the lowest class of assistant and unskilled workers also increased slightly</w:t>
            </w:r>
            <w:r w:rsidRPr="00995C95">
              <w:rPr>
                <w:rStyle w:val="Znakapoznpodarou"/>
                <w:color w:val="0D0D0D" w:themeColor="text1" w:themeTint="F2"/>
              </w:rPr>
              <w:footnoteReference w:id="98"/>
            </w:r>
            <w:r w:rsidRPr="00995C95">
              <w:t>. On the contrary, the number of people in some manual professions decreased, especially craftsmen and repairmen or operators of machinery and equipment. The long-term trend of gradual ageing of workers also continued, with employment growth being overwhelmingly driven by people over the age of 45. The employment rate</w:t>
            </w:r>
            <w:r w:rsidRPr="00995C95">
              <w:rPr>
                <w:rStyle w:val="Znakapoznpodarou"/>
                <w:color w:val="0D0D0D" w:themeColor="text1" w:themeTint="F2"/>
              </w:rPr>
              <w:footnoteReference w:id="99"/>
            </w:r>
            <w:r w:rsidRPr="00995C95">
              <w:t xml:space="preserve"> (persons aged 15 to 64 years) reached 75.4% in January this year, falling by 0.3 p. p., year-on-year (it had been rising slightly for the vast majority of last </w:t>
            </w:r>
            <w:r w:rsidRPr="00995C95">
              <w:lastRenderedPageBreak/>
              <w:t>year). The decline was caused exclusively by males, for whom the rate reached 80% (−1.1 p. p.), while for females the growth continued to 70.5% (+0.6 p. p.). However, the gap between males and females is no longer as intense as it used to be from H2 2025, (the rate of year-on-year fall of the male employment rate is no longer deepening, while growth for females is noticeably weakening). Males are affected by partial improvements in industry and the developing construction industry. The development for females indicates a possible current exhaustion of growth potential in some branches of market services, as well as the fact that most of the females from the ranks of Ukrainian refugees have probably already integrated into the labour market. Also, the increase in the supply of part-time work, particularly noticeable in 2022 and 2023</w:t>
            </w:r>
            <w:r w:rsidRPr="00995C95">
              <w:rPr>
                <w:rStyle w:val="Znakapoznpodarou"/>
                <w:rFonts w:eastAsiaTheme="majorEastAsia"/>
              </w:rPr>
              <w:footnoteReference w:id="100"/>
            </w:r>
            <w:r w:rsidRPr="00995C95">
              <w:t>, moderated last year</w:t>
            </w:r>
            <w:r w:rsidRPr="00995C95">
              <w:rPr>
                <w:rStyle w:val="Znakapoznpodarou"/>
                <w:rFonts w:eastAsiaTheme="majorEastAsia"/>
              </w:rPr>
              <w:footnoteReference w:id="101"/>
            </w:r>
            <w:r w:rsidRPr="00995C95">
              <w:t xml:space="preserve">. </w:t>
            </w:r>
          </w:p>
        </w:tc>
      </w:tr>
      <w:tr w:rsidR="0032050F" w:rsidRPr="00995C95" w14:paraId="3882EDF2" w14:textId="77777777" w:rsidTr="00E25E8B">
        <w:trPr>
          <w:trHeight w:val="145"/>
        </w:trPr>
        <w:tc>
          <w:tcPr>
            <w:tcW w:w="1755" w:type="dxa"/>
            <w:tcMar>
              <w:left w:w="0" w:type="dxa"/>
            </w:tcMar>
          </w:tcPr>
          <w:p w14:paraId="244F30FA" w14:textId="77777777" w:rsidR="0032050F" w:rsidRPr="00995C95" w:rsidRDefault="0032050F" w:rsidP="00E25E8B">
            <w:pPr>
              <w:pStyle w:val="Marginlie"/>
              <w:rPr>
                <w:color w:val="0D0D0D" w:themeColor="text1" w:themeTint="F2"/>
                <w:spacing w:val="-4"/>
              </w:rPr>
            </w:pPr>
            <w:r w:rsidRPr="00995C95">
              <w:rPr>
                <w:color w:val="0D0D0D" w:themeColor="text1" w:themeTint="F2"/>
                <w:spacing w:val="-4"/>
              </w:rPr>
              <w:lastRenderedPageBreak/>
              <w:t>Short-term employment expectations of businesses have improved in industry and trade this year, while the opposite has been achieved in services.</w:t>
            </w:r>
          </w:p>
          <w:p w14:paraId="0D16AF5B" w14:textId="77777777" w:rsidR="0032050F" w:rsidRPr="00995C95" w:rsidRDefault="0032050F" w:rsidP="00E25E8B">
            <w:pPr>
              <w:pStyle w:val="Marginlie"/>
              <w:rPr>
                <w:color w:val="0D0D0D" w:themeColor="text1" w:themeTint="F2"/>
                <w:spacing w:val="-5"/>
              </w:rPr>
            </w:pPr>
          </w:p>
          <w:p w14:paraId="3A51E2F1" w14:textId="77777777" w:rsidR="0032050F" w:rsidRPr="00995C95" w:rsidRDefault="0032050F" w:rsidP="00E25E8B">
            <w:pPr>
              <w:pStyle w:val="Marginlie"/>
              <w:rPr>
                <w:color w:val="0D0D0D" w:themeColor="text1" w:themeTint="F2"/>
                <w:spacing w:val="-5"/>
              </w:rPr>
            </w:pPr>
          </w:p>
          <w:p w14:paraId="727C09D2" w14:textId="77777777" w:rsidR="0032050F" w:rsidRPr="00995C95" w:rsidRDefault="0032050F" w:rsidP="00E25E8B">
            <w:pPr>
              <w:pStyle w:val="Marginlie"/>
              <w:rPr>
                <w:color w:val="0D0D0D" w:themeColor="text1" w:themeTint="F2"/>
                <w:spacing w:val="-5"/>
              </w:rPr>
            </w:pPr>
            <w:r w:rsidRPr="00995C95">
              <w:rPr>
                <w:color w:val="0D0D0D" w:themeColor="text1" w:themeTint="F2"/>
                <w:spacing w:val="-5"/>
              </w:rPr>
              <w:t>There was a slight increase of enterprises limited by the lack of free labour force in construction and services.</w:t>
            </w:r>
          </w:p>
        </w:tc>
        <w:tc>
          <w:tcPr>
            <w:tcW w:w="176" w:type="dxa"/>
            <w:tcMar>
              <w:left w:w="0" w:type="dxa"/>
            </w:tcMar>
          </w:tcPr>
          <w:p w14:paraId="1B91A810" w14:textId="77777777" w:rsidR="0032050F" w:rsidRPr="00995C95" w:rsidRDefault="0032050F" w:rsidP="00E25E8B">
            <w:pPr>
              <w:pStyle w:val="Textpoznpodarou"/>
              <w:spacing w:after="120"/>
              <w:jc w:val="both"/>
              <w:rPr>
                <w:color w:val="0D0D0D" w:themeColor="text1" w:themeTint="F2"/>
                <w:spacing w:val="-4"/>
              </w:rPr>
            </w:pPr>
          </w:p>
        </w:tc>
        <w:tc>
          <w:tcPr>
            <w:tcW w:w="7743" w:type="dxa"/>
            <w:tcMar>
              <w:left w:w="0" w:type="dxa"/>
            </w:tcMar>
          </w:tcPr>
          <w:p w14:paraId="3DE94182" w14:textId="77777777" w:rsidR="0032050F" w:rsidRPr="00995C95" w:rsidRDefault="0032050F" w:rsidP="00E25E8B">
            <w:pPr>
              <w:spacing w:after="220"/>
              <w:rPr>
                <w:color w:val="0D0D0D" w:themeColor="text1" w:themeTint="F2"/>
              </w:rPr>
            </w:pPr>
            <w:r w:rsidRPr="00995C95">
              <w:rPr>
                <w:color w:val="0D0D0D" w:themeColor="text1" w:themeTint="F2"/>
              </w:rPr>
              <w:t>Short-term expectations of domestic companies in terms of their own employment</w:t>
            </w:r>
            <w:r w:rsidRPr="00995C95">
              <w:rPr>
                <w:rStyle w:val="Znakapoznpodarou"/>
                <w:color w:val="0D0D0D" w:themeColor="text1" w:themeTint="F2"/>
              </w:rPr>
              <w:footnoteReference w:id="102"/>
            </w:r>
            <w:r w:rsidRPr="00995C95">
              <w:rPr>
                <w:color w:val="0D0D0D" w:themeColor="text1" w:themeTint="F2"/>
              </w:rPr>
              <w:t xml:space="preserve"> were already improving during 2024. The beginning of last year brought (not only in the Czech Republic, but also in the EU and the euro area) a short-term strengthening of the negative outlook, which reflected the growing uncertainty of entrepreneurs probably stemming from external (foreign) factors. Nevertheless, the outlook began to improve slightly again in Q2, and the total indicator of employment expectations in the Czech Republic rose to the highest level in the summer in the last two and a half years (and its level corresponded to the long-term average). There were no significant changes in the rest of the year, however a slight whiff of optimism prevailed at the beginning of 2026, particularly evident in industry and trade. On the contrary, a deterioration occurred in services and expectations, employment was the weakest</w:t>
            </w:r>
            <w:r w:rsidRPr="00995C95">
              <w:rPr>
                <w:rStyle w:val="Znakapoznpodarou"/>
                <w:color w:val="0D0D0D" w:themeColor="text1" w:themeTint="F2"/>
              </w:rPr>
              <w:footnoteReference w:id="103"/>
            </w:r>
            <w:r w:rsidRPr="00995C95">
              <w:rPr>
                <w:color w:val="0D0D0D" w:themeColor="text1" w:themeTint="F2"/>
              </w:rPr>
              <w:t xml:space="preserve"> here among all the main sectors. Naturally, significant differences persisted within sub-sectors</w:t>
            </w:r>
            <w:r w:rsidRPr="00995C95">
              <w:rPr>
                <w:rStyle w:val="Znakapoznpodarou"/>
                <w:color w:val="0D0D0D" w:themeColor="text1" w:themeTint="F2"/>
              </w:rPr>
              <w:footnoteReference w:id="104"/>
            </w:r>
            <w:r w:rsidRPr="00995C95">
              <w:rPr>
                <w:color w:val="0D0D0D" w:themeColor="text1" w:themeTint="F2"/>
              </w:rPr>
              <w:t>. The share of enterprises for which labour force shortages present one of the major barriers to growth</w:t>
            </w:r>
            <w:r w:rsidRPr="00995C95">
              <w:rPr>
                <w:rStyle w:val="Znakapoznpodarou"/>
                <w:color w:val="0D0D0D" w:themeColor="text1" w:themeTint="F2"/>
              </w:rPr>
              <w:footnoteReference w:id="105"/>
            </w:r>
            <w:r w:rsidRPr="00995C95">
              <w:rPr>
                <w:color w:val="0D0D0D" w:themeColor="text1" w:themeTint="F2"/>
              </w:rPr>
              <w:t xml:space="preserve"> has traditionally been highest in construction at the beginning of Q1 2026 (57%). The opposite was true in services (15%) and also in industry (11%), where the role of this barrier decreased slightly, year-on-year, while it strengthened slightly in construction and services.</w:t>
            </w:r>
          </w:p>
        </w:tc>
      </w:tr>
      <w:tr w:rsidR="0032050F" w:rsidRPr="00995C95" w14:paraId="68B28048" w14:textId="77777777" w:rsidTr="00E25E8B">
        <w:trPr>
          <w:trHeight w:val="145"/>
        </w:trPr>
        <w:tc>
          <w:tcPr>
            <w:tcW w:w="1755" w:type="dxa"/>
            <w:tcMar>
              <w:left w:w="0" w:type="dxa"/>
            </w:tcMar>
          </w:tcPr>
          <w:p w14:paraId="11EF2EF7" w14:textId="77777777" w:rsidR="0032050F" w:rsidRPr="00995C95" w:rsidRDefault="0032050F" w:rsidP="00E25E8B">
            <w:pPr>
              <w:pStyle w:val="Marginlie"/>
              <w:rPr>
                <w:color w:val="0D0D0D" w:themeColor="text1" w:themeTint="F2"/>
                <w:spacing w:val="-5"/>
              </w:rPr>
            </w:pPr>
            <w:r w:rsidRPr="00995C95">
              <w:rPr>
                <w:color w:val="0D0D0D" w:themeColor="text1" w:themeTint="F2"/>
                <w:spacing w:val="-5"/>
              </w:rPr>
              <w:t xml:space="preserve">The general unemployment rate rose </w:t>
            </w:r>
            <w:r w:rsidRPr="00995C95">
              <w:rPr>
                <w:color w:val="0D0D0D" w:themeColor="text1" w:themeTint="F2"/>
                <w:spacing w:val="-5"/>
              </w:rPr>
              <w:lastRenderedPageBreak/>
              <w:t xml:space="preserve">slightly for most of the year. Still, it remains low from both a historical and international point of view. </w:t>
            </w:r>
          </w:p>
        </w:tc>
        <w:tc>
          <w:tcPr>
            <w:tcW w:w="176" w:type="dxa"/>
            <w:tcMar>
              <w:left w:w="0" w:type="dxa"/>
            </w:tcMar>
          </w:tcPr>
          <w:p w14:paraId="1FE9693D" w14:textId="77777777" w:rsidR="0032050F" w:rsidRPr="00995C95" w:rsidRDefault="0032050F" w:rsidP="00E25E8B">
            <w:pPr>
              <w:pStyle w:val="Textpoznpodarou"/>
              <w:spacing w:after="120"/>
              <w:jc w:val="both"/>
              <w:rPr>
                <w:color w:val="0D0D0D" w:themeColor="text1" w:themeTint="F2"/>
                <w:spacing w:val="-4"/>
              </w:rPr>
            </w:pPr>
          </w:p>
        </w:tc>
        <w:tc>
          <w:tcPr>
            <w:tcW w:w="7743" w:type="dxa"/>
            <w:tcMar>
              <w:left w:w="0" w:type="dxa"/>
            </w:tcMar>
          </w:tcPr>
          <w:p w14:paraId="587702C7" w14:textId="77777777" w:rsidR="0032050F" w:rsidRPr="00995C95" w:rsidRDefault="0032050F" w:rsidP="00E25E8B">
            <w:pPr>
              <w:spacing w:after="220"/>
              <w:rPr>
                <w:rFonts w:cs="Arial"/>
                <w:szCs w:val="20"/>
              </w:rPr>
            </w:pPr>
            <w:r w:rsidRPr="00995C95">
              <w:rPr>
                <w:rFonts w:cs="Arial"/>
                <w:szCs w:val="20"/>
              </w:rPr>
              <w:t>The general unemployment rate</w:t>
            </w:r>
            <w:r w:rsidRPr="00995C95">
              <w:rPr>
                <w:rFonts w:cs="Arial"/>
                <w:szCs w:val="20"/>
                <w:vertAlign w:val="superscript"/>
              </w:rPr>
              <w:footnoteReference w:id="106"/>
            </w:r>
            <w:r w:rsidRPr="00995C95">
              <w:rPr>
                <w:rFonts w:cs="Arial"/>
                <w:szCs w:val="20"/>
              </w:rPr>
              <w:t xml:space="preserve"> has started to increase slightly since last spring after stagnating in 2024. Unemployment for persons aged 15-64 years was 3.3%</w:t>
            </w:r>
            <w:r w:rsidRPr="00995C95">
              <w:rPr>
                <w:rFonts w:cs="Arial"/>
                <w:szCs w:val="20"/>
                <w:vertAlign w:val="superscript"/>
              </w:rPr>
              <w:footnoteReference w:id="107"/>
            </w:r>
            <w:r w:rsidRPr="00995C95">
              <w:rPr>
                <w:rFonts w:cs="Arial"/>
                <w:szCs w:val="20"/>
              </w:rPr>
              <w:t xml:space="preserve"> in January </w:t>
            </w:r>
            <w:r w:rsidRPr="00995C95">
              <w:rPr>
                <w:rFonts w:cs="Arial"/>
                <w:szCs w:val="20"/>
              </w:rPr>
              <w:lastRenderedPageBreak/>
              <w:t>this year (males: 2.8%, females: 3.8%). General unemployment is thus comparable to that at the peak of the pandemic (March 2021) and was last higher at the beginning of 2017. Unemployment increased by 0.5 p. p., year-on-year, similarly for males and females (however, it showed higher month-on-month dynamics for females in the last half of the year, while it was stabilised for males). This is mainly related to the situation in the industry. Especially the developing services were still largely able to absorb the redundant workers from some declining industries. This is one of the reasons why the number of long-term unemployed has not increased dramatically</w:t>
            </w:r>
            <w:r w:rsidRPr="00995C95">
              <w:rPr>
                <w:rFonts w:cs="Arial"/>
                <w:vertAlign w:val="superscript"/>
              </w:rPr>
              <w:footnoteReference w:id="108"/>
            </w:r>
            <w:r w:rsidRPr="00995C95">
              <w:rPr>
                <w:rFonts w:cs="Arial"/>
                <w:szCs w:val="20"/>
              </w:rPr>
              <w:t xml:space="preserve">. At the same time, hidden unemployment (in the form of a temporary </w:t>
            </w:r>
            <w:r>
              <w:rPr>
                <w:rFonts w:cs="Arial"/>
                <w:szCs w:val="20"/>
              </w:rPr>
              <w:t>“</w:t>
            </w:r>
            <w:r w:rsidRPr="00995C95">
              <w:rPr>
                <w:rFonts w:cs="Arial"/>
                <w:szCs w:val="20"/>
              </w:rPr>
              <w:t>escape</w:t>
            </w:r>
            <w:r>
              <w:rPr>
                <w:rFonts w:cs="Arial"/>
                <w:szCs w:val="20"/>
              </w:rPr>
              <w:t>”</w:t>
            </w:r>
            <w:r w:rsidRPr="00995C95">
              <w:rPr>
                <w:rFonts w:cs="Arial"/>
                <w:szCs w:val="20"/>
              </w:rPr>
              <w:t xml:space="preserve"> into economic inactivity) is not increasing significantly either. </w:t>
            </w:r>
          </w:p>
        </w:tc>
      </w:tr>
      <w:tr w:rsidR="0032050F" w:rsidRPr="00995C95" w14:paraId="0E0D90B4" w14:textId="77777777" w:rsidTr="00E25E8B">
        <w:trPr>
          <w:trHeight w:val="145"/>
        </w:trPr>
        <w:tc>
          <w:tcPr>
            <w:tcW w:w="1755" w:type="dxa"/>
            <w:tcMar>
              <w:left w:w="0" w:type="dxa"/>
            </w:tcMar>
          </w:tcPr>
          <w:p w14:paraId="22F02AE4" w14:textId="77777777" w:rsidR="0032050F" w:rsidRPr="00995C95" w:rsidRDefault="0032050F" w:rsidP="00E25E8B">
            <w:pPr>
              <w:pStyle w:val="Marginlie"/>
              <w:rPr>
                <w:color w:val="0D0D0D" w:themeColor="text1" w:themeTint="F2"/>
              </w:rPr>
            </w:pPr>
            <w:r w:rsidRPr="00995C95">
              <w:rPr>
                <w:color w:val="0D0D0D" w:themeColor="text1" w:themeTint="F2"/>
              </w:rPr>
              <w:lastRenderedPageBreak/>
              <w:t xml:space="preserve">The number of registered job applicants increased slightly. Their share of the working-age population was the highest since January 2017. </w:t>
            </w:r>
          </w:p>
          <w:p w14:paraId="72AA3368" w14:textId="77777777" w:rsidR="0032050F" w:rsidRPr="00995C95" w:rsidRDefault="0032050F" w:rsidP="00E25E8B">
            <w:pPr>
              <w:pStyle w:val="Marginlie"/>
              <w:rPr>
                <w:color w:val="0D0D0D" w:themeColor="text1" w:themeTint="F2"/>
                <w:spacing w:val="-5"/>
              </w:rPr>
            </w:pPr>
          </w:p>
        </w:tc>
        <w:tc>
          <w:tcPr>
            <w:tcW w:w="176" w:type="dxa"/>
            <w:tcMar>
              <w:left w:w="0" w:type="dxa"/>
            </w:tcMar>
          </w:tcPr>
          <w:p w14:paraId="06832109" w14:textId="77777777" w:rsidR="0032050F" w:rsidRPr="00995C95" w:rsidRDefault="0032050F" w:rsidP="00E25E8B">
            <w:pPr>
              <w:pStyle w:val="Textpoznpodarou"/>
              <w:spacing w:after="120"/>
              <w:jc w:val="both"/>
              <w:rPr>
                <w:color w:val="0D0D0D" w:themeColor="text1" w:themeTint="F2"/>
                <w:spacing w:val="-4"/>
              </w:rPr>
            </w:pPr>
          </w:p>
        </w:tc>
        <w:tc>
          <w:tcPr>
            <w:tcW w:w="7743" w:type="dxa"/>
            <w:tcMar>
              <w:left w:w="0" w:type="dxa"/>
            </w:tcMar>
          </w:tcPr>
          <w:p w14:paraId="6F96FA4F" w14:textId="77777777" w:rsidR="0032050F" w:rsidRPr="00995C95" w:rsidRDefault="0032050F" w:rsidP="00E25E8B">
            <w:pPr>
              <w:spacing w:after="200"/>
              <w:rPr>
                <w:rFonts w:cs="Arial"/>
                <w:szCs w:val="20"/>
              </w:rPr>
            </w:pPr>
            <w:r w:rsidRPr="00995C95">
              <w:rPr>
                <w:color w:val="0D0D0D" w:themeColor="text1" w:themeTint="F2"/>
              </w:rPr>
              <w:t>Data from the Labour Offices (LO) do not yet indicate a significant cooling of the domestic labour market. The seasonally unadjusted share of registered job applicants on the total population of persons aged 15 to 64 years reached 5.1% at the end of January this year (males: 4.9%, females: 5.4%). This is 0.8 p. p. more, year-on-year, the most significant deterioration since the peak of the pandemic (March 2021). Moderate growth of unemployment continued continuously throughout 2024, the year-on-year growth rate gradually increased slightly last year. The last time unemployment was higher compared to the current level was in January 2017. Unemployment has traditionally been significantly regionally differentiated</w:t>
            </w:r>
            <w:r w:rsidRPr="00995C95">
              <w:rPr>
                <w:rStyle w:val="Znakapoznpodarou"/>
                <w:szCs w:val="20"/>
              </w:rPr>
              <w:footnoteReference w:id="109"/>
            </w:r>
            <w:r w:rsidRPr="00995C95">
              <w:rPr>
                <w:color w:val="0D0D0D" w:themeColor="text1" w:themeTint="F2"/>
              </w:rPr>
              <w:t>. The current increase of registered job applicants may (in addition to the usual seasonality) also be related to higher activity of the Labour Office in the field of counselling and retraining, as well as to more flexible contact options for the Labour Office (digitally at a distance). It can be assumed that people may already be more courageous to change unsatisfactory working positions (e.g. with motivation to earn more or enhanced support in the first months of unemployment, which has been in force since January 2026). It also cannot be ruled out that proportion of persons who intended to leave their jobs in recent months have timed their departure only for the period of validity of higher unemployment benefits.</w:t>
            </w:r>
          </w:p>
        </w:tc>
      </w:tr>
      <w:tr w:rsidR="0032050F" w:rsidRPr="00995C95" w14:paraId="03068C15" w14:textId="77777777" w:rsidTr="00E25E8B">
        <w:trPr>
          <w:trHeight w:val="145"/>
        </w:trPr>
        <w:tc>
          <w:tcPr>
            <w:tcW w:w="1755" w:type="dxa"/>
            <w:tcMar>
              <w:left w:w="0" w:type="dxa"/>
            </w:tcMar>
          </w:tcPr>
          <w:p w14:paraId="3975015D" w14:textId="77777777" w:rsidR="0032050F" w:rsidRPr="00995C95" w:rsidRDefault="0032050F" w:rsidP="00E25E8B">
            <w:pPr>
              <w:pStyle w:val="Marginlie"/>
              <w:rPr>
                <w:color w:val="0D0D0D" w:themeColor="text1" w:themeTint="F2"/>
              </w:rPr>
            </w:pPr>
            <w:r w:rsidRPr="00995C95">
              <w:rPr>
                <w:spacing w:val="0"/>
              </w:rPr>
              <w:t xml:space="preserve">The acceleration of economic growth last year did not translate much into a higher supply of job vacancies through the Labour Offices. </w:t>
            </w:r>
          </w:p>
        </w:tc>
        <w:tc>
          <w:tcPr>
            <w:tcW w:w="176" w:type="dxa"/>
            <w:tcMar>
              <w:left w:w="0" w:type="dxa"/>
            </w:tcMar>
          </w:tcPr>
          <w:p w14:paraId="58C21A8F" w14:textId="77777777" w:rsidR="0032050F" w:rsidRPr="00995C95" w:rsidRDefault="0032050F" w:rsidP="00E25E8B">
            <w:pPr>
              <w:pStyle w:val="Textpoznpodarou"/>
              <w:spacing w:after="120"/>
              <w:jc w:val="both"/>
              <w:rPr>
                <w:color w:val="0D0D0D" w:themeColor="text1" w:themeTint="F2"/>
                <w:spacing w:val="-4"/>
              </w:rPr>
            </w:pPr>
          </w:p>
        </w:tc>
        <w:tc>
          <w:tcPr>
            <w:tcW w:w="7743" w:type="dxa"/>
            <w:tcMar>
              <w:left w:w="0" w:type="dxa"/>
            </w:tcMar>
          </w:tcPr>
          <w:p w14:paraId="2981CE9F" w14:textId="77777777" w:rsidR="0032050F" w:rsidRDefault="0032050F" w:rsidP="00E25E8B">
            <w:pPr>
              <w:pStyle w:val="paragraph"/>
              <w:spacing w:before="0" w:beforeAutospacing="0" w:after="0" w:afterAutospacing="0" w:line="276" w:lineRule="auto"/>
              <w:jc w:val="both"/>
              <w:textAlignment w:val="baseline"/>
              <w:rPr>
                <w:rStyle w:val="normaltextrun"/>
                <w:rFonts w:ascii="Arial" w:eastAsia="MS Gothic" w:hAnsi="Arial"/>
                <w:sz w:val="20"/>
              </w:rPr>
            </w:pPr>
            <w:r w:rsidRPr="00995C95">
              <w:rPr>
                <w:rStyle w:val="normaltextrun"/>
                <w:rFonts w:ascii="Arial" w:eastAsia="MS Gothic" w:hAnsi="Arial"/>
                <w:sz w:val="20"/>
              </w:rPr>
              <w:t>At</w:t>
            </w:r>
            <w:r w:rsidRPr="00995C95">
              <w:rPr>
                <w:rStyle w:val="normaltextrun"/>
                <w:rFonts w:ascii="Arial" w:hAnsi="Arial"/>
                <w:sz w:val="20"/>
              </w:rPr>
              <w:t xml:space="preserve"> </w:t>
            </w:r>
            <w:r w:rsidRPr="00995C95">
              <w:rPr>
                <w:rStyle w:val="normaltextrun"/>
                <w:rFonts w:ascii="Arial" w:eastAsia="MS Gothic" w:hAnsi="Arial"/>
                <w:sz w:val="20"/>
              </w:rPr>
              <w:t>the</w:t>
            </w:r>
            <w:r w:rsidRPr="00995C95">
              <w:rPr>
                <w:rStyle w:val="normaltextrun"/>
                <w:rFonts w:ascii="Arial" w:hAnsi="Arial"/>
                <w:sz w:val="20"/>
              </w:rPr>
              <w:t xml:space="preserve"> </w:t>
            </w:r>
            <w:r w:rsidRPr="00995C95">
              <w:rPr>
                <w:rStyle w:val="normaltextrun"/>
                <w:rFonts w:ascii="Arial" w:eastAsia="MS Gothic" w:hAnsi="Arial"/>
                <w:sz w:val="20"/>
              </w:rPr>
              <w:t>end</w:t>
            </w:r>
            <w:r w:rsidRPr="00995C95">
              <w:rPr>
                <w:rStyle w:val="normaltextrun"/>
                <w:rFonts w:ascii="Arial" w:hAnsi="Arial"/>
                <w:sz w:val="20"/>
              </w:rPr>
              <w:t xml:space="preserve"> </w:t>
            </w:r>
            <w:r w:rsidRPr="00995C95">
              <w:rPr>
                <w:rStyle w:val="normaltextrun"/>
                <w:rFonts w:ascii="Arial" w:eastAsia="MS Gothic" w:hAnsi="Arial"/>
                <w:sz w:val="20"/>
              </w:rPr>
              <w:t>of</w:t>
            </w:r>
            <w:r w:rsidRPr="00995C95">
              <w:rPr>
                <w:rStyle w:val="normaltextrun"/>
                <w:rFonts w:ascii="Arial" w:hAnsi="Arial"/>
                <w:sz w:val="20"/>
              </w:rPr>
              <w:t xml:space="preserve"> </w:t>
            </w:r>
            <w:r w:rsidRPr="00995C95">
              <w:rPr>
                <w:rStyle w:val="normaltextrun"/>
                <w:rFonts w:ascii="Arial" w:eastAsia="MS Gothic" w:hAnsi="Arial"/>
                <w:sz w:val="20"/>
              </w:rPr>
              <w:t>January</w:t>
            </w:r>
            <w:r w:rsidRPr="00995C95">
              <w:rPr>
                <w:rStyle w:val="normaltextrun"/>
                <w:rFonts w:ascii="Arial" w:hAnsi="Arial"/>
                <w:sz w:val="20"/>
              </w:rPr>
              <w:t xml:space="preserve"> </w:t>
            </w:r>
            <w:r w:rsidRPr="00995C95">
              <w:rPr>
                <w:rStyle w:val="normaltextrun"/>
                <w:rFonts w:ascii="Arial" w:eastAsia="MS Gothic" w:hAnsi="Arial"/>
                <w:sz w:val="20"/>
              </w:rPr>
              <w:t>this</w:t>
            </w:r>
            <w:r w:rsidRPr="00995C95">
              <w:rPr>
                <w:rStyle w:val="normaltextrun"/>
                <w:rFonts w:ascii="Arial" w:hAnsi="Arial"/>
                <w:sz w:val="20"/>
              </w:rPr>
              <w:t xml:space="preserve"> year, </w:t>
            </w:r>
            <w:r w:rsidRPr="00995C95">
              <w:rPr>
                <w:rStyle w:val="normaltextrun"/>
                <w:rFonts w:ascii="Arial" w:eastAsia="MS Gothic" w:hAnsi="Arial"/>
                <w:sz w:val="20"/>
              </w:rPr>
              <w:t>the</w:t>
            </w:r>
            <w:r w:rsidRPr="00995C95">
              <w:rPr>
                <w:rStyle w:val="normaltextrun"/>
                <w:rFonts w:ascii="Arial" w:hAnsi="Arial"/>
                <w:sz w:val="20"/>
              </w:rPr>
              <w:t xml:space="preserve"> </w:t>
            </w:r>
            <w:r w:rsidRPr="00995C95">
              <w:rPr>
                <w:rStyle w:val="normaltextrun"/>
                <w:rFonts w:ascii="Arial" w:eastAsia="MS Gothic" w:hAnsi="Arial"/>
                <w:sz w:val="20"/>
              </w:rPr>
              <w:t>Labour</w:t>
            </w:r>
            <w:r w:rsidRPr="00995C95">
              <w:rPr>
                <w:rStyle w:val="normaltextrun"/>
                <w:rFonts w:ascii="Arial" w:hAnsi="Arial"/>
                <w:sz w:val="20"/>
              </w:rPr>
              <w:t xml:space="preserve"> Offices </w:t>
            </w:r>
            <w:r w:rsidRPr="00995C95">
              <w:rPr>
                <w:rStyle w:val="normaltextrun"/>
                <w:rFonts w:ascii="Arial" w:eastAsia="MS Gothic" w:hAnsi="Arial"/>
                <w:sz w:val="20"/>
              </w:rPr>
              <w:t>registered</w:t>
            </w:r>
            <w:r w:rsidRPr="00995C95">
              <w:rPr>
                <w:rStyle w:val="normaltextrun"/>
                <w:rFonts w:ascii="Arial" w:hAnsi="Arial"/>
                <w:sz w:val="20"/>
              </w:rPr>
              <w:t xml:space="preserve"> </w:t>
            </w:r>
            <w:r w:rsidRPr="00995C95">
              <w:rPr>
                <w:rStyle w:val="normaltextrun"/>
                <w:rFonts w:ascii="Arial" w:eastAsia="MS Gothic" w:hAnsi="Arial"/>
                <w:sz w:val="20"/>
              </w:rPr>
              <w:t>86.4</w:t>
            </w:r>
            <w:r w:rsidRPr="00995C95">
              <w:rPr>
                <w:rStyle w:val="normaltextrun"/>
                <w:rFonts w:ascii="Arial" w:hAnsi="Arial"/>
                <w:sz w:val="20"/>
              </w:rPr>
              <w:t xml:space="preserve"> </w:t>
            </w:r>
            <w:r w:rsidRPr="00995C95">
              <w:rPr>
                <w:rStyle w:val="normaltextrun"/>
                <w:rFonts w:ascii="Arial" w:eastAsia="MS Gothic" w:hAnsi="Arial"/>
                <w:sz w:val="20"/>
              </w:rPr>
              <w:t>thousand</w:t>
            </w:r>
            <w:r w:rsidRPr="00995C95">
              <w:rPr>
                <w:rStyle w:val="normaltextrun"/>
                <w:rFonts w:ascii="Arial" w:hAnsi="Arial"/>
                <w:sz w:val="20"/>
              </w:rPr>
              <w:t xml:space="preserve"> job </w:t>
            </w:r>
            <w:r w:rsidRPr="00995C95">
              <w:rPr>
                <w:rStyle w:val="normaltextrun"/>
                <w:rFonts w:ascii="Arial" w:eastAsia="MS Gothic" w:hAnsi="Arial"/>
                <w:sz w:val="20"/>
              </w:rPr>
              <w:t>vacancies</w:t>
            </w:r>
            <w:r w:rsidRPr="00995C95">
              <w:rPr>
                <w:rStyle w:val="Znakapoznpodarou"/>
                <w:rFonts w:ascii="Arial" w:hAnsi="Arial" w:cs="Arial"/>
                <w:color w:val="0D0D0D" w:themeColor="text1" w:themeTint="F2"/>
                <w:sz w:val="20"/>
                <w:szCs w:val="20"/>
              </w:rPr>
              <w:footnoteReference w:id="110"/>
            </w:r>
            <w:r w:rsidRPr="00995C95">
              <w:rPr>
                <w:rStyle w:val="normaltextrun"/>
                <w:rFonts w:ascii="Arial" w:hAnsi="Arial"/>
                <w:sz w:val="20"/>
              </w:rPr>
              <w:t xml:space="preserve"> </w:t>
            </w:r>
            <w:r w:rsidRPr="00995C95">
              <w:rPr>
                <w:rStyle w:val="normaltextrun"/>
                <w:rFonts w:ascii="Arial" w:eastAsia="MS Gothic" w:hAnsi="Arial"/>
                <w:sz w:val="20"/>
              </w:rPr>
              <w:t>(in</w:t>
            </w:r>
            <w:r w:rsidRPr="00995C95">
              <w:rPr>
                <w:rStyle w:val="normaltextrun"/>
                <w:rFonts w:ascii="Arial" w:hAnsi="Arial"/>
                <w:sz w:val="20"/>
              </w:rPr>
              <w:t xml:space="preserve"> </w:t>
            </w:r>
            <w:r w:rsidRPr="00995C95">
              <w:rPr>
                <w:rStyle w:val="normaltextrun"/>
                <w:rFonts w:ascii="Arial" w:eastAsia="MS Gothic" w:hAnsi="Arial"/>
                <w:sz w:val="20"/>
              </w:rPr>
              <w:t>principle</w:t>
            </w:r>
            <w:r w:rsidRPr="00995C95">
              <w:rPr>
                <w:rStyle w:val="normaltextrun"/>
                <w:rFonts w:ascii="Arial" w:hAnsi="Arial"/>
                <w:sz w:val="20"/>
              </w:rPr>
              <w:t xml:space="preserve">, </w:t>
            </w:r>
            <w:r w:rsidRPr="00995C95">
              <w:rPr>
                <w:rStyle w:val="normaltextrun"/>
                <w:rFonts w:ascii="Arial" w:eastAsia="MS Gothic" w:hAnsi="Arial"/>
                <w:sz w:val="20"/>
              </w:rPr>
              <w:t>only</w:t>
            </w:r>
            <w:r w:rsidRPr="00995C95">
              <w:rPr>
                <w:rStyle w:val="normaltextrun"/>
                <w:rFonts w:ascii="Arial" w:hAnsi="Arial"/>
                <w:sz w:val="20"/>
              </w:rPr>
              <w:t xml:space="preserve"> </w:t>
            </w:r>
            <w:r w:rsidRPr="00995C95">
              <w:rPr>
                <w:rStyle w:val="normaltextrun"/>
                <w:rFonts w:ascii="Arial" w:eastAsia="MS Gothic" w:hAnsi="Arial"/>
                <w:sz w:val="20"/>
              </w:rPr>
              <w:t>vacancies</w:t>
            </w:r>
            <w:r w:rsidRPr="00995C95">
              <w:rPr>
                <w:rStyle w:val="normaltextrun"/>
                <w:rFonts w:ascii="Arial" w:hAnsi="Arial"/>
                <w:sz w:val="20"/>
              </w:rPr>
              <w:t xml:space="preserve"> </w:t>
            </w:r>
            <w:r w:rsidRPr="00995C95">
              <w:rPr>
                <w:rStyle w:val="normaltextrun"/>
                <w:rFonts w:ascii="Arial" w:eastAsia="MS Gothic" w:hAnsi="Arial"/>
                <w:sz w:val="20"/>
              </w:rPr>
              <w:t>with</w:t>
            </w:r>
            <w:r w:rsidRPr="00995C95">
              <w:rPr>
                <w:rStyle w:val="normaltextrun"/>
                <w:rFonts w:ascii="Arial" w:hAnsi="Arial"/>
                <w:sz w:val="20"/>
              </w:rPr>
              <w:t xml:space="preserve"> a </w:t>
            </w:r>
            <w:r w:rsidRPr="00995C95">
              <w:rPr>
                <w:rStyle w:val="normaltextrun"/>
                <w:rFonts w:ascii="Arial" w:eastAsia="MS Gothic" w:hAnsi="Arial"/>
                <w:sz w:val="20"/>
              </w:rPr>
              <w:t>registration</w:t>
            </w:r>
            <w:r w:rsidRPr="00995C95">
              <w:rPr>
                <w:rStyle w:val="normaltextrun"/>
                <w:rFonts w:ascii="Arial" w:hAnsi="Arial"/>
                <w:sz w:val="20"/>
              </w:rPr>
              <w:t xml:space="preserve"> </w:t>
            </w:r>
            <w:r w:rsidRPr="00995C95">
              <w:rPr>
                <w:rStyle w:val="normaltextrun"/>
                <w:rFonts w:ascii="Arial" w:eastAsia="MS Gothic" w:hAnsi="Arial"/>
                <w:sz w:val="20"/>
              </w:rPr>
              <w:t>period</w:t>
            </w:r>
            <w:r w:rsidRPr="00995C95">
              <w:rPr>
                <w:rStyle w:val="normaltextrun"/>
                <w:rFonts w:ascii="Arial" w:hAnsi="Arial"/>
                <w:sz w:val="20"/>
              </w:rPr>
              <w:t xml:space="preserve"> </w:t>
            </w:r>
            <w:r w:rsidRPr="00995C95">
              <w:rPr>
                <w:rStyle w:val="normaltextrun"/>
                <w:rFonts w:ascii="Arial" w:eastAsia="MS Gothic" w:hAnsi="Arial"/>
                <w:sz w:val="20"/>
              </w:rPr>
              <w:t>of</w:t>
            </w:r>
            <w:r w:rsidRPr="00995C95">
              <w:rPr>
                <w:rStyle w:val="normaltextrun"/>
                <w:rFonts w:ascii="Arial" w:hAnsi="Arial"/>
                <w:sz w:val="20"/>
              </w:rPr>
              <w:t xml:space="preserve"> less </w:t>
            </w:r>
            <w:r w:rsidRPr="00995C95">
              <w:rPr>
                <w:rStyle w:val="normaltextrun"/>
                <w:rFonts w:ascii="Arial" w:eastAsia="MS Gothic" w:hAnsi="Arial"/>
                <w:sz w:val="20"/>
              </w:rPr>
              <w:t>than</w:t>
            </w:r>
            <w:r w:rsidRPr="00995C95">
              <w:rPr>
                <w:rStyle w:val="normaltextrun"/>
                <w:rFonts w:ascii="Arial" w:hAnsi="Arial"/>
                <w:sz w:val="20"/>
              </w:rPr>
              <w:t xml:space="preserve"> </w:t>
            </w:r>
            <w:r w:rsidRPr="00995C95">
              <w:rPr>
                <w:rStyle w:val="normaltextrun"/>
                <w:rFonts w:ascii="Arial" w:eastAsia="MS Gothic" w:hAnsi="Arial"/>
                <w:sz w:val="20"/>
              </w:rPr>
              <w:t>six</w:t>
            </w:r>
            <w:r w:rsidRPr="00995C95">
              <w:rPr>
                <w:rStyle w:val="normaltextrun"/>
                <w:rFonts w:ascii="Arial" w:hAnsi="Arial"/>
                <w:sz w:val="20"/>
              </w:rPr>
              <w:t xml:space="preserve"> </w:t>
            </w:r>
            <w:r w:rsidRPr="00995C95">
              <w:rPr>
                <w:rStyle w:val="normaltextrun"/>
                <w:rFonts w:ascii="Arial" w:eastAsia="MS Gothic" w:hAnsi="Arial"/>
                <w:sz w:val="20"/>
              </w:rPr>
              <w:t>months).</w:t>
            </w:r>
            <w:r w:rsidRPr="00995C95">
              <w:rPr>
                <w:rStyle w:val="normaltextrun"/>
                <w:rFonts w:ascii="Arial" w:hAnsi="Arial"/>
                <w:sz w:val="20"/>
              </w:rPr>
              <w:t xml:space="preserve"> </w:t>
            </w:r>
            <w:r w:rsidRPr="00995C95">
              <w:rPr>
                <w:rStyle w:val="normaltextrun"/>
                <w:rFonts w:ascii="Arial" w:eastAsia="MS Gothic" w:hAnsi="Arial"/>
                <w:sz w:val="20"/>
              </w:rPr>
              <w:t>There</w:t>
            </w:r>
            <w:r w:rsidRPr="00995C95">
              <w:rPr>
                <w:rStyle w:val="normaltextrun"/>
                <w:rFonts w:ascii="Arial" w:hAnsi="Arial"/>
                <w:sz w:val="20"/>
              </w:rPr>
              <w:t xml:space="preserve"> </w:t>
            </w:r>
            <w:r w:rsidRPr="00995C95">
              <w:rPr>
                <w:rStyle w:val="normaltextrun"/>
                <w:rFonts w:ascii="Arial" w:eastAsia="MS Gothic" w:hAnsi="Arial"/>
                <w:sz w:val="20"/>
              </w:rPr>
              <w:t>were</w:t>
            </w:r>
            <w:r w:rsidRPr="00995C95">
              <w:rPr>
                <w:rStyle w:val="normaltextrun"/>
                <w:rFonts w:ascii="Arial" w:hAnsi="Arial"/>
                <w:sz w:val="20"/>
              </w:rPr>
              <w:t xml:space="preserve"> </w:t>
            </w:r>
            <w:r w:rsidRPr="00995C95">
              <w:rPr>
                <w:rStyle w:val="normaltextrun"/>
                <w:rFonts w:ascii="Arial" w:eastAsia="MS Gothic" w:hAnsi="Arial"/>
                <w:sz w:val="20"/>
              </w:rPr>
              <w:t>fewer</w:t>
            </w:r>
            <w:r w:rsidRPr="00995C95">
              <w:rPr>
                <w:rStyle w:val="normaltextrun"/>
                <w:rFonts w:ascii="Arial" w:hAnsi="Arial"/>
                <w:sz w:val="20"/>
              </w:rPr>
              <w:t xml:space="preserve"> of </w:t>
            </w:r>
            <w:r w:rsidRPr="00995C95">
              <w:rPr>
                <w:rStyle w:val="normaltextrun"/>
                <w:rFonts w:ascii="Arial" w:eastAsia="MS Gothic" w:hAnsi="Arial"/>
                <w:sz w:val="20"/>
              </w:rPr>
              <w:t>them</w:t>
            </w:r>
            <w:r w:rsidRPr="00995C95">
              <w:rPr>
                <w:rStyle w:val="normaltextrun"/>
                <w:rFonts w:ascii="Arial" w:hAnsi="Arial"/>
                <w:sz w:val="20"/>
              </w:rPr>
              <w:t xml:space="preserve"> month-</w:t>
            </w:r>
            <w:r w:rsidRPr="00995C95">
              <w:rPr>
                <w:rStyle w:val="normaltextrun"/>
                <w:rFonts w:ascii="Arial" w:eastAsia="MS Gothic" w:hAnsi="Arial"/>
                <w:sz w:val="20"/>
              </w:rPr>
              <w:t>on</w:t>
            </w:r>
            <w:r w:rsidRPr="00995C95">
              <w:rPr>
                <w:rStyle w:val="normaltextrun"/>
                <w:rFonts w:ascii="Arial" w:hAnsi="Arial"/>
                <w:sz w:val="20"/>
              </w:rPr>
              <w:t>-</w:t>
            </w:r>
            <w:r w:rsidRPr="00995C95">
              <w:rPr>
                <w:rStyle w:val="normaltextrun"/>
                <w:rFonts w:ascii="Arial" w:eastAsia="MS Gothic" w:hAnsi="Arial"/>
                <w:sz w:val="20"/>
              </w:rPr>
              <w:t>month</w:t>
            </w:r>
            <w:r w:rsidRPr="00995C95">
              <w:rPr>
                <w:rStyle w:val="normaltextrun"/>
                <w:rFonts w:ascii="Arial" w:hAnsi="Arial"/>
                <w:sz w:val="20"/>
              </w:rPr>
              <w:t xml:space="preserve"> </w:t>
            </w:r>
            <w:r w:rsidRPr="00995C95">
              <w:rPr>
                <w:rStyle w:val="normaltextrun"/>
                <w:rFonts w:ascii="Arial" w:eastAsia="MS Gothic" w:hAnsi="Arial"/>
                <w:sz w:val="20"/>
              </w:rPr>
              <w:t>for</w:t>
            </w:r>
            <w:r w:rsidRPr="00995C95">
              <w:rPr>
                <w:rStyle w:val="normaltextrun"/>
                <w:rFonts w:ascii="Arial" w:hAnsi="Arial"/>
                <w:sz w:val="20"/>
              </w:rPr>
              <w:t xml:space="preserve"> </w:t>
            </w:r>
            <w:r w:rsidRPr="00995C95">
              <w:rPr>
                <w:rStyle w:val="normaltextrun"/>
                <w:rFonts w:ascii="Arial" w:eastAsia="MS Gothic" w:hAnsi="Arial"/>
                <w:sz w:val="20"/>
              </w:rPr>
              <w:t>the</w:t>
            </w:r>
            <w:r w:rsidRPr="00995C95">
              <w:rPr>
                <w:rStyle w:val="normaltextrun"/>
                <w:rFonts w:ascii="Arial" w:hAnsi="Arial"/>
                <w:sz w:val="20"/>
              </w:rPr>
              <w:t xml:space="preserve"> </w:t>
            </w:r>
            <w:r w:rsidRPr="00995C95">
              <w:rPr>
                <w:rStyle w:val="normaltextrun"/>
                <w:rFonts w:ascii="Arial" w:eastAsia="MS Gothic" w:hAnsi="Arial"/>
                <w:sz w:val="20"/>
              </w:rPr>
              <w:t>fourth</w:t>
            </w:r>
            <w:r w:rsidRPr="00995C95">
              <w:rPr>
                <w:rStyle w:val="normaltextrun"/>
                <w:rFonts w:ascii="Arial" w:hAnsi="Arial"/>
                <w:sz w:val="20"/>
              </w:rPr>
              <w:t xml:space="preserve"> </w:t>
            </w:r>
            <w:r w:rsidRPr="00995C95">
              <w:rPr>
                <w:rStyle w:val="normaltextrun"/>
                <w:rFonts w:ascii="Arial" w:eastAsia="MS Gothic" w:hAnsi="Arial"/>
                <w:sz w:val="20"/>
              </w:rPr>
              <w:t>month</w:t>
            </w:r>
            <w:r w:rsidRPr="00995C95">
              <w:rPr>
                <w:rStyle w:val="normaltextrun"/>
                <w:rFonts w:ascii="Arial" w:hAnsi="Arial"/>
                <w:sz w:val="20"/>
              </w:rPr>
              <w:t xml:space="preserve"> in </w:t>
            </w:r>
            <w:r w:rsidRPr="00995C95">
              <w:rPr>
                <w:rStyle w:val="normaltextrun"/>
                <w:rFonts w:ascii="Arial" w:eastAsia="MS Gothic" w:hAnsi="Arial"/>
                <w:sz w:val="20"/>
              </w:rPr>
              <w:t>a</w:t>
            </w:r>
            <w:r w:rsidRPr="00995C95">
              <w:rPr>
                <w:rStyle w:val="normaltextrun"/>
                <w:rFonts w:ascii="Arial" w:hAnsi="Arial"/>
                <w:sz w:val="20"/>
              </w:rPr>
              <w:t xml:space="preserve"> </w:t>
            </w:r>
            <w:r w:rsidRPr="00995C95">
              <w:rPr>
                <w:rStyle w:val="normaltextrun"/>
                <w:rFonts w:ascii="Arial" w:eastAsia="MS Gothic" w:hAnsi="Arial"/>
                <w:sz w:val="20"/>
              </w:rPr>
              <w:t>row</w:t>
            </w:r>
            <w:r w:rsidRPr="00995C95">
              <w:rPr>
                <w:rStyle w:val="normaltextrun"/>
                <w:rFonts w:ascii="Arial" w:hAnsi="Arial"/>
                <w:sz w:val="20"/>
              </w:rPr>
              <w:t xml:space="preserve"> </w:t>
            </w:r>
            <w:r w:rsidRPr="00995C95">
              <w:rPr>
                <w:rStyle w:val="normaltextrun"/>
                <w:rFonts w:ascii="Arial" w:eastAsia="MS Gothic" w:hAnsi="Arial"/>
                <w:sz w:val="20"/>
              </w:rPr>
              <w:t>(and</w:t>
            </w:r>
            <w:r w:rsidRPr="00995C95">
              <w:rPr>
                <w:rStyle w:val="normaltextrun"/>
                <w:rFonts w:ascii="Arial" w:hAnsi="Arial"/>
                <w:sz w:val="20"/>
              </w:rPr>
              <w:t xml:space="preserve"> </w:t>
            </w:r>
            <w:r w:rsidRPr="00995C95">
              <w:rPr>
                <w:rStyle w:val="normaltextrun"/>
                <w:rFonts w:ascii="Arial" w:eastAsia="MS Gothic" w:hAnsi="Arial"/>
                <w:sz w:val="20"/>
              </w:rPr>
              <w:t>at</w:t>
            </w:r>
            <w:r w:rsidRPr="00995C95">
              <w:rPr>
                <w:rStyle w:val="normaltextrun"/>
                <w:rFonts w:ascii="Arial" w:hAnsi="Arial"/>
                <w:sz w:val="20"/>
              </w:rPr>
              <w:t xml:space="preserve"> </w:t>
            </w:r>
            <w:r w:rsidRPr="00995C95">
              <w:rPr>
                <w:rStyle w:val="normaltextrun"/>
                <w:rFonts w:ascii="Arial" w:eastAsia="MS Gothic" w:hAnsi="Arial"/>
                <w:sz w:val="20"/>
              </w:rPr>
              <w:t>the</w:t>
            </w:r>
            <w:r w:rsidRPr="00995C95">
              <w:rPr>
                <w:rStyle w:val="normaltextrun"/>
                <w:rFonts w:ascii="Arial" w:hAnsi="Arial"/>
                <w:sz w:val="20"/>
              </w:rPr>
              <w:t xml:space="preserve"> </w:t>
            </w:r>
            <w:r w:rsidRPr="00995C95">
              <w:rPr>
                <w:rStyle w:val="normaltextrun"/>
                <w:rFonts w:ascii="Arial" w:eastAsia="MS Gothic" w:hAnsi="Arial"/>
                <w:sz w:val="20"/>
              </w:rPr>
              <w:t>same</w:t>
            </w:r>
            <w:r w:rsidRPr="00995C95">
              <w:rPr>
                <w:rStyle w:val="normaltextrun"/>
                <w:rFonts w:ascii="Arial" w:hAnsi="Arial"/>
                <w:sz w:val="20"/>
              </w:rPr>
              <w:t xml:space="preserve"> </w:t>
            </w:r>
            <w:r w:rsidRPr="00995C95">
              <w:rPr>
                <w:rStyle w:val="normaltextrun"/>
                <w:rFonts w:ascii="Arial" w:eastAsia="MS Gothic" w:hAnsi="Arial"/>
                <w:sz w:val="20"/>
              </w:rPr>
              <w:t>time,</w:t>
            </w:r>
            <w:r w:rsidRPr="00995C95">
              <w:rPr>
                <w:rStyle w:val="normaltextrun"/>
                <w:rFonts w:ascii="Arial" w:hAnsi="Arial"/>
                <w:sz w:val="20"/>
              </w:rPr>
              <w:t xml:space="preserve"> comparable number </w:t>
            </w:r>
            <w:r w:rsidRPr="00995C95">
              <w:rPr>
                <w:rStyle w:val="normaltextrun"/>
                <w:rFonts w:ascii="Arial" w:eastAsia="MS Gothic" w:hAnsi="Arial"/>
                <w:sz w:val="20"/>
              </w:rPr>
              <w:t>to</w:t>
            </w:r>
            <w:r w:rsidRPr="00995C95">
              <w:rPr>
                <w:rStyle w:val="normaltextrun"/>
                <w:rFonts w:ascii="Arial" w:hAnsi="Arial"/>
                <w:sz w:val="20"/>
              </w:rPr>
              <w:t xml:space="preserve"> </w:t>
            </w:r>
            <w:r w:rsidRPr="00995C95">
              <w:rPr>
                <w:rStyle w:val="normaltextrun"/>
                <w:rFonts w:ascii="Arial" w:eastAsia="MS Gothic" w:hAnsi="Arial"/>
                <w:sz w:val="20"/>
              </w:rPr>
              <w:t>the</w:t>
            </w:r>
            <w:r w:rsidRPr="00995C95">
              <w:rPr>
                <w:rStyle w:val="normaltextrun"/>
                <w:rFonts w:ascii="Arial" w:hAnsi="Arial"/>
                <w:sz w:val="20"/>
              </w:rPr>
              <w:t xml:space="preserve"> </w:t>
            </w:r>
            <w:r w:rsidRPr="00995C95">
              <w:rPr>
                <w:rStyle w:val="normaltextrun"/>
                <w:rFonts w:ascii="Arial" w:eastAsia="MS Gothic" w:hAnsi="Arial"/>
                <w:sz w:val="20"/>
              </w:rPr>
              <w:t>end</w:t>
            </w:r>
            <w:r w:rsidRPr="00995C95">
              <w:rPr>
                <w:rStyle w:val="normaltextrun"/>
                <w:rFonts w:ascii="Arial" w:hAnsi="Arial"/>
                <w:sz w:val="20"/>
              </w:rPr>
              <w:t xml:space="preserve"> </w:t>
            </w:r>
            <w:r w:rsidRPr="00995C95">
              <w:rPr>
                <w:rStyle w:val="normaltextrun"/>
                <w:rFonts w:ascii="Arial" w:eastAsia="MS Gothic" w:hAnsi="Arial"/>
                <w:sz w:val="20"/>
              </w:rPr>
              <w:t>of</w:t>
            </w:r>
            <w:r w:rsidRPr="00995C95">
              <w:rPr>
                <w:rStyle w:val="normaltextrun"/>
                <w:rFonts w:ascii="Arial" w:hAnsi="Arial"/>
                <w:sz w:val="20"/>
              </w:rPr>
              <w:t xml:space="preserve"> </w:t>
            </w:r>
            <w:r w:rsidRPr="00995C95">
              <w:rPr>
                <w:rStyle w:val="normaltextrun"/>
                <w:rFonts w:ascii="Arial" w:eastAsia="MS Gothic" w:hAnsi="Arial"/>
                <w:sz w:val="20"/>
              </w:rPr>
              <w:t>January</w:t>
            </w:r>
            <w:r w:rsidRPr="00995C95">
              <w:rPr>
                <w:rStyle w:val="normaltextrun"/>
                <w:rFonts w:ascii="Arial" w:hAnsi="Arial"/>
                <w:sz w:val="20"/>
              </w:rPr>
              <w:t xml:space="preserve"> </w:t>
            </w:r>
            <w:r w:rsidRPr="00995C95">
              <w:rPr>
                <w:rStyle w:val="normaltextrun"/>
                <w:rFonts w:ascii="Arial" w:eastAsia="MS Gothic" w:hAnsi="Arial"/>
                <w:sz w:val="20"/>
              </w:rPr>
              <w:t>2025, 83.3</w:t>
            </w:r>
            <w:r w:rsidRPr="00995C95">
              <w:rPr>
                <w:rStyle w:val="normaltextrun"/>
                <w:rFonts w:ascii="Arial" w:hAnsi="Arial"/>
                <w:sz w:val="20"/>
              </w:rPr>
              <w:t xml:space="preserve"> </w:t>
            </w:r>
            <w:r w:rsidRPr="00995C95">
              <w:rPr>
                <w:rStyle w:val="normaltextrun"/>
                <w:rFonts w:ascii="Arial" w:eastAsia="MS Gothic" w:hAnsi="Arial"/>
                <w:sz w:val="20"/>
              </w:rPr>
              <w:t>thousand).</w:t>
            </w:r>
            <w:r w:rsidRPr="00995C95">
              <w:rPr>
                <w:rStyle w:val="normaltextrun"/>
                <w:rFonts w:ascii="Arial" w:hAnsi="Arial"/>
                <w:sz w:val="20"/>
              </w:rPr>
              <w:t xml:space="preserve"> </w:t>
            </w:r>
            <w:r w:rsidRPr="00995C95">
              <w:rPr>
                <w:rStyle w:val="normaltextrun"/>
                <w:rFonts w:ascii="Arial" w:eastAsia="MS Gothic" w:hAnsi="Arial"/>
                <w:sz w:val="20"/>
              </w:rPr>
              <w:t>The</w:t>
            </w:r>
            <w:r w:rsidRPr="00995C95">
              <w:rPr>
                <w:rStyle w:val="normaltextrun"/>
                <w:rFonts w:ascii="Arial" w:hAnsi="Arial"/>
                <w:sz w:val="20"/>
              </w:rPr>
              <w:t xml:space="preserve"> </w:t>
            </w:r>
            <w:r w:rsidRPr="00995C95">
              <w:rPr>
                <w:rStyle w:val="normaltextrun"/>
                <w:rFonts w:ascii="Arial" w:eastAsia="MS Gothic" w:hAnsi="Arial"/>
                <w:sz w:val="20"/>
              </w:rPr>
              <w:t>development</w:t>
            </w:r>
            <w:r w:rsidRPr="00995C95">
              <w:rPr>
                <w:rStyle w:val="normaltextrun"/>
                <w:rFonts w:ascii="Arial" w:hAnsi="Arial"/>
                <w:sz w:val="20"/>
              </w:rPr>
              <w:t xml:space="preserve"> of vacancies </w:t>
            </w:r>
            <w:r w:rsidRPr="00995C95">
              <w:rPr>
                <w:rStyle w:val="normaltextrun"/>
                <w:rFonts w:ascii="Arial" w:eastAsia="MS Gothic" w:hAnsi="Arial"/>
                <w:sz w:val="20"/>
              </w:rPr>
              <w:t>during</w:t>
            </w:r>
            <w:r w:rsidRPr="00995C95">
              <w:rPr>
                <w:rStyle w:val="normaltextrun"/>
                <w:rFonts w:ascii="Arial" w:hAnsi="Arial"/>
                <w:sz w:val="20"/>
              </w:rPr>
              <w:t xml:space="preserve"> </w:t>
            </w:r>
            <w:r w:rsidRPr="00995C95">
              <w:rPr>
                <w:rStyle w:val="normaltextrun"/>
                <w:rFonts w:ascii="Arial" w:eastAsia="MS Gothic" w:hAnsi="Arial"/>
                <w:sz w:val="20"/>
              </w:rPr>
              <w:t>the</w:t>
            </w:r>
            <w:r w:rsidRPr="00995C95">
              <w:rPr>
                <w:rStyle w:val="normaltextrun"/>
                <w:rFonts w:ascii="Arial" w:hAnsi="Arial"/>
                <w:sz w:val="20"/>
              </w:rPr>
              <w:t xml:space="preserve"> last </w:t>
            </w:r>
            <w:r w:rsidRPr="00995C95">
              <w:rPr>
                <w:rStyle w:val="normaltextrun"/>
                <w:rFonts w:ascii="Arial" w:eastAsia="MS Gothic" w:hAnsi="Arial"/>
                <w:sz w:val="20"/>
              </w:rPr>
              <w:t>year</w:t>
            </w:r>
            <w:r w:rsidRPr="00995C95">
              <w:rPr>
                <w:rStyle w:val="normaltextrun"/>
                <w:rFonts w:ascii="Arial" w:hAnsi="Arial"/>
                <w:sz w:val="20"/>
              </w:rPr>
              <w:t xml:space="preserve"> basically </w:t>
            </w:r>
            <w:r w:rsidRPr="00995C95">
              <w:rPr>
                <w:rStyle w:val="normaltextrun"/>
                <w:rFonts w:ascii="Arial" w:eastAsia="MS Gothic" w:hAnsi="Arial"/>
                <w:sz w:val="20"/>
              </w:rPr>
              <w:t>corresponded</w:t>
            </w:r>
            <w:r w:rsidRPr="00995C95">
              <w:rPr>
                <w:rStyle w:val="normaltextrun"/>
                <w:rFonts w:ascii="Arial" w:hAnsi="Arial"/>
                <w:sz w:val="20"/>
              </w:rPr>
              <w:t xml:space="preserve"> </w:t>
            </w:r>
            <w:r w:rsidRPr="00995C95">
              <w:rPr>
                <w:rStyle w:val="normaltextrun"/>
                <w:rFonts w:ascii="Arial" w:eastAsia="MS Gothic" w:hAnsi="Arial"/>
                <w:sz w:val="20"/>
              </w:rPr>
              <w:t>to</w:t>
            </w:r>
            <w:r w:rsidRPr="00995C95">
              <w:rPr>
                <w:rStyle w:val="normaltextrun"/>
                <w:rFonts w:ascii="Arial" w:hAnsi="Arial"/>
                <w:sz w:val="20"/>
              </w:rPr>
              <w:t xml:space="preserve"> </w:t>
            </w:r>
            <w:r w:rsidRPr="00995C95">
              <w:rPr>
                <w:rStyle w:val="normaltextrun"/>
                <w:rFonts w:ascii="Arial" w:eastAsia="MS Gothic" w:hAnsi="Arial"/>
                <w:sz w:val="20"/>
              </w:rPr>
              <w:t>standard</w:t>
            </w:r>
            <w:r w:rsidRPr="00995C95">
              <w:rPr>
                <w:rStyle w:val="normaltextrun"/>
                <w:rFonts w:ascii="Arial" w:hAnsi="Arial"/>
                <w:sz w:val="20"/>
              </w:rPr>
              <w:t xml:space="preserve"> </w:t>
            </w:r>
            <w:r w:rsidRPr="00995C95">
              <w:rPr>
                <w:rStyle w:val="normaltextrun"/>
                <w:rFonts w:ascii="Arial" w:eastAsia="MS Gothic" w:hAnsi="Arial"/>
                <w:sz w:val="20"/>
              </w:rPr>
              <w:t>seasonal</w:t>
            </w:r>
            <w:r w:rsidRPr="00995C95">
              <w:rPr>
                <w:rStyle w:val="normaltextrun"/>
                <w:rFonts w:ascii="Arial" w:hAnsi="Arial"/>
                <w:sz w:val="20"/>
              </w:rPr>
              <w:t xml:space="preserve"> </w:t>
            </w:r>
            <w:r w:rsidRPr="00995C95">
              <w:rPr>
                <w:rStyle w:val="normaltextrun"/>
                <w:rFonts w:ascii="Arial" w:eastAsia="MS Gothic" w:hAnsi="Arial"/>
                <w:sz w:val="20"/>
              </w:rPr>
              <w:t>influences.</w:t>
            </w:r>
            <w:r w:rsidRPr="00995C95">
              <w:rPr>
                <w:rStyle w:val="normaltextrun"/>
                <w:rFonts w:ascii="Arial" w:hAnsi="Arial"/>
                <w:sz w:val="20"/>
              </w:rPr>
              <w:t xml:space="preserve"> </w:t>
            </w:r>
            <w:r w:rsidRPr="00995C95">
              <w:rPr>
                <w:rStyle w:val="normaltextrun"/>
                <w:rFonts w:ascii="Arial" w:eastAsia="MS Gothic" w:hAnsi="Arial"/>
                <w:sz w:val="20"/>
              </w:rPr>
              <w:t>The</w:t>
            </w:r>
            <w:r w:rsidRPr="00995C95">
              <w:rPr>
                <w:rStyle w:val="normaltextrun"/>
                <w:rFonts w:ascii="Arial" w:hAnsi="Arial"/>
                <w:sz w:val="20"/>
              </w:rPr>
              <w:t xml:space="preserve"> </w:t>
            </w:r>
            <w:r w:rsidRPr="00995C95">
              <w:rPr>
                <w:rStyle w:val="normaltextrun"/>
                <w:rFonts w:ascii="Arial" w:eastAsia="MS Gothic" w:hAnsi="Arial"/>
                <w:sz w:val="20"/>
              </w:rPr>
              <w:t>impact</w:t>
            </w:r>
            <w:r w:rsidRPr="00995C95">
              <w:rPr>
                <w:rStyle w:val="normaltextrun"/>
                <w:rFonts w:ascii="Arial" w:hAnsi="Arial"/>
                <w:sz w:val="20"/>
              </w:rPr>
              <w:t xml:space="preserve"> </w:t>
            </w:r>
            <w:r w:rsidRPr="00995C95">
              <w:rPr>
                <w:rStyle w:val="normaltextrun"/>
                <w:rFonts w:ascii="Arial" w:eastAsia="MS Gothic" w:hAnsi="Arial"/>
                <w:sz w:val="20"/>
              </w:rPr>
              <w:t>of</w:t>
            </w:r>
            <w:r w:rsidRPr="00995C95">
              <w:rPr>
                <w:rStyle w:val="normaltextrun"/>
                <w:rFonts w:ascii="Arial" w:hAnsi="Arial"/>
                <w:sz w:val="20"/>
              </w:rPr>
              <w:t xml:space="preserve"> </w:t>
            </w:r>
            <w:r w:rsidRPr="00995C95">
              <w:rPr>
                <w:rStyle w:val="normaltextrun"/>
                <w:rFonts w:ascii="Arial" w:eastAsia="MS Gothic" w:hAnsi="Arial"/>
                <w:sz w:val="20"/>
              </w:rPr>
              <w:t>the</w:t>
            </w:r>
            <w:r w:rsidRPr="00995C95">
              <w:rPr>
                <w:rStyle w:val="normaltextrun"/>
                <w:rFonts w:ascii="Arial" w:hAnsi="Arial"/>
                <w:sz w:val="20"/>
              </w:rPr>
              <w:t xml:space="preserve"> </w:t>
            </w:r>
            <w:r w:rsidRPr="00995C95">
              <w:rPr>
                <w:rStyle w:val="normaltextrun"/>
                <w:rFonts w:ascii="Arial" w:eastAsia="MS Gothic" w:hAnsi="Arial"/>
                <w:sz w:val="20"/>
              </w:rPr>
              <w:t>accelerating</w:t>
            </w:r>
            <w:r w:rsidRPr="00995C95">
              <w:rPr>
                <w:rStyle w:val="normaltextrun"/>
                <w:rFonts w:ascii="Arial" w:hAnsi="Arial"/>
                <w:sz w:val="20"/>
              </w:rPr>
              <w:t xml:space="preserve"> </w:t>
            </w:r>
            <w:r w:rsidRPr="00995C95">
              <w:rPr>
                <w:rStyle w:val="normaltextrun"/>
                <w:rFonts w:ascii="Arial" w:eastAsia="MS Gothic" w:hAnsi="Arial"/>
                <w:sz w:val="20"/>
              </w:rPr>
              <w:t>growth</w:t>
            </w:r>
            <w:r w:rsidRPr="00995C95">
              <w:rPr>
                <w:rStyle w:val="normaltextrun"/>
                <w:rFonts w:ascii="Arial" w:hAnsi="Arial"/>
                <w:sz w:val="20"/>
              </w:rPr>
              <w:t xml:space="preserve"> </w:t>
            </w:r>
            <w:r w:rsidRPr="00995C95">
              <w:rPr>
                <w:rStyle w:val="normaltextrun"/>
                <w:rFonts w:ascii="Arial" w:eastAsia="MS Gothic" w:hAnsi="Arial"/>
                <w:sz w:val="20"/>
              </w:rPr>
              <w:t>of</w:t>
            </w:r>
            <w:r w:rsidRPr="00995C95">
              <w:rPr>
                <w:rStyle w:val="normaltextrun"/>
                <w:rFonts w:ascii="Arial" w:hAnsi="Arial"/>
                <w:sz w:val="20"/>
              </w:rPr>
              <w:t xml:space="preserve"> the economy </w:t>
            </w:r>
            <w:r w:rsidRPr="00995C95">
              <w:rPr>
                <w:rStyle w:val="normaltextrun"/>
                <w:rFonts w:ascii="Arial" w:eastAsia="MS Gothic" w:hAnsi="Arial"/>
                <w:sz w:val="20"/>
              </w:rPr>
              <w:t>is</w:t>
            </w:r>
            <w:r w:rsidRPr="00995C95">
              <w:rPr>
                <w:rStyle w:val="normaltextrun"/>
                <w:rFonts w:ascii="Arial" w:hAnsi="Arial"/>
                <w:sz w:val="20"/>
              </w:rPr>
              <w:t xml:space="preserve"> </w:t>
            </w:r>
            <w:r w:rsidRPr="00995C95">
              <w:rPr>
                <w:rStyle w:val="normaltextrun"/>
                <w:rFonts w:ascii="Arial" w:eastAsia="MS Gothic" w:hAnsi="Arial"/>
                <w:sz w:val="20"/>
              </w:rPr>
              <w:t>not</w:t>
            </w:r>
            <w:r w:rsidRPr="00995C95">
              <w:rPr>
                <w:rStyle w:val="normaltextrun"/>
                <w:rFonts w:ascii="Arial" w:hAnsi="Arial"/>
                <w:sz w:val="20"/>
              </w:rPr>
              <w:t xml:space="preserve"> </w:t>
            </w:r>
            <w:r w:rsidRPr="00995C95">
              <w:rPr>
                <w:rStyle w:val="normaltextrun"/>
                <w:rFonts w:ascii="Arial" w:eastAsia="MS Gothic" w:hAnsi="Arial"/>
                <w:sz w:val="20"/>
              </w:rPr>
              <w:t>yet</w:t>
            </w:r>
            <w:r w:rsidRPr="00995C95">
              <w:rPr>
                <w:rStyle w:val="normaltextrun"/>
                <w:rFonts w:ascii="Arial" w:hAnsi="Arial"/>
                <w:sz w:val="20"/>
              </w:rPr>
              <w:t xml:space="preserve"> </w:t>
            </w:r>
            <w:r w:rsidRPr="00995C95">
              <w:rPr>
                <w:rStyle w:val="normaltextrun"/>
                <w:rFonts w:ascii="Arial" w:eastAsia="MS Gothic" w:hAnsi="Arial"/>
                <w:sz w:val="20"/>
              </w:rPr>
              <w:lastRenderedPageBreak/>
              <w:t>very</w:t>
            </w:r>
            <w:r w:rsidRPr="00995C95">
              <w:rPr>
                <w:rStyle w:val="normaltextrun"/>
                <w:rFonts w:ascii="Arial" w:hAnsi="Arial"/>
                <w:sz w:val="20"/>
              </w:rPr>
              <w:t xml:space="preserve"> </w:t>
            </w:r>
            <w:r w:rsidRPr="00995C95">
              <w:rPr>
                <w:rStyle w:val="normaltextrun"/>
                <w:rFonts w:ascii="Arial" w:eastAsia="MS Gothic" w:hAnsi="Arial"/>
                <w:sz w:val="20"/>
              </w:rPr>
              <w:t>evident</w:t>
            </w:r>
            <w:r w:rsidRPr="00995C95">
              <w:rPr>
                <w:rStyle w:val="normaltextrun"/>
                <w:rFonts w:ascii="Arial" w:hAnsi="Arial"/>
                <w:sz w:val="20"/>
              </w:rPr>
              <w:t xml:space="preserve"> </w:t>
            </w:r>
            <w:r w:rsidRPr="00995C95">
              <w:rPr>
                <w:rStyle w:val="normaltextrun"/>
                <w:rFonts w:ascii="Arial" w:eastAsia="MS Gothic" w:hAnsi="Arial"/>
                <w:sz w:val="20"/>
              </w:rPr>
              <w:t>in</w:t>
            </w:r>
            <w:r w:rsidRPr="00995C95">
              <w:rPr>
                <w:rStyle w:val="normaltextrun"/>
                <w:rFonts w:ascii="Arial" w:hAnsi="Arial"/>
                <w:sz w:val="20"/>
              </w:rPr>
              <w:t xml:space="preserve"> </w:t>
            </w:r>
            <w:r w:rsidRPr="00995C95">
              <w:rPr>
                <w:rStyle w:val="normaltextrun"/>
                <w:rFonts w:ascii="Arial" w:eastAsia="MS Gothic" w:hAnsi="Arial"/>
                <w:sz w:val="20"/>
              </w:rPr>
              <w:t>the</w:t>
            </w:r>
            <w:r w:rsidRPr="00995C95">
              <w:rPr>
                <w:rStyle w:val="normaltextrun"/>
                <w:rFonts w:ascii="Arial" w:hAnsi="Arial"/>
                <w:sz w:val="20"/>
              </w:rPr>
              <w:t xml:space="preserve"> </w:t>
            </w:r>
            <w:r w:rsidRPr="00995C95">
              <w:rPr>
                <w:rStyle w:val="normaltextrun"/>
                <w:rFonts w:ascii="Arial" w:eastAsia="MS Gothic" w:hAnsi="Arial"/>
                <w:sz w:val="20"/>
              </w:rPr>
              <w:t>supply</w:t>
            </w:r>
            <w:r w:rsidRPr="00995C95">
              <w:rPr>
                <w:rStyle w:val="normaltextrun"/>
                <w:rFonts w:ascii="Arial" w:hAnsi="Arial"/>
                <w:sz w:val="20"/>
              </w:rPr>
              <w:t xml:space="preserve"> of </w:t>
            </w:r>
            <w:r w:rsidRPr="00995C95">
              <w:rPr>
                <w:rStyle w:val="normaltextrun"/>
                <w:rFonts w:ascii="Arial" w:eastAsia="MS Gothic" w:hAnsi="Arial"/>
                <w:sz w:val="20"/>
              </w:rPr>
              <w:t>job vacancies</w:t>
            </w:r>
            <w:r w:rsidRPr="00995C95">
              <w:rPr>
                <w:rStyle w:val="Znakapoznpodarou"/>
                <w:rFonts w:ascii="Arial" w:eastAsiaTheme="majorEastAsia" w:hAnsi="Arial"/>
                <w:sz w:val="20"/>
                <w:szCs w:val="20"/>
              </w:rPr>
              <w:footnoteReference w:id="111"/>
            </w:r>
            <w:r w:rsidRPr="00995C95">
              <w:rPr>
                <w:rStyle w:val="normaltextrun"/>
                <w:rFonts w:ascii="Arial" w:eastAsia="MS Gothic" w:hAnsi="Arial"/>
                <w:sz w:val="20"/>
              </w:rPr>
              <w:t>.</w:t>
            </w:r>
            <w:r w:rsidRPr="00995C95">
              <w:rPr>
                <w:rStyle w:val="normaltextrun"/>
                <w:rFonts w:ascii="Arial" w:hAnsi="Arial"/>
                <w:sz w:val="20"/>
              </w:rPr>
              <w:t xml:space="preserve"> </w:t>
            </w:r>
            <w:r w:rsidRPr="00995C95">
              <w:rPr>
                <w:rStyle w:val="normaltextrun"/>
                <w:rFonts w:ascii="Arial" w:eastAsia="MS Gothic" w:hAnsi="Arial"/>
                <w:sz w:val="20"/>
              </w:rPr>
              <w:t>There</w:t>
            </w:r>
            <w:r w:rsidRPr="00995C95">
              <w:rPr>
                <w:rStyle w:val="normaltextrun"/>
                <w:rFonts w:ascii="Arial" w:hAnsi="Arial"/>
                <w:sz w:val="20"/>
              </w:rPr>
              <w:t xml:space="preserve"> </w:t>
            </w:r>
            <w:r w:rsidRPr="00995C95">
              <w:rPr>
                <w:rStyle w:val="normaltextrun"/>
                <w:rFonts w:ascii="Arial" w:eastAsia="MS Gothic" w:hAnsi="Arial"/>
                <w:sz w:val="20"/>
              </w:rPr>
              <w:t>were</w:t>
            </w:r>
            <w:r w:rsidRPr="00995C95">
              <w:rPr>
                <w:rStyle w:val="normaltextrun"/>
                <w:rFonts w:ascii="Arial" w:hAnsi="Arial"/>
                <w:sz w:val="20"/>
              </w:rPr>
              <w:t xml:space="preserve"> </w:t>
            </w:r>
            <w:r w:rsidRPr="00995C95">
              <w:rPr>
                <w:rStyle w:val="normaltextrun"/>
                <w:rFonts w:ascii="Arial" w:eastAsia="MS Gothic" w:hAnsi="Arial"/>
                <w:sz w:val="20"/>
              </w:rPr>
              <w:t>currently</w:t>
            </w:r>
            <w:r w:rsidRPr="00995C95">
              <w:rPr>
                <w:rStyle w:val="normaltextrun"/>
                <w:rFonts w:ascii="Arial" w:hAnsi="Arial"/>
                <w:sz w:val="20"/>
              </w:rPr>
              <w:t xml:space="preserve"> </w:t>
            </w:r>
            <w:r w:rsidRPr="00995C95">
              <w:rPr>
                <w:rStyle w:val="normaltextrun"/>
                <w:rFonts w:ascii="Arial" w:eastAsia="MS Gothic" w:hAnsi="Arial"/>
                <w:sz w:val="20"/>
              </w:rPr>
              <w:t>4.4</w:t>
            </w:r>
            <w:r w:rsidRPr="00995C95">
              <w:rPr>
                <w:rStyle w:val="normaltextrun"/>
                <w:rFonts w:ascii="Arial" w:hAnsi="Arial"/>
                <w:sz w:val="20"/>
              </w:rPr>
              <w:t xml:space="preserve"> applicants </w:t>
            </w:r>
            <w:r w:rsidRPr="00995C95">
              <w:rPr>
                <w:rStyle w:val="normaltextrun"/>
                <w:rFonts w:ascii="Arial" w:eastAsia="MS Gothic" w:hAnsi="Arial"/>
                <w:sz w:val="20"/>
              </w:rPr>
              <w:t>per</w:t>
            </w:r>
            <w:r w:rsidRPr="00995C95">
              <w:rPr>
                <w:rStyle w:val="normaltextrun"/>
                <w:rFonts w:ascii="Arial" w:hAnsi="Arial"/>
                <w:sz w:val="20"/>
              </w:rPr>
              <w:t xml:space="preserve"> </w:t>
            </w:r>
            <w:r w:rsidRPr="00995C95">
              <w:rPr>
                <w:rStyle w:val="normaltextrun"/>
                <w:rFonts w:ascii="Arial" w:eastAsia="MS Gothic" w:hAnsi="Arial"/>
                <w:sz w:val="20"/>
              </w:rPr>
              <w:t>1</w:t>
            </w:r>
            <w:r w:rsidRPr="00995C95">
              <w:rPr>
                <w:rStyle w:val="normaltextrun"/>
                <w:rFonts w:ascii="Arial" w:hAnsi="Arial"/>
                <w:sz w:val="20"/>
              </w:rPr>
              <w:t xml:space="preserve"> </w:t>
            </w:r>
            <w:r w:rsidRPr="00995C95">
              <w:rPr>
                <w:rStyle w:val="normaltextrun"/>
                <w:rFonts w:ascii="Arial" w:eastAsia="MS Gothic" w:hAnsi="Arial"/>
                <w:sz w:val="20"/>
              </w:rPr>
              <w:t>vacancy</w:t>
            </w:r>
            <w:r w:rsidRPr="00995C95">
              <w:rPr>
                <w:rStyle w:val="normaltextrun"/>
                <w:rFonts w:ascii="Arial" w:hAnsi="Arial"/>
                <w:sz w:val="20"/>
              </w:rPr>
              <w:t xml:space="preserve"> </w:t>
            </w:r>
            <w:r w:rsidRPr="00995C95">
              <w:rPr>
                <w:rStyle w:val="normaltextrun"/>
                <w:rFonts w:ascii="Arial" w:eastAsia="MS Gothic" w:hAnsi="Arial"/>
                <w:sz w:val="20"/>
              </w:rPr>
              <w:t>in</w:t>
            </w:r>
            <w:r w:rsidRPr="00995C95">
              <w:rPr>
                <w:rStyle w:val="normaltextrun"/>
                <w:rFonts w:ascii="Arial" w:hAnsi="Arial"/>
                <w:sz w:val="20"/>
              </w:rPr>
              <w:t xml:space="preserve"> </w:t>
            </w:r>
            <w:r w:rsidRPr="00995C95">
              <w:rPr>
                <w:rStyle w:val="normaltextrun"/>
                <w:rFonts w:ascii="Arial" w:eastAsia="MS Gothic" w:hAnsi="Arial"/>
                <w:sz w:val="20"/>
              </w:rPr>
              <w:t>the</w:t>
            </w:r>
            <w:r w:rsidRPr="00995C95">
              <w:rPr>
                <w:rStyle w:val="normaltextrun"/>
                <w:rFonts w:ascii="Arial" w:hAnsi="Arial"/>
                <w:sz w:val="20"/>
              </w:rPr>
              <w:t xml:space="preserve"> Czech Republic </w:t>
            </w:r>
            <w:r w:rsidRPr="00995C95">
              <w:rPr>
                <w:rStyle w:val="normaltextrun"/>
                <w:rFonts w:ascii="Arial" w:eastAsia="MS Gothic" w:hAnsi="Arial"/>
                <w:sz w:val="20"/>
              </w:rPr>
              <w:t>(including</w:t>
            </w:r>
            <w:r w:rsidRPr="00995C95">
              <w:rPr>
                <w:rStyle w:val="normaltextrun"/>
                <w:rFonts w:ascii="Arial" w:hAnsi="Arial"/>
                <w:sz w:val="20"/>
              </w:rPr>
              <w:t xml:space="preserve"> </w:t>
            </w:r>
            <w:r w:rsidRPr="00995C95">
              <w:rPr>
                <w:rStyle w:val="normaltextrun"/>
                <w:rFonts w:ascii="Arial" w:eastAsia="MS Gothic" w:hAnsi="Arial"/>
                <w:sz w:val="20"/>
              </w:rPr>
              <w:t>persons</w:t>
            </w:r>
            <w:r w:rsidRPr="00995C95">
              <w:rPr>
                <w:rStyle w:val="normaltextrun"/>
                <w:rFonts w:ascii="Arial" w:hAnsi="Arial"/>
                <w:sz w:val="20"/>
              </w:rPr>
              <w:t xml:space="preserve"> temporarily not available</w:t>
            </w:r>
            <w:r w:rsidRPr="00995C95">
              <w:rPr>
                <w:rStyle w:val="normaltextrun"/>
                <w:rFonts w:ascii="Arial" w:eastAsia="MS Gothic" w:hAnsi="Arial"/>
                <w:sz w:val="20"/>
              </w:rPr>
              <w:t>).</w:t>
            </w:r>
            <w:r w:rsidRPr="00995C95">
              <w:rPr>
                <w:rStyle w:val="normaltextrun"/>
                <w:rFonts w:ascii="Arial" w:hAnsi="Arial"/>
                <w:sz w:val="20"/>
              </w:rPr>
              <w:t xml:space="preserve"> </w:t>
            </w:r>
            <w:r w:rsidRPr="00995C95">
              <w:rPr>
                <w:rStyle w:val="normaltextrun"/>
                <w:rFonts w:ascii="Arial" w:eastAsia="MS Gothic" w:hAnsi="Arial"/>
                <w:sz w:val="20"/>
              </w:rPr>
              <w:t>A</w:t>
            </w:r>
            <w:r w:rsidRPr="00995C95">
              <w:rPr>
                <w:rStyle w:val="normaltextrun"/>
                <w:rFonts w:ascii="Arial" w:hAnsi="Arial"/>
                <w:sz w:val="20"/>
              </w:rPr>
              <w:t xml:space="preserve"> significant </w:t>
            </w:r>
            <w:r w:rsidRPr="00995C95">
              <w:rPr>
                <w:rStyle w:val="normaltextrun"/>
                <w:rFonts w:ascii="Arial" w:eastAsia="MS Gothic" w:hAnsi="Arial"/>
                <w:sz w:val="20"/>
              </w:rPr>
              <w:t>structural</w:t>
            </w:r>
            <w:r w:rsidRPr="00995C95">
              <w:rPr>
                <w:rStyle w:val="normaltextrun"/>
                <w:rFonts w:ascii="Arial" w:hAnsi="Arial"/>
                <w:sz w:val="20"/>
              </w:rPr>
              <w:t xml:space="preserve"> </w:t>
            </w:r>
            <w:r w:rsidRPr="00995C95">
              <w:rPr>
                <w:rStyle w:val="normaltextrun"/>
                <w:rFonts w:ascii="Arial" w:eastAsia="MS Gothic" w:hAnsi="Arial"/>
                <w:sz w:val="20"/>
              </w:rPr>
              <w:t>mismatch</w:t>
            </w:r>
            <w:r w:rsidRPr="00995C95">
              <w:rPr>
                <w:rStyle w:val="normaltextrun"/>
                <w:rFonts w:ascii="Arial" w:hAnsi="Arial"/>
                <w:sz w:val="20"/>
              </w:rPr>
              <w:t xml:space="preserve"> between </w:t>
            </w:r>
            <w:r w:rsidRPr="00995C95">
              <w:rPr>
                <w:rStyle w:val="normaltextrun"/>
                <w:rFonts w:ascii="Arial" w:eastAsia="MS Gothic" w:hAnsi="Arial"/>
                <w:sz w:val="20"/>
              </w:rPr>
              <w:t>supply</w:t>
            </w:r>
            <w:r w:rsidRPr="00995C95">
              <w:rPr>
                <w:rStyle w:val="normaltextrun"/>
                <w:rFonts w:ascii="Arial" w:hAnsi="Arial"/>
                <w:sz w:val="20"/>
              </w:rPr>
              <w:t xml:space="preserve"> </w:t>
            </w:r>
            <w:r w:rsidRPr="00995C95">
              <w:rPr>
                <w:rStyle w:val="normaltextrun"/>
                <w:rFonts w:ascii="Arial" w:eastAsia="MS Gothic" w:hAnsi="Arial"/>
                <w:sz w:val="20"/>
              </w:rPr>
              <w:t>and</w:t>
            </w:r>
            <w:r w:rsidRPr="00995C95">
              <w:rPr>
                <w:rStyle w:val="normaltextrun"/>
                <w:rFonts w:ascii="Arial" w:hAnsi="Arial"/>
                <w:sz w:val="20"/>
              </w:rPr>
              <w:t xml:space="preserve"> </w:t>
            </w:r>
            <w:r w:rsidRPr="00995C95">
              <w:rPr>
                <w:rStyle w:val="normaltextrun"/>
                <w:rFonts w:ascii="Arial" w:eastAsia="MS Gothic" w:hAnsi="Arial"/>
                <w:sz w:val="20"/>
              </w:rPr>
              <w:t>demand</w:t>
            </w:r>
            <w:r w:rsidRPr="00995C95">
              <w:rPr>
                <w:rStyle w:val="normaltextrun"/>
                <w:rFonts w:ascii="Arial" w:hAnsi="Arial"/>
                <w:sz w:val="20"/>
              </w:rPr>
              <w:t xml:space="preserve"> </w:t>
            </w:r>
            <w:r w:rsidRPr="00995C95">
              <w:rPr>
                <w:rStyle w:val="normaltextrun"/>
                <w:rFonts w:ascii="Arial" w:eastAsia="MS Gothic" w:hAnsi="Arial"/>
                <w:sz w:val="20"/>
              </w:rPr>
              <w:t>persisted</w:t>
            </w:r>
            <w:r w:rsidRPr="00995C95">
              <w:rPr>
                <w:rStyle w:val="normaltextrun"/>
                <w:rFonts w:ascii="Arial" w:hAnsi="Arial"/>
                <w:sz w:val="20"/>
              </w:rPr>
              <w:t xml:space="preserve"> </w:t>
            </w:r>
            <w:r w:rsidRPr="00995C95">
              <w:rPr>
                <w:rStyle w:val="normaltextrun"/>
                <w:rFonts w:ascii="Arial" w:eastAsia="MS Gothic" w:hAnsi="Arial"/>
                <w:sz w:val="20"/>
              </w:rPr>
              <w:t>from</w:t>
            </w:r>
            <w:r w:rsidRPr="00995C95">
              <w:rPr>
                <w:rStyle w:val="normaltextrun"/>
                <w:rFonts w:ascii="Arial" w:hAnsi="Arial"/>
                <w:sz w:val="20"/>
              </w:rPr>
              <w:t xml:space="preserve"> both </w:t>
            </w:r>
            <w:r w:rsidRPr="00995C95">
              <w:rPr>
                <w:rStyle w:val="normaltextrun"/>
                <w:rFonts w:ascii="Arial" w:eastAsia="MS Gothic" w:hAnsi="Arial"/>
                <w:sz w:val="20"/>
              </w:rPr>
              <w:t>a</w:t>
            </w:r>
            <w:r w:rsidRPr="00995C95">
              <w:rPr>
                <w:rStyle w:val="normaltextrun"/>
                <w:rFonts w:ascii="Arial" w:hAnsi="Arial"/>
                <w:sz w:val="20"/>
              </w:rPr>
              <w:t xml:space="preserve"> qualification</w:t>
            </w:r>
            <w:r w:rsidRPr="00995C95">
              <w:rPr>
                <w:rFonts w:ascii="Arial" w:hAnsi="Arial" w:cs="Arial"/>
                <w:color w:val="0D0D0D" w:themeColor="text1" w:themeTint="F2"/>
                <w:sz w:val="20"/>
                <w:szCs w:val="20"/>
                <w:vertAlign w:val="superscript"/>
              </w:rPr>
              <w:footnoteReference w:id="112"/>
            </w:r>
            <w:r w:rsidRPr="00995C95">
              <w:rPr>
                <w:rStyle w:val="normaltextrun"/>
                <w:rFonts w:ascii="Arial" w:hAnsi="Arial"/>
                <w:sz w:val="20"/>
              </w:rPr>
              <w:t xml:space="preserve"> </w:t>
            </w:r>
            <w:r w:rsidRPr="00995C95">
              <w:rPr>
                <w:rStyle w:val="normaltextrun"/>
                <w:rFonts w:ascii="Arial" w:eastAsia="MS Gothic" w:hAnsi="Arial"/>
                <w:sz w:val="20"/>
              </w:rPr>
              <w:t>and</w:t>
            </w:r>
            <w:r w:rsidRPr="00995C95">
              <w:rPr>
                <w:rStyle w:val="normaltextrun"/>
                <w:rFonts w:ascii="Arial" w:hAnsi="Arial"/>
                <w:sz w:val="20"/>
              </w:rPr>
              <w:t xml:space="preserve"> </w:t>
            </w:r>
            <w:r w:rsidRPr="00995C95">
              <w:rPr>
                <w:rStyle w:val="normaltextrun"/>
                <w:rFonts w:ascii="Arial" w:eastAsia="MS Gothic" w:hAnsi="Arial"/>
                <w:sz w:val="20"/>
              </w:rPr>
              <w:t>regional</w:t>
            </w:r>
            <w:r w:rsidRPr="00995C95">
              <w:rPr>
                <w:rStyle w:val="normaltextrun"/>
                <w:rFonts w:ascii="Arial" w:hAnsi="Arial"/>
                <w:sz w:val="20"/>
              </w:rPr>
              <w:t xml:space="preserve"> </w:t>
            </w:r>
            <w:r w:rsidRPr="00995C95">
              <w:rPr>
                <w:rStyle w:val="normaltextrun"/>
                <w:rFonts w:ascii="Arial" w:eastAsia="MS Gothic" w:hAnsi="Arial"/>
                <w:sz w:val="20"/>
              </w:rPr>
              <w:t>perspective</w:t>
            </w:r>
            <w:r w:rsidRPr="00995C95">
              <w:rPr>
                <w:rStyle w:val="Znakapoznpodarou"/>
                <w:rFonts w:ascii="Arial" w:eastAsiaTheme="majorEastAsia" w:hAnsi="Arial" w:cs="Arial"/>
                <w:sz w:val="20"/>
                <w:szCs w:val="20"/>
              </w:rPr>
              <w:footnoteReference w:id="113"/>
            </w:r>
            <w:r w:rsidRPr="00995C95">
              <w:rPr>
                <w:rStyle w:val="normaltextrun"/>
                <w:rFonts w:ascii="Arial" w:eastAsia="MS Gothic" w:hAnsi="Arial"/>
                <w:sz w:val="20"/>
              </w:rPr>
              <w:t>.</w:t>
            </w:r>
            <w:r w:rsidRPr="00995C95">
              <w:rPr>
                <w:rStyle w:val="normaltextrun"/>
                <w:rFonts w:ascii="Arial" w:hAnsi="Arial"/>
                <w:sz w:val="20"/>
              </w:rPr>
              <w:t xml:space="preserve"> </w:t>
            </w:r>
            <w:r w:rsidRPr="00995C95">
              <w:rPr>
                <w:rStyle w:val="normaltextrun"/>
                <w:rFonts w:ascii="Arial" w:eastAsia="MS Gothic" w:hAnsi="Arial"/>
                <w:sz w:val="20"/>
              </w:rPr>
              <w:t>People</w:t>
            </w:r>
            <w:r w:rsidRPr="00995C95">
              <w:rPr>
                <w:rStyle w:val="normaltextrun"/>
                <w:rFonts w:ascii="Arial" w:hAnsi="Arial"/>
                <w:sz w:val="20"/>
              </w:rPr>
              <w:t xml:space="preserve">'s </w:t>
            </w:r>
            <w:r w:rsidRPr="00995C95">
              <w:rPr>
                <w:rStyle w:val="normaltextrun"/>
                <w:rFonts w:ascii="Arial" w:eastAsia="MS Gothic" w:hAnsi="Arial"/>
                <w:sz w:val="20"/>
              </w:rPr>
              <w:t>concerns</w:t>
            </w:r>
            <w:r w:rsidRPr="00995C95">
              <w:rPr>
                <w:rStyle w:val="normaltextrun"/>
                <w:rFonts w:ascii="Arial" w:hAnsi="Arial"/>
                <w:sz w:val="20"/>
              </w:rPr>
              <w:t xml:space="preserve"> regarding </w:t>
            </w:r>
            <w:r w:rsidRPr="00995C95">
              <w:rPr>
                <w:rStyle w:val="normaltextrun"/>
                <w:rFonts w:ascii="Arial" w:eastAsia="MS Gothic" w:hAnsi="Arial"/>
                <w:sz w:val="20"/>
              </w:rPr>
              <w:t>rising</w:t>
            </w:r>
            <w:r w:rsidRPr="00995C95">
              <w:rPr>
                <w:rStyle w:val="normaltextrun"/>
                <w:rFonts w:ascii="Arial" w:hAnsi="Arial"/>
                <w:sz w:val="20"/>
              </w:rPr>
              <w:t xml:space="preserve"> </w:t>
            </w:r>
            <w:r w:rsidRPr="00995C95">
              <w:rPr>
                <w:rStyle w:val="normaltextrun"/>
                <w:rFonts w:ascii="Arial" w:eastAsia="MS Gothic" w:hAnsi="Arial"/>
                <w:sz w:val="20"/>
              </w:rPr>
              <w:t>unemployment</w:t>
            </w:r>
            <w:r w:rsidRPr="00995C95">
              <w:rPr>
                <w:rStyle w:val="normaltextrun"/>
                <w:rFonts w:ascii="Arial" w:hAnsi="Arial"/>
                <w:sz w:val="20"/>
              </w:rPr>
              <w:t xml:space="preserve"> </w:t>
            </w:r>
            <w:r w:rsidRPr="00995C95">
              <w:rPr>
                <w:rStyle w:val="normaltextrun"/>
                <w:rFonts w:ascii="Arial" w:eastAsia="MS Gothic" w:hAnsi="Arial"/>
                <w:sz w:val="20"/>
              </w:rPr>
              <w:t>(as</w:t>
            </w:r>
            <w:r w:rsidRPr="00995C95">
              <w:rPr>
                <w:rStyle w:val="normaltextrun"/>
                <w:rFonts w:ascii="Arial" w:hAnsi="Arial"/>
                <w:sz w:val="20"/>
              </w:rPr>
              <w:t xml:space="preserve"> expressed </w:t>
            </w:r>
            <w:r w:rsidRPr="00995C95">
              <w:rPr>
                <w:rStyle w:val="normaltextrun"/>
                <w:rFonts w:ascii="Arial" w:eastAsia="MS Gothic" w:hAnsi="Arial"/>
                <w:sz w:val="20"/>
              </w:rPr>
              <w:t>in</w:t>
            </w:r>
            <w:r w:rsidRPr="00995C95">
              <w:rPr>
                <w:rStyle w:val="normaltextrun"/>
                <w:rFonts w:ascii="Arial" w:hAnsi="Arial"/>
                <w:sz w:val="20"/>
              </w:rPr>
              <w:t xml:space="preserve"> </w:t>
            </w:r>
            <w:r w:rsidRPr="00995C95">
              <w:rPr>
                <w:rStyle w:val="normaltextrun"/>
                <w:rFonts w:ascii="Arial" w:eastAsia="MS Gothic" w:hAnsi="Arial"/>
                <w:sz w:val="20"/>
              </w:rPr>
              <w:t>business</w:t>
            </w:r>
            <w:r w:rsidRPr="00995C95">
              <w:rPr>
                <w:rStyle w:val="normaltextrun"/>
                <w:rFonts w:ascii="Arial" w:hAnsi="Arial"/>
                <w:sz w:val="20"/>
              </w:rPr>
              <w:t xml:space="preserve"> surveys</w:t>
            </w:r>
            <w:r w:rsidRPr="00995C95">
              <w:rPr>
                <w:rStyle w:val="normaltextrun"/>
                <w:rFonts w:ascii="Arial" w:eastAsia="MS Gothic" w:hAnsi="Arial"/>
                <w:sz w:val="20"/>
              </w:rPr>
              <w:t>)</w:t>
            </w:r>
            <w:r w:rsidRPr="00995C95">
              <w:rPr>
                <w:rStyle w:val="normaltextrun"/>
                <w:rFonts w:ascii="Arial" w:hAnsi="Arial"/>
                <w:sz w:val="20"/>
              </w:rPr>
              <w:t xml:space="preserve"> grew </w:t>
            </w:r>
            <w:r w:rsidRPr="00995C95">
              <w:rPr>
                <w:rStyle w:val="normaltextrun"/>
                <w:rFonts w:ascii="Arial" w:eastAsia="MS Gothic" w:hAnsi="Arial"/>
                <w:sz w:val="20"/>
              </w:rPr>
              <w:t>in</w:t>
            </w:r>
            <w:r w:rsidRPr="00995C95">
              <w:rPr>
                <w:rStyle w:val="normaltextrun"/>
                <w:rFonts w:ascii="Arial" w:hAnsi="Arial"/>
                <w:sz w:val="20"/>
              </w:rPr>
              <w:t xml:space="preserve"> H</w:t>
            </w:r>
            <w:r w:rsidRPr="00995C95">
              <w:rPr>
                <w:rStyle w:val="normaltextrun"/>
                <w:rFonts w:ascii="Arial" w:eastAsia="MS Gothic" w:hAnsi="Arial"/>
                <w:sz w:val="20"/>
              </w:rPr>
              <w:t>1 2025,</w:t>
            </w:r>
            <w:r w:rsidRPr="00995C95">
              <w:rPr>
                <w:rStyle w:val="normaltextrun"/>
                <w:rFonts w:ascii="Arial" w:hAnsi="Arial"/>
                <w:sz w:val="20"/>
              </w:rPr>
              <w:t xml:space="preserve"> subsequently s</w:t>
            </w:r>
            <w:r w:rsidRPr="00995C95">
              <w:rPr>
                <w:rStyle w:val="normaltextrun"/>
                <w:rFonts w:ascii="Arial" w:eastAsia="MS Gothic" w:hAnsi="Arial"/>
                <w:sz w:val="20"/>
              </w:rPr>
              <w:t>tabilised</w:t>
            </w:r>
            <w:r w:rsidRPr="00995C95">
              <w:rPr>
                <w:rStyle w:val="normaltextrun"/>
                <w:rFonts w:ascii="Arial" w:hAnsi="Arial"/>
                <w:sz w:val="20"/>
              </w:rPr>
              <w:t xml:space="preserve"> </w:t>
            </w:r>
            <w:r w:rsidRPr="00995C95">
              <w:rPr>
                <w:rStyle w:val="normaltextrun"/>
                <w:rFonts w:ascii="Arial" w:eastAsia="MS Gothic" w:hAnsi="Arial"/>
                <w:sz w:val="20"/>
              </w:rPr>
              <w:t>and</w:t>
            </w:r>
            <w:r w:rsidRPr="00995C95">
              <w:rPr>
                <w:rStyle w:val="normaltextrun"/>
                <w:rFonts w:ascii="Arial" w:hAnsi="Arial"/>
                <w:sz w:val="20"/>
              </w:rPr>
              <w:t xml:space="preserve"> </w:t>
            </w:r>
            <w:r w:rsidRPr="00995C95">
              <w:rPr>
                <w:rStyle w:val="normaltextrun"/>
                <w:rFonts w:ascii="Arial" w:eastAsia="MS Gothic" w:hAnsi="Arial"/>
                <w:sz w:val="20"/>
              </w:rPr>
              <w:t>decreased</w:t>
            </w:r>
            <w:r w:rsidRPr="00995C95">
              <w:rPr>
                <w:rStyle w:val="normaltextrun"/>
                <w:rFonts w:ascii="Arial" w:hAnsi="Arial"/>
                <w:sz w:val="20"/>
              </w:rPr>
              <w:t xml:space="preserve"> </w:t>
            </w:r>
            <w:r w:rsidRPr="00995C95">
              <w:rPr>
                <w:rStyle w:val="normaltextrun"/>
                <w:rFonts w:ascii="Arial" w:eastAsia="MS Gothic" w:hAnsi="Arial"/>
                <w:sz w:val="20"/>
              </w:rPr>
              <w:t>significantly</w:t>
            </w:r>
            <w:r w:rsidRPr="00995C95">
              <w:rPr>
                <w:rStyle w:val="normaltextrun"/>
                <w:rFonts w:ascii="Arial" w:hAnsi="Arial"/>
                <w:sz w:val="20"/>
              </w:rPr>
              <w:t xml:space="preserve"> </w:t>
            </w:r>
            <w:r w:rsidRPr="00995C95">
              <w:rPr>
                <w:rStyle w:val="normaltextrun"/>
                <w:rFonts w:ascii="Arial" w:eastAsia="MS Gothic" w:hAnsi="Arial"/>
                <w:sz w:val="20"/>
              </w:rPr>
              <w:t>during</w:t>
            </w:r>
            <w:r w:rsidRPr="00995C95">
              <w:rPr>
                <w:rStyle w:val="normaltextrun"/>
                <w:rFonts w:ascii="Arial" w:hAnsi="Arial"/>
                <w:sz w:val="20"/>
              </w:rPr>
              <w:t xml:space="preserve"> </w:t>
            </w:r>
            <w:r w:rsidRPr="00995C95">
              <w:rPr>
                <w:rStyle w:val="normaltextrun"/>
                <w:rFonts w:ascii="Arial" w:eastAsia="MS Gothic" w:hAnsi="Arial"/>
                <w:sz w:val="20"/>
              </w:rPr>
              <w:t>the</w:t>
            </w:r>
            <w:r w:rsidRPr="00995C95">
              <w:rPr>
                <w:rStyle w:val="normaltextrun"/>
                <w:rFonts w:ascii="Arial" w:hAnsi="Arial"/>
                <w:sz w:val="20"/>
              </w:rPr>
              <w:t xml:space="preserve"> </w:t>
            </w:r>
            <w:r w:rsidRPr="00995C95">
              <w:rPr>
                <w:rStyle w:val="normaltextrun"/>
                <w:rFonts w:ascii="Arial" w:eastAsia="MS Gothic" w:hAnsi="Arial"/>
                <w:sz w:val="20"/>
              </w:rPr>
              <w:t>autumn</w:t>
            </w:r>
            <w:r w:rsidRPr="00995C95">
              <w:rPr>
                <w:rStyle w:val="normaltextrun"/>
                <w:rFonts w:ascii="Arial" w:hAnsi="Arial"/>
                <w:sz w:val="20"/>
              </w:rPr>
              <w:t xml:space="preserve"> </w:t>
            </w:r>
            <w:r w:rsidRPr="00995C95">
              <w:rPr>
                <w:rStyle w:val="normaltextrun"/>
                <w:rFonts w:ascii="Arial" w:eastAsia="MS Gothic" w:hAnsi="Arial"/>
                <w:sz w:val="20"/>
              </w:rPr>
              <w:t>months,</w:t>
            </w:r>
            <w:r w:rsidRPr="00995C95">
              <w:rPr>
                <w:rStyle w:val="normaltextrun"/>
                <w:rFonts w:ascii="Arial" w:hAnsi="Arial"/>
                <w:sz w:val="20"/>
              </w:rPr>
              <w:t xml:space="preserve"> </w:t>
            </w:r>
            <w:r w:rsidRPr="00995C95">
              <w:rPr>
                <w:rStyle w:val="normaltextrun"/>
                <w:rFonts w:ascii="Arial" w:eastAsia="MS Gothic" w:hAnsi="Arial"/>
                <w:sz w:val="20"/>
              </w:rPr>
              <w:t>thus</w:t>
            </w:r>
            <w:r w:rsidRPr="00995C95">
              <w:rPr>
                <w:rStyle w:val="normaltextrun"/>
                <w:rFonts w:ascii="Arial" w:hAnsi="Arial"/>
                <w:sz w:val="20"/>
              </w:rPr>
              <w:t xml:space="preserve"> </w:t>
            </w:r>
            <w:r w:rsidRPr="00995C95">
              <w:rPr>
                <w:rStyle w:val="normaltextrun"/>
                <w:rFonts w:ascii="Arial" w:eastAsia="MS Gothic" w:hAnsi="Arial"/>
                <w:sz w:val="20"/>
              </w:rPr>
              <w:t>being</w:t>
            </w:r>
            <w:r w:rsidRPr="00995C95">
              <w:rPr>
                <w:rStyle w:val="normaltextrun"/>
                <w:rFonts w:ascii="Arial" w:hAnsi="Arial"/>
                <w:sz w:val="20"/>
              </w:rPr>
              <w:t xml:space="preserve"> </w:t>
            </w:r>
            <w:r w:rsidRPr="00995C95">
              <w:rPr>
                <w:rStyle w:val="normaltextrun"/>
                <w:rFonts w:ascii="Arial" w:eastAsia="MS Gothic" w:hAnsi="Arial"/>
                <w:sz w:val="20"/>
              </w:rPr>
              <w:t>below</w:t>
            </w:r>
            <w:r w:rsidRPr="00995C95">
              <w:rPr>
                <w:rStyle w:val="normaltextrun"/>
                <w:rFonts w:ascii="Arial" w:hAnsi="Arial"/>
                <w:sz w:val="20"/>
              </w:rPr>
              <w:t xml:space="preserve"> </w:t>
            </w:r>
            <w:r w:rsidRPr="00995C95">
              <w:rPr>
                <w:rStyle w:val="normaltextrun"/>
                <w:rFonts w:ascii="Arial" w:eastAsia="MS Gothic" w:hAnsi="Arial"/>
                <w:sz w:val="20"/>
              </w:rPr>
              <w:t>the</w:t>
            </w:r>
            <w:r w:rsidRPr="00995C95">
              <w:rPr>
                <w:rStyle w:val="normaltextrun"/>
                <w:rFonts w:ascii="Arial" w:hAnsi="Arial"/>
                <w:sz w:val="20"/>
              </w:rPr>
              <w:t xml:space="preserve"> </w:t>
            </w:r>
            <w:r w:rsidRPr="00995C95">
              <w:rPr>
                <w:rStyle w:val="normaltextrun"/>
                <w:rFonts w:ascii="Arial" w:eastAsia="MS Gothic" w:hAnsi="Arial"/>
                <w:sz w:val="20"/>
              </w:rPr>
              <w:t>long</w:t>
            </w:r>
            <w:r w:rsidRPr="00995C95">
              <w:rPr>
                <w:rStyle w:val="normaltextrun"/>
                <w:rFonts w:ascii="Arial" w:hAnsi="Arial"/>
                <w:sz w:val="20"/>
              </w:rPr>
              <w:t xml:space="preserve">-term </w:t>
            </w:r>
            <w:r w:rsidRPr="00995C95">
              <w:rPr>
                <w:rStyle w:val="normaltextrun"/>
                <w:rFonts w:ascii="Arial" w:eastAsia="MS Gothic" w:hAnsi="Arial"/>
                <w:sz w:val="20"/>
              </w:rPr>
              <w:t>average</w:t>
            </w:r>
            <w:r w:rsidRPr="00995C95">
              <w:rPr>
                <w:rStyle w:val="normaltextrun"/>
                <w:rFonts w:ascii="Arial" w:hAnsi="Arial"/>
                <w:sz w:val="20"/>
              </w:rPr>
              <w:t xml:space="preserve"> </w:t>
            </w:r>
            <w:r w:rsidRPr="00995C95">
              <w:rPr>
                <w:rStyle w:val="normaltextrun"/>
                <w:rFonts w:ascii="Arial" w:eastAsia="MS Gothic" w:hAnsi="Arial"/>
                <w:sz w:val="20"/>
              </w:rPr>
              <w:t>at</w:t>
            </w:r>
            <w:r w:rsidRPr="00995C95">
              <w:rPr>
                <w:rStyle w:val="normaltextrun"/>
                <w:rFonts w:ascii="Arial" w:hAnsi="Arial"/>
                <w:sz w:val="20"/>
              </w:rPr>
              <w:t xml:space="preserve"> </w:t>
            </w:r>
            <w:r w:rsidRPr="00995C95">
              <w:rPr>
                <w:rStyle w:val="normaltextrun"/>
                <w:rFonts w:ascii="Arial" w:eastAsia="MS Gothic" w:hAnsi="Arial"/>
                <w:sz w:val="20"/>
              </w:rPr>
              <w:t>the</w:t>
            </w:r>
            <w:r w:rsidRPr="00995C95">
              <w:rPr>
                <w:rStyle w:val="normaltextrun"/>
                <w:rFonts w:ascii="Arial" w:hAnsi="Arial"/>
                <w:sz w:val="20"/>
              </w:rPr>
              <w:t xml:space="preserve"> </w:t>
            </w:r>
            <w:r w:rsidRPr="00995C95">
              <w:rPr>
                <w:rStyle w:val="normaltextrun"/>
                <w:rFonts w:ascii="Arial" w:eastAsia="MS Gothic" w:hAnsi="Arial"/>
                <w:sz w:val="20"/>
              </w:rPr>
              <w:t>beginning</w:t>
            </w:r>
            <w:r w:rsidRPr="00995C95">
              <w:rPr>
                <w:rStyle w:val="normaltextrun"/>
                <w:rFonts w:ascii="Arial" w:hAnsi="Arial"/>
                <w:sz w:val="20"/>
              </w:rPr>
              <w:t xml:space="preserve"> of </w:t>
            </w:r>
            <w:r w:rsidRPr="00995C95">
              <w:rPr>
                <w:rStyle w:val="normaltextrun"/>
                <w:rFonts w:ascii="Arial" w:eastAsia="MS Gothic" w:hAnsi="Arial"/>
                <w:sz w:val="20"/>
              </w:rPr>
              <w:t xml:space="preserve">2026. </w:t>
            </w:r>
          </w:p>
          <w:p w14:paraId="73E06819" w14:textId="77777777" w:rsidR="0032050F" w:rsidRPr="003D3957" w:rsidRDefault="0032050F" w:rsidP="00E25E8B">
            <w:pPr>
              <w:pStyle w:val="paragraph"/>
              <w:spacing w:before="0" w:beforeAutospacing="0" w:after="0" w:afterAutospacing="0" w:line="276" w:lineRule="auto"/>
              <w:jc w:val="both"/>
              <w:textAlignment w:val="baseline"/>
              <w:rPr>
                <w:rFonts w:ascii="Arial" w:eastAsia="MS Gothic" w:hAnsi="Arial"/>
                <w:sz w:val="20"/>
              </w:rPr>
            </w:pPr>
          </w:p>
        </w:tc>
      </w:tr>
      <w:tr w:rsidR="0032050F" w:rsidRPr="00995C95" w14:paraId="4DABC069" w14:textId="77777777" w:rsidTr="00E25E8B">
        <w:trPr>
          <w:trHeight w:val="155"/>
        </w:trPr>
        <w:tc>
          <w:tcPr>
            <w:tcW w:w="1755" w:type="dxa"/>
            <w:vMerge w:val="restart"/>
            <w:tcMar>
              <w:left w:w="0" w:type="dxa"/>
            </w:tcMar>
          </w:tcPr>
          <w:p w14:paraId="2D38C4FE" w14:textId="77777777" w:rsidR="0032050F" w:rsidRPr="00995C95" w:rsidRDefault="0032050F" w:rsidP="00E25E8B">
            <w:pPr>
              <w:pStyle w:val="Marginlie"/>
              <w:spacing w:after="120"/>
              <w:rPr>
                <w:spacing w:val="-4"/>
              </w:rPr>
            </w:pPr>
          </w:p>
        </w:tc>
        <w:tc>
          <w:tcPr>
            <w:tcW w:w="176" w:type="dxa"/>
            <w:vMerge w:val="restart"/>
            <w:tcMar>
              <w:left w:w="0" w:type="dxa"/>
            </w:tcMar>
          </w:tcPr>
          <w:p w14:paraId="75EA0310" w14:textId="77777777" w:rsidR="0032050F" w:rsidRPr="00995C95" w:rsidRDefault="0032050F" w:rsidP="00E25E8B">
            <w:pPr>
              <w:pStyle w:val="Textpoznpodarou"/>
              <w:spacing w:after="120"/>
              <w:jc w:val="both"/>
              <w:rPr>
                <w:spacing w:val="-4"/>
              </w:rPr>
            </w:pPr>
          </w:p>
        </w:tc>
        <w:tc>
          <w:tcPr>
            <w:tcW w:w="7743" w:type="dxa"/>
            <w:tcMar>
              <w:left w:w="0" w:type="dxa"/>
            </w:tcMar>
          </w:tcPr>
          <w:p w14:paraId="2D8475E6" w14:textId="77777777" w:rsidR="0032050F" w:rsidRPr="007B67F2" w:rsidRDefault="0032050F" w:rsidP="00E25E8B">
            <w:pPr>
              <w:spacing w:after="0"/>
              <w:rPr>
                <w:rFonts w:cs="Arial"/>
                <w:b/>
                <w:bCs/>
                <w:spacing w:val="-4"/>
              </w:rPr>
            </w:pPr>
            <w:r w:rsidRPr="007B67F2">
              <w:rPr>
                <w:b/>
                <w:spacing w:val="-8"/>
              </w:rPr>
              <w:t xml:space="preserve">Chart 15 </w:t>
            </w:r>
            <w:r w:rsidRPr="007B67F2">
              <w:rPr>
                <w:rFonts w:cs="Arial"/>
                <w:b/>
                <w:spacing w:val="-8"/>
              </w:rPr>
              <w:t xml:space="preserve">General unemployment rate </w:t>
            </w:r>
            <w:r w:rsidRPr="007B67F2">
              <w:rPr>
                <w:rFonts w:cs="Arial"/>
                <w:bCs/>
                <w:spacing w:val="-8"/>
              </w:rPr>
              <w:t>(in %, age 15-64 years)</w:t>
            </w:r>
            <w:r w:rsidRPr="007B67F2">
              <w:rPr>
                <w:rFonts w:cs="Arial"/>
                <w:b/>
                <w:spacing w:val="-8"/>
              </w:rPr>
              <w:t>, unemployment expectations</w:t>
            </w:r>
            <w:r w:rsidRPr="007B67F2">
              <w:rPr>
                <w:rFonts w:cs="Arial"/>
                <w:b/>
                <w:spacing w:val="-4"/>
              </w:rPr>
              <w:t xml:space="preserve"> of households* </w:t>
            </w:r>
            <w:r w:rsidRPr="007B67F2">
              <w:rPr>
                <w:rFonts w:cs="Arial"/>
                <w:bCs/>
                <w:spacing w:val="-4"/>
              </w:rPr>
              <w:t xml:space="preserve">(in p. p.), </w:t>
            </w:r>
            <w:r w:rsidRPr="007B67F2">
              <w:rPr>
                <w:rFonts w:cs="Arial"/>
                <w:b/>
                <w:spacing w:val="-4"/>
              </w:rPr>
              <w:t>job vacancies</w:t>
            </w:r>
            <w:r>
              <w:rPr>
                <w:rFonts w:cs="Arial"/>
                <w:b/>
                <w:spacing w:val="-4"/>
              </w:rPr>
              <w:t>**</w:t>
            </w:r>
            <w:r w:rsidRPr="007B67F2">
              <w:rPr>
                <w:rFonts w:cs="Arial"/>
                <w:b/>
                <w:spacing w:val="-4"/>
              </w:rPr>
              <w:t xml:space="preserve"> </w:t>
            </w:r>
            <w:r w:rsidRPr="007B67F2">
              <w:rPr>
                <w:rFonts w:cs="Arial"/>
                <w:bCs/>
                <w:spacing w:val="-4"/>
              </w:rPr>
              <w:t>(in thousand)</w:t>
            </w:r>
            <w:r>
              <w:rPr>
                <w:rFonts w:cs="Arial"/>
                <w:bCs/>
                <w:spacing w:val="-4"/>
              </w:rPr>
              <w:t xml:space="preserve"> </w:t>
            </w:r>
            <w:r w:rsidRPr="007B67F2">
              <w:rPr>
                <w:rFonts w:cs="Arial"/>
                <w:b/>
                <w:spacing w:val="-4"/>
              </w:rPr>
              <w:t>and working foreigners with the employee status**</w:t>
            </w:r>
            <w:r>
              <w:rPr>
                <w:rFonts w:cs="Arial"/>
                <w:b/>
                <w:spacing w:val="-4"/>
              </w:rPr>
              <w:t>*</w:t>
            </w:r>
            <w:r w:rsidRPr="007B67F2">
              <w:rPr>
                <w:rFonts w:cs="Arial"/>
                <w:b/>
                <w:spacing w:val="-4"/>
              </w:rPr>
              <w:t xml:space="preserve"> </w:t>
            </w:r>
            <w:r w:rsidRPr="007B67F2">
              <w:rPr>
                <w:rFonts w:cs="Arial"/>
                <w:bCs/>
                <w:spacing w:val="-4"/>
              </w:rPr>
              <w:t>(in thousand)</w:t>
            </w:r>
          </w:p>
        </w:tc>
      </w:tr>
      <w:tr w:rsidR="0032050F" w:rsidRPr="00995C95" w14:paraId="6B97CD98" w14:textId="77777777" w:rsidTr="00E25E8B">
        <w:tblPrEx>
          <w:tblCellMar>
            <w:left w:w="70" w:type="dxa"/>
            <w:right w:w="70" w:type="dxa"/>
          </w:tblCellMar>
        </w:tblPrEx>
        <w:trPr>
          <w:trHeight w:val="155"/>
        </w:trPr>
        <w:tc>
          <w:tcPr>
            <w:tcW w:w="1755" w:type="dxa"/>
            <w:vMerge/>
          </w:tcPr>
          <w:p w14:paraId="51015D67" w14:textId="77777777" w:rsidR="0032050F" w:rsidRPr="00995C95" w:rsidRDefault="0032050F" w:rsidP="00E25E8B">
            <w:pPr>
              <w:pStyle w:val="Marginlie"/>
              <w:spacing w:after="120"/>
              <w:rPr>
                <w:spacing w:val="-4"/>
              </w:rPr>
            </w:pPr>
          </w:p>
        </w:tc>
        <w:tc>
          <w:tcPr>
            <w:tcW w:w="176" w:type="dxa"/>
            <w:vMerge/>
          </w:tcPr>
          <w:p w14:paraId="3C69096A" w14:textId="77777777" w:rsidR="0032050F" w:rsidRPr="00995C95" w:rsidRDefault="0032050F" w:rsidP="00E25E8B">
            <w:pPr>
              <w:pStyle w:val="Textpoznpodarou"/>
              <w:spacing w:after="120"/>
              <w:jc w:val="both"/>
              <w:rPr>
                <w:spacing w:val="-4"/>
              </w:rPr>
            </w:pPr>
          </w:p>
        </w:tc>
        <w:tc>
          <w:tcPr>
            <w:tcW w:w="7743" w:type="dxa"/>
          </w:tcPr>
          <w:p w14:paraId="249B0EE9" w14:textId="77777777" w:rsidR="0032050F" w:rsidRPr="00995C95" w:rsidRDefault="0032050F" w:rsidP="00E25E8B">
            <w:pPr>
              <w:spacing w:after="40"/>
            </w:pPr>
            <w:r>
              <w:rPr>
                <w:noProof/>
              </w:rPr>
              <w:drawing>
                <wp:inline distT="0" distB="0" distL="0" distR="0" wp14:anchorId="0354DC9A" wp14:editId="699FA110">
                  <wp:extent cx="4753610" cy="3552825"/>
                  <wp:effectExtent l="0" t="0" r="8890" b="0"/>
                  <wp:docPr id="1901423187" name="Graf 1">
                    <a:extLst xmlns:a="http://schemas.openxmlformats.org/drawingml/2006/main">
                      <a:ext uri="{FF2B5EF4-FFF2-40B4-BE49-F238E27FC236}">
                        <a16:creationId xmlns:a16="http://schemas.microsoft.com/office/drawing/2014/main" id="{00000000-0008-0000-3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32050F" w:rsidRPr="00995C95" w14:paraId="5A299A3C" w14:textId="77777777" w:rsidTr="00E25E8B">
        <w:trPr>
          <w:trHeight w:val="132"/>
        </w:trPr>
        <w:tc>
          <w:tcPr>
            <w:tcW w:w="1755" w:type="dxa"/>
            <w:vMerge/>
            <w:tcMar>
              <w:left w:w="0" w:type="dxa"/>
            </w:tcMar>
          </w:tcPr>
          <w:p w14:paraId="39B72EF7" w14:textId="77777777" w:rsidR="0032050F" w:rsidRPr="00995C95" w:rsidRDefault="0032050F" w:rsidP="00E25E8B">
            <w:pPr>
              <w:pStyle w:val="Marginlie"/>
              <w:rPr>
                <w:spacing w:val="-4"/>
              </w:rPr>
            </w:pPr>
          </w:p>
        </w:tc>
        <w:tc>
          <w:tcPr>
            <w:tcW w:w="176" w:type="dxa"/>
            <w:vMerge/>
            <w:tcMar>
              <w:left w:w="0" w:type="dxa"/>
            </w:tcMar>
          </w:tcPr>
          <w:p w14:paraId="43917F30" w14:textId="77777777" w:rsidR="0032050F" w:rsidRPr="00995C95" w:rsidRDefault="0032050F" w:rsidP="00E25E8B">
            <w:pPr>
              <w:pStyle w:val="Textpoznpodarou"/>
              <w:jc w:val="both"/>
              <w:rPr>
                <w:spacing w:val="-4"/>
              </w:rPr>
            </w:pPr>
          </w:p>
        </w:tc>
        <w:tc>
          <w:tcPr>
            <w:tcW w:w="7743" w:type="dxa"/>
            <w:tcMar>
              <w:left w:w="0" w:type="dxa"/>
            </w:tcMar>
          </w:tcPr>
          <w:p w14:paraId="3FC93CE3" w14:textId="77777777" w:rsidR="0032050F" w:rsidRDefault="0032050F" w:rsidP="00E25E8B">
            <w:pPr>
              <w:spacing w:after="0" w:line="240" w:lineRule="auto"/>
              <w:rPr>
                <w:rFonts w:cs="Arial"/>
                <w:color w:val="0D0D0D" w:themeColor="text1" w:themeTint="F2"/>
                <w:sz w:val="14"/>
                <w:szCs w:val="14"/>
              </w:rPr>
            </w:pPr>
            <w:r w:rsidRPr="00995C95">
              <w:rPr>
                <w:rFonts w:cs="Arial"/>
                <w:color w:val="0D0D0D" w:themeColor="text1" w:themeTint="F2"/>
                <w:sz w:val="14"/>
                <w:szCs w:val="14"/>
              </w:rPr>
              <w:t>Note: Figures regarding the unemployment rate are adjusted using trend cycle.</w:t>
            </w:r>
          </w:p>
          <w:p w14:paraId="2631B240" w14:textId="77777777" w:rsidR="0032050F" w:rsidRPr="00995C95" w:rsidRDefault="0032050F" w:rsidP="00E25E8B">
            <w:pPr>
              <w:spacing w:after="0" w:line="240" w:lineRule="auto"/>
              <w:rPr>
                <w:rFonts w:cs="Arial"/>
                <w:color w:val="0D0D0D" w:themeColor="text1" w:themeTint="F2"/>
                <w:sz w:val="14"/>
                <w:szCs w:val="14"/>
              </w:rPr>
            </w:pPr>
            <w:r>
              <w:rPr>
                <w:rFonts w:cs="Arial"/>
                <w:color w:val="0D0D0D" w:themeColor="text1" w:themeTint="F2"/>
                <w:spacing w:val="-4"/>
                <w:sz w:val="14"/>
                <w:szCs w:val="14"/>
              </w:rPr>
              <w:t>*</w:t>
            </w:r>
            <w:r w:rsidRPr="00995C95">
              <w:rPr>
                <w:rFonts w:cs="Arial"/>
                <w:color w:val="0D0D0D" w:themeColor="text1" w:themeTint="F2"/>
                <w:spacing w:val="-4"/>
                <w:sz w:val="14"/>
                <w:szCs w:val="14"/>
              </w:rPr>
              <w:t xml:space="preserve">Seasonally adjusted balance of expectations of unemployment in the next 12 months (difference between percentage frequency of answers of households, growth and decrease expressed in percentage points). Data relates to the </w:t>
            </w:r>
            <w:r>
              <w:rPr>
                <w:rFonts w:cs="Arial"/>
                <w:color w:val="0D0D0D" w:themeColor="text1" w:themeTint="F2"/>
                <w:spacing w:val="-4"/>
                <w:sz w:val="14"/>
                <w:szCs w:val="14"/>
              </w:rPr>
              <w:t>second</w:t>
            </w:r>
            <w:r w:rsidRPr="00995C95">
              <w:rPr>
                <w:rFonts w:cs="Arial"/>
                <w:color w:val="0D0D0D" w:themeColor="text1" w:themeTint="F2"/>
                <w:spacing w:val="-4"/>
                <w:sz w:val="14"/>
                <w:szCs w:val="14"/>
              </w:rPr>
              <w:t xml:space="preserve"> month of the given quarte</w:t>
            </w:r>
            <w:r>
              <w:rPr>
                <w:rFonts w:cs="Arial"/>
                <w:color w:val="0D0D0D" w:themeColor="text1" w:themeTint="F2"/>
                <w:spacing w:val="-4"/>
                <w:sz w:val="14"/>
                <w:szCs w:val="14"/>
              </w:rPr>
              <w:t>r.</w:t>
            </w:r>
          </w:p>
          <w:p w14:paraId="5B8FF64C" w14:textId="77777777" w:rsidR="0032050F" w:rsidRDefault="0032050F" w:rsidP="00E25E8B">
            <w:pPr>
              <w:spacing w:after="0" w:line="240" w:lineRule="auto"/>
              <w:rPr>
                <w:rFonts w:cs="Arial"/>
                <w:color w:val="0D0D0D" w:themeColor="text1" w:themeTint="F2"/>
                <w:sz w:val="14"/>
                <w:szCs w:val="14"/>
              </w:rPr>
            </w:pPr>
            <w:r>
              <w:rPr>
                <w:rFonts w:cs="Arial"/>
                <w:color w:val="0D0D0D" w:themeColor="text1" w:themeTint="F2"/>
                <w:sz w:val="14"/>
                <w:szCs w:val="14"/>
              </w:rPr>
              <w:t>**O</w:t>
            </w:r>
            <w:r w:rsidRPr="00995C95">
              <w:rPr>
                <w:rFonts w:cs="Arial"/>
                <w:color w:val="0D0D0D" w:themeColor="text1" w:themeTint="F2"/>
                <w:sz w:val="14"/>
                <w:szCs w:val="14"/>
              </w:rPr>
              <w:t>nly job vacancies with a registration period of up to six months (balance at the end of quarter)</w:t>
            </w:r>
            <w:r>
              <w:rPr>
                <w:rFonts w:cs="Arial"/>
                <w:color w:val="0D0D0D" w:themeColor="text1" w:themeTint="F2"/>
                <w:sz w:val="14"/>
                <w:szCs w:val="14"/>
              </w:rPr>
              <w:t>.</w:t>
            </w:r>
          </w:p>
          <w:p w14:paraId="3CE8B287" w14:textId="77777777" w:rsidR="0032050F" w:rsidRPr="004A1D82" w:rsidRDefault="0032050F" w:rsidP="00E25E8B">
            <w:pPr>
              <w:spacing w:after="0" w:line="240" w:lineRule="auto"/>
              <w:rPr>
                <w:rFonts w:cs="Arial"/>
                <w:color w:val="0D0D0D" w:themeColor="text1" w:themeTint="F2"/>
                <w:sz w:val="14"/>
                <w:szCs w:val="14"/>
              </w:rPr>
            </w:pPr>
            <w:r w:rsidRPr="00EF089C">
              <w:rPr>
                <w:rFonts w:cs="Arial"/>
                <w:color w:val="0D0D0D" w:themeColor="text1" w:themeTint="F2"/>
                <w:sz w:val="14"/>
                <w:szCs w:val="14"/>
              </w:rPr>
              <w:t>Vacancies for higher qualifications</w:t>
            </w:r>
            <w:r>
              <w:rPr>
                <w:rFonts w:cs="Arial"/>
                <w:color w:val="0D0D0D" w:themeColor="text1" w:themeTint="F2"/>
                <w:sz w:val="14"/>
                <w:szCs w:val="14"/>
              </w:rPr>
              <w:t xml:space="preserve"> include positions requiring at least secondary education</w:t>
            </w:r>
            <w:r w:rsidRPr="00EF089C">
              <w:rPr>
                <w:rFonts w:cs="Arial"/>
                <w:color w:val="0D0D0D" w:themeColor="text1" w:themeTint="F2"/>
                <w:sz w:val="14"/>
                <w:szCs w:val="14"/>
              </w:rPr>
              <w:t xml:space="preserve"> with A-level</w:t>
            </w:r>
            <w:r>
              <w:rPr>
                <w:rFonts w:cs="Arial"/>
                <w:color w:val="0D0D0D" w:themeColor="text1" w:themeTint="F2"/>
                <w:sz w:val="14"/>
                <w:szCs w:val="14"/>
              </w:rPr>
              <w:t xml:space="preserve"> or h</w:t>
            </w:r>
            <w:r w:rsidRPr="00EF089C">
              <w:rPr>
                <w:rFonts w:cs="Arial"/>
                <w:color w:val="0D0D0D" w:themeColor="text1" w:themeTint="F2"/>
                <w:sz w:val="14"/>
                <w:szCs w:val="14"/>
              </w:rPr>
              <w:t>igher education</w:t>
            </w:r>
            <w:r>
              <w:rPr>
                <w:rFonts w:cs="Arial"/>
                <w:color w:val="0D0D0D" w:themeColor="text1" w:themeTint="F2"/>
                <w:sz w:val="14"/>
                <w:szCs w:val="14"/>
              </w:rPr>
              <w:t>.</w:t>
            </w:r>
            <w:r w:rsidRPr="00995C95">
              <w:rPr>
                <w:rFonts w:cs="Arial"/>
                <w:color w:val="0D0D0D" w:themeColor="text1" w:themeTint="F2"/>
                <w:spacing w:val="-4"/>
                <w:sz w:val="14"/>
                <w:szCs w:val="14"/>
              </w:rPr>
              <w:t xml:space="preserve"> </w:t>
            </w:r>
          </w:p>
          <w:p w14:paraId="4615B49E" w14:textId="77777777" w:rsidR="0032050F" w:rsidRPr="00995C95" w:rsidRDefault="0032050F" w:rsidP="00E25E8B">
            <w:pPr>
              <w:spacing w:after="0" w:line="240" w:lineRule="auto"/>
              <w:rPr>
                <w:rFonts w:cs="Arial"/>
                <w:color w:val="0D0D0D" w:themeColor="text1" w:themeTint="F2"/>
                <w:spacing w:val="-4"/>
                <w:sz w:val="14"/>
                <w:szCs w:val="14"/>
              </w:rPr>
            </w:pPr>
            <w:r w:rsidRPr="00995C95">
              <w:rPr>
                <w:rFonts w:cs="Arial"/>
                <w:color w:val="0D0D0D" w:themeColor="text1" w:themeTint="F2"/>
                <w:spacing w:val="-4"/>
                <w:sz w:val="14"/>
                <w:szCs w:val="14"/>
              </w:rPr>
              <w:t>*</w:t>
            </w:r>
            <w:r>
              <w:rPr>
                <w:rFonts w:cs="Arial"/>
                <w:color w:val="0D0D0D" w:themeColor="text1" w:themeTint="F2"/>
                <w:spacing w:val="-4"/>
                <w:sz w:val="14"/>
                <w:szCs w:val="14"/>
              </w:rPr>
              <w:t>*</w:t>
            </w:r>
            <w:r w:rsidRPr="00995C95">
              <w:rPr>
                <w:rFonts w:cs="Arial"/>
                <w:color w:val="0D0D0D" w:themeColor="text1" w:themeTint="F2"/>
                <w:spacing w:val="-4"/>
                <w:sz w:val="14"/>
                <w:szCs w:val="14"/>
              </w:rPr>
              <w:t>*Number of foreigners in the status of employee registered at labour offices in the Czech Republic (at the end of the relevant quarter).</w:t>
            </w:r>
          </w:p>
          <w:p w14:paraId="49BEE77E" w14:textId="77777777" w:rsidR="0032050F" w:rsidRPr="004A1D82" w:rsidRDefault="0032050F" w:rsidP="00E25E8B">
            <w:pPr>
              <w:spacing w:after="0" w:line="240" w:lineRule="auto"/>
              <w:rPr>
                <w:rFonts w:cs="Arial"/>
                <w:color w:val="0D0D0D" w:themeColor="text1" w:themeTint="F2"/>
                <w:spacing w:val="-4"/>
                <w:sz w:val="14"/>
                <w:szCs w:val="14"/>
              </w:rPr>
            </w:pPr>
            <w:r w:rsidRPr="004A1D82">
              <w:rPr>
                <w:rFonts w:cs="Arial"/>
                <w:color w:val="0D0D0D" w:themeColor="text1" w:themeTint="F2"/>
                <w:spacing w:val="-4"/>
                <w:sz w:val="14"/>
                <w:szCs w:val="14"/>
              </w:rPr>
              <w:t>Source: CZSO (LFSS, business cycle survey), MLSA (JV registered at labour offices in the CR, employed foreigners)</w:t>
            </w:r>
          </w:p>
          <w:p w14:paraId="3BC39B4D" w14:textId="77777777" w:rsidR="0032050F" w:rsidRPr="00A72CCE" w:rsidRDefault="0032050F" w:rsidP="00E25E8B">
            <w:pPr>
              <w:spacing w:after="0" w:line="240" w:lineRule="auto"/>
              <w:rPr>
                <w:rFonts w:cs="Arial"/>
                <w:color w:val="0D0D0D" w:themeColor="text1" w:themeTint="F2"/>
                <w:spacing w:val="-2"/>
                <w:szCs w:val="20"/>
              </w:rPr>
            </w:pPr>
          </w:p>
        </w:tc>
      </w:tr>
      <w:tr w:rsidR="0032050F" w:rsidRPr="00995C95" w14:paraId="0E2F084A" w14:textId="77777777" w:rsidTr="00E25E8B">
        <w:trPr>
          <w:trHeight w:val="132"/>
        </w:trPr>
        <w:tc>
          <w:tcPr>
            <w:tcW w:w="1755" w:type="dxa"/>
            <w:tcMar>
              <w:left w:w="0" w:type="dxa"/>
            </w:tcMar>
          </w:tcPr>
          <w:p w14:paraId="090ED1A8" w14:textId="77777777" w:rsidR="0032050F" w:rsidRPr="00995C95" w:rsidRDefault="0032050F" w:rsidP="00E25E8B">
            <w:pPr>
              <w:pStyle w:val="Marginlie"/>
              <w:rPr>
                <w:color w:val="0D0D0D" w:themeColor="text1" w:themeTint="F2"/>
                <w:spacing w:val="0"/>
              </w:rPr>
            </w:pPr>
            <w:r w:rsidRPr="00995C95">
              <w:rPr>
                <w:color w:val="0D0D0D" w:themeColor="text1" w:themeTint="F2"/>
                <w:spacing w:val="0"/>
              </w:rPr>
              <w:t xml:space="preserve">The growth rate of nominal wages did not change much </w:t>
            </w:r>
            <w:r w:rsidRPr="00995C95">
              <w:rPr>
                <w:color w:val="0D0D0D" w:themeColor="text1" w:themeTint="F2"/>
              </w:rPr>
              <w:t>during the</w:t>
            </w:r>
            <w:r w:rsidRPr="00995C95">
              <w:rPr>
                <w:color w:val="0D0D0D" w:themeColor="text1" w:themeTint="F2"/>
                <w:spacing w:val="0"/>
              </w:rPr>
              <w:t xml:space="preserve"> last year. </w:t>
            </w:r>
          </w:p>
          <w:p w14:paraId="188DD60D" w14:textId="77777777" w:rsidR="0032050F" w:rsidRPr="00995C95" w:rsidRDefault="0032050F" w:rsidP="00E25E8B">
            <w:pPr>
              <w:pStyle w:val="Marginlie"/>
              <w:rPr>
                <w:color w:val="0D0D0D" w:themeColor="text1" w:themeTint="F2"/>
                <w:spacing w:val="0"/>
              </w:rPr>
            </w:pPr>
          </w:p>
          <w:p w14:paraId="14597729" w14:textId="77777777" w:rsidR="0032050F" w:rsidRPr="00995C95" w:rsidRDefault="0032050F" w:rsidP="00E25E8B">
            <w:pPr>
              <w:pStyle w:val="Marginlie"/>
              <w:rPr>
                <w:color w:val="0D0D0D" w:themeColor="text1" w:themeTint="F2"/>
                <w:spacing w:val="0"/>
              </w:rPr>
            </w:pPr>
          </w:p>
          <w:p w14:paraId="473D097B" w14:textId="77777777" w:rsidR="0032050F" w:rsidRPr="00995C95" w:rsidRDefault="0032050F" w:rsidP="00E25E8B">
            <w:pPr>
              <w:pStyle w:val="Marginlie"/>
              <w:rPr>
                <w:color w:val="0D0D0D" w:themeColor="text1" w:themeTint="F2"/>
                <w:spacing w:val="0"/>
              </w:rPr>
            </w:pPr>
          </w:p>
          <w:p w14:paraId="0BA18642" w14:textId="77777777" w:rsidR="0032050F" w:rsidRPr="00995C95" w:rsidRDefault="0032050F" w:rsidP="00E25E8B">
            <w:pPr>
              <w:pStyle w:val="Marginlie"/>
              <w:rPr>
                <w:color w:val="0D0D0D" w:themeColor="text1" w:themeTint="F2"/>
                <w:spacing w:val="0"/>
              </w:rPr>
            </w:pPr>
          </w:p>
          <w:p w14:paraId="4EA84BE5" w14:textId="77777777" w:rsidR="0032050F" w:rsidRPr="00995C95" w:rsidRDefault="0032050F" w:rsidP="00E25E8B">
            <w:pPr>
              <w:pStyle w:val="Marginlie"/>
              <w:rPr>
                <w:color w:val="0D0D0D" w:themeColor="text1" w:themeTint="F2"/>
                <w:spacing w:val="0"/>
              </w:rPr>
            </w:pPr>
            <w:r w:rsidRPr="00995C95">
              <w:rPr>
                <w:color w:val="0D0D0D" w:themeColor="text1" w:themeTint="F2"/>
              </w:rPr>
              <w:t xml:space="preserve">Wage growth was supported mainly by </w:t>
            </w:r>
            <w:r w:rsidRPr="00995C95">
              <w:rPr>
                <w:color w:val="0D0D0D" w:themeColor="text1" w:themeTint="F2"/>
              </w:rPr>
              <w:lastRenderedPageBreak/>
              <w:t>improved economic performance and a persistent shortage of available labour force in a number of activities.</w:t>
            </w:r>
          </w:p>
        </w:tc>
        <w:tc>
          <w:tcPr>
            <w:tcW w:w="176" w:type="dxa"/>
            <w:tcMar>
              <w:left w:w="0" w:type="dxa"/>
            </w:tcMar>
          </w:tcPr>
          <w:p w14:paraId="297479B1" w14:textId="77777777" w:rsidR="0032050F" w:rsidRPr="00995C95" w:rsidRDefault="0032050F" w:rsidP="00E25E8B">
            <w:pPr>
              <w:pStyle w:val="Textpoznpodarou"/>
              <w:jc w:val="both"/>
              <w:rPr>
                <w:color w:val="0D0D0D" w:themeColor="text1" w:themeTint="F2"/>
                <w:spacing w:val="-4"/>
              </w:rPr>
            </w:pPr>
          </w:p>
        </w:tc>
        <w:tc>
          <w:tcPr>
            <w:tcW w:w="7743" w:type="dxa"/>
            <w:tcMar>
              <w:left w:w="0" w:type="dxa"/>
            </w:tcMar>
          </w:tcPr>
          <w:p w14:paraId="746D4B8C" w14:textId="77777777" w:rsidR="0032050F" w:rsidRPr="00995C95" w:rsidRDefault="0032050F" w:rsidP="00E25E8B">
            <w:pPr>
              <w:pStyle w:val="paragraph"/>
              <w:spacing w:before="0" w:beforeAutospacing="0" w:after="0" w:afterAutospacing="0" w:line="276" w:lineRule="auto"/>
              <w:jc w:val="both"/>
              <w:textAlignment w:val="baseline"/>
              <w:rPr>
                <w:rFonts w:ascii="Arial" w:hAnsi="Arial" w:cs="Arial"/>
                <w:color w:val="0D0D0D" w:themeColor="text1" w:themeTint="F2"/>
                <w:sz w:val="20"/>
                <w:szCs w:val="20"/>
              </w:rPr>
            </w:pPr>
            <w:r w:rsidRPr="00995C95">
              <w:rPr>
                <w:rFonts w:ascii="Arial" w:eastAsiaTheme="majorEastAsia" w:hAnsi="Arial" w:cs="Arial"/>
                <w:color w:val="000000"/>
                <w:sz w:val="20"/>
                <w:szCs w:val="20"/>
              </w:rPr>
              <w:t>The average gross monthly nominal wage of an employee in the national economy reached 52,283 CZK in Q4</w:t>
            </w:r>
            <w:r w:rsidRPr="00995C95">
              <w:rPr>
                <w:rFonts w:eastAsiaTheme="majorEastAsia" w:cs="Arial"/>
                <w:color w:val="000000"/>
                <w:szCs w:val="20"/>
              </w:rPr>
              <w:t xml:space="preserve"> </w:t>
            </w:r>
            <w:r w:rsidRPr="00995C95">
              <w:rPr>
                <w:rFonts w:ascii="Arial" w:eastAsiaTheme="majorEastAsia" w:hAnsi="Arial" w:cs="Arial"/>
                <w:color w:val="000000"/>
                <w:sz w:val="20"/>
                <w:szCs w:val="20"/>
              </w:rPr>
              <w:t xml:space="preserve">and increased by 7.4%, year-on-year. Seasonally adjusted wages increased by 1.8%, quarter-on-quarter, which is not out of step with the development over the last 1.5 years. The recalculated number of registered employees increased by 0.2%, year-on-year (the same as in total since the beginning of last year). The average gross monthly wage for the whole last year was 49,215 CZK and increased by 7.2% (identically in years 2023 and 2024). The persistently brisk wage growth is related to the gradual strengthening of the performance of the domestic economy, </w:t>
            </w:r>
            <w:r w:rsidRPr="00995C95">
              <w:rPr>
                <w:rFonts w:ascii="Arial" w:eastAsiaTheme="majorEastAsia" w:hAnsi="Arial" w:cs="Arial"/>
                <w:color w:val="000000"/>
                <w:sz w:val="20"/>
                <w:szCs w:val="20"/>
              </w:rPr>
              <w:lastRenderedPageBreak/>
              <w:t xml:space="preserve">including labour productivity growth. There is also general shortage of available labour force, which is most visible in construction, but also in some services (e.g. transportation). Given the persistently relatively low unemployment (as well as its stable outlook for the near term) and the subsiding concerns of households regarding its growth, there may be a higher turnover of workers. They may be more motivated to change working positions with the vision of higher earnings (among other things, due to the influence of state employment policy – an increase in the supply of retraining, an enhanced state support for people in the first months of unemployment). On the other hand, wage growth in the economy was still dampened by the need for savings in the budgetary sphere and also by the steadily rising number of foreign workers from </w:t>
            </w:r>
            <w:r>
              <w:rPr>
                <w:rFonts w:ascii="Arial" w:eastAsiaTheme="majorEastAsia" w:hAnsi="Arial" w:cs="Arial"/>
                <w:color w:val="000000"/>
                <w:sz w:val="20"/>
                <w:szCs w:val="20"/>
              </w:rPr>
              <w:t>“</w:t>
            </w:r>
            <w:r w:rsidRPr="00995C95">
              <w:rPr>
                <w:rFonts w:ascii="Arial" w:eastAsiaTheme="majorEastAsia" w:hAnsi="Arial" w:cs="Arial"/>
                <w:color w:val="000000"/>
                <w:sz w:val="20"/>
                <w:szCs w:val="20"/>
              </w:rPr>
              <w:t>third countries</w:t>
            </w:r>
            <w:r>
              <w:rPr>
                <w:rFonts w:ascii="Arial" w:eastAsiaTheme="majorEastAsia" w:hAnsi="Arial" w:cs="Arial"/>
                <w:color w:val="000000"/>
                <w:sz w:val="20"/>
                <w:szCs w:val="20"/>
              </w:rPr>
              <w:t>”</w:t>
            </w:r>
            <w:r w:rsidRPr="00995C95">
              <w:rPr>
                <w:rFonts w:ascii="Arial" w:eastAsiaTheme="majorEastAsia" w:hAnsi="Arial" w:cs="Arial"/>
                <w:color w:val="000000"/>
                <w:sz w:val="20"/>
                <w:szCs w:val="20"/>
              </w:rPr>
              <w:t>. They often occupy low-skilled positions, and their earnings therefore usually do not reach the level of Czech citizens</w:t>
            </w:r>
            <w:r w:rsidRPr="00995C95">
              <w:rPr>
                <w:rStyle w:val="Znakapoznpodarou"/>
                <w:rFonts w:ascii="Arial" w:hAnsi="Arial"/>
                <w:color w:val="0D0D0D" w:themeColor="text1" w:themeTint="F2"/>
                <w:sz w:val="20"/>
                <w:szCs w:val="20"/>
              </w:rPr>
              <w:footnoteReference w:id="114"/>
            </w:r>
            <w:r w:rsidRPr="00995C95">
              <w:rPr>
                <w:rFonts w:ascii="Arial" w:hAnsi="Arial" w:cs="Arial"/>
                <w:color w:val="0D0D0D" w:themeColor="text1" w:themeTint="F2"/>
                <w:sz w:val="20"/>
                <w:szCs w:val="20"/>
              </w:rPr>
              <w:t xml:space="preserve">.  </w:t>
            </w:r>
          </w:p>
          <w:p w14:paraId="1FF8284E" w14:textId="77777777" w:rsidR="0032050F" w:rsidRPr="00995C95" w:rsidRDefault="0032050F" w:rsidP="00E25E8B">
            <w:pPr>
              <w:pStyle w:val="paragraph"/>
              <w:spacing w:before="0" w:beforeAutospacing="0" w:after="0" w:afterAutospacing="0" w:line="276" w:lineRule="auto"/>
              <w:jc w:val="both"/>
              <w:textAlignment w:val="baseline"/>
              <w:rPr>
                <w:rStyle w:val="normaltextrun"/>
                <w:rFonts w:ascii="Arial" w:eastAsiaTheme="majorEastAsia" w:hAnsi="Arial" w:cs="Arial"/>
                <w:color w:val="000000"/>
                <w:sz w:val="20"/>
                <w:szCs w:val="20"/>
              </w:rPr>
            </w:pPr>
          </w:p>
        </w:tc>
      </w:tr>
      <w:tr w:rsidR="0032050F" w:rsidRPr="00995C95" w14:paraId="03245505" w14:textId="77777777" w:rsidTr="00E25E8B">
        <w:trPr>
          <w:trHeight w:val="132"/>
        </w:trPr>
        <w:tc>
          <w:tcPr>
            <w:tcW w:w="1755" w:type="dxa"/>
            <w:tcMar>
              <w:left w:w="0" w:type="dxa"/>
            </w:tcMar>
          </w:tcPr>
          <w:p w14:paraId="3D5DAB17" w14:textId="77777777" w:rsidR="0032050F" w:rsidRPr="00995C95" w:rsidRDefault="0032050F" w:rsidP="00E25E8B">
            <w:pPr>
              <w:pStyle w:val="Marginlie"/>
              <w:rPr>
                <w:color w:val="0D0D0D" w:themeColor="text1" w:themeTint="F2"/>
                <w:spacing w:val="0"/>
              </w:rPr>
            </w:pPr>
            <w:r w:rsidRPr="00995C95">
              <w:rPr>
                <w:color w:val="0D0D0D" w:themeColor="text1" w:themeTint="F2"/>
                <w:spacing w:val="0"/>
              </w:rPr>
              <w:lastRenderedPageBreak/>
              <w:t>The rapid growth of the purchasing power of average wages persisted. Purchasing power was at the level of the end of 2019.</w:t>
            </w:r>
          </w:p>
          <w:p w14:paraId="4D7971A3" w14:textId="77777777" w:rsidR="0032050F" w:rsidRPr="00995C95" w:rsidRDefault="0032050F" w:rsidP="00E25E8B">
            <w:pPr>
              <w:pStyle w:val="Marginlie"/>
              <w:rPr>
                <w:color w:val="0D0D0D" w:themeColor="text1" w:themeTint="F2"/>
                <w:spacing w:val="-4"/>
              </w:rPr>
            </w:pPr>
          </w:p>
        </w:tc>
        <w:tc>
          <w:tcPr>
            <w:tcW w:w="176" w:type="dxa"/>
            <w:tcMar>
              <w:left w:w="0" w:type="dxa"/>
            </w:tcMar>
          </w:tcPr>
          <w:p w14:paraId="470963B7" w14:textId="77777777" w:rsidR="0032050F" w:rsidRPr="00995C95" w:rsidRDefault="0032050F" w:rsidP="00E25E8B">
            <w:pPr>
              <w:pStyle w:val="Textpoznpodarou"/>
              <w:jc w:val="both"/>
              <w:rPr>
                <w:color w:val="0D0D0D" w:themeColor="text1" w:themeTint="F2"/>
                <w:spacing w:val="-4"/>
              </w:rPr>
            </w:pPr>
          </w:p>
        </w:tc>
        <w:tc>
          <w:tcPr>
            <w:tcW w:w="7743" w:type="dxa"/>
            <w:tcMar>
              <w:left w:w="0" w:type="dxa"/>
            </w:tcMar>
          </w:tcPr>
          <w:p w14:paraId="4E4333BA" w14:textId="77777777" w:rsidR="0032050F" w:rsidRPr="00995C95" w:rsidRDefault="0032050F" w:rsidP="00E25E8B">
            <w:pPr>
              <w:spacing w:after="200"/>
              <w:rPr>
                <w:rFonts w:eastAsiaTheme="majorEastAsia" w:cs="Arial"/>
                <w:color w:val="000000"/>
                <w:szCs w:val="20"/>
              </w:rPr>
            </w:pPr>
            <w:r w:rsidRPr="00995C95">
              <w:rPr>
                <w:rFonts w:eastAsiaTheme="majorEastAsia" w:cs="Arial"/>
                <w:color w:val="000000"/>
                <w:szCs w:val="20"/>
              </w:rPr>
              <w:t>With consumer price developments stabilising, annual growth of the average real wages rose to 5.1% in Q4 (to 4.6% for the whole last year, similarly in 2024). Although this represents a high growth, it lags by about 1 p. p. in comparison to the boom years 2018 and 2019. Year-on-year, the purchasing power of wages increased in all major economic activities (including the most important branches of manufacturing), which was also valid in previous quarters last year. At the level of the total economy, real wages have been growing, year-on-year, continuously since the beginning of 2024. In total, the current purchasing power of gross wages was currently at the level of Q4 2019, while net earnings already likely moved slightly above this level</w:t>
            </w:r>
            <w:r w:rsidRPr="00995C95">
              <w:rPr>
                <w:rStyle w:val="Znakapoznpodarou"/>
                <w:rFonts w:eastAsia="MS Gothic"/>
                <w:color w:val="0D0D0D" w:themeColor="text1" w:themeTint="F2"/>
                <w:szCs w:val="20"/>
              </w:rPr>
              <w:footnoteReference w:id="115"/>
            </w:r>
            <w:r w:rsidRPr="00995C95">
              <w:rPr>
                <w:rStyle w:val="normaltextrun"/>
                <w:rFonts w:eastAsiaTheme="majorEastAsia" w:cs="Arial"/>
                <w:color w:val="000000"/>
                <w:szCs w:val="20"/>
              </w:rPr>
              <w:t>.</w:t>
            </w:r>
          </w:p>
        </w:tc>
      </w:tr>
      <w:tr w:rsidR="0032050F" w:rsidRPr="00995C95" w14:paraId="0EC3328A" w14:textId="77777777" w:rsidTr="00E25E8B">
        <w:trPr>
          <w:trHeight w:val="132"/>
        </w:trPr>
        <w:tc>
          <w:tcPr>
            <w:tcW w:w="1755" w:type="dxa"/>
            <w:tcMar>
              <w:left w:w="0" w:type="dxa"/>
            </w:tcMar>
          </w:tcPr>
          <w:p w14:paraId="23DE4A41" w14:textId="77777777" w:rsidR="0032050F" w:rsidRPr="00995C95" w:rsidRDefault="0032050F" w:rsidP="00E25E8B">
            <w:pPr>
              <w:pStyle w:val="Marginlie"/>
              <w:rPr>
                <w:color w:val="0D0D0D" w:themeColor="text1" w:themeTint="F2"/>
                <w:spacing w:val="0"/>
              </w:rPr>
            </w:pPr>
            <w:r w:rsidRPr="00995C95">
              <w:rPr>
                <w:color w:val="0D0D0D" w:themeColor="text1" w:themeTint="F2"/>
                <w:spacing w:val="0"/>
              </w:rPr>
              <w:t xml:space="preserve">Wages grew relatively the most in advanced business support services throughout the year, and in the energy sector then in Q4. </w:t>
            </w:r>
          </w:p>
          <w:p w14:paraId="21D36441" w14:textId="77777777" w:rsidR="0032050F" w:rsidRPr="00995C95" w:rsidRDefault="0032050F" w:rsidP="00E25E8B">
            <w:pPr>
              <w:pStyle w:val="Marginlie"/>
              <w:rPr>
                <w:color w:val="0D0D0D" w:themeColor="text1" w:themeTint="F2"/>
                <w:spacing w:val="0"/>
              </w:rPr>
            </w:pPr>
          </w:p>
          <w:p w14:paraId="45B9C46A" w14:textId="77777777" w:rsidR="0032050F" w:rsidRPr="00995C95" w:rsidRDefault="0032050F" w:rsidP="00E25E8B">
            <w:pPr>
              <w:pStyle w:val="Marginlie"/>
              <w:rPr>
                <w:color w:val="0D0D0D" w:themeColor="text1" w:themeTint="F2"/>
                <w:spacing w:val="0"/>
              </w:rPr>
            </w:pPr>
          </w:p>
          <w:p w14:paraId="02B0F632" w14:textId="77777777" w:rsidR="0032050F" w:rsidRPr="00995C95" w:rsidRDefault="0032050F" w:rsidP="00E25E8B">
            <w:pPr>
              <w:pStyle w:val="Marginlie"/>
              <w:rPr>
                <w:color w:val="0D0D0D" w:themeColor="text1" w:themeTint="F2"/>
                <w:spacing w:val="0"/>
              </w:rPr>
            </w:pPr>
          </w:p>
          <w:p w14:paraId="59E18DEA" w14:textId="77777777" w:rsidR="0032050F" w:rsidRPr="00995C95" w:rsidRDefault="0032050F" w:rsidP="00E25E8B">
            <w:pPr>
              <w:pStyle w:val="Marginlie"/>
              <w:rPr>
                <w:color w:val="0D0D0D" w:themeColor="text1" w:themeTint="F2"/>
                <w:spacing w:val="0"/>
              </w:rPr>
            </w:pPr>
          </w:p>
          <w:p w14:paraId="3D0E3B3A" w14:textId="77777777" w:rsidR="0032050F" w:rsidRPr="00995C95" w:rsidRDefault="0032050F" w:rsidP="00E25E8B">
            <w:pPr>
              <w:pStyle w:val="Marginlie"/>
              <w:rPr>
                <w:color w:val="0D0D0D" w:themeColor="text1" w:themeTint="F2"/>
                <w:spacing w:val="0"/>
              </w:rPr>
            </w:pPr>
            <w:r w:rsidRPr="00995C95">
              <w:rPr>
                <w:color w:val="0D0D0D" w:themeColor="text1" w:themeTint="F2"/>
                <w:spacing w:val="0"/>
              </w:rPr>
              <w:t>However, wages of employees in construction and in the primary sector also improved significantly.</w:t>
            </w:r>
          </w:p>
        </w:tc>
        <w:tc>
          <w:tcPr>
            <w:tcW w:w="176" w:type="dxa"/>
            <w:tcMar>
              <w:left w:w="0" w:type="dxa"/>
            </w:tcMar>
          </w:tcPr>
          <w:p w14:paraId="6602FC28" w14:textId="77777777" w:rsidR="0032050F" w:rsidRPr="00995C95" w:rsidRDefault="0032050F" w:rsidP="00E25E8B">
            <w:pPr>
              <w:pStyle w:val="Textpoznpodarou"/>
              <w:jc w:val="both"/>
              <w:rPr>
                <w:color w:val="0D0D0D" w:themeColor="text1" w:themeTint="F2"/>
                <w:spacing w:val="-4"/>
              </w:rPr>
            </w:pPr>
          </w:p>
        </w:tc>
        <w:tc>
          <w:tcPr>
            <w:tcW w:w="7743" w:type="dxa"/>
            <w:tcMar>
              <w:left w:w="0" w:type="dxa"/>
            </w:tcMar>
          </w:tcPr>
          <w:p w14:paraId="1B906D70" w14:textId="77777777" w:rsidR="0032050F" w:rsidRPr="00995C95" w:rsidRDefault="0032050F" w:rsidP="00E25E8B">
            <w:pPr>
              <w:spacing w:after="200"/>
              <w:rPr>
                <w:rFonts w:eastAsiaTheme="majorEastAsia" w:cs="Arial"/>
                <w:color w:val="000000"/>
                <w:szCs w:val="20"/>
              </w:rPr>
            </w:pPr>
            <w:r w:rsidRPr="00995C95">
              <w:rPr>
                <w:rFonts w:eastAsiaTheme="majorEastAsia" w:cs="Arial"/>
                <w:color w:val="000000"/>
                <w:szCs w:val="20"/>
              </w:rPr>
              <w:t>Year-on-year wage growth at the end of last year did not differ much from the rates for the whole 2025 in most economic activities. However, there have traditionally been more significant differences in wage dynamics between economic activities. These were also linked to the payment of extraordinary bonuses and pre-Christmas bonuses in Q4. The wage growth was 15.8% in the energy sector (only 7.8% for the whole last year). The improved economic results of this branch and a lower comparative wage basis were reflected. The high demand for qualified specialists continued in professional, scientific and technical activities, and wages thus increased by 11.8% in Q4 (similarly in the full-year perspective, where it presented the highest growth among all economic activities). However, some branches with traditionally low wage levels also performed well - earnings in agriculture, forestry and fishing grew by 11.5% (the highest since Q1 2008). The growth was driven by good economic results (higher crop yields, growth of the profitability of some livestock farming) and the progressive modernisation of production, which reduces the demand for low-skilled labour force (which is already difficult to access for this branch). Wage growth was 10.9% in construction (it was higher than the pace in the economy as a whole for more than two years), with employment mildly strengthening at the same time. Earnings were higher by 9.1% in administrative and support service activities and by 8% in transportation and storage – in both cases accompanied by long-term declining employment. This is not the case in real estate activities, where wages increased moreover by 8.8% and their level was gradually approaching the level of the total economy.</w:t>
            </w:r>
            <w:r w:rsidRPr="00995C95">
              <w:rPr>
                <w:rStyle w:val="normaltextrun"/>
                <w:rFonts w:eastAsiaTheme="majorEastAsia" w:cs="Arial"/>
                <w:color w:val="000000"/>
                <w:szCs w:val="20"/>
              </w:rPr>
              <w:t xml:space="preserve"> </w:t>
            </w:r>
          </w:p>
        </w:tc>
      </w:tr>
      <w:tr w:rsidR="0032050F" w:rsidRPr="00995C95" w14:paraId="7BA92493" w14:textId="77777777" w:rsidTr="00E25E8B">
        <w:trPr>
          <w:trHeight w:val="132"/>
        </w:trPr>
        <w:tc>
          <w:tcPr>
            <w:tcW w:w="1755" w:type="dxa"/>
            <w:tcMar>
              <w:left w:w="0" w:type="dxa"/>
            </w:tcMar>
          </w:tcPr>
          <w:p w14:paraId="71768B3B" w14:textId="77777777" w:rsidR="0032050F" w:rsidRPr="00995C95" w:rsidRDefault="0032050F" w:rsidP="00E25E8B">
            <w:pPr>
              <w:pStyle w:val="Marginlie"/>
              <w:rPr>
                <w:color w:val="0D0D0D" w:themeColor="text1" w:themeTint="F2"/>
                <w:spacing w:val="0"/>
              </w:rPr>
            </w:pPr>
            <w:r w:rsidRPr="00995C95">
              <w:rPr>
                <w:color w:val="0D0D0D" w:themeColor="text1" w:themeTint="F2"/>
                <w:spacing w:val="0"/>
              </w:rPr>
              <w:t xml:space="preserve">Wage growth in economic activities with an important role of the state lagged behind the </w:t>
            </w:r>
            <w:r w:rsidRPr="00995C95">
              <w:rPr>
                <w:color w:val="0D0D0D" w:themeColor="text1" w:themeTint="F2"/>
                <w:spacing w:val="0"/>
              </w:rPr>
              <w:lastRenderedPageBreak/>
              <w:t xml:space="preserve">economy as a whole for the fourth year in a row last year. </w:t>
            </w:r>
          </w:p>
        </w:tc>
        <w:tc>
          <w:tcPr>
            <w:tcW w:w="176" w:type="dxa"/>
            <w:tcMar>
              <w:left w:w="0" w:type="dxa"/>
            </w:tcMar>
          </w:tcPr>
          <w:p w14:paraId="6BC851FD" w14:textId="77777777" w:rsidR="0032050F" w:rsidRPr="00995C95" w:rsidRDefault="0032050F" w:rsidP="00E25E8B">
            <w:pPr>
              <w:pStyle w:val="Textpoznpodarou"/>
              <w:jc w:val="both"/>
              <w:rPr>
                <w:color w:val="0D0D0D" w:themeColor="text1" w:themeTint="F2"/>
                <w:spacing w:val="-4"/>
              </w:rPr>
            </w:pPr>
          </w:p>
        </w:tc>
        <w:tc>
          <w:tcPr>
            <w:tcW w:w="7743" w:type="dxa"/>
            <w:tcMar>
              <w:left w:w="0" w:type="dxa"/>
            </w:tcMar>
          </w:tcPr>
          <w:p w14:paraId="7EFE44FA" w14:textId="77777777" w:rsidR="0032050F" w:rsidRPr="00995C95" w:rsidRDefault="0032050F" w:rsidP="00E25E8B">
            <w:pPr>
              <w:spacing w:after="200"/>
              <w:rPr>
                <w:rStyle w:val="normaltextrun"/>
                <w:rFonts w:eastAsiaTheme="majorEastAsia" w:cs="Arial"/>
                <w:color w:val="000000"/>
                <w:szCs w:val="20"/>
              </w:rPr>
            </w:pPr>
            <w:r w:rsidRPr="00995C95">
              <w:rPr>
                <w:rFonts w:eastAsiaTheme="majorEastAsia" w:cs="Arial"/>
                <w:color w:val="000000"/>
                <w:szCs w:val="20"/>
              </w:rPr>
              <w:t xml:space="preserve">Wages in economic activities with an important role of the state increased the most in cultural, entertainment and recreational activities in Q4 (and throughout last year), specifically by 9.8% (however, their level remained below average, in contrast to other </w:t>
            </w:r>
            <w:r w:rsidRPr="00995C95">
              <w:rPr>
                <w:rFonts w:eastAsiaTheme="majorEastAsia" w:cs="Arial"/>
                <w:color w:val="000000"/>
                <w:szCs w:val="20"/>
              </w:rPr>
              <w:lastRenderedPageBreak/>
              <w:t xml:space="preserve">areas of public services). Average wages increased by 8.4% in public administration and defence and compulsory social security (their pace strengthened during the year, while in contrast the growth was very low throughout 2024). Weaker wage growth in education (6.6%) and human health and social care (4.5%) was partly </w:t>
            </w:r>
            <w:r>
              <w:rPr>
                <w:rFonts w:eastAsiaTheme="majorEastAsia" w:cs="Arial"/>
                <w:color w:val="000000"/>
                <w:szCs w:val="20"/>
              </w:rPr>
              <w:t>“</w:t>
            </w:r>
            <w:r w:rsidRPr="00995C95">
              <w:rPr>
                <w:rFonts w:eastAsiaTheme="majorEastAsia" w:cs="Arial"/>
                <w:color w:val="000000"/>
                <w:szCs w:val="20"/>
              </w:rPr>
              <w:t>sacrificed</w:t>
            </w:r>
            <w:r>
              <w:rPr>
                <w:rFonts w:eastAsiaTheme="majorEastAsia" w:cs="Arial"/>
                <w:color w:val="000000"/>
                <w:szCs w:val="20"/>
              </w:rPr>
              <w:t>”</w:t>
            </w:r>
            <w:r w:rsidRPr="00995C95">
              <w:rPr>
                <w:rFonts w:eastAsiaTheme="majorEastAsia" w:cs="Arial"/>
                <w:color w:val="000000"/>
                <w:szCs w:val="20"/>
              </w:rPr>
              <w:t xml:space="preserve"> to continued rapid growth of employees (it amounted to over 2% in both cases). In total, wage growth in branches with an important role of the state lagged behind the economy as a whole for the fourth year in a row. </w:t>
            </w:r>
          </w:p>
        </w:tc>
      </w:tr>
      <w:tr w:rsidR="0032050F" w:rsidRPr="00995C95" w14:paraId="510A38F5" w14:textId="77777777" w:rsidTr="00E25E8B">
        <w:trPr>
          <w:trHeight w:val="336"/>
        </w:trPr>
        <w:tc>
          <w:tcPr>
            <w:tcW w:w="1755" w:type="dxa"/>
            <w:vMerge w:val="restart"/>
            <w:tcMar>
              <w:left w:w="0" w:type="dxa"/>
            </w:tcMar>
          </w:tcPr>
          <w:p w14:paraId="22ED220D" w14:textId="77777777" w:rsidR="0032050F" w:rsidRPr="00995C95" w:rsidRDefault="0032050F" w:rsidP="00E25E8B">
            <w:pPr>
              <w:pStyle w:val="Marginlie"/>
              <w:rPr>
                <w:spacing w:val="-4"/>
              </w:rPr>
            </w:pPr>
          </w:p>
        </w:tc>
        <w:tc>
          <w:tcPr>
            <w:tcW w:w="176" w:type="dxa"/>
            <w:vMerge w:val="restart"/>
            <w:tcMar>
              <w:left w:w="0" w:type="dxa"/>
            </w:tcMar>
          </w:tcPr>
          <w:p w14:paraId="7E400FEE" w14:textId="77777777" w:rsidR="0032050F" w:rsidRPr="00995C95" w:rsidRDefault="0032050F" w:rsidP="00E25E8B">
            <w:pPr>
              <w:pStyle w:val="Textpoznpodarou"/>
              <w:jc w:val="both"/>
              <w:rPr>
                <w:spacing w:val="-4"/>
              </w:rPr>
            </w:pPr>
          </w:p>
        </w:tc>
        <w:tc>
          <w:tcPr>
            <w:tcW w:w="7743" w:type="dxa"/>
            <w:tcMar>
              <w:left w:w="0" w:type="dxa"/>
            </w:tcMar>
          </w:tcPr>
          <w:p w14:paraId="7AB01B0A" w14:textId="77777777" w:rsidR="0032050F" w:rsidRPr="00995C95" w:rsidRDefault="0032050F" w:rsidP="00E25E8B">
            <w:pPr>
              <w:spacing w:after="0"/>
              <w:rPr>
                <w:rFonts w:cs="Arial"/>
                <w:b/>
                <w:color w:val="0D0D0D" w:themeColor="text1" w:themeTint="F2"/>
                <w:spacing w:val="-4"/>
                <w:szCs w:val="20"/>
              </w:rPr>
            </w:pPr>
            <w:r w:rsidRPr="00995C95">
              <w:rPr>
                <w:rFonts w:cs="Arial"/>
                <w:b/>
                <w:color w:val="0D0D0D" w:themeColor="text1" w:themeTint="F2"/>
                <w:spacing w:val="-6"/>
                <w:szCs w:val="20"/>
              </w:rPr>
              <w:t xml:space="preserve">Chart 16 </w:t>
            </w:r>
            <w:r w:rsidRPr="00995C95">
              <w:rPr>
                <w:b/>
                <w:spacing w:val="-2"/>
              </w:rPr>
              <w:t xml:space="preserve">Average nominal and real wage and labour productivity in the national economy </w:t>
            </w:r>
            <w:r w:rsidRPr="00995C95">
              <w:rPr>
                <w:spacing w:val="-2"/>
              </w:rPr>
              <w:t>(</w:t>
            </w:r>
            <w:r w:rsidRPr="00995C95">
              <w:rPr>
                <w:bCs/>
                <w:spacing w:val="-2"/>
              </w:rPr>
              <w:t xml:space="preserve">year-on-year change in %) </w:t>
            </w:r>
          </w:p>
        </w:tc>
      </w:tr>
      <w:tr w:rsidR="0032050F" w:rsidRPr="00995C95" w14:paraId="390D6DDE" w14:textId="77777777" w:rsidTr="00E25E8B">
        <w:tblPrEx>
          <w:tblCellMar>
            <w:left w:w="70" w:type="dxa"/>
            <w:right w:w="70" w:type="dxa"/>
          </w:tblCellMar>
        </w:tblPrEx>
        <w:trPr>
          <w:trHeight w:val="1935"/>
        </w:trPr>
        <w:tc>
          <w:tcPr>
            <w:tcW w:w="1755" w:type="dxa"/>
            <w:vMerge/>
          </w:tcPr>
          <w:p w14:paraId="1037DF41" w14:textId="77777777" w:rsidR="0032050F" w:rsidRPr="00995C95" w:rsidRDefault="0032050F" w:rsidP="00E25E8B">
            <w:pPr>
              <w:pStyle w:val="Marginlie"/>
              <w:rPr>
                <w:spacing w:val="-4"/>
              </w:rPr>
            </w:pPr>
          </w:p>
        </w:tc>
        <w:tc>
          <w:tcPr>
            <w:tcW w:w="176" w:type="dxa"/>
            <w:vMerge/>
          </w:tcPr>
          <w:p w14:paraId="4A7C88B2" w14:textId="77777777" w:rsidR="0032050F" w:rsidRPr="00995C95" w:rsidRDefault="0032050F" w:rsidP="00E25E8B">
            <w:pPr>
              <w:pStyle w:val="Textpoznpodarou"/>
              <w:jc w:val="both"/>
              <w:rPr>
                <w:spacing w:val="-4"/>
              </w:rPr>
            </w:pPr>
          </w:p>
        </w:tc>
        <w:tc>
          <w:tcPr>
            <w:tcW w:w="7743" w:type="dxa"/>
          </w:tcPr>
          <w:p w14:paraId="2694E477" w14:textId="77777777" w:rsidR="0032050F" w:rsidRPr="00995C95" w:rsidRDefault="0032050F" w:rsidP="00E25E8B">
            <w:pPr>
              <w:spacing w:before="40" w:after="40"/>
              <w:rPr>
                <w:rFonts w:cs="Arial"/>
                <w:b/>
                <w:color w:val="0D0D0D" w:themeColor="text1" w:themeTint="F2"/>
                <w:spacing w:val="-4"/>
                <w:szCs w:val="20"/>
              </w:rPr>
            </w:pPr>
            <w:r>
              <w:rPr>
                <w:noProof/>
              </w:rPr>
              <w:drawing>
                <wp:inline distT="0" distB="0" distL="0" distR="0" wp14:anchorId="2BF2C798" wp14:editId="1BDFE877">
                  <wp:extent cx="4774956" cy="3959037"/>
                  <wp:effectExtent l="0" t="0" r="6985" b="3810"/>
                  <wp:docPr id="539129459" name="Graf 1">
                    <a:extLst xmlns:a="http://schemas.openxmlformats.org/drawingml/2006/main">
                      <a:ext uri="{FF2B5EF4-FFF2-40B4-BE49-F238E27FC236}">
                        <a16:creationId xmlns:a16="http://schemas.microsoft.com/office/drawing/2014/main" id="{00000000-0008-0000-3A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32050F" w:rsidRPr="00995C95" w14:paraId="74F7C3D9" w14:textId="77777777" w:rsidTr="00E25E8B">
        <w:trPr>
          <w:trHeight w:val="475"/>
        </w:trPr>
        <w:tc>
          <w:tcPr>
            <w:tcW w:w="1755" w:type="dxa"/>
            <w:vMerge/>
            <w:tcMar>
              <w:left w:w="0" w:type="dxa"/>
            </w:tcMar>
          </w:tcPr>
          <w:p w14:paraId="533C9FCF" w14:textId="77777777" w:rsidR="0032050F" w:rsidRPr="00995C95" w:rsidRDefault="0032050F" w:rsidP="00E25E8B">
            <w:pPr>
              <w:pStyle w:val="Marginlie"/>
              <w:rPr>
                <w:spacing w:val="-4"/>
              </w:rPr>
            </w:pPr>
          </w:p>
        </w:tc>
        <w:tc>
          <w:tcPr>
            <w:tcW w:w="176" w:type="dxa"/>
            <w:vMerge/>
            <w:tcMar>
              <w:left w:w="0" w:type="dxa"/>
            </w:tcMar>
          </w:tcPr>
          <w:p w14:paraId="57CBB0F3" w14:textId="77777777" w:rsidR="0032050F" w:rsidRPr="00995C95" w:rsidRDefault="0032050F" w:rsidP="00E25E8B">
            <w:pPr>
              <w:pStyle w:val="Textpoznpodarou"/>
              <w:jc w:val="both"/>
              <w:rPr>
                <w:spacing w:val="-4"/>
              </w:rPr>
            </w:pPr>
          </w:p>
        </w:tc>
        <w:tc>
          <w:tcPr>
            <w:tcW w:w="7743" w:type="dxa"/>
            <w:tcMar>
              <w:left w:w="0" w:type="dxa"/>
            </w:tcMar>
          </w:tcPr>
          <w:p w14:paraId="3C503192" w14:textId="77777777" w:rsidR="0032050F" w:rsidRPr="00995C95" w:rsidRDefault="0032050F" w:rsidP="00E25E8B">
            <w:pPr>
              <w:spacing w:after="0" w:line="240" w:lineRule="auto"/>
              <w:rPr>
                <w:rFonts w:cs="Arial"/>
                <w:color w:val="0D0D0D" w:themeColor="text1" w:themeTint="F2"/>
                <w:spacing w:val="-4"/>
                <w:sz w:val="14"/>
                <w:szCs w:val="14"/>
              </w:rPr>
            </w:pPr>
            <w:r w:rsidRPr="00995C95">
              <w:rPr>
                <w:rFonts w:cs="Arial"/>
                <w:color w:val="0D0D0D" w:themeColor="text1" w:themeTint="F2"/>
                <w:sz w:val="14"/>
                <w:szCs w:val="14"/>
              </w:rPr>
              <w:t>*</w:t>
            </w:r>
            <w:r w:rsidRPr="00995C95">
              <w:rPr>
                <w:rFonts w:cs="Arial"/>
                <w:spacing w:val="-3"/>
                <w:sz w:val="14"/>
                <w:szCs w:val="14"/>
              </w:rPr>
              <w:t xml:space="preserve"> Includes branches with a significant state involvement: Public administration, defence, social security; Education; Human health and social work activities; Cultural, amusement and recreational activities.</w:t>
            </w:r>
          </w:p>
          <w:p w14:paraId="6B8A78F7" w14:textId="77777777" w:rsidR="0032050F" w:rsidRPr="00995C95" w:rsidRDefault="0032050F" w:rsidP="00E25E8B">
            <w:pPr>
              <w:spacing w:after="0" w:line="240" w:lineRule="auto"/>
              <w:rPr>
                <w:rFonts w:cs="Arial"/>
                <w:color w:val="0D0D0D" w:themeColor="text1" w:themeTint="F2"/>
                <w:spacing w:val="-4"/>
                <w:sz w:val="14"/>
                <w:szCs w:val="14"/>
              </w:rPr>
            </w:pPr>
            <w:r w:rsidRPr="00995C95">
              <w:rPr>
                <w:rFonts w:cs="Arial"/>
                <w:color w:val="0D0D0D" w:themeColor="text1" w:themeTint="F2"/>
                <w:spacing w:val="-4"/>
                <w:sz w:val="14"/>
                <w:szCs w:val="14"/>
              </w:rPr>
              <w:t>**Expresses GDP in total economy (in 2020 prices) related to 1 worker (in natural persons).</w:t>
            </w:r>
          </w:p>
          <w:p w14:paraId="3A4F8E26" w14:textId="77777777" w:rsidR="0032050F" w:rsidRPr="00995C95" w:rsidRDefault="0032050F" w:rsidP="00E25E8B">
            <w:pPr>
              <w:spacing w:after="0" w:line="240" w:lineRule="auto"/>
              <w:rPr>
                <w:rFonts w:cs="Arial"/>
                <w:color w:val="0D0D0D" w:themeColor="text1" w:themeTint="F2"/>
                <w:spacing w:val="-4"/>
                <w:sz w:val="14"/>
                <w:szCs w:val="14"/>
              </w:rPr>
            </w:pPr>
            <w:r w:rsidRPr="00995C95">
              <w:rPr>
                <w:rFonts w:cs="Arial"/>
                <w:color w:val="0D0D0D" w:themeColor="text1" w:themeTint="F2"/>
                <w:spacing w:val="-4"/>
                <w:sz w:val="14"/>
                <w:szCs w:val="14"/>
              </w:rPr>
              <w:t xml:space="preserve">***Expresses GDP in total economy (in 2020 prices) related to the total number of hours worked.  </w:t>
            </w:r>
          </w:p>
          <w:p w14:paraId="190D095F" w14:textId="77777777" w:rsidR="0032050F" w:rsidRPr="00995C95" w:rsidRDefault="0032050F" w:rsidP="00E25E8B">
            <w:pPr>
              <w:spacing w:after="0" w:line="240" w:lineRule="auto"/>
              <w:rPr>
                <w:rFonts w:cs="Arial"/>
                <w:color w:val="0D0D0D" w:themeColor="text1" w:themeTint="F2"/>
                <w:spacing w:val="-4"/>
                <w:sz w:val="14"/>
                <w:szCs w:val="14"/>
              </w:rPr>
            </w:pPr>
            <w:r w:rsidRPr="00995C95">
              <w:rPr>
                <w:rFonts w:cs="Arial"/>
                <w:color w:val="0D0D0D" w:themeColor="text1" w:themeTint="F2"/>
                <w:spacing w:val="-4"/>
                <w:sz w:val="14"/>
                <w:szCs w:val="14"/>
              </w:rPr>
              <w:t xml:space="preserve"> </w:t>
            </w:r>
            <w:r w:rsidRPr="00995C95">
              <w:rPr>
                <w:rFonts w:cs="Arial"/>
                <w:color w:val="0D0D0D" w:themeColor="text1" w:themeTint="F2"/>
                <w:sz w:val="14"/>
                <w:szCs w:val="14"/>
              </w:rPr>
              <w:t>Source: CZSO</w:t>
            </w:r>
            <w:r w:rsidRPr="00995C95">
              <w:rPr>
                <w:rFonts w:cs="Arial"/>
                <w:color w:val="0D0D0D" w:themeColor="text1" w:themeTint="F2"/>
                <w:spacing w:val="-4"/>
                <w:sz w:val="14"/>
                <w:szCs w:val="14"/>
              </w:rPr>
              <w:t xml:space="preserve"> </w:t>
            </w:r>
          </w:p>
          <w:p w14:paraId="242D3284" w14:textId="77777777" w:rsidR="0032050F" w:rsidRPr="00995C95" w:rsidRDefault="0032050F" w:rsidP="00E25E8B">
            <w:pPr>
              <w:spacing w:after="0"/>
              <w:rPr>
                <w:rFonts w:cs="Arial"/>
                <w:color w:val="0D0D0D" w:themeColor="text1" w:themeTint="F2"/>
                <w:spacing w:val="-4"/>
                <w:sz w:val="14"/>
                <w:szCs w:val="14"/>
              </w:rPr>
            </w:pPr>
          </w:p>
        </w:tc>
      </w:tr>
      <w:tr w:rsidR="0032050F" w:rsidRPr="00995C95" w14:paraId="6B52ABF7" w14:textId="77777777" w:rsidTr="00E25E8B">
        <w:trPr>
          <w:trHeight w:val="475"/>
        </w:trPr>
        <w:tc>
          <w:tcPr>
            <w:tcW w:w="1755" w:type="dxa"/>
            <w:tcMar>
              <w:left w:w="0" w:type="dxa"/>
            </w:tcMar>
          </w:tcPr>
          <w:p w14:paraId="60214A20" w14:textId="77777777" w:rsidR="0032050F" w:rsidRPr="00995C95" w:rsidRDefault="0032050F" w:rsidP="00E25E8B">
            <w:pPr>
              <w:pStyle w:val="Marginlie"/>
              <w:rPr>
                <w:color w:val="0D0D0D" w:themeColor="text1" w:themeTint="F2"/>
                <w:spacing w:val="0"/>
              </w:rPr>
            </w:pPr>
            <w:r w:rsidRPr="00995C95">
              <w:rPr>
                <w:color w:val="0D0D0D" w:themeColor="text1" w:themeTint="F2"/>
                <w:spacing w:val="0"/>
              </w:rPr>
              <w:t>The persistently moderate wage rates in industry reflect the difficult economic conditions of this branch.</w:t>
            </w:r>
          </w:p>
          <w:p w14:paraId="782595D9" w14:textId="77777777" w:rsidR="0032050F" w:rsidRPr="00995C95" w:rsidRDefault="0032050F" w:rsidP="00E25E8B">
            <w:pPr>
              <w:pStyle w:val="Marginlie"/>
              <w:rPr>
                <w:color w:val="0D0D0D" w:themeColor="text1" w:themeTint="F2"/>
              </w:rPr>
            </w:pPr>
          </w:p>
          <w:p w14:paraId="54F29912" w14:textId="77777777" w:rsidR="0032050F" w:rsidRPr="00995C95" w:rsidRDefault="0032050F" w:rsidP="00E25E8B">
            <w:pPr>
              <w:pStyle w:val="Marginlie"/>
              <w:rPr>
                <w:color w:val="0D0D0D" w:themeColor="text1" w:themeTint="F2"/>
              </w:rPr>
            </w:pPr>
          </w:p>
          <w:p w14:paraId="79E72F76" w14:textId="77777777" w:rsidR="0032050F" w:rsidRPr="00995C95" w:rsidRDefault="0032050F" w:rsidP="00E25E8B">
            <w:pPr>
              <w:pStyle w:val="Marginlie"/>
              <w:rPr>
                <w:color w:val="0D0D0D" w:themeColor="text1" w:themeTint="F2"/>
              </w:rPr>
            </w:pPr>
          </w:p>
          <w:p w14:paraId="3514BF99" w14:textId="77777777" w:rsidR="0032050F" w:rsidRPr="00995C95" w:rsidRDefault="0032050F" w:rsidP="00E25E8B">
            <w:pPr>
              <w:pStyle w:val="Marginlie"/>
              <w:rPr>
                <w:color w:val="0D0D0D" w:themeColor="text1" w:themeTint="F2"/>
              </w:rPr>
            </w:pPr>
          </w:p>
          <w:p w14:paraId="780722A0" w14:textId="77777777" w:rsidR="0032050F" w:rsidRPr="00995C95" w:rsidRDefault="0032050F" w:rsidP="00E25E8B">
            <w:pPr>
              <w:pStyle w:val="Marginlie"/>
              <w:rPr>
                <w:color w:val="0D0D0D" w:themeColor="text1" w:themeTint="F2"/>
                <w:spacing w:val="0"/>
              </w:rPr>
            </w:pPr>
          </w:p>
          <w:p w14:paraId="44C8505B" w14:textId="77777777" w:rsidR="0032050F" w:rsidRPr="00995C95" w:rsidRDefault="0032050F" w:rsidP="00E25E8B">
            <w:pPr>
              <w:pStyle w:val="Marginlie"/>
              <w:rPr>
                <w:color w:val="0D0D0D" w:themeColor="text1" w:themeTint="F2"/>
                <w:spacing w:val="0"/>
              </w:rPr>
            </w:pPr>
          </w:p>
          <w:p w14:paraId="53BF9331" w14:textId="77777777" w:rsidR="0032050F" w:rsidRPr="00995C95" w:rsidRDefault="0032050F" w:rsidP="00E25E8B">
            <w:pPr>
              <w:pStyle w:val="Marginlie"/>
              <w:rPr>
                <w:color w:val="0D0D0D" w:themeColor="text1" w:themeTint="F2"/>
                <w:spacing w:val="0"/>
              </w:rPr>
            </w:pPr>
          </w:p>
          <w:p w14:paraId="777E9A5C" w14:textId="77777777" w:rsidR="0032050F" w:rsidRPr="00995C95" w:rsidRDefault="0032050F" w:rsidP="00E25E8B">
            <w:pPr>
              <w:pStyle w:val="Marginlie"/>
              <w:rPr>
                <w:color w:val="0D0D0D" w:themeColor="text1" w:themeTint="F2"/>
                <w:spacing w:val="0"/>
              </w:rPr>
            </w:pPr>
            <w:r w:rsidRPr="00995C95">
              <w:rPr>
                <w:color w:val="0D0D0D" w:themeColor="text1" w:themeTint="F2"/>
                <w:spacing w:val="0"/>
              </w:rPr>
              <w:t xml:space="preserve">The relative wage pace continued to be below average in the financial and insurance activities.  </w:t>
            </w:r>
          </w:p>
        </w:tc>
        <w:tc>
          <w:tcPr>
            <w:tcW w:w="176" w:type="dxa"/>
            <w:tcMar>
              <w:left w:w="0" w:type="dxa"/>
            </w:tcMar>
          </w:tcPr>
          <w:p w14:paraId="4EF4BA46" w14:textId="77777777" w:rsidR="0032050F" w:rsidRPr="00995C95" w:rsidRDefault="0032050F" w:rsidP="00E25E8B">
            <w:pPr>
              <w:pStyle w:val="Textpoznpodarou"/>
              <w:jc w:val="both"/>
              <w:rPr>
                <w:spacing w:val="-4"/>
              </w:rPr>
            </w:pPr>
          </w:p>
        </w:tc>
        <w:tc>
          <w:tcPr>
            <w:tcW w:w="7743" w:type="dxa"/>
            <w:tcMar>
              <w:left w:w="0" w:type="dxa"/>
            </w:tcMar>
          </w:tcPr>
          <w:p w14:paraId="1D9AFD34" w14:textId="77777777" w:rsidR="0032050F" w:rsidRPr="00995C95" w:rsidRDefault="0032050F" w:rsidP="00E25E8B">
            <w:pPr>
              <w:pStyle w:val="paragraph"/>
              <w:spacing w:before="0" w:beforeAutospacing="0" w:after="0" w:afterAutospacing="0" w:line="276" w:lineRule="auto"/>
              <w:jc w:val="both"/>
              <w:textAlignment w:val="baseline"/>
              <w:rPr>
                <w:rStyle w:val="normaltextrun"/>
                <w:rFonts w:ascii="Arial" w:eastAsiaTheme="majorEastAsia" w:hAnsi="Arial" w:cs="Arial"/>
                <w:color w:val="000000"/>
                <w:sz w:val="20"/>
                <w:szCs w:val="20"/>
              </w:rPr>
            </w:pPr>
            <w:r w:rsidRPr="00995C95">
              <w:rPr>
                <w:rStyle w:val="normaltextrun"/>
                <w:rFonts w:ascii="Arial" w:eastAsiaTheme="majorEastAsia" w:hAnsi="Arial" w:cs="Arial"/>
                <w:color w:val="000000"/>
                <w:sz w:val="20"/>
                <w:szCs w:val="20"/>
              </w:rPr>
              <w:t>Weaker economic results, together with still significant cost pressures, translated into relatively moderate wage growth in manufacturing, which stood at 6.8% in Q4 2025 (6.6% for the full year). Among the main sectors, earnings increased the most in the manufacturing o</w:t>
            </w:r>
            <w:r w:rsidRPr="00995C95">
              <w:rPr>
                <w:rStyle w:val="normaltextrun"/>
                <w:rFonts w:ascii="Arial" w:eastAsiaTheme="majorEastAsia" w:hAnsi="Arial" w:cs="Arial"/>
                <w:color w:val="000000"/>
              </w:rPr>
              <w:t xml:space="preserve">f </w:t>
            </w:r>
            <w:r w:rsidRPr="00995C95">
              <w:rPr>
                <w:rStyle w:val="normaltextrun"/>
                <w:rFonts w:ascii="Arial" w:eastAsiaTheme="majorEastAsia" w:hAnsi="Arial" w:cs="Arial"/>
                <w:color w:val="000000"/>
                <w:sz w:val="20"/>
                <w:szCs w:val="20"/>
              </w:rPr>
              <w:t xml:space="preserve">motor vehicles and motorcycles (+7.5%, to 59.4 CZK thousand per month), the least in its subcontracted branch – rubber and plastics (+5.1%). It remains true that among the main manufacturing branches, the number of employees is expanding only in the food industry (in the automotive sector, on the contrary, the decline is one of the highest: around 3%). Mining and quarrying lost almost a tenth of workers, year-on-year, and the average wage grew at a weaker pace for the second year (by 4.7% in Q4 of last year), and its level (mainly in the annual perspective) did not differ significantly from the total economy. In the trade sector, which concentrates almost a third of employees in the total services market segment, wages increased by 7.1% in Q4 (by 6.4%, year-on-year). The same was true in accommodation, food service and restaurants, as well as in information and communication (ICT). Still, the average earnings in ICT (90.7 thousand CZK) remained at the top among the economic activities and were three times higher than in accommodation, food service and restaurants. </w:t>
            </w:r>
            <w:r w:rsidRPr="00995C95">
              <w:rPr>
                <w:rStyle w:val="normaltextrun"/>
                <w:rFonts w:ascii="Arial" w:eastAsiaTheme="majorEastAsia" w:hAnsi="Arial" w:cs="Arial"/>
                <w:color w:val="000000"/>
                <w:sz w:val="20"/>
                <w:szCs w:val="20"/>
              </w:rPr>
              <w:lastRenderedPageBreak/>
              <w:t>Wages increased by only 3.7% (by 5.2% for the whole last year, which was the third year in a row at a below-average pace) in the financial and insurance activities. However, non-wage financial benefits also play a relatively substantial role in this economic activity (the importance of which may have been strengthened due to a slight increase of taxation of high-income earners – in connection with the consolidation package effective from 2024). The weakest wage growth occurred in the small low-profit branch of other services activities (+3.4%)</w:t>
            </w:r>
            <w:r w:rsidRPr="00995C95">
              <w:rPr>
                <w:rStyle w:val="Znakapoznpodarou"/>
                <w:rFonts w:ascii="Arial" w:eastAsia="MS Gothic" w:hAnsi="Arial" w:cs="Arial"/>
                <w:color w:val="0D0D0D" w:themeColor="text1" w:themeTint="F2"/>
                <w:sz w:val="20"/>
                <w:szCs w:val="20"/>
              </w:rPr>
              <w:footnoteReference w:id="116"/>
            </w:r>
            <w:r w:rsidRPr="00995C95">
              <w:rPr>
                <w:rStyle w:val="normaltextrun"/>
                <w:rFonts w:ascii="Arial" w:eastAsiaTheme="majorEastAsia" w:hAnsi="Arial" w:cs="Arial"/>
                <w:color w:val="000000"/>
                <w:sz w:val="20"/>
                <w:szCs w:val="20"/>
              </w:rPr>
              <w:t>.</w:t>
            </w:r>
          </w:p>
          <w:p w14:paraId="5DF06B56" w14:textId="77777777" w:rsidR="0032050F" w:rsidRPr="00995C95" w:rsidRDefault="0032050F" w:rsidP="00E25E8B">
            <w:pPr>
              <w:pStyle w:val="paragraph"/>
              <w:spacing w:before="0" w:beforeAutospacing="0" w:after="0" w:afterAutospacing="0" w:line="276" w:lineRule="auto"/>
              <w:jc w:val="both"/>
              <w:textAlignment w:val="baseline"/>
              <w:rPr>
                <w:rStyle w:val="normaltextrun"/>
                <w:rFonts w:ascii="Arial" w:eastAsiaTheme="majorEastAsia" w:hAnsi="Arial" w:cs="Arial"/>
                <w:color w:val="000000"/>
                <w:sz w:val="20"/>
                <w:szCs w:val="20"/>
              </w:rPr>
            </w:pPr>
          </w:p>
        </w:tc>
      </w:tr>
      <w:tr w:rsidR="0032050F" w:rsidRPr="00995C95" w14:paraId="4A03E904" w14:textId="77777777" w:rsidTr="00E25E8B">
        <w:trPr>
          <w:trHeight w:val="475"/>
        </w:trPr>
        <w:tc>
          <w:tcPr>
            <w:tcW w:w="1755" w:type="dxa"/>
            <w:tcMar>
              <w:left w:w="0" w:type="dxa"/>
            </w:tcMar>
          </w:tcPr>
          <w:p w14:paraId="5D9C07E2" w14:textId="77777777" w:rsidR="0032050F" w:rsidRPr="00995C95" w:rsidRDefault="0032050F" w:rsidP="00E25E8B">
            <w:pPr>
              <w:pStyle w:val="Marginlie"/>
              <w:rPr>
                <w:spacing w:val="-4"/>
              </w:rPr>
            </w:pPr>
            <w:r w:rsidRPr="00995C95">
              <w:rPr>
                <w:color w:val="0D0D0D" w:themeColor="text1" w:themeTint="F2"/>
                <w:spacing w:val="0"/>
              </w:rPr>
              <w:lastRenderedPageBreak/>
              <w:t>Prague continued to report the relatively highest wage and employment growth among the regions.</w:t>
            </w:r>
          </w:p>
        </w:tc>
        <w:tc>
          <w:tcPr>
            <w:tcW w:w="176" w:type="dxa"/>
            <w:tcMar>
              <w:left w:w="0" w:type="dxa"/>
            </w:tcMar>
          </w:tcPr>
          <w:p w14:paraId="45E74B55" w14:textId="77777777" w:rsidR="0032050F" w:rsidRPr="00995C95" w:rsidRDefault="0032050F" w:rsidP="00E25E8B">
            <w:pPr>
              <w:pStyle w:val="Textpoznpodarou"/>
              <w:jc w:val="both"/>
              <w:rPr>
                <w:spacing w:val="-4"/>
              </w:rPr>
            </w:pPr>
          </w:p>
        </w:tc>
        <w:tc>
          <w:tcPr>
            <w:tcW w:w="7743" w:type="dxa"/>
            <w:tcMar>
              <w:left w:w="0" w:type="dxa"/>
            </w:tcMar>
          </w:tcPr>
          <w:p w14:paraId="5541DABD" w14:textId="77777777" w:rsidR="0032050F" w:rsidRPr="00995C95" w:rsidRDefault="0032050F" w:rsidP="00E25E8B">
            <w:pPr>
              <w:pStyle w:val="paragraph"/>
              <w:spacing w:before="0" w:beforeAutospacing="0" w:after="0" w:afterAutospacing="0" w:line="276" w:lineRule="auto"/>
              <w:jc w:val="both"/>
              <w:textAlignment w:val="baseline"/>
              <w:rPr>
                <w:rStyle w:val="normaltextrun"/>
                <w:rFonts w:ascii="Arial" w:eastAsiaTheme="majorEastAsia" w:hAnsi="Arial" w:cs="Arial"/>
                <w:color w:val="000000"/>
                <w:sz w:val="20"/>
                <w:szCs w:val="20"/>
              </w:rPr>
            </w:pPr>
            <w:r w:rsidRPr="00995C95">
              <w:rPr>
                <w:rFonts w:ascii="Arial" w:eastAsiaTheme="majorEastAsia" w:hAnsi="Arial" w:cs="Arial"/>
                <w:color w:val="000000"/>
                <w:sz w:val="20"/>
                <w:szCs w:val="20"/>
              </w:rPr>
              <w:t xml:space="preserve">Among the regions, average nominal wages grew the most, year-on-year, in Prague (+7.8%), among the other regions in the </w:t>
            </w:r>
            <w:r>
              <w:rPr>
                <w:rFonts w:ascii="Arial" w:eastAsiaTheme="majorEastAsia" w:hAnsi="Arial" w:cs="Arial"/>
                <w:color w:val="000000"/>
                <w:sz w:val="20"/>
                <w:szCs w:val="20"/>
              </w:rPr>
              <w:t>“</w:t>
            </w:r>
            <w:proofErr w:type="spellStart"/>
            <w:r w:rsidRPr="00995C95">
              <w:rPr>
                <w:rFonts w:ascii="Arial" w:eastAsiaTheme="majorEastAsia" w:hAnsi="Arial" w:cs="Arial"/>
                <w:i/>
                <w:iCs/>
                <w:color w:val="000000"/>
                <w:sz w:val="20"/>
                <w:szCs w:val="20"/>
              </w:rPr>
              <w:t>Pardubický</w:t>
            </w:r>
            <w:proofErr w:type="spellEnd"/>
            <w:r w:rsidRPr="00995C95">
              <w:rPr>
                <w:rFonts w:ascii="Arial" w:eastAsiaTheme="majorEastAsia" w:hAnsi="Arial" w:cs="Arial"/>
                <w:color w:val="000000"/>
                <w:sz w:val="20"/>
                <w:szCs w:val="20"/>
              </w:rPr>
              <w:t xml:space="preserve"> region” (+7.7%), </w:t>
            </w:r>
            <w:r>
              <w:rPr>
                <w:rFonts w:ascii="Arial" w:eastAsiaTheme="majorEastAsia" w:hAnsi="Arial" w:cs="Arial"/>
                <w:color w:val="000000"/>
                <w:sz w:val="20"/>
                <w:szCs w:val="20"/>
              </w:rPr>
              <w:t>“</w:t>
            </w:r>
            <w:proofErr w:type="spellStart"/>
            <w:r w:rsidRPr="00995C95">
              <w:rPr>
                <w:rFonts w:ascii="Arial" w:eastAsiaTheme="majorEastAsia" w:hAnsi="Arial" w:cs="Arial"/>
                <w:i/>
                <w:iCs/>
                <w:color w:val="000000"/>
                <w:sz w:val="20"/>
                <w:szCs w:val="20"/>
              </w:rPr>
              <w:t>Jihomoravský</w:t>
            </w:r>
            <w:proofErr w:type="spellEnd"/>
            <w:r w:rsidRPr="00995C95">
              <w:rPr>
                <w:rFonts w:ascii="Arial" w:eastAsiaTheme="majorEastAsia" w:hAnsi="Arial" w:cs="Arial"/>
                <w:color w:val="000000"/>
                <w:sz w:val="20"/>
                <w:szCs w:val="20"/>
              </w:rPr>
              <w:t xml:space="preserve"> region” (+7.5%) and </w:t>
            </w:r>
            <w:r>
              <w:rPr>
                <w:rFonts w:ascii="Arial" w:eastAsiaTheme="majorEastAsia" w:hAnsi="Arial" w:cs="Arial"/>
                <w:color w:val="000000"/>
                <w:sz w:val="20"/>
                <w:szCs w:val="20"/>
              </w:rPr>
              <w:t>“</w:t>
            </w:r>
            <w:proofErr w:type="spellStart"/>
            <w:r w:rsidRPr="00995C95">
              <w:rPr>
                <w:rFonts w:ascii="Arial" w:eastAsiaTheme="majorEastAsia" w:hAnsi="Arial" w:cs="Arial"/>
                <w:i/>
                <w:iCs/>
                <w:color w:val="000000"/>
                <w:sz w:val="20"/>
                <w:szCs w:val="20"/>
              </w:rPr>
              <w:t>Moravskoslezský</w:t>
            </w:r>
            <w:proofErr w:type="spellEnd"/>
            <w:r w:rsidRPr="00995C95">
              <w:rPr>
                <w:rFonts w:ascii="Arial" w:eastAsiaTheme="majorEastAsia" w:hAnsi="Arial" w:cs="Arial"/>
                <w:color w:val="000000"/>
                <w:sz w:val="20"/>
                <w:szCs w:val="20"/>
              </w:rPr>
              <w:t xml:space="preserve"> region” (+7.4%), in which, unlike in the above</w:t>
            </w:r>
            <w:r>
              <w:rPr>
                <w:rFonts w:ascii="Arial" w:eastAsiaTheme="majorEastAsia" w:hAnsi="Arial" w:cs="Arial"/>
                <w:color w:val="000000"/>
                <w:sz w:val="20"/>
                <w:szCs w:val="20"/>
              </w:rPr>
              <w:t>-</w:t>
            </w:r>
            <w:r w:rsidRPr="00995C95">
              <w:rPr>
                <w:rFonts w:ascii="Arial" w:eastAsiaTheme="majorEastAsia" w:hAnsi="Arial" w:cs="Arial"/>
                <w:color w:val="000000"/>
                <w:sz w:val="20"/>
                <w:szCs w:val="20"/>
              </w:rPr>
              <w:t>mentioned regions, this was associated with a reduction o</w:t>
            </w:r>
            <w:r w:rsidRPr="00995C95">
              <w:rPr>
                <w:rFonts w:eastAsiaTheme="majorEastAsia"/>
              </w:rPr>
              <w:t>f</w:t>
            </w:r>
            <w:r w:rsidRPr="00995C95">
              <w:rPr>
                <w:rFonts w:ascii="Arial" w:eastAsiaTheme="majorEastAsia" w:hAnsi="Arial" w:cs="Arial"/>
                <w:color w:val="000000"/>
                <w:sz w:val="20"/>
                <w:szCs w:val="20"/>
              </w:rPr>
              <w:t xml:space="preserve"> employment. Wages increased the least in the </w:t>
            </w:r>
            <w:r>
              <w:rPr>
                <w:rFonts w:ascii="Arial" w:eastAsiaTheme="majorEastAsia" w:hAnsi="Arial" w:cs="Arial"/>
                <w:color w:val="000000"/>
                <w:sz w:val="20"/>
                <w:szCs w:val="20"/>
              </w:rPr>
              <w:t>“</w:t>
            </w:r>
            <w:proofErr w:type="spellStart"/>
            <w:r w:rsidRPr="00995C95">
              <w:rPr>
                <w:rFonts w:ascii="Arial" w:eastAsiaTheme="majorEastAsia" w:hAnsi="Arial" w:cs="Arial"/>
                <w:color w:val="000000"/>
                <w:sz w:val="20"/>
                <w:szCs w:val="20"/>
              </w:rPr>
              <w:t>Karlovarský</w:t>
            </w:r>
            <w:proofErr w:type="spellEnd"/>
            <w:r w:rsidRPr="00995C95">
              <w:rPr>
                <w:rFonts w:ascii="Arial" w:eastAsiaTheme="majorEastAsia" w:hAnsi="Arial" w:cs="Arial"/>
                <w:i/>
                <w:iCs/>
                <w:color w:val="000000"/>
                <w:sz w:val="20"/>
                <w:szCs w:val="20"/>
              </w:rPr>
              <w:t xml:space="preserve">, </w:t>
            </w:r>
            <w:proofErr w:type="spellStart"/>
            <w:r w:rsidRPr="00995C95">
              <w:rPr>
                <w:rFonts w:ascii="Arial" w:eastAsiaTheme="majorEastAsia" w:hAnsi="Arial" w:cs="Arial"/>
                <w:i/>
                <w:iCs/>
                <w:color w:val="000000"/>
                <w:sz w:val="20"/>
                <w:szCs w:val="20"/>
              </w:rPr>
              <w:t>Liberecký</w:t>
            </w:r>
            <w:proofErr w:type="spellEnd"/>
            <w:r w:rsidRPr="00995C95">
              <w:rPr>
                <w:rFonts w:ascii="Arial" w:eastAsiaTheme="majorEastAsia" w:hAnsi="Arial" w:cs="Arial"/>
                <w:color w:val="000000"/>
                <w:sz w:val="20"/>
                <w:szCs w:val="20"/>
              </w:rPr>
              <w:t xml:space="preserve"> and </w:t>
            </w:r>
            <w:proofErr w:type="spellStart"/>
            <w:r w:rsidRPr="00995C95">
              <w:rPr>
                <w:rFonts w:ascii="Arial" w:eastAsiaTheme="majorEastAsia" w:hAnsi="Arial" w:cs="Arial"/>
                <w:i/>
                <w:iCs/>
                <w:color w:val="000000"/>
                <w:sz w:val="20"/>
                <w:szCs w:val="20"/>
              </w:rPr>
              <w:t>Zlínský</w:t>
            </w:r>
            <w:proofErr w:type="spellEnd"/>
            <w:r w:rsidRPr="00995C95">
              <w:rPr>
                <w:rFonts w:ascii="Arial" w:eastAsiaTheme="majorEastAsia" w:hAnsi="Arial" w:cs="Arial"/>
                <w:color w:val="000000"/>
                <w:sz w:val="20"/>
                <w:szCs w:val="20"/>
              </w:rPr>
              <w:t xml:space="preserve"> region” (from 6.1% to 6.3%). An almost identical picture was evident for the whole 2025. The wage level is currently above the level of the t</w:t>
            </w:r>
            <w:r w:rsidRPr="00995C95">
              <w:rPr>
                <w:rFonts w:eastAsiaTheme="majorEastAsia"/>
              </w:rPr>
              <w:t xml:space="preserve">otal </w:t>
            </w:r>
            <w:r w:rsidRPr="00995C95">
              <w:rPr>
                <w:rFonts w:ascii="Arial" w:eastAsiaTheme="majorEastAsia" w:hAnsi="Arial" w:cs="Arial"/>
                <w:color w:val="000000"/>
                <w:sz w:val="20"/>
                <w:szCs w:val="20"/>
              </w:rPr>
              <w:t xml:space="preserve">economy only in Prague (+24%) and was just below the average in the </w:t>
            </w:r>
            <w:r>
              <w:rPr>
                <w:rFonts w:ascii="Arial" w:eastAsiaTheme="majorEastAsia" w:hAnsi="Arial" w:cs="Arial"/>
                <w:color w:val="000000"/>
                <w:sz w:val="20"/>
                <w:szCs w:val="20"/>
              </w:rPr>
              <w:t>“</w:t>
            </w:r>
            <w:proofErr w:type="spellStart"/>
            <w:r w:rsidRPr="00995C95">
              <w:rPr>
                <w:rFonts w:ascii="Arial" w:eastAsiaTheme="majorEastAsia" w:hAnsi="Arial" w:cs="Arial"/>
                <w:i/>
                <w:iCs/>
                <w:color w:val="000000"/>
                <w:sz w:val="20"/>
                <w:szCs w:val="20"/>
              </w:rPr>
              <w:t>Středočeský</w:t>
            </w:r>
            <w:proofErr w:type="spellEnd"/>
            <w:r w:rsidRPr="00995C95">
              <w:rPr>
                <w:rFonts w:ascii="Arial" w:eastAsiaTheme="majorEastAsia" w:hAnsi="Arial" w:cs="Arial"/>
                <w:color w:val="000000"/>
                <w:sz w:val="20"/>
                <w:szCs w:val="20"/>
              </w:rPr>
              <w:t xml:space="preserve"> and </w:t>
            </w:r>
            <w:proofErr w:type="spellStart"/>
            <w:r w:rsidRPr="00995C95">
              <w:rPr>
                <w:rFonts w:ascii="Arial" w:eastAsiaTheme="majorEastAsia" w:hAnsi="Arial" w:cs="Arial"/>
                <w:i/>
                <w:iCs/>
                <w:color w:val="000000"/>
                <w:sz w:val="20"/>
                <w:szCs w:val="20"/>
              </w:rPr>
              <w:t>Jihomoravský</w:t>
            </w:r>
            <w:proofErr w:type="spellEnd"/>
            <w:r w:rsidRPr="00995C95">
              <w:rPr>
                <w:rFonts w:ascii="Arial" w:eastAsiaTheme="majorEastAsia" w:hAnsi="Arial" w:cs="Arial"/>
                <w:color w:val="000000"/>
                <w:sz w:val="20"/>
                <w:szCs w:val="20"/>
              </w:rPr>
              <w:t xml:space="preserve"> regions”, while it lagged behind the most in the </w:t>
            </w:r>
            <w:r>
              <w:rPr>
                <w:rFonts w:ascii="Arial" w:eastAsiaTheme="majorEastAsia" w:hAnsi="Arial" w:cs="Arial"/>
                <w:color w:val="000000"/>
                <w:sz w:val="20"/>
                <w:szCs w:val="20"/>
              </w:rPr>
              <w:t>“</w:t>
            </w:r>
            <w:proofErr w:type="spellStart"/>
            <w:r w:rsidRPr="00995C95">
              <w:rPr>
                <w:rFonts w:ascii="Arial" w:eastAsiaTheme="majorEastAsia" w:hAnsi="Arial" w:cs="Arial"/>
                <w:i/>
                <w:iCs/>
                <w:color w:val="000000"/>
                <w:sz w:val="20"/>
                <w:szCs w:val="20"/>
              </w:rPr>
              <w:t>Karlovarský</w:t>
            </w:r>
            <w:proofErr w:type="spellEnd"/>
            <w:r w:rsidRPr="00995C95">
              <w:rPr>
                <w:rFonts w:ascii="Arial" w:eastAsiaTheme="majorEastAsia" w:hAnsi="Arial" w:cs="Arial"/>
                <w:color w:val="000000"/>
                <w:sz w:val="20"/>
                <w:szCs w:val="20"/>
              </w:rPr>
              <w:t xml:space="preserve"> region” (−14%) and by a tenth in the </w:t>
            </w:r>
            <w:r>
              <w:rPr>
                <w:rFonts w:ascii="Arial" w:eastAsiaTheme="majorEastAsia" w:hAnsi="Arial" w:cs="Arial"/>
                <w:color w:val="000000"/>
                <w:sz w:val="20"/>
                <w:szCs w:val="20"/>
              </w:rPr>
              <w:t>“</w:t>
            </w:r>
            <w:proofErr w:type="spellStart"/>
            <w:r w:rsidRPr="00995C95">
              <w:rPr>
                <w:rFonts w:ascii="Arial" w:eastAsiaTheme="majorEastAsia" w:hAnsi="Arial" w:cs="Arial"/>
                <w:i/>
                <w:iCs/>
                <w:color w:val="000000"/>
                <w:sz w:val="20"/>
                <w:szCs w:val="20"/>
              </w:rPr>
              <w:t>Liberecký</w:t>
            </w:r>
            <w:proofErr w:type="spellEnd"/>
            <w:r w:rsidRPr="00995C95">
              <w:rPr>
                <w:rFonts w:ascii="Arial" w:eastAsiaTheme="majorEastAsia" w:hAnsi="Arial" w:cs="Arial"/>
                <w:color w:val="000000"/>
                <w:sz w:val="20"/>
                <w:szCs w:val="20"/>
              </w:rPr>
              <w:t xml:space="preserve">, </w:t>
            </w:r>
            <w:proofErr w:type="spellStart"/>
            <w:r w:rsidRPr="00995C95">
              <w:rPr>
                <w:rFonts w:ascii="Arial" w:eastAsiaTheme="majorEastAsia" w:hAnsi="Arial" w:cs="Arial"/>
                <w:i/>
                <w:iCs/>
                <w:color w:val="000000"/>
                <w:sz w:val="20"/>
                <w:szCs w:val="20"/>
              </w:rPr>
              <w:t>Olomoucký</w:t>
            </w:r>
            <w:proofErr w:type="spellEnd"/>
            <w:r w:rsidRPr="00995C95">
              <w:rPr>
                <w:rFonts w:ascii="Arial" w:eastAsiaTheme="majorEastAsia" w:hAnsi="Arial" w:cs="Arial"/>
                <w:color w:val="000000"/>
                <w:sz w:val="20"/>
                <w:szCs w:val="20"/>
              </w:rPr>
              <w:t xml:space="preserve">, </w:t>
            </w:r>
            <w:proofErr w:type="spellStart"/>
            <w:r w:rsidRPr="00995C95">
              <w:rPr>
                <w:rFonts w:ascii="Arial" w:eastAsiaTheme="majorEastAsia" w:hAnsi="Arial" w:cs="Arial"/>
                <w:i/>
                <w:iCs/>
                <w:color w:val="000000"/>
                <w:sz w:val="20"/>
                <w:szCs w:val="20"/>
              </w:rPr>
              <w:t>Zlínský</w:t>
            </w:r>
            <w:proofErr w:type="spellEnd"/>
            <w:r w:rsidRPr="00995C95">
              <w:rPr>
                <w:rFonts w:ascii="Arial" w:eastAsiaTheme="majorEastAsia" w:hAnsi="Arial" w:cs="Arial"/>
                <w:color w:val="000000"/>
                <w:sz w:val="20"/>
                <w:szCs w:val="20"/>
              </w:rPr>
              <w:t xml:space="preserve"> and </w:t>
            </w:r>
            <w:proofErr w:type="spellStart"/>
            <w:r w:rsidRPr="00995C95">
              <w:rPr>
                <w:rFonts w:ascii="Arial" w:eastAsiaTheme="majorEastAsia" w:hAnsi="Arial" w:cs="Arial"/>
                <w:i/>
                <w:iCs/>
                <w:color w:val="000000"/>
                <w:sz w:val="20"/>
                <w:szCs w:val="20"/>
              </w:rPr>
              <w:t>Moravskoslezský</w:t>
            </w:r>
            <w:proofErr w:type="spellEnd"/>
            <w:r w:rsidRPr="00995C95">
              <w:rPr>
                <w:rFonts w:ascii="Arial" w:eastAsiaTheme="majorEastAsia" w:hAnsi="Arial" w:cs="Arial"/>
                <w:color w:val="000000"/>
                <w:sz w:val="20"/>
                <w:szCs w:val="20"/>
              </w:rPr>
              <w:t xml:space="preserve"> regions”.  </w:t>
            </w:r>
            <w:r w:rsidRPr="00995C95">
              <w:rPr>
                <w:rStyle w:val="normaltextrun"/>
                <w:rFonts w:ascii="Arial" w:eastAsiaTheme="majorEastAsia" w:hAnsi="Arial" w:cs="Arial"/>
                <w:color w:val="000000"/>
                <w:sz w:val="20"/>
                <w:szCs w:val="20"/>
              </w:rPr>
              <w:t xml:space="preserve"> </w:t>
            </w:r>
          </w:p>
          <w:p w14:paraId="5A715CD9" w14:textId="77777777" w:rsidR="0032050F" w:rsidRPr="00995C95" w:rsidRDefault="0032050F" w:rsidP="00E25E8B">
            <w:pPr>
              <w:spacing w:after="0"/>
              <w:rPr>
                <w:rFonts w:cs="Arial"/>
                <w:color w:val="0D0D0D" w:themeColor="text1" w:themeTint="F2"/>
                <w:spacing w:val="-4"/>
                <w:sz w:val="14"/>
                <w:szCs w:val="14"/>
              </w:rPr>
            </w:pPr>
          </w:p>
        </w:tc>
      </w:tr>
      <w:tr w:rsidR="0032050F" w:rsidRPr="00995C95" w14:paraId="0231E6B9" w14:textId="77777777" w:rsidTr="00E25E8B">
        <w:trPr>
          <w:trHeight w:val="475"/>
        </w:trPr>
        <w:tc>
          <w:tcPr>
            <w:tcW w:w="1755" w:type="dxa"/>
            <w:tcMar>
              <w:left w:w="0" w:type="dxa"/>
            </w:tcMar>
          </w:tcPr>
          <w:p w14:paraId="130F25C8" w14:textId="77777777" w:rsidR="0032050F" w:rsidRPr="00995C95" w:rsidRDefault="0032050F" w:rsidP="00E25E8B">
            <w:pPr>
              <w:pStyle w:val="Marginlie"/>
              <w:rPr>
                <w:color w:val="0D0D0D" w:themeColor="text1" w:themeTint="F2"/>
                <w:spacing w:val="-4"/>
              </w:rPr>
            </w:pPr>
            <w:r w:rsidRPr="00995C95">
              <w:rPr>
                <w:color w:val="0D0D0D" w:themeColor="text1" w:themeTint="F2"/>
                <w:spacing w:val="-4"/>
              </w:rPr>
              <w:t xml:space="preserve">Wage growth of the lowest-paid employees accelerated significantly at the end of the year. </w:t>
            </w:r>
          </w:p>
          <w:p w14:paraId="47292FA4" w14:textId="77777777" w:rsidR="0032050F" w:rsidRPr="00995C95" w:rsidRDefault="0032050F" w:rsidP="00E25E8B">
            <w:pPr>
              <w:pStyle w:val="Marginlie"/>
              <w:rPr>
                <w:color w:val="0D0D0D" w:themeColor="text1" w:themeTint="F2"/>
                <w:spacing w:val="-4"/>
              </w:rPr>
            </w:pPr>
          </w:p>
          <w:p w14:paraId="12157315" w14:textId="77777777" w:rsidR="0032050F" w:rsidRPr="00995C95" w:rsidRDefault="0032050F" w:rsidP="00E25E8B">
            <w:pPr>
              <w:pStyle w:val="Marginlie"/>
              <w:rPr>
                <w:color w:val="0D0D0D" w:themeColor="text1" w:themeTint="F2"/>
                <w:spacing w:val="-4"/>
              </w:rPr>
            </w:pPr>
          </w:p>
          <w:p w14:paraId="5BECB190" w14:textId="77777777" w:rsidR="0032050F" w:rsidRPr="00995C95" w:rsidRDefault="0032050F" w:rsidP="00E25E8B">
            <w:pPr>
              <w:pStyle w:val="Marginlie"/>
              <w:rPr>
                <w:color w:val="0D0D0D" w:themeColor="text1" w:themeTint="F2"/>
                <w:spacing w:val="-4"/>
              </w:rPr>
            </w:pPr>
          </w:p>
          <w:p w14:paraId="2264BF5A" w14:textId="77777777" w:rsidR="0032050F" w:rsidRPr="00995C95" w:rsidRDefault="0032050F" w:rsidP="00E25E8B">
            <w:pPr>
              <w:pStyle w:val="Marginlie"/>
              <w:rPr>
                <w:spacing w:val="-4"/>
              </w:rPr>
            </w:pPr>
            <w:r w:rsidRPr="00995C95">
              <w:rPr>
                <w:color w:val="0D0D0D" w:themeColor="text1" w:themeTint="F2"/>
                <w:spacing w:val="-4"/>
              </w:rPr>
              <w:t xml:space="preserve">The total wage differentials increased year-on-year. However, the earnings gap between men and women has narrowed. </w:t>
            </w:r>
          </w:p>
        </w:tc>
        <w:tc>
          <w:tcPr>
            <w:tcW w:w="176" w:type="dxa"/>
            <w:tcMar>
              <w:left w:w="0" w:type="dxa"/>
            </w:tcMar>
          </w:tcPr>
          <w:p w14:paraId="0E0D919A" w14:textId="77777777" w:rsidR="0032050F" w:rsidRPr="00995C95" w:rsidRDefault="0032050F" w:rsidP="00E25E8B">
            <w:pPr>
              <w:pStyle w:val="Textpoznpodarou"/>
              <w:jc w:val="both"/>
              <w:rPr>
                <w:spacing w:val="-4"/>
              </w:rPr>
            </w:pPr>
          </w:p>
        </w:tc>
        <w:tc>
          <w:tcPr>
            <w:tcW w:w="7743" w:type="dxa"/>
            <w:tcMar>
              <w:left w:w="0" w:type="dxa"/>
            </w:tcMar>
          </w:tcPr>
          <w:p w14:paraId="3997735F" w14:textId="77777777" w:rsidR="0032050F" w:rsidRPr="00995C95" w:rsidRDefault="0032050F" w:rsidP="00E25E8B">
            <w:pPr>
              <w:pStyle w:val="paragraph"/>
              <w:spacing w:before="0" w:beforeAutospacing="0" w:after="0" w:afterAutospacing="0" w:line="276" w:lineRule="auto"/>
              <w:jc w:val="both"/>
              <w:textAlignment w:val="baseline"/>
              <w:rPr>
                <w:rFonts w:ascii="Arial" w:eastAsiaTheme="majorEastAsia" w:hAnsi="Arial" w:cs="Arial"/>
                <w:color w:val="000000"/>
                <w:sz w:val="20"/>
                <w:szCs w:val="20"/>
              </w:rPr>
            </w:pPr>
            <w:r w:rsidRPr="00995C95">
              <w:rPr>
                <w:rFonts w:ascii="Arial" w:eastAsiaTheme="majorEastAsia" w:hAnsi="Arial" w:cs="Arial"/>
                <w:color w:val="000000"/>
                <w:sz w:val="20"/>
                <w:szCs w:val="20"/>
              </w:rPr>
              <w:t xml:space="preserve">Median wages reached 45.5 thousand CZK per month in Q4 and increased by 8.8%, year-on-year, i.e. the highest in the last four and a half years (the full-year median wage reached 44.3 thousand CZK last year, +6.4%, year-on-year). It grew faster at the end of the year for females (9.5%, to 42.7 thousand). The tenth of employees with the lowest wages received a gross monthly wage below 23.3 thousand CZK (the lower decile increased by a high 13.8%, year-on-year), the tenth with the highest wages earned above 89.0 thousand CZK (the top decile increased by 7.8%). Total wage differentials thus decreased, year-on-year, in Q4 (nevertheless, they were almost unchanged in the previous part of last year). The gap in median earnings by gender decreased by 1 p. p. and amounted to 11.7% (for earnings on the lower decile the difference was only 3.8%). The lowest wages grew relatively the most in total, mainly due to a number of market services branches (but partly also the state – e.g. in cultural and social services), where the shortage of free labour force is deepening and at the same time (even after the abolition of guaranteed wages in the market sphere) the continuing growth of the statutory minimum wage still has a partial influence. </w:t>
            </w:r>
          </w:p>
        </w:tc>
      </w:tr>
    </w:tbl>
    <w:p w14:paraId="4F6CE733" w14:textId="77777777" w:rsidR="0032050F" w:rsidRDefault="0032050F" w:rsidP="0032050F">
      <w:pPr>
        <w:spacing w:after="0" w:line="240" w:lineRule="auto"/>
        <w:jc w:val="left"/>
        <w:rPr>
          <w:rFonts w:eastAsia="MS Gothic"/>
          <w:b/>
          <w:bCs/>
          <w:color w:val="86BF5E"/>
          <w:szCs w:val="20"/>
        </w:rPr>
      </w:pPr>
      <w:r>
        <w:rPr>
          <w:rFonts w:eastAsia="MS Gothic"/>
          <w:b/>
          <w:bCs/>
          <w:color w:val="86BF5E"/>
          <w:szCs w:val="20"/>
        </w:rPr>
        <w:br w:type="page"/>
      </w:r>
    </w:p>
    <w:p w14:paraId="1012B969" w14:textId="13DA50AC" w:rsidR="00C65C22" w:rsidRPr="00995C95" w:rsidRDefault="00C65C22" w:rsidP="00C65C22">
      <w:pPr>
        <w:pStyle w:val="Nadpis1"/>
        <w:rPr>
          <w:lang w:val="en-GB"/>
        </w:rPr>
      </w:pPr>
      <w:bookmarkStart w:id="28" w:name="_Toc227235021"/>
      <w:r w:rsidRPr="00995C95">
        <w:rPr>
          <w:lang w:val="en-GB"/>
        </w:rPr>
        <w:lastRenderedPageBreak/>
        <w:t>7. M</w:t>
      </w:r>
      <w:r w:rsidR="00804252" w:rsidRPr="00995C95">
        <w:rPr>
          <w:lang w:val="en-GB"/>
        </w:rPr>
        <w:t>onetary Conditions</w:t>
      </w:r>
      <w:bookmarkEnd w:id="28"/>
    </w:p>
    <w:tbl>
      <w:tblPr>
        <w:tblW w:w="9641" w:type="dxa"/>
        <w:tblInd w:w="-15" w:type="dxa"/>
        <w:tblCellMar>
          <w:left w:w="0" w:type="dxa"/>
          <w:right w:w="0" w:type="dxa"/>
        </w:tblCellMar>
        <w:tblLook w:val="00A0" w:firstRow="1" w:lastRow="0" w:firstColumn="1" w:lastColumn="0" w:noHBand="0" w:noVBand="0"/>
      </w:tblPr>
      <w:tblGrid>
        <w:gridCol w:w="1802"/>
        <w:gridCol w:w="229"/>
        <w:gridCol w:w="7610"/>
      </w:tblGrid>
      <w:tr w:rsidR="00C65C22" w:rsidRPr="00995C95" w14:paraId="3B53E859" w14:textId="77777777" w:rsidTr="00E87182">
        <w:trPr>
          <w:trHeight w:val="145"/>
        </w:trPr>
        <w:tc>
          <w:tcPr>
            <w:tcW w:w="1802" w:type="dxa"/>
          </w:tcPr>
          <w:p w14:paraId="395FBB66" w14:textId="3732C595" w:rsidR="00C65C22" w:rsidRPr="00995C95" w:rsidRDefault="000169A6" w:rsidP="000169A6">
            <w:pPr>
              <w:pStyle w:val="Marginlie"/>
              <w:rPr>
                <w:lang w:eastAsia="en-US"/>
              </w:rPr>
            </w:pPr>
            <w:r w:rsidRPr="00995C95">
              <w:rPr>
                <w:lang w:eastAsia="en-US"/>
              </w:rPr>
              <w:t>Monetary policy</w:t>
            </w:r>
            <w:r w:rsidR="00484319" w:rsidRPr="00995C95">
              <w:rPr>
                <w:lang w:eastAsia="en-US"/>
              </w:rPr>
              <w:t>-relevant</w:t>
            </w:r>
            <w:r w:rsidRPr="00995C95">
              <w:rPr>
                <w:lang w:eastAsia="en-US"/>
              </w:rPr>
              <w:t xml:space="preserve"> interest rates have not changed since May.</w:t>
            </w:r>
          </w:p>
        </w:tc>
        <w:tc>
          <w:tcPr>
            <w:tcW w:w="229" w:type="dxa"/>
          </w:tcPr>
          <w:p w14:paraId="28A5121F" w14:textId="77777777" w:rsidR="00C65C22" w:rsidRPr="00995C95" w:rsidRDefault="00C65C22" w:rsidP="00E87182">
            <w:pPr>
              <w:pStyle w:val="Textpoznpodarou"/>
              <w:jc w:val="both"/>
              <w:rPr>
                <w:spacing w:val="-4"/>
                <w:lang w:eastAsia="en-US"/>
              </w:rPr>
            </w:pPr>
          </w:p>
        </w:tc>
        <w:tc>
          <w:tcPr>
            <w:tcW w:w="7610" w:type="dxa"/>
          </w:tcPr>
          <w:p w14:paraId="5FB4EF79" w14:textId="43F76371" w:rsidR="00C65C22" w:rsidRPr="00995C95" w:rsidRDefault="005C415F" w:rsidP="005C415F">
            <w:pPr>
              <w:rPr>
                <w:spacing w:val="-2"/>
                <w:lang w:eastAsia="en-US"/>
              </w:rPr>
            </w:pPr>
            <w:r w:rsidRPr="00995C95">
              <w:rPr>
                <w:spacing w:val="-2"/>
                <w:lang w:eastAsia="en-US"/>
              </w:rPr>
              <w:t>The stabilisation of inflation in 2025 also meant a pause in the process of lowering monetary policy</w:t>
            </w:r>
            <w:r w:rsidR="00B40069" w:rsidRPr="00995C95">
              <w:rPr>
                <w:spacing w:val="-2"/>
                <w:lang w:eastAsia="en-US"/>
              </w:rPr>
              <w:t>-relevant interest</w:t>
            </w:r>
            <w:r w:rsidRPr="00995C95">
              <w:rPr>
                <w:spacing w:val="-2"/>
                <w:lang w:eastAsia="en-US"/>
              </w:rPr>
              <w:t xml:space="preserve"> rates. After the last cut, which took place last May, the two-week repo rate remained at 3.50%, the discount rate at 2.50% and the Lombard rate at 4.50% until the end of the year</w:t>
            </w:r>
            <w:r w:rsidR="00366248" w:rsidRPr="00995C95">
              <w:rPr>
                <w:rStyle w:val="Znakapoznpodarou"/>
                <w:spacing w:val="-2"/>
                <w:lang w:eastAsia="en-US"/>
              </w:rPr>
              <w:footnoteReference w:id="117"/>
            </w:r>
            <w:r w:rsidRPr="00995C95">
              <w:rPr>
                <w:spacing w:val="-2"/>
                <w:lang w:eastAsia="en-US"/>
              </w:rPr>
              <w:t>. For most of last year, the koruna also strengthened against the euro and the dollar, which had an anti-inflationary effect. The exchange rate against the euro strengthened from 25.175 CZK/EUR at the beginning of January to 24.245 CZK/EUR at the end of December.</w:t>
            </w:r>
            <w:r w:rsidR="001F3E67" w:rsidRPr="00995C95">
              <w:rPr>
                <w:spacing w:val="-2"/>
                <w:lang w:eastAsia="en-US"/>
              </w:rPr>
              <w:t xml:space="preserve"> T</w:t>
            </w:r>
            <w:r w:rsidRPr="00995C95">
              <w:rPr>
                <w:spacing w:val="-2"/>
                <w:lang w:eastAsia="en-US"/>
              </w:rPr>
              <w:t>he exchange rate reached 2</w:t>
            </w:r>
            <w:r w:rsidR="000A4AFE">
              <w:rPr>
                <w:spacing w:val="-2"/>
                <w:lang w:eastAsia="en-US"/>
              </w:rPr>
              <w:t>4</w:t>
            </w:r>
            <w:r w:rsidRPr="00995C95">
              <w:rPr>
                <w:spacing w:val="-2"/>
                <w:lang w:eastAsia="en-US"/>
              </w:rPr>
              <w:t>.273 CZK/EUR</w:t>
            </w:r>
            <w:r w:rsidR="001F3E67" w:rsidRPr="00995C95">
              <w:rPr>
                <w:spacing w:val="-2"/>
                <w:lang w:eastAsia="en-US"/>
              </w:rPr>
              <w:t xml:space="preserve"> on average for Q4</w:t>
            </w:r>
            <w:r w:rsidRPr="00995C95">
              <w:rPr>
                <w:spacing w:val="-2"/>
                <w:lang w:eastAsia="en-US"/>
              </w:rPr>
              <w:t xml:space="preserve">. It was stronger by </w:t>
            </w:r>
            <w:r w:rsidR="000A4AFE">
              <w:rPr>
                <w:spacing w:val="-2"/>
                <w:lang w:eastAsia="en-US"/>
              </w:rPr>
              <w:t>0.</w:t>
            </w:r>
            <w:r w:rsidRPr="00995C95">
              <w:rPr>
                <w:spacing w:val="-2"/>
                <w:lang w:eastAsia="en-US"/>
              </w:rPr>
              <w:t xml:space="preserve">98 </w:t>
            </w:r>
            <w:r w:rsidR="00485B0F">
              <w:rPr>
                <w:spacing w:val="-2"/>
                <w:lang w:eastAsia="en-US"/>
              </w:rPr>
              <w:t>CZK</w:t>
            </w:r>
            <w:r w:rsidRPr="00995C95">
              <w:rPr>
                <w:spacing w:val="-2"/>
                <w:lang w:eastAsia="en-US"/>
              </w:rPr>
              <w:t xml:space="preserve"> (3.9%)</w:t>
            </w:r>
            <w:r w:rsidR="00BA6AAF" w:rsidRPr="00995C95">
              <w:rPr>
                <w:spacing w:val="-2"/>
                <w:lang w:eastAsia="en-US"/>
              </w:rPr>
              <w:t>,</w:t>
            </w:r>
            <w:r w:rsidRPr="00995C95">
              <w:rPr>
                <w:spacing w:val="-2"/>
                <w:lang w:eastAsia="en-US"/>
              </w:rPr>
              <w:t xml:space="preserve"> year-on-year</w:t>
            </w:r>
            <w:r w:rsidR="00BA6AAF" w:rsidRPr="00995C95">
              <w:rPr>
                <w:spacing w:val="-2"/>
                <w:lang w:eastAsia="en-US"/>
              </w:rPr>
              <w:t>,</w:t>
            </w:r>
            <w:r w:rsidRPr="00995C95">
              <w:rPr>
                <w:spacing w:val="-2"/>
                <w:lang w:eastAsia="en-US"/>
              </w:rPr>
              <w:t xml:space="preserve"> and by </w:t>
            </w:r>
            <w:r w:rsidR="00485B0F">
              <w:rPr>
                <w:spacing w:val="-2"/>
                <w:lang w:eastAsia="en-US"/>
              </w:rPr>
              <w:t>0.</w:t>
            </w:r>
            <w:r w:rsidRPr="00995C95">
              <w:rPr>
                <w:spacing w:val="-2"/>
                <w:lang w:eastAsia="en-US"/>
              </w:rPr>
              <w:t xml:space="preserve">23 </w:t>
            </w:r>
            <w:r w:rsidR="00485B0F">
              <w:rPr>
                <w:spacing w:val="-2"/>
                <w:lang w:eastAsia="en-US"/>
              </w:rPr>
              <w:t>CZK</w:t>
            </w:r>
            <w:r w:rsidRPr="00995C95">
              <w:rPr>
                <w:spacing w:val="-2"/>
                <w:lang w:eastAsia="en-US"/>
              </w:rPr>
              <w:t xml:space="preserve"> (0.9%)</w:t>
            </w:r>
            <w:r w:rsidR="00BA6AAF" w:rsidRPr="00995C95">
              <w:rPr>
                <w:spacing w:val="-2"/>
                <w:lang w:eastAsia="en-US"/>
              </w:rPr>
              <w:t>,</w:t>
            </w:r>
            <w:r w:rsidRPr="00995C95">
              <w:rPr>
                <w:spacing w:val="-2"/>
                <w:lang w:eastAsia="en-US"/>
              </w:rPr>
              <w:t xml:space="preserve"> quarter-on-quarter. The exchange rate of the koruna against the dollar reached 24.398 CZK/USD at the beginning of January and strengthened to 20.632 CZK/USD by the end of December.</w:t>
            </w:r>
            <w:r w:rsidR="00860E39" w:rsidRPr="00995C95">
              <w:rPr>
                <w:spacing w:val="-2"/>
                <w:lang w:eastAsia="en-US"/>
              </w:rPr>
              <w:t xml:space="preserve"> T</w:t>
            </w:r>
            <w:r w:rsidRPr="00995C95">
              <w:rPr>
                <w:spacing w:val="-2"/>
                <w:lang w:eastAsia="en-US"/>
              </w:rPr>
              <w:t>he exchange rate was 20.866 CZK/USD</w:t>
            </w:r>
            <w:r w:rsidR="00860E39" w:rsidRPr="00995C95">
              <w:rPr>
                <w:spacing w:val="-2"/>
                <w:lang w:eastAsia="en-US"/>
              </w:rPr>
              <w:t xml:space="preserve"> on average for Q4</w:t>
            </w:r>
            <w:r w:rsidRPr="00995C95">
              <w:rPr>
                <w:spacing w:val="-2"/>
                <w:lang w:eastAsia="en-US"/>
              </w:rPr>
              <w:t xml:space="preserve"> and was stronger by 2</w:t>
            </w:r>
            <w:r w:rsidR="00485B0F">
              <w:rPr>
                <w:spacing w:val="-2"/>
                <w:lang w:eastAsia="en-US"/>
              </w:rPr>
              <w:t>.77</w:t>
            </w:r>
            <w:r w:rsidRPr="00995C95">
              <w:rPr>
                <w:spacing w:val="-2"/>
                <w:lang w:eastAsia="en-US"/>
              </w:rPr>
              <w:t xml:space="preserve"> </w:t>
            </w:r>
            <w:r w:rsidR="00860E39" w:rsidRPr="00995C95">
              <w:rPr>
                <w:spacing w:val="-2"/>
                <w:lang w:eastAsia="en-US"/>
              </w:rPr>
              <w:t xml:space="preserve">CZK </w:t>
            </w:r>
            <w:r w:rsidRPr="00995C95">
              <w:rPr>
                <w:spacing w:val="-2"/>
                <w:lang w:eastAsia="en-US"/>
              </w:rPr>
              <w:t>(11.7%)</w:t>
            </w:r>
            <w:r w:rsidR="001501ED" w:rsidRPr="00995C95">
              <w:rPr>
                <w:spacing w:val="-2"/>
                <w:lang w:eastAsia="en-US"/>
              </w:rPr>
              <w:t>,</w:t>
            </w:r>
            <w:r w:rsidRPr="00995C95">
              <w:rPr>
                <w:spacing w:val="-2"/>
                <w:lang w:eastAsia="en-US"/>
              </w:rPr>
              <w:t xml:space="preserve"> year-on-year</w:t>
            </w:r>
            <w:r w:rsidR="001501ED" w:rsidRPr="00995C95">
              <w:rPr>
                <w:spacing w:val="-2"/>
                <w:lang w:eastAsia="en-US"/>
              </w:rPr>
              <w:t>,</w:t>
            </w:r>
            <w:r w:rsidRPr="00995C95">
              <w:rPr>
                <w:spacing w:val="-2"/>
                <w:lang w:eastAsia="en-US"/>
              </w:rPr>
              <w:t xml:space="preserve"> and by </w:t>
            </w:r>
            <w:r w:rsidR="00485B0F">
              <w:rPr>
                <w:spacing w:val="-2"/>
                <w:lang w:eastAsia="en-US"/>
              </w:rPr>
              <w:t>0.</w:t>
            </w:r>
            <w:r w:rsidRPr="00995C95">
              <w:rPr>
                <w:spacing w:val="-2"/>
                <w:lang w:eastAsia="en-US"/>
              </w:rPr>
              <w:t xml:space="preserve">51 </w:t>
            </w:r>
            <w:r w:rsidR="00A13BDB">
              <w:rPr>
                <w:spacing w:val="-2"/>
                <w:lang w:eastAsia="en-US"/>
              </w:rPr>
              <w:t>CZK</w:t>
            </w:r>
            <w:r w:rsidRPr="00995C95">
              <w:rPr>
                <w:spacing w:val="-2"/>
                <w:lang w:eastAsia="en-US"/>
              </w:rPr>
              <w:t xml:space="preserve"> (0.1%)</w:t>
            </w:r>
            <w:r w:rsidR="001501ED" w:rsidRPr="00995C95">
              <w:rPr>
                <w:spacing w:val="-2"/>
                <w:lang w:eastAsia="en-US"/>
              </w:rPr>
              <w:t>,</w:t>
            </w:r>
            <w:r w:rsidRPr="00995C95">
              <w:rPr>
                <w:spacing w:val="-2"/>
                <w:lang w:eastAsia="en-US"/>
              </w:rPr>
              <w:t xml:space="preserve"> quarter-on-quarter.</w:t>
            </w:r>
            <w:r w:rsidR="00BA6AAF" w:rsidRPr="00995C95">
              <w:rPr>
                <w:spacing w:val="-2"/>
                <w:lang w:eastAsia="en-US"/>
              </w:rPr>
              <w:t xml:space="preserve"> </w:t>
            </w:r>
          </w:p>
        </w:tc>
      </w:tr>
      <w:tr w:rsidR="00C65C22" w:rsidRPr="00995C95" w14:paraId="7BB31825" w14:textId="77777777" w:rsidTr="00E87182">
        <w:trPr>
          <w:trHeight w:val="145"/>
        </w:trPr>
        <w:tc>
          <w:tcPr>
            <w:tcW w:w="1802" w:type="dxa"/>
          </w:tcPr>
          <w:p w14:paraId="1D056DAF" w14:textId="53456482" w:rsidR="00C65C22" w:rsidRPr="00995C95" w:rsidRDefault="00D075CF" w:rsidP="00D075CF">
            <w:pPr>
              <w:pStyle w:val="Marginlie"/>
              <w:rPr>
                <w:lang w:eastAsia="en-US"/>
              </w:rPr>
            </w:pPr>
            <w:r w:rsidRPr="00995C95">
              <w:rPr>
                <w:lang w:eastAsia="en-US"/>
              </w:rPr>
              <w:t xml:space="preserve">Government bond yields rose. </w:t>
            </w:r>
          </w:p>
        </w:tc>
        <w:tc>
          <w:tcPr>
            <w:tcW w:w="229" w:type="dxa"/>
          </w:tcPr>
          <w:p w14:paraId="744D93C2" w14:textId="77777777" w:rsidR="00C65C22" w:rsidRPr="00995C95" w:rsidRDefault="00C65C22" w:rsidP="00E87182">
            <w:pPr>
              <w:pStyle w:val="Textpoznpodarou"/>
              <w:jc w:val="both"/>
              <w:rPr>
                <w:spacing w:val="-4"/>
                <w:lang w:eastAsia="en-US"/>
              </w:rPr>
            </w:pPr>
          </w:p>
        </w:tc>
        <w:tc>
          <w:tcPr>
            <w:tcW w:w="7610" w:type="dxa"/>
          </w:tcPr>
          <w:p w14:paraId="5F2A7ABA" w14:textId="454DE003" w:rsidR="00C65C22" w:rsidRPr="00995C95" w:rsidRDefault="002178DF" w:rsidP="00DA44DC">
            <w:pPr>
              <w:rPr>
                <w:spacing w:val="-1"/>
                <w:lang w:eastAsia="en-US"/>
              </w:rPr>
            </w:pPr>
            <w:r w:rsidRPr="00995C95">
              <w:rPr>
                <w:spacing w:val="-1"/>
                <w:lang w:eastAsia="en-US"/>
              </w:rPr>
              <w:t xml:space="preserve">The </w:t>
            </w:r>
            <w:r w:rsidR="00DA44DC" w:rsidRPr="00995C95">
              <w:rPr>
                <w:spacing w:val="-1"/>
                <w:lang w:eastAsia="en-US"/>
              </w:rPr>
              <w:t xml:space="preserve">interbank </w:t>
            </w:r>
            <w:r w:rsidR="00383708" w:rsidRPr="00995C95">
              <w:rPr>
                <w:spacing w:val="-1"/>
                <w:lang w:eastAsia="en-US"/>
              </w:rPr>
              <w:t xml:space="preserve">interest </w:t>
            </w:r>
            <w:r w:rsidR="00DA44DC" w:rsidRPr="00995C95">
              <w:rPr>
                <w:spacing w:val="-1"/>
                <w:lang w:eastAsia="en-US"/>
              </w:rPr>
              <w:t>rates showed slight upward shifts</w:t>
            </w:r>
            <w:r w:rsidRPr="00995C95">
              <w:rPr>
                <w:spacing w:val="-1"/>
                <w:lang w:eastAsia="en-US"/>
              </w:rPr>
              <w:t xml:space="preserve"> in the final quarter of the year</w:t>
            </w:r>
            <w:r w:rsidR="00F853CC" w:rsidRPr="00995C95">
              <w:rPr>
                <w:rStyle w:val="Znakapoznpodarou"/>
                <w:spacing w:val="-1"/>
                <w:lang w:eastAsia="en-US"/>
              </w:rPr>
              <w:footnoteReference w:id="118"/>
            </w:r>
            <w:r w:rsidR="00DA44DC" w:rsidRPr="00995C95">
              <w:rPr>
                <w:spacing w:val="-1"/>
                <w:lang w:eastAsia="en-US"/>
              </w:rPr>
              <w:t>, breaking the previous trend of gradual decline. At the end of December, the three-month PRIBOR rate was 3.54% (+0.05 p.p.), the six-month rate was 3.57% (+0.09 p.p.) and the annual rate was 3.60% (+0.12 p.p.). An increase was also recorded in the area of interest rates on government bonds.</w:t>
            </w:r>
            <w:r w:rsidR="00642EAC" w:rsidRPr="00995C95">
              <w:rPr>
                <w:spacing w:val="-1"/>
                <w:lang w:eastAsia="en-US"/>
              </w:rPr>
              <w:t xml:space="preserve"> T</w:t>
            </w:r>
            <w:r w:rsidR="00DA44DC" w:rsidRPr="00995C95">
              <w:rPr>
                <w:spacing w:val="-1"/>
                <w:lang w:eastAsia="en-US"/>
              </w:rPr>
              <w:t>hose with a maturity of up to two years bore an average interest rate of 3.60% (+0.05 p.p.)</w:t>
            </w:r>
            <w:r w:rsidR="00642EAC" w:rsidRPr="00995C95">
              <w:rPr>
                <w:spacing w:val="-1"/>
                <w:lang w:eastAsia="en-US"/>
              </w:rPr>
              <w:t xml:space="preserve"> at the end of December 2025</w:t>
            </w:r>
            <w:r w:rsidR="00DA44DC" w:rsidRPr="00995C95">
              <w:rPr>
                <w:spacing w:val="-1"/>
                <w:lang w:eastAsia="en-US"/>
              </w:rPr>
              <w:t>, the yield for medium-term bonds with a maturity of up to 5 years was 4.12% (+0.19 p.p.) and 4.46%</w:t>
            </w:r>
            <w:r w:rsidR="00265F50" w:rsidRPr="00995C95">
              <w:rPr>
                <w:spacing w:val="-1"/>
                <w:lang w:eastAsia="en-US"/>
              </w:rPr>
              <w:t xml:space="preserve"> for long-term bonds</w:t>
            </w:r>
            <w:r w:rsidR="00DA44DC" w:rsidRPr="00995C95">
              <w:rPr>
                <w:spacing w:val="-1"/>
                <w:lang w:eastAsia="en-US"/>
              </w:rPr>
              <w:t xml:space="preserve"> (+0.22 p.p.). </w:t>
            </w:r>
          </w:p>
        </w:tc>
      </w:tr>
      <w:tr w:rsidR="00C65C22" w:rsidRPr="00995C95" w14:paraId="0786E34E" w14:textId="77777777" w:rsidTr="00E87182">
        <w:trPr>
          <w:trHeight w:val="145"/>
        </w:trPr>
        <w:tc>
          <w:tcPr>
            <w:tcW w:w="1802" w:type="dxa"/>
          </w:tcPr>
          <w:p w14:paraId="20B236D5" w14:textId="770819E0" w:rsidR="00C65C22" w:rsidRPr="00995C95" w:rsidRDefault="008534B7" w:rsidP="008534B7">
            <w:pPr>
              <w:pStyle w:val="Marginlie"/>
              <w:rPr>
                <w:lang w:eastAsia="en-US"/>
              </w:rPr>
            </w:pPr>
            <w:r w:rsidRPr="00995C95">
              <w:rPr>
                <w:lang w:eastAsia="en-US"/>
              </w:rPr>
              <w:t xml:space="preserve">Households and general government contributed the most to the growth </w:t>
            </w:r>
            <w:r w:rsidR="002178DF" w:rsidRPr="00995C95">
              <w:rPr>
                <w:lang w:eastAsia="en-US"/>
              </w:rPr>
              <w:t>of</w:t>
            </w:r>
            <w:r w:rsidRPr="00995C95">
              <w:rPr>
                <w:lang w:eastAsia="en-US"/>
              </w:rPr>
              <w:t xml:space="preserve"> deposits.</w:t>
            </w:r>
          </w:p>
        </w:tc>
        <w:tc>
          <w:tcPr>
            <w:tcW w:w="229" w:type="dxa"/>
          </w:tcPr>
          <w:p w14:paraId="6FEE58BA" w14:textId="77777777" w:rsidR="00C65C22" w:rsidRPr="00995C95" w:rsidRDefault="00C65C22" w:rsidP="00E87182">
            <w:pPr>
              <w:pStyle w:val="Textpoznpodarou"/>
              <w:jc w:val="both"/>
              <w:rPr>
                <w:spacing w:val="-4"/>
                <w:lang w:eastAsia="en-US"/>
              </w:rPr>
            </w:pPr>
          </w:p>
        </w:tc>
        <w:tc>
          <w:tcPr>
            <w:tcW w:w="7610" w:type="dxa"/>
          </w:tcPr>
          <w:p w14:paraId="25CEBF20" w14:textId="213FD823" w:rsidR="00C65C22" w:rsidRPr="00995C95" w:rsidRDefault="00623D49" w:rsidP="00623D49">
            <w:pPr>
              <w:rPr>
                <w:spacing w:val="-3"/>
                <w:lang w:eastAsia="en-US"/>
              </w:rPr>
            </w:pPr>
            <w:r w:rsidRPr="00995C95">
              <w:rPr>
                <w:spacing w:val="-3"/>
                <w:lang w:eastAsia="en-US"/>
              </w:rPr>
              <w:t xml:space="preserve">Upward changes in the order of hundredths of a percentage point were recorded </w:t>
            </w:r>
            <w:r w:rsidR="00FF4206" w:rsidRPr="00995C95">
              <w:rPr>
                <w:spacing w:val="-3"/>
                <w:lang w:eastAsia="en-US"/>
              </w:rPr>
              <w:t xml:space="preserve">for </w:t>
            </w:r>
            <w:r w:rsidRPr="00995C95">
              <w:rPr>
                <w:spacing w:val="-3"/>
                <w:lang w:eastAsia="en-US"/>
              </w:rPr>
              <w:t xml:space="preserve">the average interest rate on overnight deposits (1.44% at the end of 2025), current accounts (0.14%) and deposits with agreed maturity of households (2.89%). Similarly, the average remuneration on deposits of non-financial </w:t>
            </w:r>
            <w:r w:rsidR="006509D3" w:rsidRPr="00995C95">
              <w:rPr>
                <w:spacing w:val="-3"/>
                <w:lang w:eastAsia="en-US"/>
              </w:rPr>
              <w:t xml:space="preserve">businesses </w:t>
            </w:r>
            <w:r w:rsidRPr="00995C95">
              <w:rPr>
                <w:spacing w:val="-3"/>
                <w:lang w:eastAsia="en-US"/>
              </w:rPr>
              <w:t>was unchanged, whether they were current accounts (0.57% at the end of December) or deposits with an agreed maturity (2.90%). The total volume of deposits deposited in Czech banks reached 7,663.8 trillion</w:t>
            </w:r>
            <w:r w:rsidR="006F31C9" w:rsidRPr="00995C95">
              <w:rPr>
                <w:spacing w:val="-3"/>
                <w:lang w:eastAsia="en-US"/>
              </w:rPr>
              <w:t xml:space="preserve"> CZK</w:t>
            </w:r>
            <w:r w:rsidRPr="00995C95">
              <w:rPr>
                <w:spacing w:val="-3"/>
                <w:lang w:eastAsia="en-US"/>
              </w:rPr>
              <w:t xml:space="preserve"> at the end of 2025 and increased by 442.3 billion</w:t>
            </w:r>
            <w:r w:rsidR="006F31C9" w:rsidRPr="00995C95">
              <w:rPr>
                <w:spacing w:val="-3"/>
                <w:lang w:eastAsia="en-US"/>
              </w:rPr>
              <w:t xml:space="preserve"> CZK</w:t>
            </w:r>
            <w:r w:rsidRPr="00995C95">
              <w:rPr>
                <w:spacing w:val="-3"/>
                <w:lang w:eastAsia="en-US"/>
              </w:rPr>
              <w:t xml:space="preserve"> (6.1%)</w:t>
            </w:r>
            <w:r w:rsidR="006F31C9" w:rsidRPr="00995C95">
              <w:rPr>
                <w:spacing w:val="-3"/>
                <w:lang w:eastAsia="en-US"/>
              </w:rPr>
              <w:t>,</w:t>
            </w:r>
            <w:r w:rsidRPr="00995C95">
              <w:rPr>
                <w:spacing w:val="-3"/>
                <w:lang w:eastAsia="en-US"/>
              </w:rPr>
              <w:t xml:space="preserve"> year-on-year. After a six-quarter downturn, the growth rate of </w:t>
            </w:r>
            <w:r w:rsidR="005502CF" w:rsidRPr="00995C95">
              <w:rPr>
                <w:spacing w:val="-3"/>
                <w:lang w:eastAsia="en-US"/>
              </w:rPr>
              <w:t xml:space="preserve">the </w:t>
            </w:r>
            <w:r w:rsidRPr="00995C95">
              <w:rPr>
                <w:spacing w:val="-3"/>
                <w:lang w:eastAsia="en-US"/>
              </w:rPr>
              <w:t>term deposit</w:t>
            </w:r>
            <w:r w:rsidR="005502CF" w:rsidRPr="00995C95">
              <w:rPr>
                <w:spacing w:val="-3"/>
                <w:lang w:eastAsia="en-US"/>
              </w:rPr>
              <w:t xml:space="preserve"> volume </w:t>
            </w:r>
            <w:r w:rsidRPr="00995C95">
              <w:rPr>
                <w:spacing w:val="-3"/>
                <w:lang w:eastAsia="en-US"/>
              </w:rPr>
              <w:t>recovered (+238.8 b</w:t>
            </w:r>
            <w:r w:rsidR="003877E5" w:rsidRPr="00995C95">
              <w:rPr>
                <w:spacing w:val="-3"/>
                <w:lang w:eastAsia="en-US"/>
              </w:rPr>
              <w:t>n CZK</w:t>
            </w:r>
            <w:r w:rsidRPr="00995C95">
              <w:rPr>
                <w:spacing w:val="-3"/>
                <w:lang w:eastAsia="en-US"/>
              </w:rPr>
              <w:t>, 10.1%). Non-term deposits increased by 203.5 b</w:t>
            </w:r>
            <w:r w:rsidR="00467406" w:rsidRPr="00995C95">
              <w:rPr>
                <w:spacing w:val="-3"/>
                <w:lang w:eastAsia="en-US"/>
              </w:rPr>
              <w:t xml:space="preserve">n CZK </w:t>
            </w:r>
            <w:r w:rsidRPr="00995C95">
              <w:rPr>
                <w:spacing w:val="-3"/>
                <w:lang w:eastAsia="en-US"/>
              </w:rPr>
              <w:t>(4.2%), y</w:t>
            </w:r>
            <w:r w:rsidR="00467406" w:rsidRPr="00995C95">
              <w:rPr>
                <w:spacing w:val="-3"/>
                <w:lang w:eastAsia="en-US"/>
              </w:rPr>
              <w:t>ear</w:t>
            </w:r>
            <w:r w:rsidRPr="00995C95">
              <w:rPr>
                <w:spacing w:val="-3"/>
                <w:lang w:eastAsia="en-US"/>
              </w:rPr>
              <w:t>-o</w:t>
            </w:r>
            <w:r w:rsidR="00467406" w:rsidRPr="00995C95">
              <w:rPr>
                <w:spacing w:val="-3"/>
                <w:lang w:eastAsia="en-US"/>
              </w:rPr>
              <w:t>n</w:t>
            </w:r>
            <w:r w:rsidRPr="00995C95">
              <w:rPr>
                <w:spacing w:val="-3"/>
                <w:lang w:eastAsia="en-US"/>
              </w:rPr>
              <w:t>-y</w:t>
            </w:r>
            <w:r w:rsidR="00467406" w:rsidRPr="00995C95">
              <w:rPr>
                <w:spacing w:val="-3"/>
                <w:lang w:eastAsia="en-US"/>
              </w:rPr>
              <w:t>ear</w:t>
            </w:r>
            <w:r w:rsidRPr="00995C95">
              <w:rPr>
                <w:spacing w:val="-3"/>
                <w:lang w:eastAsia="en-US"/>
              </w:rPr>
              <w:t>. From the point of view of individual sectors, households</w:t>
            </w:r>
            <w:r w:rsidR="00A64380" w:rsidRPr="00995C95">
              <w:rPr>
                <w:rStyle w:val="Znakapoznpodarou"/>
                <w:spacing w:val="-3"/>
                <w:lang w:eastAsia="en-US"/>
              </w:rPr>
              <w:footnoteReference w:id="119"/>
            </w:r>
            <w:r w:rsidRPr="00995C95">
              <w:rPr>
                <w:spacing w:val="-3"/>
                <w:lang w:eastAsia="en-US"/>
              </w:rPr>
              <w:t xml:space="preserve"> (+182.9 b</w:t>
            </w:r>
            <w:r w:rsidR="002866A1" w:rsidRPr="00995C95">
              <w:rPr>
                <w:spacing w:val="-3"/>
                <w:lang w:eastAsia="en-US"/>
              </w:rPr>
              <w:t>n CZK</w:t>
            </w:r>
            <w:r w:rsidRPr="00995C95">
              <w:rPr>
                <w:spacing w:val="-3"/>
                <w:lang w:eastAsia="en-US"/>
              </w:rPr>
              <w:t>) and general government institutions (+182.9 b</w:t>
            </w:r>
            <w:r w:rsidR="00A64380" w:rsidRPr="00995C95">
              <w:rPr>
                <w:spacing w:val="-3"/>
                <w:lang w:eastAsia="en-US"/>
              </w:rPr>
              <w:t>n CZK</w:t>
            </w:r>
            <w:r w:rsidRPr="00995C95">
              <w:rPr>
                <w:spacing w:val="-3"/>
                <w:lang w:eastAsia="en-US"/>
              </w:rPr>
              <w:t xml:space="preserve">) contributed to the year-on-year increase </w:t>
            </w:r>
            <w:r w:rsidR="00A64380" w:rsidRPr="00995C95">
              <w:rPr>
                <w:spacing w:val="-3"/>
                <w:lang w:eastAsia="en-US"/>
              </w:rPr>
              <w:t>of</w:t>
            </w:r>
            <w:r w:rsidRPr="00995C95">
              <w:rPr>
                <w:spacing w:val="-3"/>
                <w:lang w:eastAsia="en-US"/>
              </w:rPr>
              <w:t xml:space="preserve"> deposits </w:t>
            </w:r>
            <w:r w:rsidR="006509D3" w:rsidRPr="00995C95">
              <w:rPr>
                <w:spacing w:val="-3"/>
                <w:lang w:eastAsia="en-US"/>
              </w:rPr>
              <w:t xml:space="preserve">by </w:t>
            </w:r>
            <w:r w:rsidRPr="00995C95">
              <w:rPr>
                <w:spacing w:val="-3"/>
                <w:lang w:eastAsia="en-US"/>
              </w:rPr>
              <w:t xml:space="preserve">a similar amount. Increases were </w:t>
            </w:r>
            <w:r w:rsidR="006509D3" w:rsidRPr="00995C95">
              <w:rPr>
                <w:spacing w:val="-3"/>
                <w:lang w:eastAsia="en-US"/>
              </w:rPr>
              <w:t xml:space="preserve">then </w:t>
            </w:r>
            <w:r w:rsidRPr="00995C95">
              <w:rPr>
                <w:spacing w:val="-3"/>
                <w:lang w:eastAsia="en-US"/>
              </w:rPr>
              <w:t>more moderate in financial institutions (+34.3 b</w:t>
            </w:r>
            <w:r w:rsidR="006509D3" w:rsidRPr="00995C95">
              <w:rPr>
                <w:spacing w:val="-3"/>
                <w:lang w:eastAsia="en-US"/>
              </w:rPr>
              <w:t>n CZK</w:t>
            </w:r>
            <w:r w:rsidRPr="00995C95">
              <w:rPr>
                <w:spacing w:val="-3"/>
                <w:lang w:eastAsia="en-US"/>
              </w:rPr>
              <w:t xml:space="preserve">) and non-financial </w:t>
            </w:r>
            <w:r w:rsidR="006509D3" w:rsidRPr="00995C95">
              <w:rPr>
                <w:spacing w:val="-3"/>
                <w:lang w:eastAsia="en-US"/>
              </w:rPr>
              <w:t xml:space="preserve">businesses </w:t>
            </w:r>
            <w:r w:rsidRPr="00995C95">
              <w:rPr>
                <w:spacing w:val="-3"/>
                <w:lang w:eastAsia="en-US"/>
              </w:rPr>
              <w:t>(+29.0 b</w:t>
            </w:r>
            <w:r w:rsidR="006509D3" w:rsidRPr="00995C95">
              <w:rPr>
                <w:spacing w:val="-3"/>
                <w:lang w:eastAsia="en-US"/>
              </w:rPr>
              <w:t>n CZK</w:t>
            </w:r>
            <w:r w:rsidRPr="00995C95">
              <w:rPr>
                <w:spacing w:val="-3"/>
                <w:lang w:eastAsia="en-US"/>
              </w:rPr>
              <w:t>).</w:t>
            </w:r>
            <w:r w:rsidR="00FF4206" w:rsidRPr="00995C95">
              <w:rPr>
                <w:spacing w:val="-3"/>
                <w:lang w:eastAsia="en-US"/>
              </w:rPr>
              <w:t xml:space="preserve"> </w:t>
            </w:r>
          </w:p>
        </w:tc>
      </w:tr>
      <w:tr w:rsidR="00C65C22" w:rsidRPr="00995C95" w14:paraId="34B8D1D4" w14:textId="77777777" w:rsidTr="00E87182">
        <w:trPr>
          <w:trHeight w:val="145"/>
        </w:trPr>
        <w:tc>
          <w:tcPr>
            <w:tcW w:w="1802" w:type="dxa"/>
          </w:tcPr>
          <w:p w14:paraId="5CCACF0C" w14:textId="136119E3" w:rsidR="00C65C22" w:rsidRPr="00995C95" w:rsidRDefault="003E1419" w:rsidP="003E1419">
            <w:pPr>
              <w:pStyle w:val="Marginlie"/>
              <w:rPr>
                <w:lang w:eastAsia="en-US"/>
              </w:rPr>
            </w:pPr>
            <w:r w:rsidRPr="00995C95">
              <w:rPr>
                <w:lang w:eastAsia="en-US"/>
              </w:rPr>
              <w:t>The volume of new mortgage contracts was significantly driven up by other new arrangements.</w:t>
            </w:r>
            <w:r w:rsidR="00F52BD7" w:rsidRPr="00995C95">
              <w:rPr>
                <w:lang w:eastAsia="en-US"/>
              </w:rPr>
              <w:t xml:space="preserve"> </w:t>
            </w:r>
          </w:p>
        </w:tc>
        <w:tc>
          <w:tcPr>
            <w:tcW w:w="229" w:type="dxa"/>
          </w:tcPr>
          <w:p w14:paraId="6B75E389" w14:textId="77777777" w:rsidR="00C65C22" w:rsidRPr="00995C95" w:rsidRDefault="00C65C22" w:rsidP="00E87182">
            <w:pPr>
              <w:pStyle w:val="Textpoznpodarou"/>
              <w:jc w:val="both"/>
              <w:rPr>
                <w:spacing w:val="-4"/>
                <w:lang w:eastAsia="en-US"/>
              </w:rPr>
            </w:pPr>
          </w:p>
        </w:tc>
        <w:tc>
          <w:tcPr>
            <w:tcW w:w="7610" w:type="dxa"/>
          </w:tcPr>
          <w:p w14:paraId="24A6F95B" w14:textId="7C813866" w:rsidR="00C65C22" w:rsidRPr="00995C95" w:rsidRDefault="00AE5CB9" w:rsidP="001837AD">
            <w:pPr>
              <w:rPr>
                <w:lang w:eastAsia="en-US"/>
              </w:rPr>
            </w:pPr>
            <w:r w:rsidRPr="00995C95">
              <w:rPr>
                <w:lang w:eastAsia="en-US"/>
              </w:rPr>
              <w:t xml:space="preserve">The average interest rate on consumer </w:t>
            </w:r>
            <w:r w:rsidR="003C7549" w:rsidRPr="00995C95">
              <w:rPr>
                <w:lang w:eastAsia="en-US"/>
              </w:rPr>
              <w:t xml:space="preserve">credit </w:t>
            </w:r>
            <w:r w:rsidRPr="00995C95">
              <w:rPr>
                <w:lang w:eastAsia="en-US"/>
              </w:rPr>
              <w:t xml:space="preserve">of households stood at 7.98% at the end of December and remained unchanged compared to the end of September. A slight downward shift in the order of hundredths was recorded </w:t>
            </w:r>
            <w:r w:rsidR="003C7549" w:rsidRPr="00995C95">
              <w:rPr>
                <w:lang w:eastAsia="en-US"/>
              </w:rPr>
              <w:t xml:space="preserve">for </w:t>
            </w:r>
            <w:r w:rsidRPr="00995C95">
              <w:rPr>
                <w:lang w:eastAsia="en-US"/>
              </w:rPr>
              <w:t xml:space="preserve">interest rates on </w:t>
            </w:r>
            <w:r w:rsidR="005515C5" w:rsidRPr="00995C95">
              <w:rPr>
                <w:lang w:eastAsia="en-US"/>
              </w:rPr>
              <w:t xml:space="preserve">mortgages </w:t>
            </w:r>
            <w:r w:rsidRPr="00995C95">
              <w:rPr>
                <w:lang w:eastAsia="en-US"/>
              </w:rPr>
              <w:t xml:space="preserve">(4.57%). There were differences between the individual </w:t>
            </w:r>
            <w:r w:rsidR="0090149C" w:rsidRPr="00995C95">
              <w:rPr>
                <w:lang w:eastAsia="en-US"/>
              </w:rPr>
              <w:t>length</w:t>
            </w:r>
            <w:r w:rsidR="0007457A" w:rsidRPr="00995C95">
              <w:rPr>
                <w:lang w:eastAsia="en-US"/>
              </w:rPr>
              <w:t xml:space="preserve">s </w:t>
            </w:r>
            <w:r w:rsidR="0090149C" w:rsidRPr="00995C95">
              <w:rPr>
                <w:lang w:eastAsia="en-US"/>
              </w:rPr>
              <w:t xml:space="preserve">of </w:t>
            </w:r>
            <w:r w:rsidRPr="00995C95">
              <w:rPr>
                <w:lang w:eastAsia="en-US"/>
              </w:rPr>
              <w:t xml:space="preserve">fixation </w:t>
            </w:r>
            <w:r w:rsidR="006D6FE6" w:rsidRPr="00995C95">
              <w:rPr>
                <w:lang w:eastAsia="en-US"/>
              </w:rPr>
              <w:t>periods</w:t>
            </w:r>
            <w:r w:rsidRPr="00995C95">
              <w:rPr>
                <w:lang w:eastAsia="en-US"/>
              </w:rPr>
              <w:t>. While the average interest rate decreased noticeably for fixations up to 1 year and over 10 years, there was an increase in the category between 5 and 10 years and the interest rate for the most frequently used fixation between 1 and 5 years remained almost unchanged</w:t>
            </w:r>
            <w:r w:rsidR="000F7A6C" w:rsidRPr="00995C95">
              <w:rPr>
                <w:lang w:eastAsia="en-US"/>
              </w:rPr>
              <w:t>. T</w:t>
            </w:r>
            <w:r w:rsidRPr="00995C95">
              <w:rPr>
                <w:lang w:eastAsia="en-US"/>
              </w:rPr>
              <w:t xml:space="preserve">he year-on-year growth rate of the volume of </w:t>
            </w:r>
            <w:r w:rsidR="00E13996">
              <w:rPr>
                <w:lang w:eastAsia="en-US"/>
              </w:rPr>
              <w:t xml:space="preserve">provided </w:t>
            </w:r>
            <w:r w:rsidRPr="00995C95">
              <w:rPr>
                <w:lang w:eastAsia="en-US"/>
              </w:rPr>
              <w:t>consumption</w:t>
            </w:r>
            <w:r w:rsidR="00817E55" w:rsidRPr="00995C95">
              <w:rPr>
                <w:lang w:eastAsia="en-US"/>
              </w:rPr>
              <w:t xml:space="preserve"> credit</w:t>
            </w:r>
            <w:r w:rsidR="00E13996">
              <w:rPr>
                <w:lang w:eastAsia="en-US"/>
              </w:rPr>
              <w:t xml:space="preserve"> </w:t>
            </w:r>
            <w:r w:rsidRPr="00995C95">
              <w:rPr>
                <w:lang w:eastAsia="en-US"/>
              </w:rPr>
              <w:t>strengthened again</w:t>
            </w:r>
            <w:r w:rsidR="00817E55" w:rsidRPr="00995C95">
              <w:rPr>
                <w:lang w:eastAsia="en-US"/>
              </w:rPr>
              <w:t xml:space="preserve"> in </w:t>
            </w:r>
            <w:proofErr w:type="gramStart"/>
            <w:r w:rsidR="00817E55" w:rsidRPr="00995C95">
              <w:rPr>
                <w:lang w:eastAsia="en-US"/>
              </w:rPr>
              <w:t>Q4</w:t>
            </w:r>
            <w:r w:rsidRPr="00995C95">
              <w:rPr>
                <w:lang w:eastAsia="en-US"/>
              </w:rPr>
              <w:t xml:space="preserve">, </w:t>
            </w:r>
            <w:r w:rsidR="0061142E" w:rsidRPr="00995C95">
              <w:rPr>
                <w:lang w:eastAsia="en-US"/>
              </w:rPr>
              <w:t>and</w:t>
            </w:r>
            <w:proofErr w:type="gramEnd"/>
            <w:r w:rsidR="0061142E" w:rsidRPr="00995C95">
              <w:rPr>
                <w:lang w:eastAsia="en-US"/>
              </w:rPr>
              <w:t xml:space="preserve"> </w:t>
            </w:r>
            <w:r w:rsidRPr="00995C95">
              <w:rPr>
                <w:lang w:eastAsia="en-US"/>
              </w:rPr>
              <w:t>increased by 38.4 b</w:t>
            </w:r>
            <w:r w:rsidR="0061142E" w:rsidRPr="00995C95">
              <w:rPr>
                <w:lang w:eastAsia="en-US"/>
              </w:rPr>
              <w:t>n CZK</w:t>
            </w:r>
            <w:r w:rsidRPr="00995C95">
              <w:rPr>
                <w:lang w:eastAsia="en-US"/>
              </w:rPr>
              <w:t xml:space="preserve"> (11.0%). The volume of</w:t>
            </w:r>
            <w:r w:rsidR="0061142E" w:rsidRPr="00995C95">
              <w:rPr>
                <w:lang w:eastAsia="en-US"/>
              </w:rPr>
              <w:t xml:space="preserve"> mortgages </w:t>
            </w:r>
            <w:r w:rsidRPr="00995C95">
              <w:rPr>
                <w:lang w:eastAsia="en-US"/>
              </w:rPr>
              <w:t>was higher by 151.3 b</w:t>
            </w:r>
            <w:r w:rsidR="0061142E" w:rsidRPr="00995C95">
              <w:rPr>
                <w:lang w:eastAsia="en-US"/>
              </w:rPr>
              <w:t xml:space="preserve">n CZK </w:t>
            </w:r>
            <w:r w:rsidRPr="00995C95">
              <w:rPr>
                <w:lang w:eastAsia="en-US"/>
              </w:rPr>
              <w:t xml:space="preserve">(7.7%) at the end of December, and growth </w:t>
            </w:r>
            <w:r w:rsidRPr="00995C95">
              <w:rPr>
                <w:lang w:eastAsia="en-US"/>
              </w:rPr>
              <w:lastRenderedPageBreak/>
              <w:t>also accelerated</w:t>
            </w:r>
            <w:r w:rsidR="0026033E" w:rsidRPr="00995C95">
              <w:rPr>
                <w:lang w:eastAsia="en-US"/>
              </w:rPr>
              <w:t xml:space="preserve"> here</w:t>
            </w:r>
            <w:r w:rsidRPr="00995C95">
              <w:rPr>
                <w:lang w:eastAsia="en-US"/>
              </w:rPr>
              <w:t xml:space="preserve">, mainly under the influence of mortgages, but also bridging loans from building </w:t>
            </w:r>
            <w:r w:rsidR="00F73F9D" w:rsidRPr="00995C95">
              <w:rPr>
                <w:lang w:eastAsia="en-US"/>
              </w:rPr>
              <w:t>society accounts</w:t>
            </w:r>
            <w:r w:rsidRPr="00995C95">
              <w:rPr>
                <w:lang w:eastAsia="en-US"/>
              </w:rPr>
              <w:t>, which were higher by more than a fifth</w:t>
            </w:r>
            <w:r w:rsidR="0026033E" w:rsidRPr="00995C95">
              <w:rPr>
                <w:lang w:eastAsia="en-US"/>
              </w:rPr>
              <w:t>,</w:t>
            </w:r>
            <w:r w:rsidRPr="00995C95">
              <w:rPr>
                <w:lang w:eastAsia="en-US"/>
              </w:rPr>
              <w:t xml:space="preserve"> year-on-year. The volume of new mortgage contracts</w:t>
            </w:r>
            <w:r w:rsidR="003A1F60" w:rsidRPr="00995C95">
              <w:rPr>
                <w:rStyle w:val="Znakapoznpodarou"/>
                <w:lang w:eastAsia="en-US"/>
              </w:rPr>
              <w:footnoteReference w:id="120"/>
            </w:r>
            <w:r w:rsidR="003A1F60" w:rsidRPr="00995C95">
              <w:rPr>
                <w:lang w:eastAsia="en-US"/>
              </w:rPr>
              <w:t xml:space="preserve"> </w:t>
            </w:r>
            <w:r w:rsidRPr="00995C95">
              <w:rPr>
                <w:lang w:eastAsia="en-US"/>
              </w:rPr>
              <w:t>amounted to 192.1 b</w:t>
            </w:r>
            <w:r w:rsidR="003A1F60" w:rsidRPr="00995C95">
              <w:rPr>
                <w:lang w:eastAsia="en-US"/>
              </w:rPr>
              <w:t>n CZK in Q4 2025</w:t>
            </w:r>
            <w:r w:rsidRPr="00995C95">
              <w:rPr>
                <w:lang w:eastAsia="en-US"/>
              </w:rPr>
              <w:t>, of which net new loans accounted for 85.9 b</w:t>
            </w:r>
            <w:r w:rsidR="001837AD" w:rsidRPr="00995C95">
              <w:rPr>
                <w:lang w:eastAsia="en-US"/>
              </w:rPr>
              <w:t>n CZK</w:t>
            </w:r>
            <w:r w:rsidRPr="00995C95">
              <w:rPr>
                <w:lang w:eastAsia="en-US"/>
              </w:rPr>
              <w:t>, refinanced loans for 18.0 b</w:t>
            </w:r>
            <w:r w:rsidR="001837AD" w:rsidRPr="00995C95">
              <w:rPr>
                <w:lang w:eastAsia="en-US"/>
              </w:rPr>
              <w:t xml:space="preserve">n CZK </w:t>
            </w:r>
            <w:r w:rsidRPr="00995C95">
              <w:rPr>
                <w:lang w:eastAsia="en-US"/>
              </w:rPr>
              <w:t>and other new arrangements for 88.3 b</w:t>
            </w:r>
            <w:r w:rsidR="001837AD" w:rsidRPr="00995C95">
              <w:rPr>
                <w:lang w:eastAsia="en-US"/>
              </w:rPr>
              <w:t>n CZK</w:t>
            </w:r>
            <w:r w:rsidRPr="00995C95">
              <w:rPr>
                <w:lang w:eastAsia="en-US"/>
              </w:rPr>
              <w:t xml:space="preserve">. Other new arrangements also contributed the most to the </w:t>
            </w:r>
            <w:r w:rsidR="001837AD" w:rsidRPr="00995C95">
              <w:rPr>
                <w:lang w:eastAsia="en-US"/>
              </w:rPr>
              <w:t xml:space="preserve">total </w:t>
            </w:r>
            <w:r w:rsidRPr="00995C95">
              <w:rPr>
                <w:lang w:eastAsia="en-US"/>
              </w:rPr>
              <w:t xml:space="preserve">growth </w:t>
            </w:r>
            <w:r w:rsidR="001837AD" w:rsidRPr="00995C95">
              <w:rPr>
                <w:lang w:eastAsia="en-US"/>
              </w:rPr>
              <w:t>of the n</w:t>
            </w:r>
            <w:r w:rsidRPr="00995C95">
              <w:rPr>
                <w:lang w:eastAsia="en-US"/>
              </w:rPr>
              <w:t>ew contracts</w:t>
            </w:r>
            <w:r w:rsidR="001837AD" w:rsidRPr="00995C95">
              <w:rPr>
                <w:lang w:eastAsia="en-US"/>
              </w:rPr>
              <w:t xml:space="preserve"> volume</w:t>
            </w:r>
            <w:r w:rsidRPr="00995C95">
              <w:rPr>
                <w:lang w:eastAsia="en-US"/>
              </w:rPr>
              <w:t>. For the whole of 2025, new mortgage contracts were concluded in the amount of 691.3 b</w:t>
            </w:r>
            <w:r w:rsidR="00610A25" w:rsidRPr="00995C95">
              <w:rPr>
                <w:lang w:eastAsia="en-US"/>
              </w:rPr>
              <w:t xml:space="preserve">n CZK </w:t>
            </w:r>
            <w:r w:rsidRPr="00995C95">
              <w:rPr>
                <w:lang w:eastAsia="en-US"/>
              </w:rPr>
              <w:t>(+218.0 b</w:t>
            </w:r>
            <w:r w:rsidR="00610A25" w:rsidRPr="00995C95">
              <w:rPr>
                <w:lang w:eastAsia="en-US"/>
              </w:rPr>
              <w:t xml:space="preserve">n, </w:t>
            </w:r>
            <w:r w:rsidRPr="00995C95">
              <w:rPr>
                <w:lang w:eastAsia="en-US"/>
              </w:rPr>
              <w:t>year-on-year), which nominally surpassed the record year 2021. Net new loans accounted for 320.1 b</w:t>
            </w:r>
            <w:r w:rsidR="000A5017" w:rsidRPr="00995C95">
              <w:rPr>
                <w:lang w:eastAsia="en-US"/>
              </w:rPr>
              <w:t xml:space="preserve">n CZK </w:t>
            </w:r>
            <w:r w:rsidRPr="00995C95">
              <w:rPr>
                <w:lang w:eastAsia="en-US"/>
              </w:rPr>
              <w:t>from new contracts and other arrangements for 315.0 b</w:t>
            </w:r>
            <w:r w:rsidR="007C7381" w:rsidRPr="00995C95">
              <w:rPr>
                <w:lang w:eastAsia="en-US"/>
              </w:rPr>
              <w:t>n CZK</w:t>
            </w:r>
            <w:r w:rsidRPr="00995C95">
              <w:rPr>
                <w:lang w:eastAsia="en-US"/>
              </w:rPr>
              <w:t>. Total household debt stood at 2,661.7 b</w:t>
            </w:r>
            <w:r w:rsidR="007C7381" w:rsidRPr="00995C95">
              <w:rPr>
                <w:lang w:eastAsia="en-US"/>
              </w:rPr>
              <w:t xml:space="preserve">n CZK </w:t>
            </w:r>
            <w:r w:rsidRPr="00995C95">
              <w:rPr>
                <w:lang w:eastAsia="en-US"/>
              </w:rPr>
              <w:t>at the end of December and was 10.3% higher</w:t>
            </w:r>
            <w:r w:rsidR="007C7381" w:rsidRPr="00995C95">
              <w:rPr>
                <w:lang w:eastAsia="en-US"/>
              </w:rPr>
              <w:t>,</w:t>
            </w:r>
            <w:r w:rsidRPr="00995C95">
              <w:rPr>
                <w:lang w:eastAsia="en-US"/>
              </w:rPr>
              <w:t xml:space="preserve"> year-on-year.</w:t>
            </w:r>
            <w:r w:rsidR="001837AD" w:rsidRPr="00995C95">
              <w:rPr>
                <w:lang w:eastAsia="en-US"/>
              </w:rPr>
              <w:t xml:space="preserve"> </w:t>
            </w:r>
          </w:p>
        </w:tc>
      </w:tr>
      <w:tr w:rsidR="00C65C22" w:rsidRPr="00995C95" w14:paraId="3F7D438B" w14:textId="77777777" w:rsidTr="00E87182">
        <w:trPr>
          <w:trHeight w:val="145"/>
        </w:trPr>
        <w:tc>
          <w:tcPr>
            <w:tcW w:w="1802" w:type="dxa"/>
          </w:tcPr>
          <w:p w14:paraId="31568D94" w14:textId="5BA4C803" w:rsidR="00C65C22" w:rsidRPr="00995C95" w:rsidRDefault="00D3074E" w:rsidP="00D3074E">
            <w:pPr>
              <w:pStyle w:val="Marginlie"/>
              <w:rPr>
                <w:lang w:eastAsia="en-US"/>
              </w:rPr>
            </w:pPr>
            <w:r w:rsidRPr="00995C95">
              <w:rPr>
                <w:lang w:eastAsia="en-US"/>
              </w:rPr>
              <w:t xml:space="preserve">The share of loans denominated in foreign currency to non-financial </w:t>
            </w:r>
            <w:r w:rsidR="003A1F60" w:rsidRPr="00995C95">
              <w:rPr>
                <w:lang w:eastAsia="en-US"/>
              </w:rPr>
              <w:t xml:space="preserve">businesses </w:t>
            </w:r>
            <w:r w:rsidRPr="00995C95">
              <w:rPr>
                <w:lang w:eastAsia="en-US"/>
              </w:rPr>
              <w:t>was declining.</w:t>
            </w:r>
          </w:p>
        </w:tc>
        <w:tc>
          <w:tcPr>
            <w:tcW w:w="229" w:type="dxa"/>
          </w:tcPr>
          <w:p w14:paraId="60823F41" w14:textId="77777777" w:rsidR="00C65C22" w:rsidRPr="00995C95" w:rsidRDefault="00C65C22" w:rsidP="00E87182">
            <w:pPr>
              <w:pStyle w:val="Textpoznpodarou"/>
              <w:jc w:val="both"/>
              <w:rPr>
                <w:spacing w:val="-4"/>
                <w:lang w:eastAsia="en-US"/>
              </w:rPr>
            </w:pPr>
          </w:p>
        </w:tc>
        <w:tc>
          <w:tcPr>
            <w:tcW w:w="7610" w:type="dxa"/>
          </w:tcPr>
          <w:p w14:paraId="7FC18E4E" w14:textId="357EAB55" w:rsidR="00C65C22" w:rsidRPr="00995C95" w:rsidRDefault="001D2CEA" w:rsidP="009A4E7B">
            <w:pPr>
              <w:rPr>
                <w:lang w:eastAsia="en-US"/>
              </w:rPr>
            </w:pPr>
            <w:r w:rsidRPr="00995C95">
              <w:rPr>
                <w:lang w:eastAsia="en-US"/>
              </w:rPr>
              <w:t>T</w:t>
            </w:r>
            <w:r w:rsidR="009A4E7B" w:rsidRPr="00995C95">
              <w:rPr>
                <w:lang w:eastAsia="en-US"/>
              </w:rPr>
              <w:t>he average interest rate on loans up to 7.5 million</w:t>
            </w:r>
            <w:r w:rsidRPr="00995C95">
              <w:rPr>
                <w:lang w:eastAsia="en-US"/>
              </w:rPr>
              <w:t xml:space="preserve"> CZK</w:t>
            </w:r>
            <w:r w:rsidR="009A4E7B" w:rsidRPr="00995C95">
              <w:rPr>
                <w:lang w:eastAsia="en-US"/>
              </w:rPr>
              <w:t xml:space="preserve"> for non-financial </w:t>
            </w:r>
            <w:r w:rsidRPr="00995C95">
              <w:rPr>
                <w:lang w:eastAsia="en-US"/>
              </w:rPr>
              <w:t xml:space="preserve">businesses </w:t>
            </w:r>
            <w:r w:rsidR="009A4E7B" w:rsidRPr="00995C95">
              <w:rPr>
                <w:lang w:eastAsia="en-US"/>
              </w:rPr>
              <w:t>was 5.63% (+0.13 p.p.)</w:t>
            </w:r>
            <w:r w:rsidRPr="00995C95">
              <w:rPr>
                <w:lang w:eastAsia="en-US"/>
              </w:rPr>
              <w:t xml:space="preserve"> at the end of December, </w:t>
            </w:r>
            <w:r w:rsidR="009A4E7B" w:rsidRPr="00995C95">
              <w:rPr>
                <w:lang w:eastAsia="en-US"/>
              </w:rPr>
              <w:t>between 7.5 and 30 million</w:t>
            </w:r>
            <w:r w:rsidRPr="00995C95">
              <w:rPr>
                <w:lang w:eastAsia="en-US"/>
              </w:rPr>
              <w:t xml:space="preserve"> CZK</w:t>
            </w:r>
            <w:r w:rsidR="009A4E7B" w:rsidRPr="00995C95">
              <w:rPr>
                <w:lang w:eastAsia="en-US"/>
              </w:rPr>
              <w:t xml:space="preserve"> 5.30% (−0.05 p.p.) and above 30 million</w:t>
            </w:r>
            <w:r w:rsidR="007C2D11" w:rsidRPr="00995C95">
              <w:rPr>
                <w:lang w:eastAsia="en-US"/>
              </w:rPr>
              <w:t xml:space="preserve"> CZK</w:t>
            </w:r>
            <w:r w:rsidR="009A4E7B" w:rsidRPr="00995C95">
              <w:rPr>
                <w:lang w:eastAsia="en-US"/>
              </w:rPr>
              <w:t xml:space="preserve"> 5.13% (+0.06 p.p.). The total volume of </w:t>
            </w:r>
            <w:r w:rsidR="00117365" w:rsidRPr="00995C95">
              <w:rPr>
                <w:lang w:eastAsia="en-US"/>
              </w:rPr>
              <w:t xml:space="preserve">credit and claims </w:t>
            </w:r>
            <w:r w:rsidR="009A4E7B" w:rsidRPr="00995C95">
              <w:rPr>
                <w:lang w:eastAsia="en-US"/>
              </w:rPr>
              <w:t xml:space="preserve">of non-financial </w:t>
            </w:r>
            <w:r w:rsidR="00117365" w:rsidRPr="00995C95">
              <w:rPr>
                <w:lang w:eastAsia="en-US"/>
              </w:rPr>
              <w:t xml:space="preserve">businesses </w:t>
            </w:r>
            <w:r w:rsidR="009A4E7B" w:rsidRPr="00995C95">
              <w:rPr>
                <w:lang w:eastAsia="en-US"/>
              </w:rPr>
              <w:t>was 2.9% higher</w:t>
            </w:r>
            <w:r w:rsidR="00117365" w:rsidRPr="00995C95">
              <w:rPr>
                <w:lang w:eastAsia="en-US"/>
              </w:rPr>
              <w:t>,</w:t>
            </w:r>
            <w:r w:rsidR="009A4E7B" w:rsidRPr="00995C95">
              <w:rPr>
                <w:lang w:eastAsia="en-US"/>
              </w:rPr>
              <w:t xml:space="preserve"> year-on-year</w:t>
            </w:r>
            <w:r w:rsidR="00117365" w:rsidRPr="00995C95">
              <w:rPr>
                <w:lang w:eastAsia="en-US"/>
              </w:rPr>
              <w:t>,</w:t>
            </w:r>
            <w:r w:rsidR="009A4E7B" w:rsidRPr="00995C95">
              <w:rPr>
                <w:lang w:eastAsia="en-US"/>
              </w:rPr>
              <w:t xml:space="preserve"> at the end of December. Only koruna</w:t>
            </w:r>
            <w:r w:rsidR="00117365" w:rsidRPr="00995C95">
              <w:rPr>
                <w:lang w:eastAsia="en-US"/>
              </w:rPr>
              <w:t xml:space="preserve"> denominated credit</w:t>
            </w:r>
            <w:r w:rsidR="009A4E7B" w:rsidRPr="00995C95">
              <w:rPr>
                <w:lang w:eastAsia="en-US"/>
              </w:rPr>
              <w:t xml:space="preserve"> contributed to the increase, </w:t>
            </w:r>
            <w:r w:rsidR="00995C6D" w:rsidRPr="00995C95">
              <w:rPr>
                <w:lang w:eastAsia="en-US"/>
              </w:rPr>
              <w:t>w</w:t>
            </w:r>
            <w:r w:rsidR="00592E71" w:rsidRPr="00995C95">
              <w:rPr>
                <w:lang w:eastAsia="en-US"/>
              </w:rPr>
              <w:t xml:space="preserve">hose </w:t>
            </w:r>
            <w:r w:rsidR="009A4E7B" w:rsidRPr="00995C95">
              <w:rPr>
                <w:lang w:eastAsia="en-US"/>
              </w:rPr>
              <w:t xml:space="preserve">volume was higher by 10.9%. </w:t>
            </w:r>
            <w:r w:rsidR="00592E71" w:rsidRPr="00995C95">
              <w:rPr>
                <w:lang w:eastAsia="en-US"/>
              </w:rPr>
              <w:t>Credit denominated i</w:t>
            </w:r>
            <w:r w:rsidR="009A4E7B" w:rsidRPr="00995C95">
              <w:rPr>
                <w:lang w:eastAsia="en-US"/>
              </w:rPr>
              <w:t xml:space="preserve">n foreign currencies fell by 4.4%, and with it </w:t>
            </w:r>
            <w:r w:rsidR="00CC08A4" w:rsidRPr="00995C95">
              <w:rPr>
                <w:lang w:eastAsia="en-US"/>
              </w:rPr>
              <w:t xml:space="preserve">also </w:t>
            </w:r>
            <w:r w:rsidR="009A4E7B" w:rsidRPr="00995C95">
              <w:rPr>
                <w:lang w:eastAsia="en-US"/>
              </w:rPr>
              <w:t xml:space="preserve">the share of </w:t>
            </w:r>
            <w:r w:rsidR="00CC08A4" w:rsidRPr="00995C95">
              <w:rPr>
                <w:lang w:eastAsia="en-US"/>
              </w:rPr>
              <w:t xml:space="preserve">credit </w:t>
            </w:r>
            <w:r w:rsidR="009A4E7B" w:rsidRPr="00995C95">
              <w:rPr>
                <w:lang w:eastAsia="en-US"/>
              </w:rPr>
              <w:t xml:space="preserve">denominated in foreign currency </w:t>
            </w:r>
            <w:r w:rsidR="00CC08A4" w:rsidRPr="00995C95">
              <w:rPr>
                <w:lang w:eastAsia="en-US"/>
              </w:rPr>
              <w:t xml:space="preserve">on </w:t>
            </w:r>
            <w:r w:rsidR="009A4E7B" w:rsidRPr="00995C95">
              <w:rPr>
                <w:lang w:eastAsia="en-US"/>
              </w:rPr>
              <w:t xml:space="preserve">total </w:t>
            </w:r>
            <w:r w:rsidR="00CC08A4" w:rsidRPr="00995C95">
              <w:rPr>
                <w:lang w:eastAsia="en-US"/>
              </w:rPr>
              <w:t>credit</w:t>
            </w:r>
            <w:r w:rsidR="009A4E7B" w:rsidRPr="00995C95">
              <w:rPr>
                <w:lang w:eastAsia="en-US"/>
              </w:rPr>
              <w:t>, which reached 48.2% at the end of 2025</w:t>
            </w:r>
            <w:r w:rsidR="00CC08A4" w:rsidRPr="00995C95">
              <w:rPr>
                <w:rStyle w:val="Znakapoznpodarou"/>
                <w:lang w:eastAsia="en-US"/>
              </w:rPr>
              <w:footnoteReference w:id="121"/>
            </w:r>
            <w:r w:rsidR="009A4E7B" w:rsidRPr="00995C95">
              <w:rPr>
                <w:lang w:eastAsia="en-US"/>
              </w:rPr>
              <w:t xml:space="preserve">. The largest increase </w:t>
            </w:r>
            <w:r w:rsidR="00A91C1B" w:rsidRPr="00995C95">
              <w:rPr>
                <w:lang w:eastAsia="en-US"/>
              </w:rPr>
              <w:t xml:space="preserve">of </w:t>
            </w:r>
            <w:r w:rsidR="009A4E7B" w:rsidRPr="00995C95">
              <w:rPr>
                <w:lang w:eastAsia="en-US"/>
              </w:rPr>
              <w:t xml:space="preserve">the volume of </w:t>
            </w:r>
            <w:r w:rsidR="00A91C1B" w:rsidRPr="00995C95">
              <w:rPr>
                <w:lang w:eastAsia="en-US"/>
              </w:rPr>
              <w:t xml:space="preserve">credit </w:t>
            </w:r>
            <w:r w:rsidR="009A4E7B" w:rsidRPr="00995C95">
              <w:rPr>
                <w:lang w:eastAsia="en-US"/>
              </w:rPr>
              <w:t>provided at the end of December was in information and communication (58.9%</w:t>
            </w:r>
            <w:r w:rsidR="00034EA1" w:rsidRPr="00995C95">
              <w:rPr>
                <w:rStyle w:val="Znakapoznpodarou"/>
                <w:lang w:eastAsia="en-US"/>
              </w:rPr>
              <w:footnoteReference w:id="122"/>
            </w:r>
            <w:r w:rsidR="009A4E7B" w:rsidRPr="00995C95">
              <w:rPr>
                <w:lang w:eastAsia="en-US"/>
              </w:rPr>
              <w:t xml:space="preserve">), public administration and defence, compulsory social security, education and </w:t>
            </w:r>
            <w:r w:rsidR="002F266A" w:rsidRPr="00995C95">
              <w:rPr>
                <w:lang w:eastAsia="en-US"/>
              </w:rPr>
              <w:t xml:space="preserve">human </w:t>
            </w:r>
            <w:r w:rsidR="009A4E7B" w:rsidRPr="00995C95">
              <w:rPr>
                <w:lang w:eastAsia="en-US"/>
              </w:rPr>
              <w:t>health and social work</w:t>
            </w:r>
            <w:r w:rsidR="002F266A" w:rsidRPr="00995C95">
              <w:rPr>
                <w:lang w:eastAsia="en-US"/>
              </w:rPr>
              <w:t xml:space="preserve"> activities</w:t>
            </w:r>
            <w:r w:rsidR="009A4E7B" w:rsidRPr="00995C95">
              <w:rPr>
                <w:lang w:eastAsia="en-US"/>
              </w:rPr>
              <w:t xml:space="preserve"> (26.3%). Double-digit year-on-year increases </w:t>
            </w:r>
            <w:r w:rsidR="00D8454D" w:rsidRPr="00995C95">
              <w:rPr>
                <w:lang w:eastAsia="en-US"/>
              </w:rPr>
              <w:t xml:space="preserve">of credit continued </w:t>
            </w:r>
            <w:r w:rsidR="009A4E7B" w:rsidRPr="00995C95">
              <w:rPr>
                <w:lang w:eastAsia="en-US"/>
              </w:rPr>
              <w:t xml:space="preserve">in accommodation and food </w:t>
            </w:r>
            <w:r w:rsidR="00D8454D" w:rsidRPr="00995C95">
              <w:rPr>
                <w:lang w:eastAsia="en-US"/>
              </w:rPr>
              <w:t xml:space="preserve">service </w:t>
            </w:r>
            <w:r w:rsidR="009A4E7B" w:rsidRPr="00995C95">
              <w:rPr>
                <w:lang w:eastAsia="en-US"/>
              </w:rPr>
              <w:t xml:space="preserve">(18.6%). By contrast, the volume of </w:t>
            </w:r>
            <w:r w:rsidR="00521B64" w:rsidRPr="00995C95">
              <w:rPr>
                <w:lang w:eastAsia="en-US"/>
              </w:rPr>
              <w:t xml:space="preserve">credit </w:t>
            </w:r>
            <w:r w:rsidR="009A4E7B" w:rsidRPr="00995C95">
              <w:rPr>
                <w:lang w:eastAsia="en-US"/>
              </w:rPr>
              <w:t>granted decreased year-on-year in mining and quarrying (−34.0%), in manufacturing and in professional, scientific, technical and administrative activities (</w:t>
            </w:r>
            <w:r w:rsidR="00521B64" w:rsidRPr="00995C95">
              <w:rPr>
                <w:lang w:eastAsia="en-US"/>
              </w:rPr>
              <w:t xml:space="preserve">similarly </w:t>
            </w:r>
            <w:r w:rsidR="009A4E7B" w:rsidRPr="00995C95">
              <w:rPr>
                <w:lang w:eastAsia="en-US"/>
              </w:rPr>
              <w:t xml:space="preserve">−4.2%) and </w:t>
            </w:r>
            <w:r w:rsidR="00521B64" w:rsidRPr="00995C95">
              <w:rPr>
                <w:lang w:eastAsia="en-US"/>
              </w:rPr>
              <w:t xml:space="preserve">in </w:t>
            </w:r>
            <w:r w:rsidR="009A4E7B" w:rsidRPr="00995C95">
              <w:rPr>
                <w:lang w:eastAsia="en-US"/>
              </w:rPr>
              <w:t>transport</w:t>
            </w:r>
            <w:r w:rsidR="00521B64" w:rsidRPr="00995C95">
              <w:rPr>
                <w:lang w:eastAsia="en-US"/>
              </w:rPr>
              <w:t>ation</w:t>
            </w:r>
            <w:r w:rsidR="009A4E7B" w:rsidRPr="00995C95">
              <w:rPr>
                <w:lang w:eastAsia="en-US"/>
              </w:rPr>
              <w:t xml:space="preserve"> and storage (−1.0%).</w:t>
            </w:r>
            <w:r w:rsidRPr="00995C95">
              <w:rPr>
                <w:lang w:eastAsia="en-US"/>
              </w:rPr>
              <w:t xml:space="preserve"> </w:t>
            </w:r>
          </w:p>
        </w:tc>
      </w:tr>
      <w:tr w:rsidR="00C65C22" w:rsidRPr="00995C95" w14:paraId="5D6714CE" w14:textId="77777777" w:rsidTr="00E87182">
        <w:trPr>
          <w:trHeight w:val="304"/>
        </w:trPr>
        <w:tc>
          <w:tcPr>
            <w:tcW w:w="1802" w:type="dxa"/>
            <w:vMerge w:val="restart"/>
          </w:tcPr>
          <w:p w14:paraId="4394F30D" w14:textId="77777777" w:rsidR="00C65C22" w:rsidRPr="00995C95" w:rsidRDefault="00C65C22" w:rsidP="00E87182">
            <w:pPr>
              <w:pStyle w:val="Marginlie"/>
              <w:rPr>
                <w:lang w:eastAsia="en-US"/>
              </w:rPr>
            </w:pPr>
          </w:p>
        </w:tc>
        <w:tc>
          <w:tcPr>
            <w:tcW w:w="229" w:type="dxa"/>
            <w:vMerge w:val="restart"/>
          </w:tcPr>
          <w:p w14:paraId="443D2578" w14:textId="77777777" w:rsidR="00C65C22" w:rsidRPr="00995C95" w:rsidRDefault="00C65C22" w:rsidP="00E87182">
            <w:pPr>
              <w:pStyle w:val="Textpoznpodarou"/>
              <w:jc w:val="both"/>
              <w:rPr>
                <w:spacing w:val="-4"/>
                <w:lang w:eastAsia="en-US"/>
              </w:rPr>
            </w:pPr>
          </w:p>
        </w:tc>
        <w:tc>
          <w:tcPr>
            <w:tcW w:w="7610" w:type="dxa"/>
            <w:hideMark/>
          </w:tcPr>
          <w:p w14:paraId="78D34E13" w14:textId="62D0D7C1" w:rsidR="00C65C22" w:rsidRPr="00995C95" w:rsidRDefault="00187611" w:rsidP="00E87182">
            <w:pPr>
              <w:spacing w:after="0"/>
              <w:rPr>
                <w:szCs w:val="20"/>
                <w:lang w:eastAsia="en-US"/>
              </w:rPr>
            </w:pPr>
            <w:r w:rsidRPr="00995C95">
              <w:rPr>
                <w:rFonts w:cs="Arial"/>
                <w:b/>
                <w:bCs/>
                <w:color w:val="000000"/>
                <w:szCs w:val="20"/>
                <w:lang w:eastAsia="en-US"/>
              </w:rPr>
              <w:t xml:space="preserve">Chart </w:t>
            </w:r>
            <w:r w:rsidR="00C65C22" w:rsidRPr="00995C95">
              <w:rPr>
                <w:rFonts w:cs="Arial"/>
                <w:b/>
                <w:bCs/>
                <w:color w:val="000000"/>
                <w:szCs w:val="20"/>
                <w:lang w:eastAsia="en-US"/>
              </w:rPr>
              <w:t>1</w:t>
            </w:r>
            <w:r w:rsidR="00281666" w:rsidRPr="00995C95">
              <w:rPr>
                <w:rFonts w:cs="Arial"/>
                <w:b/>
                <w:bCs/>
                <w:color w:val="000000"/>
                <w:szCs w:val="20"/>
                <w:lang w:eastAsia="en-US"/>
              </w:rPr>
              <w:t>7</w:t>
            </w:r>
            <w:r w:rsidR="00C65C22" w:rsidRPr="00995C95">
              <w:rPr>
                <w:rFonts w:cs="Arial"/>
                <w:b/>
                <w:bCs/>
                <w:color w:val="000000"/>
                <w:szCs w:val="20"/>
                <w:lang w:eastAsia="en-US"/>
              </w:rPr>
              <w:t xml:space="preserve"> </w:t>
            </w:r>
            <w:r w:rsidRPr="00995C95">
              <w:rPr>
                <w:rFonts w:cs="Arial"/>
                <w:b/>
                <w:bCs/>
                <w:color w:val="000000"/>
                <w:szCs w:val="20"/>
                <w:lang w:eastAsia="en-US"/>
              </w:rPr>
              <w:t xml:space="preserve">Market interest rates </w:t>
            </w:r>
            <w:r w:rsidR="00C65C22" w:rsidRPr="00995C95">
              <w:rPr>
                <w:bCs/>
                <w:spacing w:val="-4"/>
                <w:szCs w:val="20"/>
                <w:lang w:eastAsia="en-US"/>
              </w:rPr>
              <w:t>(</w:t>
            </w:r>
            <w:r w:rsidRPr="00995C95">
              <w:rPr>
                <w:bCs/>
                <w:spacing w:val="-4"/>
                <w:szCs w:val="20"/>
                <w:lang w:eastAsia="en-US"/>
              </w:rPr>
              <w:t>in</w:t>
            </w:r>
            <w:r w:rsidR="00C65C22" w:rsidRPr="00995C95">
              <w:rPr>
                <w:bCs/>
                <w:spacing w:val="-4"/>
                <w:szCs w:val="20"/>
                <w:lang w:eastAsia="en-US"/>
              </w:rPr>
              <w:t> %)</w:t>
            </w:r>
          </w:p>
        </w:tc>
      </w:tr>
      <w:tr w:rsidR="00C65C22" w:rsidRPr="00995C95" w14:paraId="47DE5639" w14:textId="77777777" w:rsidTr="00BC77F6">
        <w:tblPrEx>
          <w:tblCellMar>
            <w:left w:w="70" w:type="dxa"/>
            <w:right w:w="70" w:type="dxa"/>
          </w:tblCellMar>
        </w:tblPrEx>
        <w:trPr>
          <w:trHeight w:val="170"/>
        </w:trPr>
        <w:tc>
          <w:tcPr>
            <w:tcW w:w="1802" w:type="dxa"/>
            <w:vMerge/>
            <w:vAlign w:val="center"/>
            <w:hideMark/>
          </w:tcPr>
          <w:p w14:paraId="5695FDDF" w14:textId="77777777" w:rsidR="00C65C22" w:rsidRPr="00995C95" w:rsidRDefault="00C65C22" w:rsidP="00E87182">
            <w:pPr>
              <w:spacing w:after="0" w:line="240" w:lineRule="auto"/>
              <w:jc w:val="left"/>
              <w:rPr>
                <w:spacing w:val="-2"/>
                <w:sz w:val="16"/>
                <w:szCs w:val="16"/>
                <w:lang w:eastAsia="en-US"/>
              </w:rPr>
            </w:pPr>
          </w:p>
        </w:tc>
        <w:tc>
          <w:tcPr>
            <w:tcW w:w="229" w:type="dxa"/>
            <w:vMerge/>
            <w:vAlign w:val="center"/>
            <w:hideMark/>
          </w:tcPr>
          <w:p w14:paraId="53394873" w14:textId="77777777" w:rsidR="00C65C22" w:rsidRPr="00995C95" w:rsidRDefault="00C65C22" w:rsidP="00E87182">
            <w:pPr>
              <w:spacing w:after="0" w:line="240" w:lineRule="auto"/>
              <w:jc w:val="left"/>
              <w:rPr>
                <w:rFonts w:eastAsia="Calibri"/>
                <w:spacing w:val="-4"/>
                <w:szCs w:val="20"/>
                <w:lang w:eastAsia="en-US"/>
              </w:rPr>
            </w:pPr>
          </w:p>
        </w:tc>
        <w:tc>
          <w:tcPr>
            <w:tcW w:w="7610" w:type="dxa"/>
            <w:hideMark/>
          </w:tcPr>
          <w:p w14:paraId="579D47F5" w14:textId="7BBCD41F" w:rsidR="00C65C22" w:rsidRPr="00995C95" w:rsidRDefault="00BC77F6" w:rsidP="00E87182">
            <w:pPr>
              <w:spacing w:after="0"/>
              <w:rPr>
                <w:sz w:val="14"/>
                <w:szCs w:val="14"/>
                <w:lang w:eastAsia="en-US"/>
              </w:rPr>
            </w:pPr>
            <w:r>
              <w:rPr>
                <w:noProof/>
              </w:rPr>
              <w:drawing>
                <wp:inline distT="0" distB="0" distL="0" distR="0" wp14:anchorId="1622B395" wp14:editId="772D594F">
                  <wp:extent cx="4734425" cy="3312000"/>
                  <wp:effectExtent l="0" t="0" r="0" b="3175"/>
                  <wp:docPr id="499206651" name="Graf 1">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r w:rsidR="00C65C22" w:rsidRPr="00995C95" w14:paraId="79B2195D" w14:textId="77777777" w:rsidTr="00E87182">
        <w:trPr>
          <w:trHeight w:val="170"/>
        </w:trPr>
        <w:tc>
          <w:tcPr>
            <w:tcW w:w="0" w:type="auto"/>
            <w:vMerge/>
            <w:vAlign w:val="center"/>
            <w:hideMark/>
          </w:tcPr>
          <w:p w14:paraId="379EA8D7" w14:textId="77777777" w:rsidR="00C65C22" w:rsidRPr="00995C95" w:rsidRDefault="00C65C22" w:rsidP="00E87182">
            <w:pPr>
              <w:spacing w:after="0" w:line="240" w:lineRule="auto"/>
              <w:jc w:val="left"/>
              <w:rPr>
                <w:spacing w:val="-2"/>
                <w:sz w:val="16"/>
                <w:szCs w:val="16"/>
                <w:lang w:eastAsia="en-US"/>
              </w:rPr>
            </w:pPr>
          </w:p>
        </w:tc>
        <w:tc>
          <w:tcPr>
            <w:tcW w:w="0" w:type="auto"/>
            <w:vMerge/>
            <w:vAlign w:val="center"/>
            <w:hideMark/>
          </w:tcPr>
          <w:p w14:paraId="5CC01BAB" w14:textId="77777777" w:rsidR="00C65C22" w:rsidRPr="00995C95" w:rsidRDefault="00C65C22" w:rsidP="00E87182">
            <w:pPr>
              <w:spacing w:after="0" w:line="240" w:lineRule="auto"/>
              <w:jc w:val="left"/>
              <w:rPr>
                <w:rFonts w:eastAsia="Calibri"/>
                <w:spacing w:val="-4"/>
                <w:szCs w:val="20"/>
                <w:lang w:eastAsia="en-US"/>
              </w:rPr>
            </w:pPr>
          </w:p>
        </w:tc>
        <w:tc>
          <w:tcPr>
            <w:tcW w:w="7610" w:type="dxa"/>
            <w:hideMark/>
          </w:tcPr>
          <w:p w14:paraId="50F2479C" w14:textId="24831D03" w:rsidR="002B14BE" w:rsidRPr="00995C95" w:rsidRDefault="009A4E7B" w:rsidP="00BC77F6">
            <w:pPr>
              <w:spacing w:after="0"/>
              <w:rPr>
                <w:b/>
                <w:bCs/>
                <w:sz w:val="16"/>
                <w:szCs w:val="16"/>
                <w:lang w:eastAsia="en-US"/>
              </w:rPr>
            </w:pPr>
            <w:r w:rsidRPr="00995C95">
              <w:rPr>
                <w:sz w:val="14"/>
                <w:szCs w:val="14"/>
                <w:lang w:eastAsia="en-US"/>
              </w:rPr>
              <w:t>Source</w:t>
            </w:r>
            <w:r w:rsidR="00C65C22" w:rsidRPr="00995C95">
              <w:rPr>
                <w:sz w:val="14"/>
                <w:szCs w:val="14"/>
                <w:lang w:eastAsia="en-US"/>
              </w:rPr>
              <w:t xml:space="preserve">: ARAD, </w:t>
            </w:r>
            <w:r w:rsidRPr="00995C95">
              <w:rPr>
                <w:sz w:val="14"/>
                <w:szCs w:val="14"/>
                <w:lang w:eastAsia="en-US"/>
              </w:rPr>
              <w:t>C</w:t>
            </w:r>
            <w:r w:rsidR="00C65C22" w:rsidRPr="00995C95">
              <w:rPr>
                <w:sz w:val="14"/>
                <w:szCs w:val="14"/>
                <w:lang w:eastAsia="en-US"/>
              </w:rPr>
              <w:t>NB</w:t>
            </w:r>
          </w:p>
        </w:tc>
      </w:tr>
    </w:tbl>
    <w:p w14:paraId="727C7BF3" w14:textId="02B24AE5" w:rsidR="0003024B" w:rsidRPr="00995C95" w:rsidRDefault="005F0465" w:rsidP="0003024B">
      <w:pPr>
        <w:pStyle w:val="Nadpis1"/>
        <w:rPr>
          <w:lang w:val="en-GB"/>
        </w:rPr>
      </w:pPr>
      <w:bookmarkStart w:id="29" w:name="_Toc227235022"/>
      <w:r>
        <w:rPr>
          <w:lang w:val="en-GB"/>
        </w:rPr>
        <w:lastRenderedPageBreak/>
        <w:t>8</w:t>
      </w:r>
      <w:r w:rsidR="0003024B" w:rsidRPr="00995C95">
        <w:rPr>
          <w:lang w:val="en-GB"/>
        </w:rPr>
        <w:t>. State Budget</w:t>
      </w:r>
      <w:bookmarkEnd w:id="29"/>
    </w:p>
    <w:tbl>
      <w:tblPr>
        <w:tblW w:w="9669" w:type="dxa"/>
        <w:tblInd w:w="-20" w:type="dxa"/>
        <w:tblLayout w:type="fixed"/>
        <w:tblCellMar>
          <w:left w:w="0" w:type="dxa"/>
          <w:right w:w="0" w:type="dxa"/>
        </w:tblCellMar>
        <w:tblLook w:val="00A0" w:firstRow="1" w:lastRow="0" w:firstColumn="1" w:lastColumn="0" w:noHBand="0" w:noVBand="0"/>
      </w:tblPr>
      <w:tblGrid>
        <w:gridCol w:w="1785"/>
        <w:gridCol w:w="203"/>
        <w:gridCol w:w="7681"/>
      </w:tblGrid>
      <w:tr w:rsidR="0003024B" w:rsidRPr="00995C95" w14:paraId="3B495388" w14:textId="77777777" w:rsidTr="00E25E8B">
        <w:trPr>
          <w:trHeight w:val="60"/>
        </w:trPr>
        <w:tc>
          <w:tcPr>
            <w:tcW w:w="1785" w:type="dxa"/>
            <w:tcMar>
              <w:left w:w="0" w:type="dxa"/>
            </w:tcMar>
          </w:tcPr>
          <w:p w14:paraId="2CAC0A32" w14:textId="77777777" w:rsidR="0003024B" w:rsidRPr="00995C95" w:rsidRDefault="0003024B" w:rsidP="00E25E8B">
            <w:pPr>
              <w:pStyle w:val="Marginlie"/>
              <w:rPr>
                <w:spacing w:val="0"/>
              </w:rPr>
            </w:pPr>
            <w:r w:rsidRPr="00995C95">
              <w:rPr>
                <w:spacing w:val="0"/>
              </w:rPr>
              <w:t>The deficit of the SB slightly deepened last year and exceeded the amount of the approved budget after a long time. However, the deficit continued to decline after adjusting for revenues and expenditure on EU projects.</w:t>
            </w:r>
          </w:p>
        </w:tc>
        <w:tc>
          <w:tcPr>
            <w:tcW w:w="203" w:type="dxa"/>
            <w:tcMar>
              <w:left w:w="0" w:type="dxa"/>
            </w:tcMar>
          </w:tcPr>
          <w:p w14:paraId="5F0FEFD0" w14:textId="77777777" w:rsidR="0003024B" w:rsidRPr="00995C95" w:rsidRDefault="0003024B" w:rsidP="00E25E8B">
            <w:pPr>
              <w:pStyle w:val="Textpoznpodarou"/>
              <w:jc w:val="both"/>
            </w:pPr>
          </w:p>
        </w:tc>
        <w:tc>
          <w:tcPr>
            <w:tcW w:w="7681" w:type="dxa"/>
            <w:tcMar>
              <w:left w:w="0" w:type="dxa"/>
            </w:tcMar>
          </w:tcPr>
          <w:p w14:paraId="016FDBA1" w14:textId="77777777" w:rsidR="0003024B" w:rsidRPr="00995C95" w:rsidRDefault="0003024B" w:rsidP="00E25E8B">
            <w:pPr>
              <w:spacing w:after="200"/>
            </w:pPr>
            <w:r w:rsidRPr="00995C95">
              <w:t>The state budget (SB)</w:t>
            </w:r>
            <w:r w:rsidRPr="00995C95">
              <w:rPr>
                <w:rStyle w:val="Znakapoznpodarou"/>
              </w:rPr>
              <w:t xml:space="preserve"> </w:t>
            </w:r>
            <w:r w:rsidRPr="00995C95">
              <w:rPr>
                <w:rStyle w:val="Znakapoznpodarou"/>
              </w:rPr>
              <w:footnoteReference w:id="123"/>
            </w:r>
            <w:r w:rsidRPr="00995C95">
              <w:t xml:space="preserve"> ended in 2025 with a deficit of 290.7 bn CZK, deeper by almost 20 bn CZK, year-on-year, and simultaneously the most significant in the last three years. For the first time since 2011, the currently attained deficit was worse than budget </w:t>
            </w:r>
            <w:r w:rsidRPr="009E45CD">
              <w:rPr>
                <w:spacing w:val="-2"/>
              </w:rPr>
              <w:t>expectations</w:t>
            </w:r>
            <w:r w:rsidRPr="009E45CD">
              <w:rPr>
                <w:rStyle w:val="Znakapoznpodarou"/>
                <w:spacing w:val="-2"/>
              </w:rPr>
              <w:footnoteReference w:id="124"/>
            </w:r>
            <w:r w:rsidRPr="009E45CD">
              <w:rPr>
                <w:spacing w:val="-2"/>
              </w:rPr>
              <w:t>. The balance of the SB adjusted for funds from the EU budget</w:t>
            </w:r>
            <w:r w:rsidRPr="009E45CD">
              <w:rPr>
                <w:rStyle w:val="Znakapoznpodarou"/>
                <w:spacing w:val="-2"/>
              </w:rPr>
              <w:footnoteReference w:id="125"/>
            </w:r>
            <w:r w:rsidRPr="009E45CD">
              <w:rPr>
                <w:spacing w:val="-2"/>
              </w:rPr>
              <w:t xml:space="preserve"> reached</w:t>
            </w:r>
            <w:r w:rsidRPr="00995C95">
              <w:t xml:space="preserve"> 249.9 bn CZK last year, and although it did not meet the above expectations either, it indicated a trend of a slight decrease of the budget </w:t>
            </w:r>
            <w:r>
              <w:t>deficit</w:t>
            </w:r>
            <w:r w:rsidRPr="00995C95">
              <w:t xml:space="preserve"> expressed in this way. This is connected to a slight strengthening of the growth of the </w:t>
            </w:r>
            <w:r>
              <w:t>Czech</w:t>
            </w:r>
            <w:r w:rsidRPr="00995C95">
              <w:t xml:space="preserve"> economy and the economies of some important trading partners</w:t>
            </w:r>
            <w:r>
              <w:t xml:space="preserve"> as well</w:t>
            </w:r>
            <w:r w:rsidRPr="00995C95">
              <w:t xml:space="preserve">. In addition, both the revenue and expenditure sides of the budget were gradually increasingly affected by the effects of </w:t>
            </w:r>
            <w:r>
              <w:t>“</w:t>
            </w:r>
            <w:r w:rsidRPr="00995C95">
              <w:t>the consolidation recovery package</w:t>
            </w:r>
            <w:r>
              <w:t>”</w:t>
            </w:r>
            <w:r w:rsidRPr="00995C95">
              <w:t xml:space="preserve"> (approved in 2023). The change of the budgetary allocation of taxes (BAT), which has again increased the share of the revenue of some weight-important taxes in favour of the SB </w:t>
            </w:r>
            <w:r>
              <w:t>(</w:t>
            </w:r>
            <w:r w:rsidRPr="009E45CD">
              <w:t xml:space="preserve">at the expense of local </w:t>
            </w:r>
            <w:r>
              <w:t xml:space="preserve">and regional </w:t>
            </w:r>
            <w:r w:rsidRPr="009E45CD">
              <w:t>budgets</w:t>
            </w:r>
            <w:r>
              <w:t xml:space="preserve">) </w:t>
            </w:r>
            <w:r w:rsidRPr="00995C95">
              <w:t>since January 2025, also has a clear impact here</w:t>
            </w:r>
            <w:r w:rsidRPr="00995C95">
              <w:rPr>
                <w:rStyle w:val="Znakapoznpodarou"/>
              </w:rPr>
              <w:footnoteReference w:id="126"/>
            </w:r>
            <w:r w:rsidRPr="00995C95">
              <w:t>.</w:t>
            </w:r>
          </w:p>
        </w:tc>
      </w:tr>
      <w:tr w:rsidR="0003024B" w:rsidRPr="00995C95" w14:paraId="231776AF" w14:textId="77777777" w:rsidTr="00E25E8B">
        <w:trPr>
          <w:trHeight w:val="60"/>
        </w:trPr>
        <w:tc>
          <w:tcPr>
            <w:tcW w:w="1785" w:type="dxa"/>
            <w:tcMar>
              <w:left w:w="0" w:type="dxa"/>
            </w:tcMar>
          </w:tcPr>
          <w:p w14:paraId="07164A0C" w14:textId="77777777" w:rsidR="0003024B" w:rsidRPr="00995C95" w:rsidRDefault="0003024B" w:rsidP="00E25E8B">
            <w:pPr>
              <w:pStyle w:val="Marginlie"/>
              <w:rPr>
                <w:spacing w:val="0"/>
              </w:rPr>
            </w:pPr>
            <w:r w:rsidRPr="00995C95">
              <w:rPr>
                <w:spacing w:val="0"/>
              </w:rPr>
              <w:t xml:space="preserve">The growth of total revenues was driven mainly by rapidly strengthening tax collections and the collection of social security contributions. Mainly the lower revenues from the EU budget had the opposite effect. </w:t>
            </w:r>
          </w:p>
        </w:tc>
        <w:tc>
          <w:tcPr>
            <w:tcW w:w="203" w:type="dxa"/>
            <w:tcMar>
              <w:left w:w="0" w:type="dxa"/>
            </w:tcMar>
          </w:tcPr>
          <w:p w14:paraId="7D2371CB" w14:textId="77777777" w:rsidR="0003024B" w:rsidRPr="00995C95" w:rsidRDefault="0003024B" w:rsidP="00E25E8B">
            <w:pPr>
              <w:pStyle w:val="Textpoznpodarou"/>
              <w:jc w:val="both"/>
            </w:pPr>
          </w:p>
        </w:tc>
        <w:tc>
          <w:tcPr>
            <w:tcW w:w="7681" w:type="dxa"/>
            <w:tcMar>
              <w:left w:w="0" w:type="dxa"/>
            </w:tcMar>
          </w:tcPr>
          <w:p w14:paraId="53D164DE" w14:textId="77777777" w:rsidR="0003024B" w:rsidRPr="00455CE0" w:rsidRDefault="0003024B" w:rsidP="00E25E8B">
            <w:pPr>
              <w:spacing w:after="200"/>
              <w:rPr>
                <w:color w:val="0D0D0D" w:themeColor="text1" w:themeTint="F2"/>
                <w:spacing w:val="-2"/>
              </w:rPr>
            </w:pPr>
            <w:r w:rsidRPr="00455CE0">
              <w:rPr>
                <w:color w:val="0D0D0D" w:themeColor="text1" w:themeTint="F2"/>
                <w:spacing w:val="-2"/>
              </w:rPr>
              <w:t>Total revenues of the SB increased by 5.9%, year-on-year (+116 bn CZK) last year. Almost all key revenue items (except revenue from the EU budget) expanded. Last year's growth was still driven by rapidly growing tax revenues (+9.5%, +92 bn CZK), mainly affected by higher VAT collection and corporate taxes. The steadily increasing collection of social security contributions</w:t>
            </w:r>
            <w:r>
              <w:rPr>
                <w:color w:val="0D0D0D" w:themeColor="text1" w:themeTint="F2"/>
                <w:spacing w:val="-2"/>
              </w:rPr>
              <w:t xml:space="preserve"> </w:t>
            </w:r>
            <w:r w:rsidRPr="00455CE0">
              <w:rPr>
                <w:color w:val="0D0D0D" w:themeColor="text1" w:themeTint="F2"/>
                <w:spacing w:val="-2"/>
              </w:rPr>
              <w:t>(+7.1%, +54 bn CZK), including active employment policy</w:t>
            </w:r>
            <w:r>
              <w:rPr>
                <w:color w:val="0D0D0D" w:themeColor="text1" w:themeTint="F2"/>
                <w:spacing w:val="-2"/>
              </w:rPr>
              <w:t>,</w:t>
            </w:r>
            <w:r w:rsidRPr="00455CE0">
              <w:rPr>
                <w:color w:val="0D0D0D" w:themeColor="text1" w:themeTint="F2"/>
                <w:spacing w:val="-2"/>
              </w:rPr>
              <w:t xml:space="preserve"> stemming from </w:t>
            </w:r>
            <w:r>
              <w:rPr>
                <w:color w:val="0D0D0D" w:themeColor="text1" w:themeTint="F2"/>
                <w:spacing w:val="-2"/>
              </w:rPr>
              <w:t>favourable</w:t>
            </w:r>
            <w:r w:rsidRPr="00455CE0">
              <w:rPr>
                <w:color w:val="0D0D0D" w:themeColor="text1" w:themeTint="F2"/>
                <w:spacing w:val="-2"/>
              </w:rPr>
              <w:t xml:space="preserve"> </w:t>
            </w:r>
            <w:r>
              <w:rPr>
                <w:color w:val="0D0D0D" w:themeColor="text1" w:themeTint="F2"/>
                <w:spacing w:val="-2"/>
              </w:rPr>
              <w:t xml:space="preserve">conditions </w:t>
            </w:r>
            <w:r w:rsidRPr="00455CE0">
              <w:rPr>
                <w:color w:val="0D0D0D" w:themeColor="text1" w:themeTint="F2"/>
                <w:spacing w:val="-2"/>
              </w:rPr>
              <w:t xml:space="preserve">of the labour market </w:t>
            </w:r>
            <w:r>
              <w:rPr>
                <w:color w:val="0D0D0D" w:themeColor="text1" w:themeTint="F2"/>
                <w:spacing w:val="-2"/>
              </w:rPr>
              <w:t xml:space="preserve">(e.g. </w:t>
            </w:r>
            <w:r w:rsidRPr="00455CE0">
              <w:rPr>
                <w:color w:val="0D0D0D" w:themeColor="text1" w:themeTint="F2"/>
                <w:spacing w:val="-2"/>
              </w:rPr>
              <w:t>higher employment accompanied by strengthening average earnings in the corporate sector</w:t>
            </w:r>
            <w:r>
              <w:rPr>
                <w:color w:val="0D0D0D" w:themeColor="text1" w:themeTint="F2"/>
                <w:spacing w:val="-2"/>
              </w:rPr>
              <w:t>)</w:t>
            </w:r>
            <w:r w:rsidRPr="00455CE0">
              <w:rPr>
                <w:color w:val="0D0D0D" w:themeColor="text1" w:themeTint="F2"/>
                <w:spacing w:val="-2"/>
              </w:rPr>
              <w:t>, also had a significant impact. Legislative adjustments in connection with the SB consolidation</w:t>
            </w:r>
            <w:r w:rsidRPr="00455CE0">
              <w:rPr>
                <w:rStyle w:val="Znakapoznpodarou"/>
                <w:spacing w:val="-2"/>
              </w:rPr>
              <w:footnoteReference w:id="127"/>
            </w:r>
            <w:r w:rsidRPr="00455CE0">
              <w:rPr>
                <w:color w:val="0D0D0D" w:themeColor="text1" w:themeTint="F2"/>
                <w:spacing w:val="-2"/>
              </w:rPr>
              <w:t xml:space="preserve"> also contributed to a lesser extent to the growth of this collection, which was</w:t>
            </w:r>
            <w:r>
              <w:rPr>
                <w:color w:val="0D0D0D" w:themeColor="text1" w:themeTint="F2"/>
                <w:spacing w:val="-2"/>
              </w:rPr>
              <w:t xml:space="preserve">, however, </w:t>
            </w:r>
            <w:r w:rsidRPr="00455CE0">
              <w:rPr>
                <w:color w:val="0D0D0D" w:themeColor="text1" w:themeTint="F2"/>
                <w:spacing w:val="-2"/>
              </w:rPr>
              <w:t xml:space="preserve">slightly below budget expectations. On the contrary, the growth of the SB total revenues was dampened mainly by lower revenues from the EU budget and financial mechanisms (−29.5 bn CZK) and also by a weaker transfer of revenues from </w:t>
            </w:r>
            <w:r>
              <w:rPr>
                <w:color w:val="0D0D0D" w:themeColor="text1" w:themeTint="F2"/>
                <w:spacing w:val="-2"/>
              </w:rPr>
              <w:t xml:space="preserve">companies under the </w:t>
            </w:r>
            <w:r w:rsidRPr="00455CE0">
              <w:rPr>
                <w:color w:val="0D0D0D" w:themeColor="text1" w:themeTint="F2"/>
                <w:spacing w:val="-2"/>
              </w:rPr>
              <w:t xml:space="preserve">state ownership (−12.5 bn). </w:t>
            </w:r>
          </w:p>
        </w:tc>
      </w:tr>
      <w:tr w:rsidR="0003024B" w:rsidRPr="00995C95" w14:paraId="6ED82E69" w14:textId="77777777" w:rsidTr="00E25E8B">
        <w:trPr>
          <w:trHeight w:val="60"/>
        </w:trPr>
        <w:tc>
          <w:tcPr>
            <w:tcW w:w="1785" w:type="dxa"/>
            <w:tcMar>
              <w:left w:w="0" w:type="dxa"/>
            </w:tcMar>
          </w:tcPr>
          <w:p w14:paraId="5630EFD7" w14:textId="77777777" w:rsidR="0003024B" w:rsidRPr="00995C95" w:rsidRDefault="0003024B" w:rsidP="00E25E8B">
            <w:pPr>
              <w:pStyle w:val="Marginlie"/>
              <w:rPr>
                <w:spacing w:val="0"/>
              </w:rPr>
            </w:pPr>
            <w:r w:rsidRPr="00995C95">
              <w:rPr>
                <w:spacing w:val="0"/>
              </w:rPr>
              <w:t xml:space="preserve">The growth of nationwide tax collection was supported mainly by higher VAT and corporate tax collection. </w:t>
            </w:r>
          </w:p>
        </w:tc>
        <w:tc>
          <w:tcPr>
            <w:tcW w:w="203" w:type="dxa"/>
            <w:tcMar>
              <w:left w:w="0" w:type="dxa"/>
            </w:tcMar>
          </w:tcPr>
          <w:p w14:paraId="2E6DE3E6" w14:textId="77777777" w:rsidR="0003024B" w:rsidRPr="00995C95" w:rsidRDefault="0003024B" w:rsidP="00E25E8B">
            <w:pPr>
              <w:pStyle w:val="Textpoznpodarou"/>
              <w:jc w:val="both"/>
            </w:pPr>
          </w:p>
        </w:tc>
        <w:tc>
          <w:tcPr>
            <w:tcW w:w="7681" w:type="dxa"/>
            <w:tcMar>
              <w:left w:w="0" w:type="dxa"/>
            </w:tcMar>
          </w:tcPr>
          <w:p w14:paraId="48CCAB65" w14:textId="77777777" w:rsidR="0003024B" w:rsidRPr="00995C95" w:rsidRDefault="0003024B" w:rsidP="00E25E8B">
            <w:pPr>
              <w:spacing w:after="200"/>
              <w:rPr>
                <w:color w:val="0D0D0D" w:themeColor="text1" w:themeTint="F2"/>
              </w:rPr>
            </w:pPr>
            <w:r w:rsidRPr="00995C95">
              <w:rPr>
                <w:color w:val="0D0D0D" w:themeColor="text1" w:themeTint="F2"/>
              </w:rPr>
              <w:t>Nationwide tax collection excluding insurance premiums (taking into account revenues at the level of all public budgets) increased by 8.1% last year (its growth accelerated significantly compared to 2024). VAT</w:t>
            </w:r>
            <w:r>
              <w:rPr>
                <w:color w:val="0D0D0D" w:themeColor="text1" w:themeTint="F2"/>
              </w:rPr>
              <w:t xml:space="preserve"> as well as </w:t>
            </w:r>
            <w:r w:rsidRPr="00995C95">
              <w:rPr>
                <w:color w:val="0D0D0D" w:themeColor="text1" w:themeTint="F2"/>
              </w:rPr>
              <w:t xml:space="preserve">the </w:t>
            </w:r>
            <w:r>
              <w:rPr>
                <w:color w:val="0D0D0D" w:themeColor="text1" w:themeTint="F2"/>
              </w:rPr>
              <w:t xml:space="preserve">regular </w:t>
            </w:r>
            <w:r w:rsidRPr="00995C95">
              <w:rPr>
                <w:color w:val="0D0D0D" w:themeColor="text1" w:themeTint="F2"/>
              </w:rPr>
              <w:t xml:space="preserve">corporate tax, whose role has strengthened compared to </w:t>
            </w:r>
            <w:r>
              <w:rPr>
                <w:color w:val="0D0D0D" w:themeColor="text1" w:themeTint="F2"/>
              </w:rPr>
              <w:t>the previous</w:t>
            </w:r>
            <w:r w:rsidRPr="00995C95">
              <w:rPr>
                <w:color w:val="0D0D0D" w:themeColor="text1" w:themeTint="F2"/>
              </w:rPr>
              <w:t xml:space="preserve"> year</w:t>
            </w:r>
            <w:r>
              <w:rPr>
                <w:color w:val="0D0D0D" w:themeColor="text1" w:themeTint="F2"/>
              </w:rPr>
              <w:t>,</w:t>
            </w:r>
            <w:r w:rsidRPr="00CF463B">
              <w:rPr>
                <w:color w:val="0D0D0D" w:themeColor="text1" w:themeTint="F2"/>
              </w:rPr>
              <w:t xml:space="preserve"> </w:t>
            </w:r>
            <w:r w:rsidRPr="00995C95">
              <w:rPr>
                <w:color w:val="0D0D0D" w:themeColor="text1" w:themeTint="F2"/>
              </w:rPr>
              <w:t xml:space="preserve">contributed </w:t>
            </w:r>
            <w:r>
              <w:rPr>
                <w:color w:val="0D0D0D" w:themeColor="text1" w:themeTint="F2"/>
              </w:rPr>
              <w:t xml:space="preserve">(each of them) </w:t>
            </w:r>
            <w:r w:rsidRPr="00995C95">
              <w:rPr>
                <w:color w:val="0D0D0D" w:themeColor="text1" w:themeTint="F2"/>
              </w:rPr>
              <w:t xml:space="preserve">to the growth of collections by a full third. On the contrary, the impact of excise duty, income tax of natural persons and real estate tax was weakening (its collection increased sharply the year before last due to the legal regulation). </w:t>
            </w:r>
          </w:p>
        </w:tc>
      </w:tr>
      <w:tr w:rsidR="0003024B" w:rsidRPr="00995C95" w14:paraId="69BA355E" w14:textId="77777777" w:rsidTr="00E25E8B">
        <w:trPr>
          <w:trHeight w:val="60"/>
        </w:trPr>
        <w:tc>
          <w:tcPr>
            <w:tcW w:w="1785" w:type="dxa"/>
            <w:tcMar>
              <w:left w:w="0" w:type="dxa"/>
            </w:tcMar>
          </w:tcPr>
          <w:p w14:paraId="7679617C" w14:textId="77777777" w:rsidR="0003024B" w:rsidRPr="00995C95" w:rsidRDefault="0003024B" w:rsidP="00E25E8B">
            <w:pPr>
              <w:pStyle w:val="Marginlie"/>
              <w:rPr>
                <w:spacing w:val="0"/>
              </w:rPr>
            </w:pPr>
            <w:r w:rsidRPr="00995C95">
              <w:rPr>
                <w:spacing w:val="0"/>
              </w:rPr>
              <w:t xml:space="preserve">The growth of VAT collections accelerated thanks to strengthening consumption by households and general government. </w:t>
            </w:r>
            <w:r w:rsidRPr="00995C95">
              <w:rPr>
                <w:spacing w:val="0"/>
              </w:rPr>
              <w:lastRenderedPageBreak/>
              <w:t xml:space="preserve">Nevertheless, last year it fell slightly short of budget expectations. </w:t>
            </w:r>
          </w:p>
        </w:tc>
        <w:tc>
          <w:tcPr>
            <w:tcW w:w="203" w:type="dxa"/>
            <w:tcMar>
              <w:left w:w="0" w:type="dxa"/>
            </w:tcMar>
          </w:tcPr>
          <w:p w14:paraId="299DCF41" w14:textId="77777777" w:rsidR="0003024B" w:rsidRPr="00995C95" w:rsidRDefault="0003024B" w:rsidP="00E25E8B">
            <w:pPr>
              <w:pStyle w:val="Textpoznpodarou"/>
              <w:jc w:val="both"/>
            </w:pPr>
          </w:p>
        </w:tc>
        <w:tc>
          <w:tcPr>
            <w:tcW w:w="7681" w:type="dxa"/>
            <w:tcMar>
              <w:left w:w="0" w:type="dxa"/>
            </w:tcMar>
          </w:tcPr>
          <w:p w14:paraId="2624B82C" w14:textId="77777777" w:rsidR="0003024B" w:rsidRPr="00995C95" w:rsidRDefault="0003024B" w:rsidP="00E25E8B">
            <w:r w:rsidRPr="00995C95">
              <w:t xml:space="preserve">Last year, 8.4% more (+32.1 bn CZK) flowed to SB from the weight-dominant tax – VAT. Although </w:t>
            </w:r>
            <w:r>
              <w:t xml:space="preserve">its </w:t>
            </w:r>
            <w:r w:rsidRPr="00995C95">
              <w:t xml:space="preserve">growth strengthened slightly during the year, full-year collection remained slightly below budget expectations (a similar phenomenon occurred to a more significant extent also in the previous two years). </w:t>
            </w:r>
            <w:r>
              <w:t>Its c</w:t>
            </w:r>
            <w:r w:rsidRPr="00995C95">
              <w:t xml:space="preserve">ollection continued to be favourably influenced by rising household incomes (mainly due to brisk wage dynamics), which </w:t>
            </w:r>
            <w:r w:rsidRPr="00995C95">
              <w:lastRenderedPageBreak/>
              <w:t xml:space="preserve">gradually led to a </w:t>
            </w:r>
            <w:r>
              <w:t>better</w:t>
            </w:r>
            <w:r w:rsidRPr="00995C95">
              <w:t xml:space="preserve"> consumer confidence</w:t>
            </w:r>
            <w:r>
              <w:t xml:space="preserve"> in economy</w:t>
            </w:r>
            <w:r w:rsidRPr="00995C95">
              <w:t>. Higher consumption of the general government sector also had a positive effect. The SB also benefited from the change of the BAT, which, according to the estimates of the Ministry of Finance, brought the SB an additional amount of about 6 bn CZK from this tax. Current legislative changes (mainly the abolition of the exemption in the area of financial services) also had a partial impact, and the year-on-year comparison was still marginally affected by the impact of tax rate adjustments</w:t>
            </w:r>
            <w:r w:rsidRPr="00995C95">
              <w:rPr>
                <w:rStyle w:val="Znakapoznpodarou"/>
              </w:rPr>
              <w:footnoteReference w:id="128"/>
            </w:r>
            <w:r w:rsidRPr="00995C95">
              <w:t xml:space="preserve"> introduced as part of the so-called consolidation package</w:t>
            </w:r>
            <w:r w:rsidRPr="00995C95">
              <w:rPr>
                <w:rStyle w:val="Znakapoznpodarou"/>
              </w:rPr>
              <w:footnoteReference w:id="129"/>
            </w:r>
            <w:r w:rsidRPr="00995C95">
              <w:t xml:space="preserve">. </w:t>
            </w:r>
          </w:p>
        </w:tc>
      </w:tr>
      <w:tr w:rsidR="0003024B" w:rsidRPr="00995C95" w14:paraId="3F78CD4D" w14:textId="77777777" w:rsidTr="00E25E8B">
        <w:trPr>
          <w:trHeight w:val="60"/>
        </w:trPr>
        <w:tc>
          <w:tcPr>
            <w:tcW w:w="1785" w:type="dxa"/>
            <w:tcMar>
              <w:left w:w="0" w:type="dxa"/>
            </w:tcMar>
          </w:tcPr>
          <w:p w14:paraId="279E38A2" w14:textId="77777777" w:rsidR="0003024B" w:rsidRPr="00995C95" w:rsidRDefault="0003024B" w:rsidP="00E25E8B">
            <w:pPr>
              <w:pStyle w:val="Marginlie"/>
              <w:rPr>
                <w:spacing w:val="0"/>
              </w:rPr>
            </w:pPr>
            <w:r w:rsidRPr="00995C95">
              <w:rPr>
                <w:spacing w:val="0"/>
              </w:rPr>
              <w:t xml:space="preserve">Excise duty collection increased for all key items and at the same time exceeded budget expectations. The effects of tax rate hikes and the acceleration of economic growth were felt. </w:t>
            </w:r>
          </w:p>
        </w:tc>
        <w:tc>
          <w:tcPr>
            <w:tcW w:w="203" w:type="dxa"/>
            <w:tcMar>
              <w:left w:w="0" w:type="dxa"/>
            </w:tcMar>
          </w:tcPr>
          <w:p w14:paraId="7BEF5E63" w14:textId="77777777" w:rsidR="0003024B" w:rsidRPr="00995C95" w:rsidRDefault="0003024B" w:rsidP="00E25E8B">
            <w:pPr>
              <w:pStyle w:val="Textpoznpodarou"/>
              <w:jc w:val="both"/>
            </w:pPr>
          </w:p>
        </w:tc>
        <w:tc>
          <w:tcPr>
            <w:tcW w:w="7681" w:type="dxa"/>
            <w:tcMar>
              <w:left w:w="0" w:type="dxa"/>
            </w:tcMar>
          </w:tcPr>
          <w:p w14:paraId="2904FD5E" w14:textId="77777777" w:rsidR="0003024B" w:rsidRPr="00995C95" w:rsidRDefault="0003024B" w:rsidP="00E25E8B">
            <w:pPr>
              <w:spacing w:after="200"/>
            </w:pPr>
            <w:r w:rsidRPr="00995C95">
              <w:rPr>
                <w:szCs w:val="20"/>
              </w:rPr>
              <w:t>From excise taxes (including energy taxes), SB gained 2.4% more, year-on-year (+ 3.9 bn CZK)</w:t>
            </w:r>
            <w:r>
              <w:rPr>
                <w:szCs w:val="20"/>
              </w:rPr>
              <w:t xml:space="preserve"> in 2025</w:t>
            </w:r>
            <w:r w:rsidRPr="00995C95">
              <w:rPr>
                <w:szCs w:val="20"/>
              </w:rPr>
              <w:t xml:space="preserve">. </w:t>
            </w:r>
            <w:r>
              <w:rPr>
                <w:szCs w:val="20"/>
              </w:rPr>
              <w:t>The g</w:t>
            </w:r>
            <w:r w:rsidRPr="00995C95">
              <w:rPr>
                <w:szCs w:val="20"/>
              </w:rPr>
              <w:t>rowth occurred in all key tax items and at the same time exceeded budget expectations (it has been rather the opposite in recent years). More than half of the higher collection was due to taxes on tobacco and related products, whose collection increased by 4%. The impact of the increase in the tax rate</w:t>
            </w:r>
            <w:r w:rsidRPr="00995C95">
              <w:rPr>
                <w:rStyle w:val="Znakapoznpodarou"/>
                <w:szCs w:val="20"/>
              </w:rPr>
              <w:footnoteReference w:id="130"/>
            </w:r>
            <w:r w:rsidRPr="00995C95">
              <w:rPr>
                <w:szCs w:val="20"/>
              </w:rPr>
              <w:t xml:space="preserve"> </w:t>
            </w:r>
            <w:r>
              <w:rPr>
                <w:szCs w:val="20"/>
              </w:rPr>
              <w:t>wa</w:t>
            </w:r>
            <w:r w:rsidRPr="00995C95">
              <w:rPr>
                <w:szCs w:val="20"/>
              </w:rPr>
              <w:t xml:space="preserve">s clearly evident here, while the growth of collections slowed down during last year (as the effect of frontloading products with a lower tax rate fades). The collection of the </w:t>
            </w:r>
            <w:r w:rsidRPr="00C62D9A">
              <w:rPr>
                <w:spacing w:val="-6"/>
                <w:szCs w:val="20"/>
              </w:rPr>
              <w:t>traditionally most important excise duty in terms of weight – on mineral oils – grew moderately</w:t>
            </w:r>
            <w:r w:rsidRPr="00995C95">
              <w:rPr>
                <w:szCs w:val="20"/>
              </w:rPr>
              <w:t xml:space="preserve"> last year (+1.5%). The improved performance of the economy stimulated demand for road freight transport, and the very favourable development of retail fuel prices</w:t>
            </w:r>
            <w:r w:rsidRPr="00995C95">
              <w:rPr>
                <w:rStyle w:val="Znakapoznpodarou"/>
              </w:rPr>
              <w:footnoteReference w:id="131"/>
            </w:r>
            <w:r w:rsidRPr="00995C95">
              <w:rPr>
                <w:szCs w:val="20"/>
              </w:rPr>
              <w:t xml:space="preserve"> also played a role. Of the other excise taxes that are </w:t>
            </w:r>
            <w:r>
              <w:rPr>
                <w:szCs w:val="20"/>
              </w:rPr>
              <w:t xml:space="preserve">significantly </w:t>
            </w:r>
            <w:r w:rsidRPr="00995C95">
              <w:rPr>
                <w:szCs w:val="20"/>
              </w:rPr>
              <w:t>lower in weight, only levies on the performance of solar power plants (+0.4 bn CZK) had a more significant impact on the development of total collections, mainly due to the expansion of their network</w:t>
            </w:r>
            <w:r w:rsidRPr="00995C95">
              <w:rPr>
                <w:rStyle w:val="Znakapoznpodarou"/>
              </w:rPr>
              <w:footnoteReference w:id="132"/>
            </w:r>
            <w:r w:rsidRPr="00995C95">
              <w:t xml:space="preserve">. </w:t>
            </w:r>
          </w:p>
        </w:tc>
      </w:tr>
      <w:tr w:rsidR="0003024B" w:rsidRPr="00995C95" w14:paraId="7A3BDDD2" w14:textId="77777777" w:rsidTr="00E25E8B">
        <w:trPr>
          <w:trHeight w:val="60"/>
        </w:trPr>
        <w:tc>
          <w:tcPr>
            <w:tcW w:w="1785" w:type="dxa"/>
            <w:tcMar>
              <w:left w:w="0" w:type="dxa"/>
            </w:tcMar>
          </w:tcPr>
          <w:p w14:paraId="1868C7C2" w14:textId="77777777" w:rsidR="0003024B" w:rsidRPr="00995C95" w:rsidRDefault="0003024B" w:rsidP="00E25E8B">
            <w:pPr>
              <w:pStyle w:val="Marginlie"/>
            </w:pPr>
            <w:r w:rsidRPr="00995C95">
              <w:t>The collection of corporate tax was influenced by the increase of its rate and the improved performance of the economy. Like the collection of extraordinary corporate taxes, it exceeded budget expectations.</w:t>
            </w:r>
          </w:p>
          <w:p w14:paraId="06C42D94" w14:textId="77777777" w:rsidR="0003024B" w:rsidRPr="00995C95" w:rsidRDefault="0003024B" w:rsidP="00E25E8B">
            <w:pPr>
              <w:pStyle w:val="Marginlie"/>
              <w:rPr>
                <w:spacing w:val="0"/>
              </w:rPr>
            </w:pPr>
          </w:p>
        </w:tc>
        <w:tc>
          <w:tcPr>
            <w:tcW w:w="203" w:type="dxa"/>
            <w:tcMar>
              <w:left w:w="0" w:type="dxa"/>
            </w:tcMar>
          </w:tcPr>
          <w:p w14:paraId="2F1540E9" w14:textId="77777777" w:rsidR="0003024B" w:rsidRPr="00995C95" w:rsidRDefault="0003024B" w:rsidP="00E25E8B">
            <w:pPr>
              <w:pStyle w:val="Textpoznpodarou"/>
              <w:jc w:val="both"/>
            </w:pPr>
          </w:p>
        </w:tc>
        <w:tc>
          <w:tcPr>
            <w:tcW w:w="7681" w:type="dxa"/>
            <w:tcMar>
              <w:left w:w="0" w:type="dxa"/>
            </w:tcMar>
          </w:tcPr>
          <w:p w14:paraId="5D6802AF" w14:textId="77777777" w:rsidR="0003024B" w:rsidRPr="00995C95" w:rsidRDefault="0003024B" w:rsidP="00E25E8B">
            <w:pPr>
              <w:spacing w:after="200"/>
              <w:rPr>
                <w:szCs w:val="20"/>
              </w:rPr>
            </w:pPr>
            <w:r w:rsidRPr="00995C95">
              <w:rPr>
                <w:szCs w:val="20"/>
              </w:rPr>
              <w:t xml:space="preserve">Last year, SB collected 15.7% more on corporate tax (excluding extraordinary taxes), year-on-year (+30.1 bn CZK) and the growth rate of collection exceeded budget expectations by half. The growth of collections accelerated in H2 2025, as the impact of the across-the-board increase of the tax rate from 19% to 21% (especially through the annual tax settlement) was fully felt. At the same time, quarterly tax advances gradually reflected the impact of the recovery of the </w:t>
            </w:r>
            <w:r>
              <w:rPr>
                <w:szCs w:val="20"/>
              </w:rPr>
              <w:t>Czech</w:t>
            </w:r>
            <w:r w:rsidRPr="00995C95">
              <w:rPr>
                <w:szCs w:val="20"/>
              </w:rPr>
              <w:t xml:space="preserve"> economy. On the contrary, as in 2024, the exemption of yields on government bonds or the extension of the effectiveness of extraordinary depreciation had a negative (but only partial) effect on tax collection. In addition to the regular corporate tax, 38.4 bn CZK in windfall tax</w:t>
            </w:r>
            <w:r w:rsidRPr="00995C95">
              <w:rPr>
                <w:rStyle w:val="Znakapoznpodarou"/>
                <w:color w:val="0D0D0D" w:themeColor="text1" w:themeTint="F2"/>
              </w:rPr>
              <w:footnoteReference w:id="133"/>
            </w:r>
            <w:r w:rsidRPr="00995C95">
              <w:rPr>
                <w:szCs w:val="20"/>
              </w:rPr>
              <w:t xml:space="preserve"> has flowed into SB so far last year, up 4.6%, year-on-year. </w:t>
            </w:r>
          </w:p>
        </w:tc>
      </w:tr>
      <w:tr w:rsidR="0003024B" w:rsidRPr="00995C95" w14:paraId="6C6684D9" w14:textId="77777777" w:rsidTr="00E25E8B">
        <w:trPr>
          <w:trHeight w:val="60"/>
        </w:trPr>
        <w:tc>
          <w:tcPr>
            <w:tcW w:w="1785" w:type="dxa"/>
            <w:tcMar>
              <w:left w:w="0" w:type="dxa"/>
            </w:tcMar>
          </w:tcPr>
          <w:p w14:paraId="65B9B0DB" w14:textId="77777777" w:rsidR="0003024B" w:rsidRPr="00995C95" w:rsidRDefault="0003024B" w:rsidP="00E25E8B">
            <w:pPr>
              <w:pStyle w:val="Marginlie"/>
              <w:rPr>
                <w:spacing w:val="0"/>
              </w:rPr>
            </w:pPr>
            <w:r w:rsidRPr="00995C95">
              <w:rPr>
                <w:spacing w:val="0"/>
              </w:rPr>
              <w:t xml:space="preserve">Employees in particular continued to contribute to the ongoing rapid growth of ITNP </w:t>
            </w:r>
            <w:r w:rsidRPr="00995C95">
              <w:rPr>
                <w:spacing w:val="0"/>
              </w:rPr>
              <w:lastRenderedPageBreak/>
              <w:t xml:space="preserve">collections. </w:t>
            </w:r>
            <w:r>
              <w:rPr>
                <w:spacing w:val="0"/>
              </w:rPr>
              <w:t>T</w:t>
            </w:r>
            <w:r w:rsidRPr="00995C95">
              <w:rPr>
                <w:spacing w:val="0"/>
              </w:rPr>
              <w:t>he collection of tax</w:t>
            </w:r>
            <w:r>
              <w:rPr>
                <w:spacing w:val="0"/>
              </w:rPr>
              <w:t xml:space="preserve"> from dependent activity</w:t>
            </w:r>
            <w:r w:rsidRPr="00995C95">
              <w:rPr>
                <w:spacing w:val="0"/>
              </w:rPr>
              <w:t xml:space="preserve"> fell slightly short of budget expectations.</w:t>
            </w:r>
          </w:p>
          <w:p w14:paraId="1FC2AD3C" w14:textId="77777777" w:rsidR="0003024B" w:rsidRPr="00995C95" w:rsidRDefault="0003024B" w:rsidP="00E25E8B">
            <w:pPr>
              <w:pStyle w:val="Marginlie"/>
              <w:rPr>
                <w:spacing w:val="0"/>
              </w:rPr>
            </w:pPr>
          </w:p>
        </w:tc>
        <w:tc>
          <w:tcPr>
            <w:tcW w:w="203" w:type="dxa"/>
            <w:tcMar>
              <w:left w:w="0" w:type="dxa"/>
            </w:tcMar>
          </w:tcPr>
          <w:p w14:paraId="0A7C8AF3" w14:textId="77777777" w:rsidR="0003024B" w:rsidRPr="00995C95" w:rsidRDefault="0003024B" w:rsidP="00E25E8B">
            <w:pPr>
              <w:pStyle w:val="Textpoznpodarou"/>
              <w:jc w:val="both"/>
            </w:pPr>
          </w:p>
        </w:tc>
        <w:tc>
          <w:tcPr>
            <w:tcW w:w="7681" w:type="dxa"/>
            <w:tcMar>
              <w:left w:w="0" w:type="dxa"/>
            </w:tcMar>
          </w:tcPr>
          <w:p w14:paraId="66EB4FEF" w14:textId="77777777" w:rsidR="0003024B" w:rsidRPr="00995C95" w:rsidRDefault="0003024B" w:rsidP="00E25E8B">
            <w:pPr>
              <w:spacing w:after="200"/>
              <w:rPr>
                <w:szCs w:val="20"/>
              </w:rPr>
            </w:pPr>
            <w:r w:rsidRPr="00995C95">
              <w:rPr>
                <w:color w:val="0D0D0D" w:themeColor="text1" w:themeTint="F2"/>
              </w:rPr>
              <w:t>Income tax of natural persons (ITNP) grew at a double-digit rate last year for the fourth year in a row (+12.1%, +20.4 bn CZK). As with corporate tax, its revenue to the SB is increased by the BAT change</w:t>
            </w:r>
            <w:r w:rsidRPr="00995C95">
              <w:rPr>
                <w:rStyle w:val="Znakapoznpodarou"/>
                <w:color w:val="0D0D0D" w:themeColor="text1" w:themeTint="F2"/>
              </w:rPr>
              <w:footnoteReference w:id="134"/>
            </w:r>
            <w:r w:rsidRPr="00995C95">
              <w:rPr>
                <w:color w:val="0D0D0D" w:themeColor="text1" w:themeTint="F2"/>
              </w:rPr>
              <w:t xml:space="preserve">. The higher ITNP collection was mainly due to the tax </w:t>
            </w:r>
            <w:r w:rsidRPr="00995C95">
              <w:rPr>
                <w:color w:val="0D0D0D" w:themeColor="text1" w:themeTint="F2"/>
              </w:rPr>
              <w:lastRenderedPageBreak/>
              <w:t>paid by taxpayers (</w:t>
            </w:r>
            <w:r>
              <w:rPr>
                <w:color w:val="0D0D0D" w:themeColor="text1" w:themeTint="F2"/>
              </w:rPr>
              <w:t>i.e.</w:t>
            </w:r>
            <w:r w:rsidRPr="00995C95">
              <w:rPr>
                <w:color w:val="0D0D0D" w:themeColor="text1" w:themeTint="F2"/>
              </w:rPr>
              <w:t xml:space="preserve"> from dependent activities), which increased by 12.8% (to 145.3 bn CZK). The continuing good condition of the labour market (higher employment and </w:t>
            </w:r>
            <w:r w:rsidRPr="002C7C55">
              <w:rPr>
                <w:color w:val="0D0D0D" w:themeColor="text1" w:themeTint="F2"/>
                <w:spacing w:val="-2"/>
              </w:rPr>
              <w:t>rapid nominal growth of the average wage in the business sphere) and partly the legislative</w:t>
            </w:r>
            <w:r w:rsidRPr="00995C95">
              <w:rPr>
                <w:color w:val="0D0D0D" w:themeColor="text1" w:themeTint="F2"/>
              </w:rPr>
              <w:t xml:space="preserve"> changes from 2024 (mainly the reduction of the band for the second increased rate of this tax, the abolition or reduction of selected tax credits and, to a lesser extent, the adjustment of taxation of selected non-monetary benefits</w:t>
            </w:r>
            <w:r w:rsidRPr="00995C95">
              <w:rPr>
                <w:rStyle w:val="Znakapoznpodarou"/>
                <w:color w:val="0D0D0D" w:themeColor="text1" w:themeTint="F2"/>
              </w:rPr>
              <w:footnoteReference w:id="135"/>
            </w:r>
            <w:r w:rsidRPr="00995C95">
              <w:rPr>
                <w:color w:val="0D0D0D" w:themeColor="text1" w:themeTint="F2"/>
              </w:rPr>
              <w:t>) had a positive effect here. Despite the dynamic growth of the above-mentioned tax, its last year</w:t>
            </w:r>
            <w:r>
              <w:rPr>
                <w:color w:val="0D0D0D" w:themeColor="text1" w:themeTint="F2"/>
              </w:rPr>
              <w:t xml:space="preserve">’s </w:t>
            </w:r>
            <w:r w:rsidRPr="00995C95">
              <w:rPr>
                <w:color w:val="0D0D0D" w:themeColor="text1" w:themeTint="F2"/>
              </w:rPr>
              <w:t xml:space="preserve">collection did not exceed budget expectations (unlike all other types of direct taxes). </w:t>
            </w:r>
          </w:p>
        </w:tc>
      </w:tr>
      <w:tr w:rsidR="0003024B" w:rsidRPr="00995C95" w14:paraId="54EF8301" w14:textId="77777777" w:rsidTr="00E25E8B">
        <w:trPr>
          <w:trHeight w:val="60"/>
        </w:trPr>
        <w:tc>
          <w:tcPr>
            <w:tcW w:w="1785" w:type="dxa"/>
            <w:tcMar>
              <w:left w:w="0" w:type="dxa"/>
            </w:tcMar>
          </w:tcPr>
          <w:p w14:paraId="340370CB" w14:textId="77777777" w:rsidR="0003024B" w:rsidRDefault="0003024B" w:rsidP="00E25E8B">
            <w:pPr>
              <w:pStyle w:val="Marginlie"/>
              <w:rPr>
                <w:spacing w:val="0"/>
              </w:rPr>
            </w:pPr>
            <w:r w:rsidRPr="00995C95">
              <w:rPr>
                <w:spacing w:val="0"/>
              </w:rPr>
              <w:t xml:space="preserve">The growth of ITNP collection from </w:t>
            </w:r>
            <w:r>
              <w:rPr>
                <w:spacing w:val="0"/>
              </w:rPr>
              <w:t>self-employment activities</w:t>
            </w:r>
            <w:r w:rsidRPr="00995C95">
              <w:rPr>
                <w:spacing w:val="0"/>
              </w:rPr>
              <w:t xml:space="preserve"> has accelerated significantly, mainly due to legal adjustments.</w:t>
            </w:r>
            <w:r w:rsidRPr="004C1895">
              <w:rPr>
                <w:spacing w:val="0"/>
              </w:rPr>
              <w:t xml:space="preserve"> </w:t>
            </w:r>
          </w:p>
          <w:p w14:paraId="030AEE3F" w14:textId="77777777" w:rsidR="0003024B" w:rsidRDefault="0003024B" w:rsidP="00E25E8B">
            <w:pPr>
              <w:pStyle w:val="Marginlie"/>
              <w:rPr>
                <w:spacing w:val="0"/>
              </w:rPr>
            </w:pPr>
          </w:p>
          <w:p w14:paraId="556299D6" w14:textId="77777777" w:rsidR="0003024B" w:rsidRDefault="0003024B" w:rsidP="00E25E8B">
            <w:pPr>
              <w:pStyle w:val="Marginlie"/>
              <w:rPr>
                <w:spacing w:val="0"/>
              </w:rPr>
            </w:pPr>
          </w:p>
          <w:p w14:paraId="42B4945D" w14:textId="77777777" w:rsidR="0003024B" w:rsidRDefault="0003024B" w:rsidP="00E25E8B">
            <w:pPr>
              <w:pStyle w:val="Marginlie"/>
              <w:rPr>
                <w:spacing w:val="0"/>
              </w:rPr>
            </w:pPr>
          </w:p>
          <w:p w14:paraId="24AC9AAA" w14:textId="77777777" w:rsidR="0003024B" w:rsidRPr="00995C95" w:rsidRDefault="0003024B" w:rsidP="00E25E8B">
            <w:pPr>
              <w:pStyle w:val="Marginlie"/>
              <w:rPr>
                <w:spacing w:val="0"/>
              </w:rPr>
            </w:pPr>
            <w:r w:rsidRPr="00995C95">
              <w:rPr>
                <w:spacing w:val="0"/>
              </w:rPr>
              <w:t xml:space="preserve">The decline of interest rates on deposits contributed to lower collection of </w:t>
            </w:r>
            <w:r w:rsidRPr="004C1895">
              <w:rPr>
                <w:spacing w:val="0"/>
              </w:rPr>
              <w:t>withholding tax</w:t>
            </w:r>
            <w:r>
              <w:rPr>
                <w:spacing w:val="0"/>
              </w:rPr>
              <w:t>.</w:t>
            </w:r>
          </w:p>
        </w:tc>
        <w:tc>
          <w:tcPr>
            <w:tcW w:w="203" w:type="dxa"/>
            <w:tcMar>
              <w:left w:w="0" w:type="dxa"/>
            </w:tcMar>
          </w:tcPr>
          <w:p w14:paraId="0CB62E4C" w14:textId="77777777" w:rsidR="0003024B" w:rsidRPr="00995C95" w:rsidRDefault="0003024B" w:rsidP="00E25E8B">
            <w:pPr>
              <w:pStyle w:val="Textpoznpodarou"/>
              <w:jc w:val="both"/>
            </w:pPr>
          </w:p>
        </w:tc>
        <w:tc>
          <w:tcPr>
            <w:tcW w:w="7681" w:type="dxa"/>
            <w:tcMar>
              <w:left w:w="0" w:type="dxa"/>
            </w:tcMar>
          </w:tcPr>
          <w:p w14:paraId="441AD879" w14:textId="77777777" w:rsidR="0003024B" w:rsidRPr="00995C95" w:rsidRDefault="0003024B" w:rsidP="00E25E8B">
            <w:pPr>
              <w:spacing w:after="200"/>
              <w:rPr>
                <w:color w:val="0D0D0D" w:themeColor="text1" w:themeTint="F2"/>
              </w:rPr>
            </w:pPr>
            <w:r w:rsidRPr="004C1895">
              <w:rPr>
                <w:color w:val="0D0D0D" w:themeColor="text1" w:themeTint="F2"/>
                <w:spacing w:val="-4"/>
              </w:rPr>
              <w:t>Although the collection of ITNP paid from self-employment activities accelerated significantly</w:t>
            </w:r>
            <w:r w:rsidRPr="00995C95">
              <w:rPr>
                <w:color w:val="0D0D0D" w:themeColor="text1" w:themeTint="F2"/>
              </w:rPr>
              <w:t xml:space="preserve"> last year and the amount of collection (14.5 bn CZK) was almost half higher, year-on-year, its contribution to the growth of total revenues of the SB resulting from ITNP continued to be rather marginal. The growth of the collection of this tax from taxpayers stemmed from a higher number of small entrepreneurs and the impacts of the consolidation package (reduction of the income threshold for the second, higher tax rate, cancellation or reduction of some tax reliefs). On the contrary, the collection of </w:t>
            </w:r>
            <w:r>
              <w:rPr>
                <w:color w:val="0D0D0D" w:themeColor="text1" w:themeTint="F2"/>
              </w:rPr>
              <w:t>ITNP</w:t>
            </w:r>
            <w:r w:rsidRPr="00995C95">
              <w:rPr>
                <w:color w:val="0D0D0D" w:themeColor="text1" w:themeTint="F2"/>
              </w:rPr>
              <w:t xml:space="preserve"> levied by deduction </w:t>
            </w:r>
            <w:r>
              <w:rPr>
                <w:color w:val="0D0D0D" w:themeColor="text1" w:themeTint="F2"/>
              </w:rPr>
              <w:t xml:space="preserve">(i.e. </w:t>
            </w:r>
            <w:r w:rsidRPr="00C62D9A">
              <w:rPr>
                <w:color w:val="0D0D0D" w:themeColor="text1" w:themeTint="F2"/>
              </w:rPr>
              <w:t>withholding tax)</w:t>
            </w:r>
            <w:r>
              <w:rPr>
                <w:color w:val="0D0D0D" w:themeColor="text1" w:themeTint="F2"/>
              </w:rPr>
              <w:t xml:space="preserve"> </w:t>
            </w:r>
            <w:r w:rsidRPr="00995C95">
              <w:rPr>
                <w:color w:val="0D0D0D" w:themeColor="text1" w:themeTint="F2"/>
              </w:rPr>
              <w:t xml:space="preserve">decreased, year-on-year, last year (by 2.4%, to 29.7 bn CZK). With the expected reduction of interest rates on deposits, the previous four-year period of dynamic growth of income from this tax ended for SB. The effect of the decline of rates is partly dampened by the persistent, relatively high level of household savings. The current decrease of direct debits may also reflect a lower number of people working on agreements </w:t>
            </w:r>
            <w:r>
              <w:rPr>
                <w:color w:val="0D0D0D" w:themeColor="text1" w:themeTint="F2"/>
              </w:rPr>
              <w:t>(</w:t>
            </w:r>
            <w:r w:rsidRPr="00995C95">
              <w:rPr>
                <w:color w:val="0D0D0D" w:themeColor="text1" w:themeTint="F2"/>
              </w:rPr>
              <w:t>outside the main employment contract</w:t>
            </w:r>
            <w:r>
              <w:rPr>
                <w:color w:val="0D0D0D" w:themeColor="text1" w:themeTint="F2"/>
              </w:rPr>
              <w:t>)</w:t>
            </w:r>
            <w:r w:rsidRPr="00995C95">
              <w:rPr>
                <w:color w:val="0D0D0D" w:themeColor="text1" w:themeTint="F2"/>
              </w:rPr>
              <w:t xml:space="preserve">. </w:t>
            </w:r>
          </w:p>
        </w:tc>
      </w:tr>
      <w:tr w:rsidR="0003024B" w:rsidRPr="00995C95" w14:paraId="1073B427" w14:textId="77777777" w:rsidTr="00E25E8B">
        <w:trPr>
          <w:trHeight w:val="60"/>
        </w:trPr>
        <w:tc>
          <w:tcPr>
            <w:tcW w:w="1785" w:type="dxa"/>
            <w:tcMar>
              <w:left w:w="0" w:type="dxa"/>
            </w:tcMar>
          </w:tcPr>
          <w:p w14:paraId="0381B088" w14:textId="77777777" w:rsidR="0003024B" w:rsidRPr="00995C95" w:rsidRDefault="0003024B" w:rsidP="00E25E8B">
            <w:pPr>
              <w:pStyle w:val="Marginlie"/>
              <w:rPr>
                <w:spacing w:val="0"/>
              </w:rPr>
            </w:pPr>
            <w:r w:rsidRPr="00995C95">
              <w:rPr>
                <w:spacing w:val="0"/>
              </w:rPr>
              <w:t> </w:t>
            </w:r>
          </w:p>
        </w:tc>
        <w:tc>
          <w:tcPr>
            <w:tcW w:w="203" w:type="dxa"/>
            <w:tcMar>
              <w:left w:w="0" w:type="dxa"/>
            </w:tcMar>
          </w:tcPr>
          <w:p w14:paraId="215E0BDA" w14:textId="77777777" w:rsidR="0003024B" w:rsidRPr="00995C95" w:rsidRDefault="0003024B" w:rsidP="00E25E8B">
            <w:pPr>
              <w:pStyle w:val="Textpoznpodarou"/>
              <w:jc w:val="both"/>
            </w:pPr>
          </w:p>
        </w:tc>
        <w:tc>
          <w:tcPr>
            <w:tcW w:w="7681" w:type="dxa"/>
            <w:tcMar>
              <w:left w:w="0" w:type="dxa"/>
            </w:tcMar>
          </w:tcPr>
          <w:p w14:paraId="2FF977BF" w14:textId="77777777" w:rsidR="0003024B" w:rsidRPr="00995C95" w:rsidRDefault="0003024B" w:rsidP="00E25E8B">
            <w:pPr>
              <w:spacing w:after="20"/>
              <w:rPr>
                <w:color w:val="0D0D0D" w:themeColor="text1" w:themeTint="F2"/>
              </w:rPr>
            </w:pPr>
            <w:r w:rsidRPr="00995C95">
              <w:rPr>
                <w:rFonts w:cs="Arial"/>
                <w:b/>
                <w:bCs/>
                <w:color w:val="000000"/>
                <w:szCs w:val="20"/>
              </w:rPr>
              <w:t xml:space="preserve">Chart 18 </w:t>
            </w:r>
            <w:r w:rsidRPr="00995C95">
              <w:rPr>
                <w:rFonts w:cs="Arial"/>
                <w:b/>
                <w:bCs/>
                <w:color w:val="000000"/>
                <w:spacing w:val="-2"/>
                <w:szCs w:val="20"/>
              </w:rPr>
              <w:t xml:space="preserve">Contributions of sub-incomes to year-on-year growth of total </w:t>
            </w:r>
            <w:r>
              <w:rPr>
                <w:rFonts w:cs="Arial"/>
                <w:b/>
                <w:bCs/>
                <w:color w:val="000000"/>
                <w:spacing w:val="-2"/>
                <w:szCs w:val="20"/>
              </w:rPr>
              <w:t>nation</w:t>
            </w:r>
            <w:r w:rsidRPr="00995C95">
              <w:rPr>
                <w:rFonts w:cs="Arial"/>
                <w:b/>
                <w:bCs/>
                <w:color w:val="000000"/>
                <w:spacing w:val="-2"/>
                <w:szCs w:val="20"/>
              </w:rPr>
              <w:t xml:space="preserve">wide tax income collection </w:t>
            </w:r>
            <w:r w:rsidRPr="00995C95">
              <w:rPr>
                <w:rFonts w:cs="Arial"/>
                <w:bCs/>
                <w:color w:val="000000"/>
                <w:spacing w:val="-2"/>
                <w:szCs w:val="20"/>
              </w:rPr>
              <w:t xml:space="preserve">(in p. p.), </w:t>
            </w:r>
            <w:r w:rsidRPr="00995C95">
              <w:rPr>
                <w:rFonts w:cs="Arial"/>
                <w:b/>
                <w:bCs/>
                <w:color w:val="000000"/>
                <w:spacing w:val="-2"/>
                <w:szCs w:val="20"/>
              </w:rPr>
              <w:t xml:space="preserve">year-on-year growth of social security revenues </w:t>
            </w:r>
            <w:r w:rsidRPr="00995C95">
              <w:rPr>
                <w:rFonts w:cs="Arial"/>
                <w:bCs/>
                <w:color w:val="000000"/>
                <w:spacing w:val="-2"/>
                <w:szCs w:val="20"/>
              </w:rPr>
              <w:t xml:space="preserve">(%) </w:t>
            </w:r>
            <w:r w:rsidRPr="00995C95">
              <w:rPr>
                <w:rFonts w:cs="Arial"/>
                <w:b/>
                <w:bCs/>
                <w:color w:val="000000"/>
                <w:spacing w:val="-2"/>
                <w:szCs w:val="20"/>
              </w:rPr>
              <w:t xml:space="preserve">and state budget balance </w:t>
            </w:r>
            <w:r w:rsidRPr="00995C95">
              <w:rPr>
                <w:rFonts w:cs="Arial"/>
                <w:bCs/>
                <w:color w:val="000000"/>
                <w:spacing w:val="-2"/>
                <w:szCs w:val="20"/>
              </w:rPr>
              <w:t xml:space="preserve">(in bn CZK) </w:t>
            </w:r>
          </w:p>
        </w:tc>
      </w:tr>
      <w:tr w:rsidR="0003024B" w:rsidRPr="00995C95" w14:paraId="01DA23CC" w14:textId="77777777" w:rsidTr="00E25E8B">
        <w:tblPrEx>
          <w:tblCellMar>
            <w:left w:w="70" w:type="dxa"/>
            <w:right w:w="70" w:type="dxa"/>
          </w:tblCellMar>
        </w:tblPrEx>
        <w:trPr>
          <w:trHeight w:val="60"/>
        </w:trPr>
        <w:tc>
          <w:tcPr>
            <w:tcW w:w="1785" w:type="dxa"/>
          </w:tcPr>
          <w:p w14:paraId="41D306DF" w14:textId="77777777" w:rsidR="0003024B" w:rsidRPr="00995C95" w:rsidRDefault="0003024B" w:rsidP="00E25E8B">
            <w:pPr>
              <w:pStyle w:val="Marginlie"/>
              <w:rPr>
                <w:spacing w:val="0"/>
              </w:rPr>
            </w:pPr>
          </w:p>
        </w:tc>
        <w:tc>
          <w:tcPr>
            <w:tcW w:w="203" w:type="dxa"/>
          </w:tcPr>
          <w:p w14:paraId="57BB7685" w14:textId="77777777" w:rsidR="0003024B" w:rsidRPr="00995C95" w:rsidRDefault="0003024B" w:rsidP="00E25E8B">
            <w:pPr>
              <w:pStyle w:val="Textpoznpodarou"/>
              <w:jc w:val="both"/>
            </w:pPr>
          </w:p>
          <w:p w14:paraId="4DBEC088" w14:textId="77777777" w:rsidR="0003024B" w:rsidRPr="00995C95" w:rsidRDefault="0003024B" w:rsidP="00E25E8B">
            <w:pPr>
              <w:pStyle w:val="Textpoznpodarou"/>
              <w:jc w:val="both"/>
            </w:pPr>
          </w:p>
        </w:tc>
        <w:tc>
          <w:tcPr>
            <w:tcW w:w="7681" w:type="dxa"/>
          </w:tcPr>
          <w:p w14:paraId="29ECF0AF" w14:textId="77777777" w:rsidR="0003024B" w:rsidRPr="00995C95" w:rsidRDefault="0003024B" w:rsidP="00E25E8B">
            <w:pPr>
              <w:spacing w:before="20" w:after="20"/>
              <w:rPr>
                <w:color w:val="0D0D0D" w:themeColor="text1" w:themeTint="F2"/>
              </w:rPr>
            </w:pPr>
            <w:r>
              <w:rPr>
                <w:noProof/>
              </w:rPr>
              <w:drawing>
                <wp:inline distT="0" distB="0" distL="0" distR="0" wp14:anchorId="54F88F95" wp14:editId="5EA9265C">
                  <wp:extent cx="4718050" cy="3211372"/>
                  <wp:effectExtent l="0" t="0" r="6350" b="8255"/>
                  <wp:docPr id="330510323" name="Graf 1">
                    <a:extLst xmlns:a="http://schemas.openxmlformats.org/drawingml/2006/main">
                      <a:ext uri="{FF2B5EF4-FFF2-40B4-BE49-F238E27FC236}">
                        <a16:creationId xmlns:a16="http://schemas.microsoft.com/office/drawing/2014/main" id="{00000000-0008-0000-19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r w:rsidR="0003024B" w:rsidRPr="00995C95" w14:paraId="308FC76D" w14:textId="77777777" w:rsidTr="00E25E8B">
        <w:tblPrEx>
          <w:tblCellMar>
            <w:left w:w="70" w:type="dxa"/>
            <w:right w:w="70" w:type="dxa"/>
          </w:tblCellMar>
        </w:tblPrEx>
        <w:trPr>
          <w:trHeight w:val="170"/>
        </w:trPr>
        <w:tc>
          <w:tcPr>
            <w:tcW w:w="1785" w:type="dxa"/>
          </w:tcPr>
          <w:p w14:paraId="289C01C2" w14:textId="77777777" w:rsidR="0003024B" w:rsidRPr="00995C95" w:rsidRDefault="0003024B" w:rsidP="00E25E8B">
            <w:pPr>
              <w:pStyle w:val="Marginlie"/>
              <w:rPr>
                <w:spacing w:val="0"/>
              </w:rPr>
            </w:pPr>
          </w:p>
        </w:tc>
        <w:tc>
          <w:tcPr>
            <w:tcW w:w="203" w:type="dxa"/>
          </w:tcPr>
          <w:p w14:paraId="03FC2F3F" w14:textId="77777777" w:rsidR="0003024B" w:rsidRPr="00995C95" w:rsidRDefault="0003024B" w:rsidP="00E25E8B">
            <w:pPr>
              <w:pStyle w:val="Textpoznpodarou"/>
              <w:jc w:val="both"/>
            </w:pPr>
          </w:p>
        </w:tc>
        <w:tc>
          <w:tcPr>
            <w:tcW w:w="7681" w:type="dxa"/>
          </w:tcPr>
          <w:p w14:paraId="7CAD3E1A" w14:textId="77777777" w:rsidR="0003024B" w:rsidRPr="00113DC1" w:rsidRDefault="0003024B" w:rsidP="00E25E8B">
            <w:pPr>
              <w:pStyle w:val="Textpoznpodarou"/>
              <w:jc w:val="both"/>
              <w:rPr>
                <w:sz w:val="14"/>
                <w:szCs w:val="14"/>
              </w:rPr>
            </w:pPr>
            <w:r w:rsidRPr="00113DC1">
              <w:rPr>
                <w:sz w:val="14"/>
                <w:szCs w:val="14"/>
              </w:rPr>
              <w:t xml:space="preserve">* Also includes contributions to state employment policy. </w:t>
            </w:r>
          </w:p>
          <w:p w14:paraId="1D3470D2" w14:textId="77777777" w:rsidR="0003024B" w:rsidRPr="00113DC1" w:rsidRDefault="0003024B" w:rsidP="00E25E8B">
            <w:pPr>
              <w:pStyle w:val="Textpoznpodarou"/>
              <w:jc w:val="both"/>
              <w:rPr>
                <w:sz w:val="14"/>
                <w:szCs w:val="14"/>
              </w:rPr>
            </w:pPr>
            <w:r w:rsidRPr="00113DC1">
              <w:rPr>
                <w:sz w:val="14"/>
                <w:szCs w:val="14"/>
              </w:rPr>
              <w:t xml:space="preserve">**Balance adjusted for funds on programmes/projects from the EU and FM budgets, which were pre-financed from the SB and are subsequently paid for by the EU and FM budget. Annual figures are available from </w:t>
            </w:r>
            <w:r>
              <w:rPr>
                <w:sz w:val="14"/>
                <w:szCs w:val="14"/>
              </w:rPr>
              <w:t xml:space="preserve">the year of </w:t>
            </w:r>
            <w:r w:rsidRPr="00113DC1">
              <w:rPr>
                <w:sz w:val="14"/>
                <w:szCs w:val="14"/>
              </w:rPr>
              <w:t xml:space="preserve">2010. </w:t>
            </w:r>
          </w:p>
          <w:p w14:paraId="7FD8E80D" w14:textId="77777777" w:rsidR="0003024B" w:rsidRPr="00995C95" w:rsidRDefault="0003024B" w:rsidP="00E25E8B">
            <w:pPr>
              <w:tabs>
                <w:tab w:val="right" w:pos="7683"/>
              </w:tabs>
              <w:spacing w:after="0" w:line="240" w:lineRule="auto"/>
              <w:rPr>
                <w:sz w:val="16"/>
                <w:szCs w:val="16"/>
              </w:rPr>
            </w:pPr>
            <w:r w:rsidRPr="00995C95">
              <w:rPr>
                <w:spacing w:val="-2"/>
                <w:sz w:val="14"/>
                <w:szCs w:val="14"/>
              </w:rPr>
              <w:t>Other income taxes of NP</w:t>
            </w:r>
            <w:r>
              <w:rPr>
                <w:spacing w:val="-2"/>
                <w:sz w:val="14"/>
                <w:szCs w:val="14"/>
              </w:rPr>
              <w:t xml:space="preserve"> (</w:t>
            </w:r>
            <w:r w:rsidRPr="00995C95">
              <w:rPr>
                <w:spacing w:val="-2"/>
                <w:sz w:val="14"/>
                <w:szCs w:val="14"/>
              </w:rPr>
              <w:t>natural persons</w:t>
            </w:r>
            <w:r>
              <w:rPr>
                <w:spacing w:val="-2"/>
                <w:sz w:val="14"/>
                <w:szCs w:val="14"/>
              </w:rPr>
              <w:t>)</w:t>
            </w:r>
            <w:r w:rsidRPr="00995C95">
              <w:rPr>
                <w:spacing w:val="-2"/>
                <w:sz w:val="14"/>
                <w:szCs w:val="14"/>
              </w:rPr>
              <w:t xml:space="preserve"> consist of taxes pai</w:t>
            </w:r>
            <w:r>
              <w:rPr>
                <w:spacing w:val="-2"/>
                <w:sz w:val="14"/>
                <w:szCs w:val="14"/>
              </w:rPr>
              <w:t xml:space="preserve">d </w:t>
            </w:r>
            <w:r w:rsidRPr="00995C95">
              <w:rPr>
                <w:spacing w:val="-2"/>
                <w:sz w:val="14"/>
                <w:szCs w:val="14"/>
              </w:rPr>
              <w:t xml:space="preserve">mainly </w:t>
            </w:r>
            <w:r>
              <w:rPr>
                <w:spacing w:val="-2"/>
                <w:sz w:val="14"/>
                <w:szCs w:val="14"/>
              </w:rPr>
              <w:t>by self-employed</w:t>
            </w:r>
            <w:r w:rsidRPr="00113DC1">
              <w:rPr>
                <w:spacing w:val="-2"/>
                <w:sz w:val="14"/>
                <w:szCs w:val="14"/>
              </w:rPr>
              <w:t xml:space="preserve"> workers</w:t>
            </w:r>
            <w:r w:rsidRPr="00995C95">
              <w:rPr>
                <w:spacing w:val="-2"/>
                <w:sz w:val="14"/>
                <w:szCs w:val="14"/>
              </w:rPr>
              <w:t xml:space="preserve"> and </w:t>
            </w:r>
            <w:r>
              <w:rPr>
                <w:spacing w:val="-2"/>
                <w:sz w:val="14"/>
                <w:szCs w:val="14"/>
              </w:rPr>
              <w:t>w</w:t>
            </w:r>
            <w:r w:rsidRPr="00F95EC3">
              <w:rPr>
                <w:spacing w:val="-2"/>
                <w:sz w:val="14"/>
                <w:szCs w:val="14"/>
              </w:rPr>
              <w:t xml:space="preserve">ithholding tax </w:t>
            </w:r>
            <w:r w:rsidRPr="00995C95">
              <w:rPr>
                <w:spacing w:val="-2"/>
                <w:sz w:val="14"/>
                <w:szCs w:val="14"/>
              </w:rPr>
              <w:t>(</w:t>
            </w:r>
            <w:r w:rsidRPr="00F95EC3">
              <w:rPr>
                <w:spacing w:val="-2"/>
                <w:sz w:val="14"/>
                <w:szCs w:val="14"/>
              </w:rPr>
              <w:t>which applies, for example</w:t>
            </w:r>
            <w:r>
              <w:rPr>
                <w:spacing w:val="-2"/>
                <w:sz w:val="14"/>
                <w:szCs w:val="14"/>
              </w:rPr>
              <w:t xml:space="preserve"> to</w:t>
            </w:r>
            <w:r w:rsidRPr="00995C95">
              <w:rPr>
                <w:spacing w:val="-2"/>
                <w:sz w:val="14"/>
                <w:szCs w:val="14"/>
              </w:rPr>
              <w:t xml:space="preserve"> bank deposits, work agreements).</w:t>
            </w:r>
          </w:p>
          <w:p w14:paraId="3F4B2AAA" w14:textId="77777777" w:rsidR="0003024B" w:rsidRPr="00995C95" w:rsidRDefault="0003024B" w:rsidP="00E25E8B">
            <w:pPr>
              <w:tabs>
                <w:tab w:val="right" w:pos="7683"/>
              </w:tabs>
              <w:spacing w:after="0" w:line="240" w:lineRule="auto"/>
              <w:jc w:val="left"/>
              <w:rPr>
                <w:sz w:val="14"/>
                <w:szCs w:val="14"/>
              </w:rPr>
            </w:pPr>
            <w:r w:rsidRPr="00995C95">
              <w:rPr>
                <w:sz w:val="14"/>
                <w:szCs w:val="14"/>
              </w:rPr>
              <w:t xml:space="preserve">Other taxes and fees include especially </w:t>
            </w:r>
            <w:bookmarkStart w:id="30" w:name="_Hlk195394127"/>
            <w:r w:rsidRPr="00995C95">
              <w:rPr>
                <w:sz w:val="14"/>
                <w:szCs w:val="14"/>
              </w:rPr>
              <w:t xml:space="preserve">real estate tax, gambling tax, motorway toll, tolls and, from 2023, also a levy on excess income and windfall profits. </w:t>
            </w:r>
            <w:bookmarkEnd w:id="30"/>
            <w:r w:rsidRPr="00995C95">
              <w:rPr>
                <w:sz w:val="14"/>
                <w:szCs w:val="14"/>
              </w:rPr>
              <w:t xml:space="preserve">                                                                </w:t>
            </w:r>
          </w:p>
          <w:p w14:paraId="41B0A3FC" w14:textId="77777777" w:rsidR="0003024B" w:rsidRPr="005D522A" w:rsidRDefault="0003024B" w:rsidP="00E25E8B">
            <w:pPr>
              <w:tabs>
                <w:tab w:val="right" w:pos="7683"/>
              </w:tabs>
              <w:spacing w:after="0" w:line="240" w:lineRule="auto"/>
              <w:jc w:val="left"/>
              <w:rPr>
                <w:sz w:val="14"/>
                <w:szCs w:val="14"/>
              </w:rPr>
            </w:pPr>
            <w:r w:rsidRPr="00995C95">
              <w:rPr>
                <w:sz w:val="14"/>
                <w:szCs w:val="14"/>
              </w:rPr>
              <w:t>Source: MF CR</w:t>
            </w:r>
          </w:p>
        </w:tc>
      </w:tr>
      <w:tr w:rsidR="0003024B" w:rsidRPr="00995C95" w14:paraId="2F62FDB0" w14:textId="77777777" w:rsidTr="00E25E8B">
        <w:trPr>
          <w:trHeight w:val="170"/>
        </w:trPr>
        <w:tc>
          <w:tcPr>
            <w:tcW w:w="1785" w:type="dxa"/>
            <w:tcMar>
              <w:left w:w="0" w:type="dxa"/>
            </w:tcMar>
          </w:tcPr>
          <w:p w14:paraId="16E26203" w14:textId="77777777" w:rsidR="0003024B" w:rsidRPr="00995C95" w:rsidRDefault="0003024B" w:rsidP="00E25E8B">
            <w:pPr>
              <w:pStyle w:val="Marginlie"/>
              <w:rPr>
                <w:spacing w:val="0"/>
              </w:rPr>
            </w:pPr>
            <w:r w:rsidRPr="00995C95">
              <w:rPr>
                <w:color w:val="0D0D0D" w:themeColor="text1" w:themeTint="F2"/>
                <w:spacing w:val="0"/>
                <w:szCs w:val="20"/>
              </w:rPr>
              <w:lastRenderedPageBreak/>
              <w:t xml:space="preserve">Non-tax and capital revenues and received transfers of the SB decreased, year-on-year, for the second year in a row last year. In 2025, lower revenues from the EU budget and FM contributed the most. </w:t>
            </w:r>
          </w:p>
        </w:tc>
        <w:tc>
          <w:tcPr>
            <w:tcW w:w="203" w:type="dxa"/>
            <w:tcMar>
              <w:left w:w="0" w:type="dxa"/>
            </w:tcMar>
          </w:tcPr>
          <w:p w14:paraId="05D6D686" w14:textId="77777777" w:rsidR="0003024B" w:rsidRPr="00995C95" w:rsidRDefault="0003024B" w:rsidP="00E25E8B">
            <w:pPr>
              <w:pStyle w:val="Textpoznpodarou"/>
              <w:jc w:val="both"/>
            </w:pPr>
          </w:p>
        </w:tc>
        <w:tc>
          <w:tcPr>
            <w:tcW w:w="7681" w:type="dxa"/>
            <w:tcMar>
              <w:left w:w="0" w:type="dxa"/>
            </w:tcMar>
          </w:tcPr>
          <w:p w14:paraId="1DF08675" w14:textId="77777777" w:rsidR="0003024B" w:rsidRPr="004C7767" w:rsidRDefault="0003024B" w:rsidP="00E25E8B">
            <w:pPr>
              <w:spacing w:after="200"/>
              <w:rPr>
                <w:color w:val="0D0D0D" w:themeColor="text1" w:themeTint="F2"/>
                <w:spacing w:val="-2"/>
                <w:szCs w:val="20"/>
              </w:rPr>
            </w:pPr>
            <w:r w:rsidRPr="004C7767">
              <w:rPr>
                <w:color w:val="0D0D0D" w:themeColor="text1" w:themeTint="F2"/>
                <w:spacing w:val="-2"/>
                <w:szCs w:val="20"/>
              </w:rPr>
              <w:t>Non-tax and capital income and transfers received by SB decreased by 11.9% (-29.6 bn CZK), year-on-year, last year, falling at a similar pace for the second year in a row. In addition, their selection fell significantly short of budget expectations</w:t>
            </w:r>
            <w:r w:rsidRPr="004C7767">
              <w:rPr>
                <w:rStyle w:val="Znakapoznpodarou"/>
                <w:color w:val="0D0D0D" w:themeColor="text1" w:themeTint="F2"/>
                <w:spacing w:val="-2"/>
                <w:szCs w:val="20"/>
              </w:rPr>
              <w:footnoteReference w:id="136"/>
            </w:r>
            <w:r w:rsidRPr="004C7767">
              <w:rPr>
                <w:color w:val="0D0D0D" w:themeColor="text1" w:themeTint="F2"/>
                <w:spacing w:val="-2"/>
                <w:szCs w:val="20"/>
              </w:rPr>
              <w:t xml:space="preserve"> in 2025. The low level of non-tax revenues fulfilment was mainly related to the year-on-year decrease of </w:t>
            </w:r>
            <w:r w:rsidRPr="004C7767">
              <w:rPr>
                <w:color w:val="0D0D0D" w:themeColor="text1" w:themeTint="F2"/>
                <w:spacing w:val="-4"/>
                <w:szCs w:val="20"/>
              </w:rPr>
              <w:t>collections for the weight-dominant item – revenues from the EU budget (including financial</w:t>
            </w:r>
            <w:r w:rsidRPr="004C7767">
              <w:rPr>
                <w:color w:val="0D0D0D" w:themeColor="text1" w:themeTint="F2"/>
                <w:spacing w:val="-2"/>
                <w:szCs w:val="20"/>
              </w:rPr>
              <w:t xml:space="preserve"> mechanisms – FM) – by almost a fifth. The complete cessation of revenues to cover pre-financed expenditure from the older EU programming period (2014–2020) was not compensated by a strengthening of revenues from the current period 2021–2027 (+16.5 bn CZK, mainly in the area of transportation and the Integrated Operational Programme) and further funds from the National Recovery Plan. Another important factor of the revenue non-fulfilment was the continuing significant reduction of revenues from the sale of emission allowances (by 16.5%, by 26.3% in two last years, to 13.7 bn CZK last year</w:t>
            </w:r>
            <w:r w:rsidRPr="004C7767">
              <w:rPr>
                <w:rStyle w:val="Znakapoznpodarou"/>
                <w:color w:val="0D0D0D" w:themeColor="text1" w:themeTint="F2"/>
                <w:spacing w:val="-2"/>
                <w:szCs w:val="20"/>
              </w:rPr>
              <w:footnoteReference w:id="137"/>
            </w:r>
            <w:r w:rsidRPr="004C7767">
              <w:rPr>
                <w:color w:val="0D0D0D" w:themeColor="text1" w:themeTint="F2"/>
                <w:spacing w:val="-2"/>
                <w:szCs w:val="20"/>
              </w:rPr>
              <w:t>) and further lower revenues from state ownership participation</w:t>
            </w:r>
            <w:r>
              <w:rPr>
                <w:color w:val="0D0D0D" w:themeColor="text1" w:themeTint="F2"/>
                <w:spacing w:val="-2"/>
                <w:szCs w:val="20"/>
              </w:rPr>
              <w:t xml:space="preserve"> (e.g.</w:t>
            </w:r>
            <w:r w:rsidRPr="004C7767">
              <w:rPr>
                <w:color w:val="0D0D0D" w:themeColor="text1" w:themeTint="F2"/>
                <w:spacing w:val="-2"/>
                <w:szCs w:val="20"/>
              </w:rPr>
              <w:t xml:space="preserve"> in the energy sector. </w:t>
            </w:r>
          </w:p>
        </w:tc>
      </w:tr>
      <w:tr w:rsidR="0003024B" w:rsidRPr="00995C95" w14:paraId="5016F47A" w14:textId="77777777" w:rsidTr="00E25E8B">
        <w:trPr>
          <w:trHeight w:val="170"/>
        </w:trPr>
        <w:tc>
          <w:tcPr>
            <w:tcW w:w="1785" w:type="dxa"/>
            <w:tcMar>
              <w:left w:w="0" w:type="dxa"/>
            </w:tcMar>
          </w:tcPr>
          <w:p w14:paraId="03AB11D9" w14:textId="77777777" w:rsidR="0003024B" w:rsidRPr="00995C95" w:rsidRDefault="0003024B" w:rsidP="00E25E8B">
            <w:pPr>
              <w:pStyle w:val="Marginlie"/>
              <w:rPr>
                <w:spacing w:val="0"/>
              </w:rPr>
            </w:pPr>
            <w:r w:rsidRPr="00995C95">
              <w:rPr>
                <w:spacing w:val="0"/>
              </w:rPr>
              <w:t>The year-on-year growth of total SB expenditure accelerated last year and at the same time exceeded budget expectations.</w:t>
            </w:r>
          </w:p>
          <w:p w14:paraId="54D85B31" w14:textId="77777777" w:rsidR="0003024B" w:rsidRPr="00995C95" w:rsidRDefault="0003024B" w:rsidP="00E25E8B">
            <w:pPr>
              <w:pStyle w:val="Marginlie"/>
              <w:rPr>
                <w:spacing w:val="0"/>
              </w:rPr>
            </w:pPr>
          </w:p>
          <w:p w14:paraId="0B2F4AD5" w14:textId="77777777" w:rsidR="0003024B" w:rsidRPr="00995C95" w:rsidRDefault="0003024B" w:rsidP="00E25E8B">
            <w:pPr>
              <w:pStyle w:val="Marginlie"/>
              <w:rPr>
                <w:spacing w:val="0"/>
              </w:rPr>
            </w:pPr>
          </w:p>
          <w:p w14:paraId="305693AA" w14:textId="77777777" w:rsidR="0003024B" w:rsidRPr="00995C95" w:rsidRDefault="0003024B" w:rsidP="00E25E8B">
            <w:pPr>
              <w:pStyle w:val="Marginlie"/>
              <w:rPr>
                <w:spacing w:val="0"/>
              </w:rPr>
            </w:pPr>
          </w:p>
          <w:p w14:paraId="046BA2C6" w14:textId="77777777" w:rsidR="0003024B" w:rsidRPr="00995C95" w:rsidRDefault="0003024B" w:rsidP="00E25E8B">
            <w:pPr>
              <w:pStyle w:val="Marginlie"/>
              <w:rPr>
                <w:spacing w:val="0"/>
              </w:rPr>
            </w:pPr>
          </w:p>
          <w:p w14:paraId="30503A61" w14:textId="77777777" w:rsidR="0003024B" w:rsidRPr="00995C95" w:rsidRDefault="0003024B" w:rsidP="00E25E8B">
            <w:pPr>
              <w:pStyle w:val="Marginlie"/>
              <w:rPr>
                <w:spacing w:val="0"/>
              </w:rPr>
            </w:pPr>
          </w:p>
          <w:p w14:paraId="10DC7AC6" w14:textId="77777777" w:rsidR="0003024B" w:rsidRPr="00995C95" w:rsidRDefault="0003024B" w:rsidP="00E25E8B">
            <w:pPr>
              <w:pStyle w:val="Marginlie"/>
              <w:rPr>
                <w:spacing w:val="0"/>
              </w:rPr>
            </w:pPr>
            <w:r w:rsidRPr="00995C95">
              <w:rPr>
                <w:spacing w:val="0"/>
              </w:rPr>
              <w:t xml:space="preserve">The growth of current expenditure was mainly driven by current transfers to regional budgets, especially direct expenditure on education. </w:t>
            </w:r>
          </w:p>
        </w:tc>
        <w:tc>
          <w:tcPr>
            <w:tcW w:w="203" w:type="dxa"/>
            <w:tcMar>
              <w:left w:w="0" w:type="dxa"/>
            </w:tcMar>
          </w:tcPr>
          <w:p w14:paraId="755EC81B" w14:textId="77777777" w:rsidR="0003024B" w:rsidRPr="00995C95" w:rsidRDefault="0003024B" w:rsidP="00E25E8B">
            <w:pPr>
              <w:pStyle w:val="Textpoznpodarou"/>
              <w:jc w:val="both"/>
            </w:pPr>
          </w:p>
        </w:tc>
        <w:tc>
          <w:tcPr>
            <w:tcW w:w="7681" w:type="dxa"/>
            <w:tcMar>
              <w:left w:w="0" w:type="dxa"/>
            </w:tcMar>
          </w:tcPr>
          <w:p w14:paraId="502FAD44" w14:textId="77777777" w:rsidR="0003024B" w:rsidRPr="004C7767" w:rsidRDefault="0003024B" w:rsidP="00E25E8B">
            <w:pPr>
              <w:spacing w:after="200"/>
              <w:rPr>
                <w:color w:val="0D0D0D" w:themeColor="text1" w:themeTint="F2"/>
                <w:spacing w:val="-2"/>
                <w:szCs w:val="20"/>
              </w:rPr>
            </w:pPr>
            <w:r w:rsidRPr="004C7767">
              <w:rPr>
                <w:color w:val="0D0D0D" w:themeColor="text1" w:themeTint="F2"/>
                <w:spacing w:val="-2"/>
              </w:rPr>
              <w:t>Total SB expenditure increased by 6.0%, year-on-year, in 2025, which represented a significant acceleration compared to the previous year's pace. This is mainly due to the fact that in 2024 the decline of support for households and companies affected by previously high energy prices was fully felt. Consumer price growth had also stabilised at that time, which was soon reflected in lower pressure on the adjustment of a wide range of social benefits. In contrast to the previous three years, last year's spending slightly exceeded budget expectations. Last year, both current expenditure (+85.1 bn CZK) and investments, the impact of which was unusually high (+49.9 bn CZK), contributed to the year-on-year growth of total SB expenditure. Within current expenditure, higher transfers to territorial budgets, which rose to 281 bn CZK and increased by 8.5%, year-on-year, had the most significant impact. The higher expenditure is mainly related to the strengthening of funds directed to regional education, primarily for salar</w:t>
            </w:r>
            <w:r>
              <w:rPr>
                <w:color w:val="0D0D0D" w:themeColor="text1" w:themeTint="F2"/>
                <w:spacing w:val="-2"/>
              </w:rPr>
              <w:t>ies</w:t>
            </w:r>
            <w:r w:rsidRPr="004C7767">
              <w:rPr>
                <w:rStyle w:val="Znakapoznpodarou"/>
                <w:color w:val="0D0D0D" w:themeColor="text1" w:themeTint="F2"/>
                <w:spacing w:val="-2"/>
                <w:szCs w:val="20"/>
              </w:rPr>
              <w:footnoteReference w:id="138"/>
            </w:r>
            <w:r w:rsidRPr="004C7767">
              <w:rPr>
                <w:color w:val="0D0D0D" w:themeColor="text1" w:themeTint="F2"/>
                <w:spacing w:val="-2"/>
              </w:rPr>
              <w:t xml:space="preserve"> (including supplementing the missing resources for the salaries of non-teaching staff), for the co-financing of non-research educational projects supported by the EU, and also for social services. On the contrary, fewer funds were directed to the area of integration of refugees from Ukraine (compensatory allowance for accommodation, Ukrainian teaching assistants). </w:t>
            </w:r>
          </w:p>
        </w:tc>
      </w:tr>
      <w:tr w:rsidR="0003024B" w:rsidRPr="00995C95" w14:paraId="2F6D8149" w14:textId="77777777" w:rsidTr="00E25E8B">
        <w:trPr>
          <w:trHeight w:val="170"/>
        </w:trPr>
        <w:tc>
          <w:tcPr>
            <w:tcW w:w="1785" w:type="dxa"/>
            <w:tcMar>
              <w:left w:w="0" w:type="dxa"/>
            </w:tcMar>
          </w:tcPr>
          <w:p w14:paraId="1BADBFF1" w14:textId="77777777" w:rsidR="0003024B" w:rsidRPr="00995C95" w:rsidRDefault="0003024B" w:rsidP="00E25E8B">
            <w:pPr>
              <w:pStyle w:val="Marginlie"/>
            </w:pPr>
            <w:r w:rsidRPr="00995C95">
              <w:t>Pension spending has grown at least in the last 11 years. The impact of the mitigated adjustment and the tightening of the conditions for granting early retirement pensions became apparent.</w:t>
            </w:r>
          </w:p>
          <w:p w14:paraId="73A94F4C" w14:textId="77777777" w:rsidR="0003024B" w:rsidRPr="00995C95" w:rsidRDefault="0003024B" w:rsidP="00E25E8B">
            <w:pPr>
              <w:pStyle w:val="Marginlie"/>
              <w:rPr>
                <w:spacing w:val="0"/>
              </w:rPr>
            </w:pPr>
          </w:p>
        </w:tc>
        <w:tc>
          <w:tcPr>
            <w:tcW w:w="203" w:type="dxa"/>
            <w:tcMar>
              <w:left w:w="0" w:type="dxa"/>
            </w:tcMar>
          </w:tcPr>
          <w:p w14:paraId="41541324" w14:textId="77777777" w:rsidR="0003024B" w:rsidRPr="00995C95" w:rsidRDefault="0003024B" w:rsidP="00E25E8B">
            <w:pPr>
              <w:pStyle w:val="Textpoznpodarou"/>
              <w:jc w:val="both"/>
            </w:pPr>
          </w:p>
        </w:tc>
        <w:tc>
          <w:tcPr>
            <w:tcW w:w="7681" w:type="dxa"/>
            <w:tcMar>
              <w:left w:w="0" w:type="dxa"/>
            </w:tcMar>
          </w:tcPr>
          <w:p w14:paraId="516F21B8" w14:textId="77777777" w:rsidR="0003024B" w:rsidRPr="00995C95" w:rsidRDefault="0003024B" w:rsidP="00E25E8B">
            <w:pPr>
              <w:rPr>
                <w:color w:val="0D0D0D" w:themeColor="text1" w:themeTint="F2"/>
                <w:szCs w:val="20"/>
              </w:rPr>
            </w:pPr>
            <w:r w:rsidRPr="00995C95">
              <w:rPr>
                <w:color w:val="0D0D0D" w:themeColor="text1" w:themeTint="F2"/>
                <w:szCs w:val="20"/>
              </w:rPr>
              <w:t>Despite a more modest growth (+1.2%</w:t>
            </w:r>
            <w:r w:rsidRPr="00995C95">
              <w:rPr>
                <w:rStyle w:val="Znakapoznpodarou"/>
                <w:color w:val="0D0D0D" w:themeColor="text1" w:themeTint="F2"/>
                <w:szCs w:val="20"/>
              </w:rPr>
              <w:footnoteReference w:id="139"/>
            </w:r>
            <w:r w:rsidRPr="00995C95">
              <w:rPr>
                <w:color w:val="0D0D0D" w:themeColor="text1" w:themeTint="F2"/>
                <w:szCs w:val="20"/>
              </w:rPr>
              <w:t xml:space="preserve">), expenditure on social benefits (+17.7 bn CZK) also contributed significantly to the strengthening of total SB expenditure last year. Pension insurance benefits form slightly more than three quarters of </w:t>
            </w:r>
            <w:r>
              <w:rPr>
                <w:color w:val="0D0D0D" w:themeColor="text1" w:themeTint="F2"/>
                <w:szCs w:val="20"/>
              </w:rPr>
              <w:t>total social benefits.</w:t>
            </w:r>
            <w:r w:rsidRPr="00995C95">
              <w:rPr>
                <w:color w:val="0D0D0D" w:themeColor="text1" w:themeTint="F2"/>
                <w:szCs w:val="20"/>
              </w:rPr>
              <w:t xml:space="preserve"> Last year, SB spent 0.8% more on pensions, year-on-year, which represented the lowest growth in the last eleven years. The moderation of consumer prices was reflected in a relatively insignificant adjustment of pensions</w:t>
            </w:r>
            <w:r w:rsidRPr="00995C95">
              <w:rPr>
                <w:rStyle w:val="Znakapoznpodarou"/>
                <w:color w:val="0D0D0D" w:themeColor="text1" w:themeTint="F2"/>
              </w:rPr>
              <w:footnoteReference w:id="140"/>
            </w:r>
            <w:r w:rsidRPr="00995C95">
              <w:rPr>
                <w:color w:val="0D0D0D" w:themeColor="text1" w:themeTint="F2"/>
                <w:szCs w:val="20"/>
              </w:rPr>
              <w:t>, and in addition the number of pension recipients decreased slightly (by 0.6%), which was related to the tightened rules for early retirement</w:t>
            </w:r>
            <w:r w:rsidRPr="00995C95">
              <w:rPr>
                <w:rStyle w:val="Znakapoznpodarou"/>
                <w:color w:val="0D0D0D" w:themeColor="text1" w:themeTint="F2"/>
              </w:rPr>
              <w:footnoteReference w:id="141"/>
            </w:r>
            <w:r w:rsidRPr="00995C95">
              <w:rPr>
                <w:color w:val="0D0D0D" w:themeColor="text1" w:themeTint="F2"/>
              </w:rPr>
              <w:t>.</w:t>
            </w:r>
            <w:r w:rsidRPr="00995C95">
              <w:rPr>
                <w:color w:val="0D0D0D" w:themeColor="text1" w:themeTint="F2"/>
                <w:szCs w:val="20"/>
              </w:rPr>
              <w:t xml:space="preserve"> Although the year-on-year growth of pension premium collection </w:t>
            </w:r>
            <w:r w:rsidRPr="00995C95">
              <w:rPr>
                <w:color w:val="0D0D0D" w:themeColor="text1" w:themeTint="F2"/>
                <w:szCs w:val="20"/>
              </w:rPr>
              <w:lastRenderedPageBreak/>
              <w:t>slowed slightly for the second year in a row last year (to +6.4%), the deficit of the pension insurance system</w:t>
            </w:r>
            <w:r w:rsidRPr="00995C95">
              <w:rPr>
                <w:rStyle w:val="Znakapoznpodarou"/>
                <w:color w:val="0D0D0D" w:themeColor="text1" w:themeTint="F2"/>
              </w:rPr>
              <w:footnoteReference w:id="142"/>
            </w:r>
            <w:r w:rsidRPr="00995C95">
              <w:rPr>
                <w:color w:val="0D0D0D" w:themeColor="text1" w:themeTint="F2"/>
                <w:szCs w:val="20"/>
              </w:rPr>
              <w:t xml:space="preserve"> fell significantly (to 9.2 bn CZK, from 50.7 bn CZK in 2024) and was the lowest in the last four years. </w:t>
            </w:r>
          </w:p>
        </w:tc>
      </w:tr>
      <w:tr w:rsidR="0003024B" w:rsidRPr="00995C95" w14:paraId="4AD07199" w14:textId="77777777" w:rsidTr="00E25E8B">
        <w:trPr>
          <w:trHeight w:val="170"/>
        </w:trPr>
        <w:tc>
          <w:tcPr>
            <w:tcW w:w="1785" w:type="dxa"/>
            <w:tcMar>
              <w:left w:w="0" w:type="dxa"/>
            </w:tcMar>
          </w:tcPr>
          <w:p w14:paraId="1705A783" w14:textId="77777777" w:rsidR="0003024B" w:rsidRPr="00995C95" w:rsidRDefault="0003024B" w:rsidP="00E25E8B">
            <w:pPr>
              <w:pStyle w:val="Marginlie"/>
              <w:rPr>
                <w:spacing w:val="0"/>
              </w:rPr>
            </w:pPr>
            <w:r w:rsidRPr="00995C95">
              <w:rPr>
                <w:spacing w:val="0"/>
              </w:rPr>
              <w:t xml:space="preserve">Growth of expenditure on non-pension social benefits accelerated mainly due to rapidly growing care contributions. The drawdown of the vast majority of other types of benefits increased. </w:t>
            </w:r>
          </w:p>
          <w:p w14:paraId="4EF805D6" w14:textId="77777777" w:rsidR="0003024B" w:rsidRPr="00995C95" w:rsidRDefault="0003024B" w:rsidP="00E25E8B">
            <w:pPr>
              <w:pStyle w:val="Marginlie"/>
              <w:rPr>
                <w:spacing w:val="0"/>
              </w:rPr>
            </w:pPr>
          </w:p>
          <w:p w14:paraId="1C04B3E4" w14:textId="77777777" w:rsidR="0003024B" w:rsidRPr="00995C95" w:rsidRDefault="0003024B" w:rsidP="00E25E8B">
            <w:pPr>
              <w:pStyle w:val="Marginlie"/>
              <w:rPr>
                <w:spacing w:val="0"/>
              </w:rPr>
            </w:pPr>
          </w:p>
          <w:p w14:paraId="7B7600CD" w14:textId="77777777" w:rsidR="0003024B" w:rsidRPr="00995C95" w:rsidRDefault="0003024B" w:rsidP="00E25E8B">
            <w:pPr>
              <w:pStyle w:val="Marginlie"/>
              <w:rPr>
                <w:spacing w:val="0"/>
              </w:rPr>
            </w:pPr>
          </w:p>
          <w:p w14:paraId="7909A38B" w14:textId="77777777" w:rsidR="0003024B" w:rsidRPr="00995C95" w:rsidRDefault="0003024B" w:rsidP="00E25E8B">
            <w:pPr>
              <w:pStyle w:val="Marginlie"/>
              <w:rPr>
                <w:spacing w:val="0"/>
              </w:rPr>
            </w:pPr>
          </w:p>
          <w:p w14:paraId="01D3FB12" w14:textId="77777777" w:rsidR="0003024B" w:rsidRPr="00995C95" w:rsidRDefault="0003024B" w:rsidP="00E25E8B">
            <w:pPr>
              <w:pStyle w:val="Marginlie"/>
              <w:rPr>
                <w:spacing w:val="0"/>
              </w:rPr>
            </w:pPr>
          </w:p>
          <w:p w14:paraId="3C53807C" w14:textId="77777777" w:rsidR="0003024B" w:rsidRDefault="0003024B" w:rsidP="00E25E8B">
            <w:pPr>
              <w:pStyle w:val="Marginlie"/>
            </w:pPr>
            <w:r w:rsidRPr="00995C95">
              <w:t xml:space="preserve">In the smaller range of benefits, there was a longer-term decline of drawdown due to falling birth rates. </w:t>
            </w:r>
          </w:p>
          <w:p w14:paraId="6A74EF8F" w14:textId="77777777" w:rsidR="0003024B" w:rsidRDefault="0003024B" w:rsidP="00E25E8B">
            <w:pPr>
              <w:pStyle w:val="Marginlie"/>
            </w:pPr>
          </w:p>
          <w:p w14:paraId="231741FA" w14:textId="77777777" w:rsidR="0003024B" w:rsidRPr="00995C95" w:rsidRDefault="0003024B" w:rsidP="00E25E8B">
            <w:pPr>
              <w:pStyle w:val="Marginlie"/>
            </w:pPr>
            <w:r w:rsidRPr="00995C95">
              <w:t>The health insurance balance ended in surplus for the second year in a row, the highest since 2008.</w:t>
            </w:r>
          </w:p>
          <w:p w14:paraId="4E4AE56B" w14:textId="77777777" w:rsidR="0003024B" w:rsidRPr="00995C95" w:rsidRDefault="0003024B" w:rsidP="00E25E8B">
            <w:pPr>
              <w:pStyle w:val="Marginlie"/>
              <w:rPr>
                <w:spacing w:val="0"/>
              </w:rPr>
            </w:pPr>
          </w:p>
        </w:tc>
        <w:tc>
          <w:tcPr>
            <w:tcW w:w="203" w:type="dxa"/>
            <w:tcMar>
              <w:left w:w="0" w:type="dxa"/>
            </w:tcMar>
          </w:tcPr>
          <w:p w14:paraId="2A500C4B" w14:textId="77777777" w:rsidR="0003024B" w:rsidRPr="00995C95" w:rsidRDefault="0003024B" w:rsidP="00E25E8B">
            <w:pPr>
              <w:pStyle w:val="Textpoznpodarou"/>
              <w:jc w:val="both"/>
            </w:pPr>
          </w:p>
        </w:tc>
        <w:tc>
          <w:tcPr>
            <w:tcW w:w="7681" w:type="dxa"/>
            <w:tcMar>
              <w:left w:w="0" w:type="dxa"/>
            </w:tcMar>
          </w:tcPr>
          <w:p w14:paraId="5BF46B97" w14:textId="77777777" w:rsidR="0003024B" w:rsidRPr="00995C95" w:rsidRDefault="0003024B" w:rsidP="00E25E8B">
            <w:pPr>
              <w:spacing w:after="200"/>
              <w:rPr>
                <w:color w:val="0D0D0D" w:themeColor="text1" w:themeTint="F2"/>
                <w:szCs w:val="20"/>
              </w:rPr>
            </w:pPr>
            <w:r w:rsidRPr="00995C95">
              <w:rPr>
                <w:color w:val="0D0D0D" w:themeColor="text1" w:themeTint="F2"/>
                <w:szCs w:val="20"/>
              </w:rPr>
              <w:t xml:space="preserve">Year-on-year growth of expenditure on other (non-pension) social benefits was slightly above 6% for the second year in a row last year (and, unlike in 2024, it was the decisive factor of the growth of total expenditure on social benefits - contribution of +11.8 bn CZK). Year-on-year expenditure growth that exceeded budget expectations was recorded for almost </w:t>
            </w:r>
            <w:proofErr w:type="gramStart"/>
            <w:r w:rsidRPr="00995C95">
              <w:rPr>
                <w:color w:val="0D0D0D" w:themeColor="text1" w:themeTint="F2"/>
                <w:szCs w:val="20"/>
              </w:rPr>
              <w:t>all important</w:t>
            </w:r>
            <w:proofErr w:type="gramEnd"/>
            <w:r w:rsidRPr="00995C95">
              <w:rPr>
                <w:color w:val="0D0D0D" w:themeColor="text1" w:themeTint="F2"/>
                <w:szCs w:val="20"/>
              </w:rPr>
              <w:t xml:space="preserve"> types of benefits. An increase of the long-term care allowances significant by volume (+5.2 bn CZK, +12.4%</w:t>
            </w:r>
            <w:r w:rsidRPr="00995C95">
              <w:rPr>
                <w:rStyle w:val="Znakapoznpodarou"/>
                <w:color w:val="0D0D0D" w:themeColor="text1" w:themeTint="F2"/>
              </w:rPr>
              <w:footnoteReference w:id="143"/>
            </w:r>
            <w:r w:rsidRPr="00995C95">
              <w:rPr>
                <w:color w:val="0D0D0D" w:themeColor="text1" w:themeTint="F2"/>
                <w:szCs w:val="20"/>
              </w:rPr>
              <w:t>) played a key role here. The drawdown of unemployment benefits increased for the third year in a row (by 2.0 bn CZK last year, +15.8%), both due to a slightly growing number of job applicants entitled to benefits, and mainly due to a higher average level of support (related to wage growth in the economy). At the same time, the growth of material deprivation assistance benefits continued (+0.5 bn CZK, +4.1%), mainly due to higher humanitarian benefits for Ukrainian refugees (+20.4%)</w:t>
            </w:r>
            <w:r w:rsidRPr="00995C95">
              <w:rPr>
                <w:rStyle w:val="Znakapoznpodarou"/>
                <w:color w:val="0D0D0D" w:themeColor="text1" w:themeTint="F2"/>
                <w:szCs w:val="20"/>
              </w:rPr>
              <w:footnoteReference w:id="144"/>
            </w:r>
            <w:r w:rsidRPr="00995C95">
              <w:rPr>
                <w:color w:val="0D0D0D" w:themeColor="text1" w:themeTint="F2"/>
                <w:szCs w:val="20"/>
              </w:rPr>
              <w:t>. Long-term growing benefits of state social support and foster care increased by 4.0% last year, mainly due to housing benefits (+3.2 bn CZK, +16%)</w:t>
            </w:r>
            <w:r w:rsidRPr="00995C95">
              <w:rPr>
                <w:rStyle w:val="Znakapoznpodarou"/>
                <w:color w:val="0D0D0D" w:themeColor="text1" w:themeTint="F2"/>
                <w:szCs w:val="20"/>
              </w:rPr>
              <w:footnoteReference w:id="145"/>
            </w:r>
            <w:r w:rsidRPr="00995C95">
              <w:rPr>
                <w:color w:val="0D0D0D" w:themeColor="text1" w:themeTint="F2"/>
                <w:szCs w:val="20"/>
              </w:rPr>
              <w:t>. The opposite effect was due to a decrease of parental and child allowances (by a total 1.7 bn CZK), which, however, present a longer-term phenomenon related to a decreasing birth rate. The use of sickness insurance benefits increased slightly for the second year in a row (by 1.4 bn CZK last year, +2.9%)</w:t>
            </w:r>
            <w:r w:rsidRPr="00995C95">
              <w:rPr>
                <w:rStyle w:val="Znakapoznpodarou"/>
                <w:color w:val="0D0D0D" w:themeColor="text1" w:themeTint="F2"/>
              </w:rPr>
              <w:footnoteReference w:id="146"/>
            </w:r>
            <w:r w:rsidRPr="00995C95">
              <w:rPr>
                <w:color w:val="0D0D0D" w:themeColor="text1" w:themeTint="F2"/>
                <w:szCs w:val="20"/>
              </w:rPr>
              <w:t>. The growth was mainly driven by sickness benefits</w:t>
            </w:r>
            <w:r w:rsidRPr="00995C95">
              <w:rPr>
                <w:rStyle w:val="Znakapoznpodarou"/>
                <w:color w:val="0D0D0D" w:themeColor="text1" w:themeTint="F2"/>
              </w:rPr>
              <w:footnoteReference w:id="147"/>
            </w:r>
            <w:r w:rsidRPr="00995C95">
              <w:rPr>
                <w:color w:val="0D0D0D" w:themeColor="text1" w:themeTint="F2"/>
                <w:szCs w:val="20"/>
              </w:rPr>
              <w:t>, while the volume of maternity benefits fell for the fourth time in a row. Income from insurance premiums paid by employed persons increased by 8.2%, year-on-year, last year, partly still due to the legal regulation in relation to the consolidation package</w:t>
            </w:r>
            <w:r w:rsidRPr="00995C95">
              <w:rPr>
                <w:rStyle w:val="Znakapoznpodarou"/>
                <w:color w:val="0D0D0D" w:themeColor="text1" w:themeTint="F2"/>
              </w:rPr>
              <w:footnoteReference w:id="148"/>
            </w:r>
            <w:r w:rsidRPr="00995C95">
              <w:rPr>
                <w:color w:val="0D0D0D" w:themeColor="text1" w:themeTint="F2"/>
              </w:rPr>
              <w:t>.</w:t>
            </w:r>
            <w:r w:rsidRPr="00995C95">
              <w:rPr>
                <w:color w:val="0D0D0D" w:themeColor="text1" w:themeTint="F2"/>
                <w:szCs w:val="20"/>
              </w:rPr>
              <w:t xml:space="preserve"> As a result, the balance of sickness insurance</w:t>
            </w:r>
            <w:r w:rsidRPr="00995C95">
              <w:rPr>
                <w:rStyle w:val="Znakapoznpodarou"/>
                <w:color w:val="0D0D0D" w:themeColor="text1" w:themeTint="F2"/>
              </w:rPr>
              <w:footnoteReference w:id="149"/>
            </w:r>
            <w:r w:rsidRPr="00995C95">
              <w:rPr>
                <w:color w:val="0D0D0D" w:themeColor="text1" w:themeTint="F2"/>
                <w:szCs w:val="20"/>
              </w:rPr>
              <w:t xml:space="preserve"> achieved a slight surplus for the first time since 2018 the year before last, which further increased to 13.5 bn CZK in 2025 (the highest </w:t>
            </w:r>
            <w:r>
              <w:rPr>
                <w:color w:val="0D0D0D" w:themeColor="text1" w:themeTint="F2"/>
                <w:szCs w:val="20"/>
              </w:rPr>
              <w:t xml:space="preserve">surplus </w:t>
            </w:r>
            <w:r w:rsidRPr="00995C95">
              <w:rPr>
                <w:color w:val="0D0D0D" w:themeColor="text1" w:themeTint="F2"/>
                <w:szCs w:val="20"/>
              </w:rPr>
              <w:t xml:space="preserve">since 2008). </w:t>
            </w:r>
          </w:p>
        </w:tc>
      </w:tr>
      <w:tr w:rsidR="0003024B" w:rsidRPr="00995C95" w14:paraId="6CD9C347" w14:textId="77777777" w:rsidTr="00E25E8B">
        <w:trPr>
          <w:trHeight w:val="170"/>
        </w:trPr>
        <w:tc>
          <w:tcPr>
            <w:tcW w:w="1785" w:type="dxa"/>
            <w:tcMar>
              <w:left w:w="0" w:type="dxa"/>
            </w:tcMar>
          </w:tcPr>
          <w:p w14:paraId="39A2CA15" w14:textId="77777777" w:rsidR="0003024B" w:rsidRPr="00995C95" w:rsidRDefault="0003024B" w:rsidP="00E25E8B">
            <w:pPr>
              <w:pStyle w:val="Marginlie"/>
              <w:rPr>
                <w:spacing w:val="0"/>
              </w:rPr>
            </w:pPr>
            <w:r w:rsidRPr="00995C95">
              <w:rPr>
                <w:spacing w:val="0"/>
              </w:rPr>
              <w:t>Non-investment purchases grew rapidly for the second year in a row, mainly due to defence and security spending.</w:t>
            </w:r>
          </w:p>
          <w:p w14:paraId="352F56C1" w14:textId="77777777" w:rsidR="0003024B" w:rsidRPr="00995C95" w:rsidRDefault="0003024B" w:rsidP="00E25E8B">
            <w:pPr>
              <w:pStyle w:val="Marginlie"/>
              <w:rPr>
                <w:spacing w:val="0"/>
              </w:rPr>
            </w:pPr>
          </w:p>
          <w:p w14:paraId="741FFCC2" w14:textId="77777777" w:rsidR="0003024B" w:rsidRPr="00995C95" w:rsidRDefault="0003024B" w:rsidP="00E25E8B">
            <w:pPr>
              <w:pStyle w:val="Marginlie"/>
              <w:rPr>
                <w:spacing w:val="0"/>
              </w:rPr>
            </w:pPr>
          </w:p>
          <w:p w14:paraId="0A3085BB" w14:textId="77777777" w:rsidR="0003024B" w:rsidRPr="00995C95" w:rsidRDefault="0003024B" w:rsidP="00E25E8B">
            <w:pPr>
              <w:pStyle w:val="Marginlie"/>
              <w:rPr>
                <w:spacing w:val="0"/>
              </w:rPr>
            </w:pPr>
          </w:p>
          <w:p w14:paraId="0287161A" w14:textId="77777777" w:rsidR="0003024B" w:rsidRPr="00995C95" w:rsidRDefault="0003024B" w:rsidP="00E25E8B">
            <w:pPr>
              <w:pStyle w:val="Marginlie"/>
              <w:rPr>
                <w:spacing w:val="0"/>
              </w:rPr>
            </w:pPr>
          </w:p>
          <w:p w14:paraId="13679BA5" w14:textId="77777777" w:rsidR="0003024B" w:rsidRPr="00995C95" w:rsidRDefault="0003024B" w:rsidP="00E25E8B">
            <w:pPr>
              <w:pStyle w:val="Marginlie"/>
              <w:rPr>
                <w:spacing w:val="0"/>
              </w:rPr>
            </w:pPr>
            <w:r w:rsidRPr="00995C95">
              <w:rPr>
                <w:spacing w:val="0"/>
              </w:rPr>
              <w:lastRenderedPageBreak/>
              <w:t>The amount of the state debt and interest expenditure on its servicing increased by a tenth.</w:t>
            </w:r>
          </w:p>
        </w:tc>
        <w:tc>
          <w:tcPr>
            <w:tcW w:w="203" w:type="dxa"/>
            <w:tcMar>
              <w:left w:w="0" w:type="dxa"/>
            </w:tcMar>
          </w:tcPr>
          <w:p w14:paraId="08CAC544" w14:textId="77777777" w:rsidR="0003024B" w:rsidRPr="00995C95" w:rsidRDefault="0003024B" w:rsidP="00E25E8B">
            <w:pPr>
              <w:pStyle w:val="Textpoznpodarou"/>
              <w:jc w:val="both"/>
            </w:pPr>
          </w:p>
        </w:tc>
        <w:tc>
          <w:tcPr>
            <w:tcW w:w="7681" w:type="dxa"/>
            <w:tcMar>
              <w:left w:w="0" w:type="dxa"/>
            </w:tcMar>
          </w:tcPr>
          <w:p w14:paraId="65FE6E49" w14:textId="77777777" w:rsidR="0003024B" w:rsidRPr="00324F43" w:rsidRDefault="0003024B" w:rsidP="00E25E8B">
            <w:pPr>
              <w:spacing w:after="200"/>
              <w:rPr>
                <w:spacing w:val="-2"/>
                <w:szCs w:val="20"/>
              </w:rPr>
            </w:pPr>
            <w:r w:rsidRPr="00324F43">
              <w:rPr>
                <w:spacing w:val="-2"/>
              </w:rPr>
              <w:t>Non-investment purchases and related expenditures (excluding government debt service) increased, year-on-year, last year (+15.9%, +15.0 bn CZK). Last year's rapid growth, which occurred for the second year in a row, was mainly due to higher spending at the end of the year. The impact of savings for expenditure on the purchase of water, fuel, energy and maintenance was dampened by the strengthening of material purchases (</w:t>
            </w:r>
            <w:r w:rsidRPr="00324F43">
              <w:rPr>
                <w:spacing w:val="-8"/>
              </w:rPr>
              <w:t>especially for defence and security) and the compensation payment in the telecommunications</w:t>
            </w:r>
            <w:r w:rsidRPr="00324F43">
              <w:rPr>
                <w:spacing w:val="-2"/>
              </w:rPr>
              <w:t xml:space="preserve"> sector. Net expenditure on servicing the state debt</w:t>
            </w:r>
            <w:r w:rsidRPr="00324F43">
              <w:rPr>
                <w:spacing w:val="-2"/>
                <w:vertAlign w:val="superscript"/>
              </w:rPr>
              <w:footnoteReference w:id="150"/>
            </w:r>
            <w:r w:rsidRPr="00324F43">
              <w:rPr>
                <w:spacing w:val="-2"/>
              </w:rPr>
              <w:t xml:space="preserve">, which mainly includes interest, increased by 10.7%, year-on-year, last year and rose to a record 98.1 bn CZK and almost </w:t>
            </w:r>
            <w:r w:rsidRPr="00324F43">
              <w:rPr>
                <w:spacing w:val="-2"/>
              </w:rPr>
              <w:lastRenderedPageBreak/>
              <w:t xml:space="preserve">twice the level of 2022. In addition to the growing volume of planned repayments, they were also influenced by the level of interest rates on domestic government bonds, which have risen in recent years and were above average in the EU last year. The amount of the Czech government's </w:t>
            </w:r>
            <w:r>
              <w:rPr>
                <w:spacing w:val="-2"/>
              </w:rPr>
              <w:t xml:space="preserve">(state) </w:t>
            </w:r>
            <w:r w:rsidRPr="00324F43">
              <w:rPr>
                <w:spacing w:val="-2"/>
              </w:rPr>
              <w:t xml:space="preserve">debt reached 3,678 bn CZK at the end of December last year and increased by 9.3%, year-on-year (growth accelerated slightly for the second </w:t>
            </w:r>
            <w:r w:rsidRPr="00EE5253">
              <w:rPr>
                <w:spacing w:val="-6"/>
              </w:rPr>
              <w:t>year). Last year's debt development is primarily related to an increase in the need for financing</w:t>
            </w:r>
            <w:r w:rsidRPr="00324F43">
              <w:rPr>
                <w:spacing w:val="-2"/>
              </w:rPr>
              <w:t xml:space="preserve"> due to a higher volume of planned repayments of earlier bonds, borrowings and loans. The impact of the growing deficit of the SB in 2025 was also partly apparent. Traditionally, the issuance of </w:t>
            </w:r>
            <w:r w:rsidRPr="00324F43">
              <w:rPr>
                <w:i/>
                <w:iCs/>
                <w:spacing w:val="-2"/>
              </w:rPr>
              <w:t>koruna</w:t>
            </w:r>
            <w:r w:rsidRPr="00324F43">
              <w:rPr>
                <w:spacing w:val="-2"/>
              </w:rPr>
              <w:t xml:space="preserve"> medium-term and long-term government bonds</w:t>
            </w:r>
            <w:r w:rsidRPr="00324F43">
              <w:rPr>
                <w:rStyle w:val="Znakapoznpodarou"/>
                <w:spacing w:val="-2"/>
                <w:szCs w:val="20"/>
              </w:rPr>
              <w:footnoteReference w:id="151"/>
            </w:r>
            <w:r w:rsidRPr="00324F43">
              <w:rPr>
                <w:spacing w:val="-2"/>
              </w:rPr>
              <w:t xml:space="preserve"> was used to cover the financing needs, and short-term debt instruments were also used more than in 2023 and 2024. Last year's increase of total debt was driven mainly by internal debt (+297 bn CZK), but external debt (+16 bn), which grew for the second year in a row also had an impact. </w:t>
            </w:r>
            <w:r>
              <w:rPr>
                <w:spacing w:val="-2"/>
              </w:rPr>
              <w:t>H</w:t>
            </w:r>
            <w:r w:rsidRPr="00324F43">
              <w:rPr>
                <w:spacing w:val="-2"/>
              </w:rPr>
              <w:t>owever, external debt accounted for only 5.4% of the current total debt</w:t>
            </w:r>
            <w:r>
              <w:rPr>
                <w:spacing w:val="-2"/>
              </w:rPr>
              <w:t>.</w:t>
            </w:r>
          </w:p>
        </w:tc>
      </w:tr>
      <w:tr w:rsidR="0003024B" w:rsidRPr="00995C95" w14:paraId="1FE585A0" w14:textId="77777777" w:rsidTr="00E25E8B">
        <w:trPr>
          <w:trHeight w:val="170"/>
        </w:trPr>
        <w:tc>
          <w:tcPr>
            <w:tcW w:w="1785" w:type="dxa"/>
            <w:tcMar>
              <w:left w:w="0" w:type="dxa"/>
            </w:tcMar>
          </w:tcPr>
          <w:p w14:paraId="7925760C" w14:textId="77777777" w:rsidR="0003024B" w:rsidRPr="00995C95" w:rsidRDefault="0003024B" w:rsidP="00E25E8B">
            <w:pPr>
              <w:pStyle w:val="Marginlie"/>
            </w:pPr>
            <w:r w:rsidRPr="00995C95">
              <w:t>The growth of expenditure on salaries in organizational units of the state a</w:t>
            </w:r>
            <w:r>
              <w:t xml:space="preserve">s well as </w:t>
            </w:r>
            <w:r w:rsidRPr="00995C95">
              <w:t xml:space="preserve">subsidies to </w:t>
            </w:r>
            <w:r>
              <w:t xml:space="preserve">semi-budgetary </w:t>
            </w:r>
            <w:r w:rsidRPr="00995C95">
              <w:t>organizations accelerated.</w:t>
            </w:r>
          </w:p>
          <w:p w14:paraId="2D2EA2EC" w14:textId="77777777" w:rsidR="0003024B" w:rsidRPr="00995C95" w:rsidRDefault="0003024B" w:rsidP="00E25E8B">
            <w:pPr>
              <w:pStyle w:val="Marginlie"/>
              <w:rPr>
                <w:spacing w:val="0"/>
              </w:rPr>
            </w:pPr>
          </w:p>
        </w:tc>
        <w:tc>
          <w:tcPr>
            <w:tcW w:w="203" w:type="dxa"/>
            <w:tcMar>
              <w:left w:w="0" w:type="dxa"/>
            </w:tcMar>
          </w:tcPr>
          <w:p w14:paraId="712CF53F" w14:textId="77777777" w:rsidR="0003024B" w:rsidRPr="00995C95" w:rsidRDefault="0003024B" w:rsidP="00E25E8B">
            <w:pPr>
              <w:pStyle w:val="Textpoznpodarou"/>
              <w:jc w:val="both"/>
            </w:pPr>
          </w:p>
        </w:tc>
        <w:tc>
          <w:tcPr>
            <w:tcW w:w="7681" w:type="dxa"/>
            <w:tcMar>
              <w:left w:w="0" w:type="dxa"/>
            </w:tcMar>
          </w:tcPr>
          <w:p w14:paraId="64C976F5" w14:textId="77777777" w:rsidR="0003024B" w:rsidRPr="00995C95" w:rsidRDefault="0003024B" w:rsidP="00E25E8B">
            <w:pPr>
              <w:spacing w:after="200"/>
              <w:rPr>
                <w:color w:val="0D0D0D" w:themeColor="text1" w:themeTint="F2"/>
              </w:rPr>
            </w:pPr>
            <w:r w:rsidRPr="00995C95">
              <w:rPr>
                <w:color w:val="0D0D0D" w:themeColor="text1" w:themeTint="F2"/>
              </w:rPr>
              <w:t xml:space="preserve">After </w:t>
            </w:r>
            <w:r>
              <w:rPr>
                <w:color w:val="0D0D0D" w:themeColor="text1" w:themeTint="F2"/>
              </w:rPr>
              <w:t>the</w:t>
            </w:r>
            <w:r w:rsidRPr="00995C95">
              <w:rPr>
                <w:color w:val="0D0D0D" w:themeColor="text1" w:themeTint="F2"/>
              </w:rPr>
              <w:t xml:space="preserve"> stagnation in 2024, expenditure on salaries in organizational units of the state increased by 7.1% (+12.2 bn CZK) last year</w:t>
            </w:r>
            <w:r w:rsidRPr="00995C95">
              <w:rPr>
                <w:rStyle w:val="Znakapoznpodarou"/>
                <w:color w:val="0D0D0D" w:themeColor="text1" w:themeTint="F2"/>
              </w:rPr>
              <w:footnoteReference w:id="152"/>
            </w:r>
            <w:r w:rsidRPr="00995C95">
              <w:rPr>
                <w:color w:val="0D0D0D" w:themeColor="text1" w:themeTint="F2"/>
              </w:rPr>
              <w:t xml:space="preserve">. Last year, the growth of current subsidies </w:t>
            </w:r>
            <w:r w:rsidRPr="00484203">
              <w:rPr>
                <w:color w:val="0D0D0D" w:themeColor="text1" w:themeTint="F2"/>
                <w:spacing w:val="-4"/>
              </w:rPr>
              <w:t>to semi-budgetary organizations also accelerated significantly, with expenditure increasing</w:t>
            </w:r>
            <w:r w:rsidRPr="00995C95">
              <w:rPr>
                <w:color w:val="0D0D0D" w:themeColor="text1" w:themeTint="F2"/>
              </w:rPr>
              <w:t xml:space="preserve"> by 10.2% (+9.2 bn CZK), both due to higher contributions to the day-to-day operation of </w:t>
            </w:r>
            <w:r w:rsidRPr="00484203">
              <w:rPr>
                <w:color w:val="0D0D0D" w:themeColor="text1" w:themeTint="F2"/>
                <w:spacing w:val="-2"/>
              </w:rPr>
              <w:t>universities and support for research, development and innovation in the higher education</w:t>
            </w:r>
            <w:r w:rsidRPr="00995C95">
              <w:rPr>
                <w:color w:val="0D0D0D" w:themeColor="text1" w:themeTint="F2"/>
              </w:rPr>
              <w:t xml:space="preserve"> </w:t>
            </w:r>
            <w:r w:rsidRPr="00484203">
              <w:rPr>
                <w:color w:val="0D0D0D" w:themeColor="text1" w:themeTint="F2"/>
                <w:spacing w:val="-2"/>
              </w:rPr>
              <w:t>and government sectors. Spending on defence organisations also strengthened. Current</w:t>
            </w:r>
            <w:r w:rsidRPr="00995C95">
              <w:rPr>
                <w:color w:val="0D0D0D" w:themeColor="text1" w:themeTint="F2"/>
              </w:rPr>
              <w:t xml:space="preserve"> transfers to non-profit organisations also increased rapidly, nevertheless in contrast to </w:t>
            </w:r>
            <w:r w:rsidRPr="00484203">
              <w:rPr>
                <w:color w:val="0D0D0D" w:themeColor="text1" w:themeTint="F2"/>
                <w:spacing w:val="-4"/>
              </w:rPr>
              <w:t>semi-budgetary</w:t>
            </w:r>
            <w:r w:rsidRPr="00995C95">
              <w:rPr>
                <w:color w:val="0D0D0D" w:themeColor="text1" w:themeTint="F2"/>
              </w:rPr>
              <w:t xml:space="preserve"> organisations, in line with budget expectations (+12.4%, +3.0 bn CZK), mainly due to higher support for European projects in the field of employment, </w:t>
            </w:r>
            <w:r>
              <w:rPr>
                <w:color w:val="0D0D0D" w:themeColor="text1" w:themeTint="F2"/>
              </w:rPr>
              <w:t>growi</w:t>
            </w:r>
            <w:r w:rsidRPr="00995C95">
              <w:rPr>
                <w:color w:val="0D0D0D" w:themeColor="text1" w:themeTint="F2"/>
              </w:rPr>
              <w:t xml:space="preserve">ng subsidies in the areas of sports, religious schools, foster care and social services. </w:t>
            </w:r>
          </w:p>
        </w:tc>
      </w:tr>
      <w:tr w:rsidR="0003024B" w:rsidRPr="00995C95" w14:paraId="603C7537" w14:textId="77777777" w:rsidTr="00E25E8B">
        <w:trPr>
          <w:trHeight w:val="170"/>
        </w:trPr>
        <w:tc>
          <w:tcPr>
            <w:tcW w:w="1785" w:type="dxa"/>
            <w:tcMar>
              <w:left w:w="0" w:type="dxa"/>
            </w:tcMar>
          </w:tcPr>
          <w:p w14:paraId="4343FED3" w14:textId="77777777" w:rsidR="0003024B" w:rsidRPr="00995C95" w:rsidRDefault="0003024B" w:rsidP="00E25E8B">
            <w:pPr>
              <w:pStyle w:val="Marginlie"/>
              <w:rPr>
                <w:spacing w:val="0"/>
              </w:rPr>
            </w:pPr>
            <w:r w:rsidRPr="00995C95">
              <w:rPr>
                <w:spacing w:val="0"/>
              </w:rPr>
              <w:t xml:space="preserve">The decline of subsidy </w:t>
            </w:r>
            <w:r w:rsidRPr="00634426">
              <w:t>support for entrepreneurs</w:t>
            </w:r>
            <w:r w:rsidRPr="00995C95">
              <w:rPr>
                <w:spacing w:val="0"/>
              </w:rPr>
              <w:t xml:space="preserve"> linked to high energy prices was offset by an increase of subsidies for RES. Total subsidies significantly exceeded budget expectations last year.</w:t>
            </w:r>
          </w:p>
        </w:tc>
        <w:tc>
          <w:tcPr>
            <w:tcW w:w="203" w:type="dxa"/>
            <w:tcMar>
              <w:left w:w="0" w:type="dxa"/>
            </w:tcMar>
          </w:tcPr>
          <w:p w14:paraId="2293CB3B" w14:textId="77777777" w:rsidR="0003024B" w:rsidRPr="00995C95" w:rsidRDefault="0003024B" w:rsidP="00E25E8B">
            <w:pPr>
              <w:pStyle w:val="Textpoznpodarou"/>
              <w:jc w:val="both"/>
            </w:pPr>
          </w:p>
        </w:tc>
        <w:tc>
          <w:tcPr>
            <w:tcW w:w="7681" w:type="dxa"/>
            <w:tcMar>
              <w:left w:w="0" w:type="dxa"/>
            </w:tcMar>
          </w:tcPr>
          <w:p w14:paraId="1AE86376" w14:textId="77777777" w:rsidR="0003024B" w:rsidRPr="00995C95" w:rsidRDefault="0003024B" w:rsidP="00E25E8B">
            <w:pPr>
              <w:spacing w:after="200"/>
              <w:rPr>
                <w:color w:val="0D0D0D" w:themeColor="text1" w:themeTint="F2"/>
                <w:szCs w:val="20"/>
              </w:rPr>
            </w:pPr>
            <w:r w:rsidRPr="00995C95">
              <w:rPr>
                <w:color w:val="0D0D0D" w:themeColor="text1" w:themeTint="F2"/>
              </w:rPr>
              <w:t>Current transfers to entrepreneurs</w:t>
            </w:r>
            <w:r>
              <w:rPr>
                <w:color w:val="0D0D0D" w:themeColor="text1" w:themeTint="F2"/>
              </w:rPr>
              <w:t xml:space="preserve"> (</w:t>
            </w:r>
            <w:r w:rsidRPr="00634426">
              <w:rPr>
                <w:color w:val="0D0D0D" w:themeColor="text1" w:themeTint="F2"/>
              </w:rPr>
              <w:t>businesses</w:t>
            </w:r>
            <w:r>
              <w:rPr>
                <w:color w:val="0D0D0D" w:themeColor="text1" w:themeTint="F2"/>
              </w:rPr>
              <w:t>)</w:t>
            </w:r>
            <w:r w:rsidRPr="00995C95">
              <w:rPr>
                <w:color w:val="0D0D0D" w:themeColor="text1" w:themeTint="F2"/>
              </w:rPr>
              <w:t xml:space="preserve"> increased by 4.1%, year-on-year, last year, but their amount (69.3 bn CZK) was the second lowest in the last six years. The effect of the expected reduction of most subsidies in the energy sector was still visible</w:t>
            </w:r>
            <w:r w:rsidRPr="00995C95">
              <w:rPr>
                <w:rStyle w:val="Znakapoznpodarou"/>
                <w:color w:val="0D0D0D" w:themeColor="text1" w:themeTint="F2"/>
              </w:rPr>
              <w:footnoteReference w:id="153"/>
            </w:r>
            <w:r w:rsidRPr="00995C95">
              <w:rPr>
                <w:color w:val="0D0D0D" w:themeColor="text1" w:themeTint="F2"/>
              </w:rPr>
              <w:t xml:space="preserve">. However, this effect was offset by increasing subsidies for renewable energy sources (RES), which increased significantly, year-on-year (+44%, to 25.9 bn CZK). In addition, subsidies to companies for European projects (especially under the National Recovery Plan) and expenditure on active employment policy also increased, as well as a contribution to support the employment of people with disabilities. Total non-investment subsidies to entrepreneurs significantly exceeded budget expectations last year – by 22.1 bn CZK compared to the original plan (of which 17.4 bn CZK in the area of RES).  </w:t>
            </w:r>
          </w:p>
        </w:tc>
      </w:tr>
      <w:tr w:rsidR="0003024B" w:rsidRPr="00995C95" w14:paraId="014371D8" w14:textId="77777777" w:rsidTr="00E25E8B">
        <w:trPr>
          <w:trHeight w:val="170"/>
        </w:trPr>
        <w:tc>
          <w:tcPr>
            <w:tcW w:w="1785" w:type="dxa"/>
            <w:tcMar>
              <w:left w:w="0" w:type="dxa"/>
            </w:tcMar>
          </w:tcPr>
          <w:p w14:paraId="0A69A689" w14:textId="77777777" w:rsidR="0003024B" w:rsidRPr="00995C95" w:rsidRDefault="0003024B" w:rsidP="00E25E8B">
            <w:pPr>
              <w:pStyle w:val="Marginlie"/>
              <w:rPr>
                <w:spacing w:val="0"/>
              </w:rPr>
            </w:pPr>
            <w:r w:rsidRPr="00995C95">
              <w:rPr>
                <w:spacing w:val="0"/>
              </w:rPr>
              <w:t xml:space="preserve">The growth of expenditure on public health insurance payments, which hold a significant weight, moderated notably. </w:t>
            </w:r>
          </w:p>
          <w:p w14:paraId="12268A4C" w14:textId="77777777" w:rsidR="0003024B" w:rsidRPr="00995C95" w:rsidRDefault="0003024B" w:rsidP="00E25E8B">
            <w:pPr>
              <w:pStyle w:val="Marginlie"/>
              <w:rPr>
                <w:spacing w:val="0"/>
              </w:rPr>
            </w:pPr>
          </w:p>
          <w:p w14:paraId="6B9445BF" w14:textId="77777777" w:rsidR="0003024B" w:rsidRPr="00995C95" w:rsidRDefault="0003024B" w:rsidP="00E25E8B">
            <w:pPr>
              <w:pStyle w:val="Marginlie"/>
              <w:rPr>
                <w:spacing w:val="0"/>
              </w:rPr>
            </w:pPr>
          </w:p>
          <w:p w14:paraId="32449CCF" w14:textId="77777777" w:rsidR="0003024B" w:rsidRPr="00995C95" w:rsidRDefault="0003024B" w:rsidP="00E25E8B">
            <w:pPr>
              <w:pStyle w:val="Marginlie"/>
              <w:rPr>
                <w:spacing w:val="0"/>
              </w:rPr>
            </w:pPr>
            <w:r w:rsidRPr="00995C95">
              <w:rPr>
                <w:spacing w:val="0"/>
              </w:rPr>
              <w:t xml:space="preserve">Last year, lower subsidies to state funds </w:t>
            </w:r>
            <w:r w:rsidRPr="00995C95">
              <w:rPr>
                <w:spacing w:val="0"/>
              </w:rPr>
              <w:lastRenderedPageBreak/>
              <w:t>contributed to the decrease of total SB expenditure.</w:t>
            </w:r>
          </w:p>
          <w:p w14:paraId="0D4084BF" w14:textId="77777777" w:rsidR="0003024B" w:rsidRPr="00995C95" w:rsidRDefault="0003024B" w:rsidP="00E25E8B">
            <w:pPr>
              <w:pStyle w:val="Marginlie"/>
              <w:rPr>
                <w:spacing w:val="0"/>
              </w:rPr>
            </w:pPr>
          </w:p>
        </w:tc>
        <w:tc>
          <w:tcPr>
            <w:tcW w:w="203" w:type="dxa"/>
            <w:tcMar>
              <w:left w:w="0" w:type="dxa"/>
            </w:tcMar>
          </w:tcPr>
          <w:p w14:paraId="7F315B2A" w14:textId="77777777" w:rsidR="0003024B" w:rsidRPr="00995C95" w:rsidRDefault="0003024B" w:rsidP="00E25E8B">
            <w:pPr>
              <w:pStyle w:val="Textpoznpodarou"/>
              <w:jc w:val="both"/>
            </w:pPr>
          </w:p>
        </w:tc>
        <w:tc>
          <w:tcPr>
            <w:tcW w:w="7681" w:type="dxa"/>
            <w:tcMar>
              <w:left w:w="0" w:type="dxa"/>
            </w:tcMar>
          </w:tcPr>
          <w:p w14:paraId="23835AE9" w14:textId="77777777" w:rsidR="0003024B" w:rsidRPr="00634426" w:rsidRDefault="0003024B" w:rsidP="00E25E8B">
            <w:pPr>
              <w:spacing w:after="200"/>
              <w:rPr>
                <w:color w:val="0D0D0D" w:themeColor="text1" w:themeTint="F2"/>
                <w:spacing w:val="-2"/>
              </w:rPr>
            </w:pPr>
            <w:r w:rsidRPr="00634426">
              <w:rPr>
                <w:color w:val="0D0D0D" w:themeColor="text1" w:themeTint="F2"/>
                <w:spacing w:val="-2"/>
              </w:rPr>
              <w:t>Due to the moderation of growth of the price level in the economy, SB's expenditure on public health insurance payments (for the so-called state insured persons) increased only slightly last year (+1.5%, +2.3 bn CZK)</w:t>
            </w:r>
            <w:r w:rsidRPr="00634426">
              <w:rPr>
                <w:rStyle w:val="Znakapoznpodarou"/>
                <w:color w:val="0D0D0D" w:themeColor="text1" w:themeTint="F2"/>
                <w:spacing w:val="-2"/>
              </w:rPr>
              <w:footnoteReference w:id="154"/>
            </w:r>
            <w:r w:rsidRPr="00634426">
              <w:rPr>
                <w:color w:val="0D0D0D" w:themeColor="text1" w:themeTint="F2"/>
                <w:spacing w:val="-2"/>
              </w:rPr>
              <w:t xml:space="preserve">. Of the other major current expenditures, only contributions to the EU budget increased significantly (+14.9%, +7.7 bn CZK). Among the more important items, the growth of total SB expenditure was dampened only by current transfers to state funds, which decreased by 6.3 bn CZK last year (−8.4%, the original budget plan had planned a twofold decrease). This was mainly the result of lower financing of the State Fund (SF) for Transport Infrastructure (to cover its deficit) and, to a lesser </w:t>
            </w:r>
            <w:r w:rsidRPr="00634426">
              <w:rPr>
                <w:color w:val="0D0D0D" w:themeColor="text1" w:themeTint="F2"/>
                <w:spacing w:val="-2"/>
              </w:rPr>
              <w:lastRenderedPageBreak/>
              <w:t xml:space="preserve">extent, a decrease of SF transfers to agriculture (for direct payments to farmers). On the contrary, expenditure on the environment (on European projects) has strengthened. </w:t>
            </w:r>
          </w:p>
        </w:tc>
      </w:tr>
      <w:tr w:rsidR="0003024B" w:rsidRPr="00995C95" w14:paraId="6159012A" w14:textId="77777777" w:rsidTr="00E25E8B">
        <w:trPr>
          <w:trHeight w:val="170"/>
        </w:trPr>
        <w:tc>
          <w:tcPr>
            <w:tcW w:w="1785" w:type="dxa"/>
            <w:tcMar>
              <w:left w:w="0" w:type="dxa"/>
            </w:tcMar>
          </w:tcPr>
          <w:p w14:paraId="13730CBD" w14:textId="77777777" w:rsidR="0003024B" w:rsidRPr="00995C95" w:rsidRDefault="0003024B" w:rsidP="00E25E8B">
            <w:pPr>
              <w:pStyle w:val="Marginlie"/>
              <w:rPr>
                <w:spacing w:val="0"/>
              </w:rPr>
            </w:pPr>
          </w:p>
        </w:tc>
        <w:tc>
          <w:tcPr>
            <w:tcW w:w="203" w:type="dxa"/>
            <w:tcMar>
              <w:left w:w="0" w:type="dxa"/>
            </w:tcMar>
          </w:tcPr>
          <w:p w14:paraId="3FBC7B03" w14:textId="77777777" w:rsidR="0003024B" w:rsidRPr="00995C95" w:rsidRDefault="0003024B" w:rsidP="00E25E8B">
            <w:pPr>
              <w:pStyle w:val="Textpoznpodarou"/>
              <w:jc w:val="both"/>
            </w:pPr>
          </w:p>
        </w:tc>
        <w:tc>
          <w:tcPr>
            <w:tcW w:w="7681" w:type="dxa"/>
            <w:tcMar>
              <w:left w:w="0" w:type="dxa"/>
            </w:tcMar>
          </w:tcPr>
          <w:p w14:paraId="3CC80AF4" w14:textId="77777777" w:rsidR="0003024B" w:rsidRPr="00995C95" w:rsidRDefault="0003024B" w:rsidP="00E25E8B">
            <w:pPr>
              <w:spacing w:after="20"/>
              <w:rPr>
                <w:color w:val="0D0D0D" w:themeColor="text1" w:themeTint="F2"/>
              </w:rPr>
            </w:pPr>
            <w:r w:rsidRPr="00995C95">
              <w:rPr>
                <w:b/>
              </w:rPr>
              <w:t xml:space="preserve">Chart 19 Selected expenditures of the state budget </w:t>
            </w:r>
            <w:r w:rsidRPr="00995C95">
              <w:rPr>
                <w:rFonts w:cs="Arial"/>
              </w:rPr>
              <w:t>(in bn CZK)</w:t>
            </w:r>
          </w:p>
        </w:tc>
      </w:tr>
      <w:tr w:rsidR="0003024B" w:rsidRPr="00995C95" w14:paraId="5A0DF365" w14:textId="77777777" w:rsidTr="00E25E8B">
        <w:tblPrEx>
          <w:tblCellMar>
            <w:left w:w="70" w:type="dxa"/>
            <w:right w:w="70" w:type="dxa"/>
          </w:tblCellMar>
        </w:tblPrEx>
        <w:trPr>
          <w:trHeight w:val="170"/>
        </w:trPr>
        <w:tc>
          <w:tcPr>
            <w:tcW w:w="1785" w:type="dxa"/>
          </w:tcPr>
          <w:p w14:paraId="2E8E8FE3" w14:textId="77777777" w:rsidR="0003024B" w:rsidRPr="00995C95" w:rsidRDefault="0003024B" w:rsidP="00E25E8B">
            <w:pPr>
              <w:pStyle w:val="Marginlie"/>
              <w:rPr>
                <w:spacing w:val="0"/>
              </w:rPr>
            </w:pPr>
          </w:p>
        </w:tc>
        <w:tc>
          <w:tcPr>
            <w:tcW w:w="203" w:type="dxa"/>
          </w:tcPr>
          <w:p w14:paraId="2E32B2F6" w14:textId="77777777" w:rsidR="0003024B" w:rsidRPr="00995C95" w:rsidRDefault="0003024B" w:rsidP="00E25E8B">
            <w:pPr>
              <w:pStyle w:val="Textpoznpodarou"/>
              <w:jc w:val="both"/>
            </w:pPr>
          </w:p>
        </w:tc>
        <w:tc>
          <w:tcPr>
            <w:tcW w:w="7681" w:type="dxa"/>
          </w:tcPr>
          <w:p w14:paraId="6A084362" w14:textId="77777777" w:rsidR="0003024B" w:rsidRPr="00995C95" w:rsidRDefault="0003024B" w:rsidP="00E25E8B">
            <w:pPr>
              <w:spacing w:before="20" w:after="20"/>
              <w:rPr>
                <w:color w:val="0D0D0D" w:themeColor="text1" w:themeTint="F2"/>
              </w:rPr>
            </w:pPr>
            <w:r>
              <w:rPr>
                <w:noProof/>
              </w:rPr>
              <w:drawing>
                <wp:inline distT="0" distB="0" distL="0" distR="0" wp14:anchorId="1A319275" wp14:editId="7ACC4FB8">
                  <wp:extent cx="4784090" cy="3333115"/>
                  <wp:effectExtent l="0" t="0" r="0" b="635"/>
                  <wp:docPr id="2089713558" name="Graf 1">
                    <a:extLst xmlns:a="http://schemas.openxmlformats.org/drawingml/2006/main">
                      <a:ext uri="{FF2B5EF4-FFF2-40B4-BE49-F238E27FC236}">
                        <a16:creationId xmlns:a16="http://schemas.microsoft.com/office/drawing/2014/main" id="{00000000-0008-0000-26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03024B" w:rsidRPr="00995C95" w14:paraId="71FADF8F" w14:textId="77777777" w:rsidTr="00E25E8B">
        <w:trPr>
          <w:trHeight w:val="170"/>
        </w:trPr>
        <w:tc>
          <w:tcPr>
            <w:tcW w:w="1785" w:type="dxa"/>
            <w:tcMar>
              <w:left w:w="0" w:type="dxa"/>
            </w:tcMar>
          </w:tcPr>
          <w:p w14:paraId="643F6000" w14:textId="77777777" w:rsidR="0003024B" w:rsidRPr="00995C95" w:rsidRDefault="0003024B" w:rsidP="00E25E8B">
            <w:pPr>
              <w:pStyle w:val="Marginlie"/>
              <w:rPr>
                <w:spacing w:val="0"/>
              </w:rPr>
            </w:pPr>
          </w:p>
        </w:tc>
        <w:tc>
          <w:tcPr>
            <w:tcW w:w="203" w:type="dxa"/>
            <w:tcMar>
              <w:left w:w="0" w:type="dxa"/>
            </w:tcMar>
          </w:tcPr>
          <w:p w14:paraId="6E52D8EF" w14:textId="77777777" w:rsidR="0003024B" w:rsidRPr="00995C95" w:rsidRDefault="0003024B" w:rsidP="00E25E8B">
            <w:pPr>
              <w:pStyle w:val="Textpoznpodarou"/>
              <w:jc w:val="both"/>
            </w:pPr>
          </w:p>
        </w:tc>
        <w:tc>
          <w:tcPr>
            <w:tcW w:w="7681" w:type="dxa"/>
            <w:tcMar>
              <w:left w:w="0" w:type="dxa"/>
            </w:tcMar>
          </w:tcPr>
          <w:p w14:paraId="7B59291B" w14:textId="77777777" w:rsidR="0003024B" w:rsidRPr="005F3324" w:rsidRDefault="0003024B" w:rsidP="00E25E8B">
            <w:pPr>
              <w:pStyle w:val="Textpoznpodarou"/>
              <w:jc w:val="both"/>
              <w:rPr>
                <w:sz w:val="14"/>
                <w:szCs w:val="14"/>
              </w:rPr>
            </w:pPr>
            <w:r w:rsidRPr="005F3324">
              <w:rPr>
                <w:sz w:val="14"/>
                <w:szCs w:val="14"/>
              </w:rPr>
              <w:t>*Expenditures on salaries in central government institutions. Do not include e.g. wage costs of regional education.</w:t>
            </w:r>
          </w:p>
          <w:p w14:paraId="268ADA62" w14:textId="77777777" w:rsidR="0003024B" w:rsidRPr="005F3324" w:rsidRDefault="0003024B" w:rsidP="00E25E8B">
            <w:pPr>
              <w:pStyle w:val="Textpoznpodarou"/>
              <w:jc w:val="both"/>
              <w:rPr>
                <w:sz w:val="14"/>
                <w:szCs w:val="14"/>
              </w:rPr>
            </w:pPr>
            <w:r w:rsidRPr="005F3324">
              <w:rPr>
                <w:sz w:val="14"/>
                <w:szCs w:val="14"/>
              </w:rPr>
              <w:t>**Also includes the foster care benefits.</w:t>
            </w:r>
          </w:p>
          <w:p w14:paraId="37E8B8E5" w14:textId="77777777" w:rsidR="0003024B" w:rsidRPr="005F3324" w:rsidRDefault="0003024B" w:rsidP="00E25E8B">
            <w:pPr>
              <w:pStyle w:val="Textpoznpodarou"/>
              <w:jc w:val="both"/>
              <w:rPr>
                <w:sz w:val="14"/>
                <w:szCs w:val="14"/>
              </w:rPr>
            </w:pPr>
            <w:r w:rsidRPr="005F3324">
              <w:rPr>
                <w:sz w:val="14"/>
                <w:szCs w:val="14"/>
              </w:rPr>
              <w:t>***Include Material deprivation assistance benefits, Benefits for people with disabilities, Care benefits based on Act on State Social Support. Humanitarian aid provided for citizens of Ukraine is also included here.</w:t>
            </w:r>
          </w:p>
          <w:p w14:paraId="7609F41E" w14:textId="77777777" w:rsidR="0003024B" w:rsidRPr="005F3324" w:rsidRDefault="0003024B" w:rsidP="00E25E8B">
            <w:pPr>
              <w:pStyle w:val="Textpoznpodarou"/>
              <w:jc w:val="both"/>
              <w:rPr>
                <w:sz w:val="14"/>
                <w:szCs w:val="14"/>
              </w:rPr>
            </w:pPr>
            <w:r w:rsidRPr="005F3324">
              <w:rPr>
                <w:sz w:val="14"/>
                <w:szCs w:val="14"/>
              </w:rPr>
              <w:t>****Contains mainly expenditures on purchase of services, materials, energies or other services (e.g. expenditures on repairs and maintenance).</w:t>
            </w:r>
          </w:p>
          <w:p w14:paraId="76E71550" w14:textId="77777777" w:rsidR="0003024B" w:rsidRPr="005F3324" w:rsidRDefault="0003024B" w:rsidP="00E25E8B">
            <w:pPr>
              <w:pStyle w:val="Textpoznpodarou"/>
              <w:jc w:val="both"/>
              <w:rPr>
                <w:sz w:val="14"/>
                <w:szCs w:val="14"/>
              </w:rPr>
            </w:pPr>
            <w:r w:rsidRPr="005F3324">
              <w:rPr>
                <w:sz w:val="14"/>
                <w:szCs w:val="14"/>
              </w:rPr>
              <w:t>*****Net expenditures correspond to the balance of the budget chapter State debt (no. 396).</w:t>
            </w:r>
          </w:p>
          <w:p w14:paraId="1A2985FE" w14:textId="77777777" w:rsidR="0003024B" w:rsidRPr="005F3324" w:rsidRDefault="0003024B" w:rsidP="00E25E8B">
            <w:pPr>
              <w:pStyle w:val="Textpoznpodarou"/>
              <w:rPr>
                <w:sz w:val="14"/>
                <w:szCs w:val="14"/>
              </w:rPr>
            </w:pPr>
            <w:r w:rsidRPr="005F3324">
              <w:rPr>
                <w:sz w:val="14"/>
                <w:szCs w:val="14"/>
              </w:rPr>
              <w:t xml:space="preserve">Source: MF CR </w:t>
            </w:r>
          </w:p>
          <w:p w14:paraId="4606125A" w14:textId="77777777" w:rsidR="0003024B" w:rsidRPr="00995C95" w:rsidRDefault="0003024B" w:rsidP="00E25E8B">
            <w:pPr>
              <w:pStyle w:val="Textpoznpodarou"/>
              <w:rPr>
                <w:b/>
                <w:bCs/>
                <w:color w:val="0D0D0D" w:themeColor="text1" w:themeTint="F2"/>
                <w:sz w:val="16"/>
                <w:szCs w:val="16"/>
              </w:rPr>
            </w:pPr>
          </w:p>
        </w:tc>
      </w:tr>
      <w:tr w:rsidR="0003024B" w:rsidRPr="00995C95" w14:paraId="237618B8" w14:textId="77777777" w:rsidTr="00E25E8B">
        <w:trPr>
          <w:trHeight w:val="170"/>
        </w:trPr>
        <w:tc>
          <w:tcPr>
            <w:tcW w:w="1785" w:type="dxa"/>
            <w:tcMar>
              <w:left w:w="0" w:type="dxa"/>
            </w:tcMar>
          </w:tcPr>
          <w:p w14:paraId="405F5B1F" w14:textId="77777777" w:rsidR="0003024B" w:rsidRPr="00995C95" w:rsidRDefault="0003024B" w:rsidP="00E25E8B">
            <w:pPr>
              <w:pStyle w:val="Marginlie"/>
              <w:rPr>
                <w:spacing w:val="0"/>
              </w:rPr>
            </w:pPr>
            <w:r w:rsidRPr="00995C95">
              <w:rPr>
                <w:spacing w:val="0"/>
              </w:rPr>
              <w:t xml:space="preserve">Growth of capital expenditure accelerated significantly last year. The share of investments on total SB expenditure was the highest in the last decade. </w:t>
            </w:r>
          </w:p>
          <w:p w14:paraId="25379CF0" w14:textId="77777777" w:rsidR="0003024B" w:rsidRDefault="0003024B" w:rsidP="00E25E8B">
            <w:pPr>
              <w:pStyle w:val="Marginlie"/>
              <w:rPr>
                <w:spacing w:val="0"/>
              </w:rPr>
            </w:pPr>
          </w:p>
          <w:p w14:paraId="618C7382" w14:textId="77777777" w:rsidR="0003024B" w:rsidRDefault="0003024B" w:rsidP="00E25E8B">
            <w:pPr>
              <w:pStyle w:val="Marginlie"/>
              <w:rPr>
                <w:spacing w:val="0"/>
              </w:rPr>
            </w:pPr>
          </w:p>
          <w:p w14:paraId="643837A3" w14:textId="77777777" w:rsidR="0003024B" w:rsidRPr="00995C95" w:rsidRDefault="0003024B" w:rsidP="00E25E8B">
            <w:pPr>
              <w:pStyle w:val="Marginlie"/>
              <w:rPr>
                <w:spacing w:val="0"/>
              </w:rPr>
            </w:pPr>
          </w:p>
          <w:p w14:paraId="5BBB5A41" w14:textId="77777777" w:rsidR="0003024B" w:rsidRDefault="0003024B" w:rsidP="00E25E8B">
            <w:pPr>
              <w:pStyle w:val="Marginlie"/>
              <w:rPr>
                <w:spacing w:val="0"/>
              </w:rPr>
            </w:pPr>
            <w:r w:rsidRPr="00995C95">
              <w:rPr>
                <w:spacing w:val="0"/>
              </w:rPr>
              <w:t>Mainly investments covered by purely national resources increased – especially in</w:t>
            </w:r>
            <w:r>
              <w:rPr>
                <w:spacing w:val="0"/>
              </w:rPr>
              <w:t xml:space="preserve"> </w:t>
            </w:r>
            <w:r w:rsidRPr="00995C95">
              <w:rPr>
                <w:spacing w:val="0"/>
              </w:rPr>
              <w:t xml:space="preserve">the area of transport infrastructure. </w:t>
            </w:r>
          </w:p>
          <w:p w14:paraId="3D825AFC" w14:textId="77777777" w:rsidR="0003024B" w:rsidRDefault="0003024B" w:rsidP="00E25E8B">
            <w:pPr>
              <w:pStyle w:val="Marginlie"/>
              <w:rPr>
                <w:spacing w:val="0"/>
              </w:rPr>
            </w:pPr>
          </w:p>
          <w:p w14:paraId="4CE95A8D" w14:textId="77777777" w:rsidR="0003024B" w:rsidRDefault="0003024B" w:rsidP="00E25E8B">
            <w:pPr>
              <w:pStyle w:val="Marginlie"/>
              <w:rPr>
                <w:spacing w:val="0"/>
              </w:rPr>
            </w:pPr>
          </w:p>
          <w:p w14:paraId="2F43A75E" w14:textId="77777777" w:rsidR="0003024B" w:rsidRDefault="0003024B" w:rsidP="00E25E8B">
            <w:pPr>
              <w:pStyle w:val="Marginlie"/>
              <w:rPr>
                <w:spacing w:val="0"/>
              </w:rPr>
            </w:pPr>
          </w:p>
          <w:p w14:paraId="51789A50" w14:textId="77777777" w:rsidR="0003024B" w:rsidRPr="00995C95" w:rsidRDefault="0003024B" w:rsidP="00E25E8B">
            <w:pPr>
              <w:pStyle w:val="Marginlie"/>
              <w:rPr>
                <w:spacing w:val="0"/>
              </w:rPr>
            </w:pPr>
            <w:r w:rsidRPr="00995C95">
              <w:rPr>
                <w:spacing w:val="0"/>
              </w:rPr>
              <w:t>Investment subsidies to entrepreneurs have fallen, as well as investment purchases, especially in defence</w:t>
            </w:r>
            <w:r>
              <w:rPr>
                <w:spacing w:val="0"/>
              </w:rPr>
              <w:t>.</w:t>
            </w:r>
          </w:p>
        </w:tc>
        <w:tc>
          <w:tcPr>
            <w:tcW w:w="203" w:type="dxa"/>
            <w:tcMar>
              <w:left w:w="0" w:type="dxa"/>
            </w:tcMar>
          </w:tcPr>
          <w:p w14:paraId="1AC4CEC0" w14:textId="77777777" w:rsidR="0003024B" w:rsidRPr="00995C95" w:rsidRDefault="0003024B" w:rsidP="00E25E8B">
            <w:pPr>
              <w:pStyle w:val="Textpoznpodarou"/>
              <w:jc w:val="both"/>
            </w:pPr>
          </w:p>
        </w:tc>
        <w:tc>
          <w:tcPr>
            <w:tcW w:w="7681" w:type="dxa"/>
            <w:tcMar>
              <w:left w:w="0" w:type="dxa"/>
            </w:tcMar>
          </w:tcPr>
          <w:p w14:paraId="0B3C4D82" w14:textId="77777777" w:rsidR="0003024B" w:rsidRPr="003A57C9" w:rsidRDefault="0003024B" w:rsidP="00E25E8B">
            <w:pPr>
              <w:pStyle w:val="Textpoznpodarou"/>
              <w:spacing w:after="200" w:line="276" w:lineRule="auto"/>
              <w:jc w:val="both"/>
              <w:rPr>
                <w:rFonts w:eastAsia="Times New Roman"/>
                <w:color w:val="0D0D0D" w:themeColor="text1" w:themeTint="F2"/>
                <w:spacing w:val="-2"/>
                <w:szCs w:val="24"/>
              </w:rPr>
            </w:pPr>
            <w:r w:rsidRPr="003A57C9">
              <w:rPr>
                <w:rFonts w:eastAsia="Times New Roman"/>
                <w:color w:val="0D0D0D" w:themeColor="text1" w:themeTint="F2"/>
                <w:spacing w:val="-2"/>
                <w:szCs w:val="24"/>
              </w:rPr>
              <w:t>Year-on-year growth of capital expenditure accelerated significantly last year, reaching 23.5% (a five-year high). Mainly due to more intensive absorption in H2 of the year, last year's amount of investments amounted to 262.4 bn CZK</w:t>
            </w:r>
            <w:r w:rsidRPr="003A57C9">
              <w:rPr>
                <w:rStyle w:val="Znakapoznpodarou"/>
                <w:rFonts w:eastAsia="Times New Roman"/>
                <w:color w:val="0D0D0D" w:themeColor="text1" w:themeTint="F2"/>
                <w:spacing w:val="-2"/>
                <w:szCs w:val="24"/>
              </w:rPr>
              <w:footnoteReference w:id="155"/>
            </w:r>
            <w:r w:rsidRPr="003A57C9">
              <w:rPr>
                <w:rFonts w:eastAsia="Times New Roman"/>
                <w:color w:val="0D0D0D" w:themeColor="text1" w:themeTint="F2"/>
                <w:spacing w:val="-2"/>
                <w:szCs w:val="24"/>
              </w:rPr>
              <w:t>, which represented 11.1% of all SB expenditure (the highest in the last ten years and the second highest share after 2011). Last year's growth was mainly supported by investments made exclusively from national sources (+CZK 29.2 billion). Unlike in 2024, expenditure on projects of joint EU-Czech programmes has already increased (+20.7 bn CZK)</w:t>
            </w:r>
            <w:r w:rsidRPr="003A57C9">
              <w:rPr>
                <w:rStyle w:val="Znakapoznpodarou"/>
                <w:rFonts w:eastAsia="Times New Roman"/>
                <w:color w:val="0D0D0D" w:themeColor="text1" w:themeTint="F2"/>
                <w:spacing w:val="-2"/>
                <w:szCs w:val="24"/>
              </w:rPr>
              <w:t xml:space="preserve"> </w:t>
            </w:r>
            <w:r w:rsidRPr="003A57C9">
              <w:rPr>
                <w:rStyle w:val="Znakapoznpodarou"/>
                <w:rFonts w:eastAsia="Times New Roman"/>
                <w:color w:val="0D0D0D" w:themeColor="text1" w:themeTint="F2"/>
                <w:spacing w:val="-2"/>
                <w:szCs w:val="24"/>
              </w:rPr>
              <w:footnoteReference w:id="156"/>
            </w:r>
            <w:r w:rsidRPr="003A57C9">
              <w:rPr>
                <w:rFonts w:eastAsia="Times New Roman"/>
                <w:color w:val="0D0D0D" w:themeColor="text1" w:themeTint="F2"/>
                <w:spacing w:val="-2"/>
                <w:szCs w:val="24"/>
              </w:rPr>
              <w:t xml:space="preserve">, mainly due to the higher use of funds from the National Recovery Plan. Pre-financing of expenditure on these joint projects accounted for almost 40% of all last year's investments from SB. Investments covered exclusively by national sources increased, year-on-year, last year, mainly due to a higher allocation to state funds – especially to transport infrastructure (+35.2 bn CZK, +60%), including repairs of state-owned roads after the floods (in autumn 2024). Expenditure on funds in the area of the environment and agriculture also strengthened more slightly. More investments were also directed to semi-budgetary and similar organizations (+9.5 bn CZK, +50%), equally to health care and education. On the contrary, investment subsidies to entrepreneurs fell for the second year in a row (by 4.1 bn CZK or 21.6% last year) due to a slower launch of drawdowns on European projects in the current EU programming period. After strong growth in both 2023 and 2024, capital purchases and related expenditures also decreased last year (-3.9 bn and -5.3%, respectively), mainly due to irregular financing of equipment for the Czech Army. Still, the amount of </w:t>
            </w:r>
            <w:r w:rsidRPr="003A57C9">
              <w:rPr>
                <w:rFonts w:eastAsia="Times New Roman"/>
                <w:color w:val="0D0D0D" w:themeColor="text1" w:themeTint="F2"/>
                <w:spacing w:val="-2"/>
                <w:szCs w:val="24"/>
              </w:rPr>
              <w:lastRenderedPageBreak/>
              <w:t xml:space="preserve">these purchases accounted for more than a quarter of all capital expenditures of the SB and its drawdown exceeded budget expectations last year. From the perspective of budget expenditure by kind, most of total SB investments last year went to transportation (86 bn CZK), defence (60.6 bn CZK), housing, municipal services and territorial development (21.1 bn CZK), education and school services (15 bn CZK) and also to health care (10.9 bn CZK), where expenditure more than doubled, year-on-year (it also increased by half in the area of transportation and environmental protection).  </w:t>
            </w:r>
          </w:p>
        </w:tc>
      </w:tr>
      <w:tr w:rsidR="0003024B" w:rsidRPr="00995C95" w14:paraId="14A06A0D" w14:textId="77777777" w:rsidTr="00E25E8B">
        <w:trPr>
          <w:trHeight w:val="170"/>
        </w:trPr>
        <w:tc>
          <w:tcPr>
            <w:tcW w:w="1785" w:type="dxa"/>
            <w:tcMar>
              <w:left w:w="0" w:type="dxa"/>
            </w:tcMar>
          </w:tcPr>
          <w:p w14:paraId="049F0FEE" w14:textId="77777777" w:rsidR="0003024B" w:rsidRPr="00995C95" w:rsidRDefault="0003024B" w:rsidP="00E25E8B">
            <w:pPr>
              <w:pStyle w:val="Marginlie"/>
              <w:rPr>
                <w:spacing w:val="0"/>
              </w:rPr>
            </w:pPr>
            <w:r w:rsidRPr="00995C95">
              <w:rPr>
                <w:spacing w:val="0"/>
              </w:rPr>
              <w:t xml:space="preserve">The general government deficit did not change significantly, year-on-year, in the three quarters last year. </w:t>
            </w:r>
          </w:p>
          <w:p w14:paraId="6532E311" w14:textId="77777777" w:rsidR="0003024B" w:rsidRPr="00995C95" w:rsidRDefault="0003024B" w:rsidP="00E25E8B">
            <w:pPr>
              <w:pStyle w:val="Marginlie"/>
              <w:rPr>
                <w:spacing w:val="0"/>
              </w:rPr>
            </w:pPr>
          </w:p>
          <w:p w14:paraId="6C3DF98F" w14:textId="77777777" w:rsidR="0003024B" w:rsidRPr="00995C95" w:rsidRDefault="0003024B" w:rsidP="00E25E8B">
            <w:pPr>
              <w:pStyle w:val="Marginlie"/>
              <w:rPr>
                <w:spacing w:val="0"/>
              </w:rPr>
            </w:pPr>
          </w:p>
          <w:p w14:paraId="209BE2DB" w14:textId="77777777" w:rsidR="0003024B" w:rsidRPr="00995C95" w:rsidRDefault="0003024B" w:rsidP="00E25E8B">
            <w:pPr>
              <w:pStyle w:val="Marginlie"/>
              <w:rPr>
                <w:spacing w:val="0"/>
              </w:rPr>
            </w:pPr>
          </w:p>
          <w:p w14:paraId="175AA16F" w14:textId="77777777" w:rsidR="0003024B" w:rsidRPr="00995C95" w:rsidRDefault="0003024B" w:rsidP="00E25E8B">
            <w:pPr>
              <w:pStyle w:val="Marginlie"/>
              <w:rPr>
                <w:spacing w:val="0"/>
              </w:rPr>
            </w:pPr>
            <w:r w:rsidRPr="00995C95">
              <w:rPr>
                <w:spacing w:val="0"/>
              </w:rPr>
              <w:t xml:space="preserve">The growth of a number of weight-important revenues of </w:t>
            </w:r>
            <w:r>
              <w:rPr>
                <w:spacing w:val="0"/>
              </w:rPr>
              <w:t xml:space="preserve">GG </w:t>
            </w:r>
            <w:r w:rsidRPr="00995C95">
              <w:rPr>
                <w:spacing w:val="0"/>
              </w:rPr>
              <w:t>sector moderated.</w:t>
            </w:r>
          </w:p>
          <w:p w14:paraId="0AEFE9CE" w14:textId="77777777" w:rsidR="0003024B" w:rsidRPr="00995C95" w:rsidRDefault="0003024B" w:rsidP="00E25E8B">
            <w:pPr>
              <w:pStyle w:val="Marginlie"/>
              <w:rPr>
                <w:spacing w:val="0"/>
              </w:rPr>
            </w:pPr>
          </w:p>
          <w:p w14:paraId="30E94C71" w14:textId="77777777" w:rsidR="0003024B" w:rsidRPr="00995C95" w:rsidRDefault="0003024B" w:rsidP="00E25E8B">
            <w:pPr>
              <w:pStyle w:val="Marginlie"/>
              <w:rPr>
                <w:spacing w:val="0"/>
              </w:rPr>
            </w:pPr>
          </w:p>
          <w:p w14:paraId="01266545" w14:textId="77777777" w:rsidR="0003024B" w:rsidRPr="00995C95" w:rsidRDefault="0003024B" w:rsidP="00E25E8B">
            <w:pPr>
              <w:pStyle w:val="Marginlie"/>
              <w:rPr>
                <w:spacing w:val="0"/>
              </w:rPr>
            </w:pPr>
          </w:p>
          <w:p w14:paraId="3907AFDB" w14:textId="77777777" w:rsidR="0003024B" w:rsidRPr="00995C95" w:rsidRDefault="0003024B" w:rsidP="00E25E8B">
            <w:pPr>
              <w:pStyle w:val="Marginlie"/>
              <w:rPr>
                <w:spacing w:val="0"/>
              </w:rPr>
            </w:pPr>
            <w:r w:rsidRPr="00995C95">
              <w:rPr>
                <w:spacing w:val="0"/>
              </w:rPr>
              <w:t xml:space="preserve">The growth of total expenditure in </w:t>
            </w:r>
            <w:r>
              <w:rPr>
                <w:spacing w:val="0"/>
              </w:rPr>
              <w:t xml:space="preserve">GG </w:t>
            </w:r>
            <w:r w:rsidRPr="00995C95">
              <w:rPr>
                <w:spacing w:val="0"/>
              </w:rPr>
              <w:t xml:space="preserve">sector accelerated mainly due to subsidies and </w:t>
            </w:r>
            <w:r>
              <w:rPr>
                <w:spacing w:val="0"/>
              </w:rPr>
              <w:t xml:space="preserve">also </w:t>
            </w:r>
            <w:r w:rsidRPr="00995C95">
              <w:rPr>
                <w:spacing w:val="0"/>
              </w:rPr>
              <w:t xml:space="preserve">investments, the year-on-year strengthening of which was mainly driven by expenditure of local </w:t>
            </w:r>
            <w:r>
              <w:rPr>
                <w:spacing w:val="0"/>
              </w:rPr>
              <w:t>GG sector</w:t>
            </w:r>
            <w:r w:rsidRPr="00995C95">
              <w:rPr>
                <w:spacing w:val="0"/>
              </w:rPr>
              <w:t>.</w:t>
            </w:r>
          </w:p>
        </w:tc>
        <w:tc>
          <w:tcPr>
            <w:tcW w:w="203" w:type="dxa"/>
            <w:tcMar>
              <w:left w:w="0" w:type="dxa"/>
            </w:tcMar>
          </w:tcPr>
          <w:p w14:paraId="76F22957" w14:textId="77777777" w:rsidR="0003024B" w:rsidRPr="00995C95" w:rsidRDefault="0003024B" w:rsidP="00E25E8B">
            <w:pPr>
              <w:pStyle w:val="Textpoznpodarou"/>
              <w:jc w:val="both"/>
            </w:pPr>
          </w:p>
        </w:tc>
        <w:tc>
          <w:tcPr>
            <w:tcW w:w="7681" w:type="dxa"/>
            <w:tcMar>
              <w:left w:w="0" w:type="dxa"/>
            </w:tcMar>
          </w:tcPr>
          <w:p w14:paraId="4328F088" w14:textId="77777777" w:rsidR="0003024B" w:rsidRPr="00B73E87" w:rsidRDefault="0003024B" w:rsidP="00E25E8B">
            <w:pPr>
              <w:pStyle w:val="Textpoznpodarou"/>
              <w:spacing w:after="200" w:line="276" w:lineRule="auto"/>
              <w:jc w:val="both"/>
              <w:rPr>
                <w:rFonts w:eastAsia="Times New Roman"/>
                <w:color w:val="0D0D0D" w:themeColor="text1" w:themeTint="F2"/>
                <w:spacing w:val="-2"/>
                <w:szCs w:val="24"/>
              </w:rPr>
            </w:pPr>
            <w:r w:rsidRPr="00B73E87">
              <w:rPr>
                <w:spacing w:val="-2"/>
              </w:rPr>
              <w:t xml:space="preserve">The general government </w:t>
            </w:r>
            <w:r>
              <w:rPr>
                <w:spacing w:val="-2"/>
              </w:rPr>
              <w:t xml:space="preserve">(GG) </w:t>
            </w:r>
            <w:r w:rsidRPr="00B73E87">
              <w:rPr>
                <w:spacing w:val="-2"/>
              </w:rPr>
              <w:t>sector in the Czech Republic ran a deficit of 87.5 bn CZK</w:t>
            </w:r>
            <w:r w:rsidRPr="00B73E87">
              <w:rPr>
                <w:rStyle w:val="Znakapoznpodarou"/>
                <w:spacing w:val="-2"/>
              </w:rPr>
              <w:footnoteReference w:id="157"/>
            </w:r>
            <w:r w:rsidRPr="00B73E87">
              <w:rPr>
                <w:spacing w:val="-2"/>
              </w:rPr>
              <w:t xml:space="preserve"> in Q1 to Q3 2025</w:t>
            </w:r>
            <w:r w:rsidRPr="00B73E87">
              <w:rPr>
                <w:rStyle w:val="Znakapoznpodarou"/>
                <w:spacing w:val="-2"/>
              </w:rPr>
              <w:footnoteReference w:id="158"/>
            </w:r>
            <w:r w:rsidRPr="00B73E87">
              <w:rPr>
                <w:spacing w:val="-2"/>
              </w:rPr>
              <w:t>, slightly higher, year-on-year (+0.8%)</w:t>
            </w:r>
            <w:r w:rsidRPr="00B73E87">
              <w:rPr>
                <w:rStyle w:val="Znakapoznpodarou"/>
                <w:spacing w:val="-2"/>
              </w:rPr>
              <w:footnoteReference w:id="159"/>
            </w:r>
            <w:r w:rsidRPr="00B73E87">
              <w:rPr>
                <w:spacing w:val="-2"/>
              </w:rPr>
              <w:t xml:space="preserve">. Growth of SB </w:t>
            </w:r>
            <w:r w:rsidRPr="00A25282">
              <w:rPr>
                <w:i/>
                <w:iCs/>
                <w:spacing w:val="-2"/>
              </w:rPr>
              <w:t>total revenues</w:t>
            </w:r>
            <w:r w:rsidRPr="00B73E87">
              <w:rPr>
                <w:spacing w:val="-2"/>
              </w:rPr>
              <w:t xml:space="preserve"> slowed to 5.7% (the slowest pace in the same period of the last five years). This slowdown was due to weaker growth of revenues from current taxes (from incomes and wealth). The received social payments (from both employers and households) represented the largest contributor to the growth of total, despite the fact that their pace also weakened, year-on-year (to +6.3%, which represented the lowest growth after 2020). Revenues from the volume-significant item of taxes on production and imports, including primarily indirect taxes, increased by 4.2%, year-on-year (a slight slowdown was also evident here). This year, as in the previous year, revenue growth was dampened mainly by lower funds arising from ownership income (−4.6%), namely interest income</w:t>
            </w:r>
            <w:r w:rsidRPr="00B73E87">
              <w:rPr>
                <w:rStyle w:val="Znakapoznpodarou"/>
                <w:spacing w:val="-2"/>
              </w:rPr>
              <w:footnoteReference w:id="160"/>
            </w:r>
            <w:r w:rsidRPr="00B73E87">
              <w:rPr>
                <w:spacing w:val="-2"/>
              </w:rPr>
              <w:t xml:space="preserve">. </w:t>
            </w:r>
            <w:r w:rsidRPr="00A25282">
              <w:rPr>
                <w:i/>
                <w:iCs/>
                <w:spacing w:val="-2"/>
              </w:rPr>
              <w:t xml:space="preserve">Total expenditure </w:t>
            </w:r>
            <w:r w:rsidRPr="00B73E87">
              <w:rPr>
                <w:spacing w:val="-2"/>
              </w:rPr>
              <w:t>was 5.5% higher, year-on-year, in the first three quarters last year (3.6% a year earlier). This acceleration was due to higher subsidies paid out, which increased by 14.2%. Even so, their previous level last year (136.7 bn CZK) clearly lagged behind for years 2021 and 2023, influenced by extraordinary events. Higher expenditure on fixed capital formation (+13.1%) also contributed to fiscal expansion last year, the growth of which was among the highest in the last seven years (and unlike in 2023 and 2024, region</w:t>
            </w:r>
            <w:r>
              <w:rPr>
                <w:spacing w:val="-2"/>
              </w:rPr>
              <w:t>al</w:t>
            </w:r>
            <w:r w:rsidRPr="00B73E87">
              <w:rPr>
                <w:spacing w:val="-2"/>
              </w:rPr>
              <w:t xml:space="preserve"> and </w:t>
            </w:r>
            <w:r>
              <w:rPr>
                <w:spacing w:val="-2"/>
              </w:rPr>
              <w:t xml:space="preserve">municipal </w:t>
            </w:r>
            <w:r w:rsidRPr="00485F2F">
              <w:rPr>
                <w:spacing w:val="-4"/>
              </w:rPr>
              <w:t>investments contributed the most). Compensation to employees also grew relatively rapidly</w:t>
            </w:r>
            <w:r w:rsidRPr="00B73E87">
              <w:rPr>
                <w:spacing w:val="-2"/>
              </w:rPr>
              <w:t xml:space="preserve"> (+6.1%), both due to slightly growing employment in public services and adjustment of wage tariffs. The pace of intermediate consumption expenditure slowed to a four-year low (+4.8%), partly due to price developments of some energies. Price effects were also reflected in a sharp slowdown of interest payments growth (to 3.2%), mainly owing to lower payments to holders of government anti-inflation bonds</w:t>
            </w:r>
            <w:r>
              <w:rPr>
                <w:spacing w:val="-2"/>
              </w:rPr>
              <w:t xml:space="preserve"> (i.e. to households)</w:t>
            </w:r>
            <w:r w:rsidRPr="00B73E87">
              <w:rPr>
                <w:spacing w:val="-2"/>
              </w:rPr>
              <w:t xml:space="preserve">. Growth of expenditure on the most important expenditure item in terms of weight – social benefits – slowed down sharply for the second year in a row (to +2.4%). The moderation of consumer </w:t>
            </w:r>
            <w:r w:rsidRPr="00CF4AEE">
              <w:rPr>
                <w:spacing w:val="-4"/>
              </w:rPr>
              <w:t>price dynamics and indexation adjustments for old-age pensions was apparent here, and a</w:t>
            </w:r>
            <w:r w:rsidRPr="00B73E87">
              <w:rPr>
                <w:spacing w:val="-2"/>
              </w:rPr>
              <w:t xml:space="preserve"> moderation of the pace of expenditure on social transfers in kind also played a partial role. </w:t>
            </w:r>
          </w:p>
        </w:tc>
      </w:tr>
      <w:tr w:rsidR="0003024B" w:rsidRPr="00995C95" w14:paraId="07C4C03B" w14:textId="77777777" w:rsidTr="00E25E8B">
        <w:trPr>
          <w:trHeight w:val="170"/>
        </w:trPr>
        <w:tc>
          <w:tcPr>
            <w:tcW w:w="1785" w:type="dxa"/>
            <w:tcMar>
              <w:left w:w="0" w:type="dxa"/>
            </w:tcMar>
          </w:tcPr>
          <w:p w14:paraId="691123A0" w14:textId="77777777" w:rsidR="0003024B" w:rsidRPr="00995C95" w:rsidRDefault="0003024B" w:rsidP="00E25E8B">
            <w:pPr>
              <w:pStyle w:val="Marginlie"/>
              <w:rPr>
                <w:spacing w:val="0"/>
              </w:rPr>
            </w:pPr>
            <w:r w:rsidRPr="00995C95">
              <w:rPr>
                <w:spacing w:val="0"/>
              </w:rPr>
              <w:t xml:space="preserve">The </w:t>
            </w:r>
            <w:r>
              <w:rPr>
                <w:spacing w:val="0"/>
              </w:rPr>
              <w:t xml:space="preserve">deficit of </w:t>
            </w:r>
            <w:r w:rsidRPr="00995C95">
              <w:rPr>
                <w:spacing w:val="0"/>
              </w:rPr>
              <w:t xml:space="preserve">general government </w:t>
            </w:r>
            <w:r>
              <w:rPr>
                <w:spacing w:val="0"/>
              </w:rPr>
              <w:t xml:space="preserve">sector </w:t>
            </w:r>
            <w:r w:rsidRPr="00995C95">
              <w:rPr>
                <w:spacing w:val="0"/>
              </w:rPr>
              <w:t xml:space="preserve">in the EU fluctuated around 3% last year, and no significant easing of fiscal imbalances has been achieved at the level of the Member States over the past year. This resulted in an increase of the number of states facing pressure </w:t>
            </w:r>
            <w:r w:rsidRPr="00995C95">
              <w:rPr>
                <w:spacing w:val="0"/>
              </w:rPr>
              <w:lastRenderedPageBreak/>
              <w:t xml:space="preserve">from the Union for consolidation efforts. </w:t>
            </w:r>
          </w:p>
        </w:tc>
        <w:tc>
          <w:tcPr>
            <w:tcW w:w="203" w:type="dxa"/>
            <w:tcMar>
              <w:left w:w="0" w:type="dxa"/>
            </w:tcMar>
          </w:tcPr>
          <w:p w14:paraId="5190A616" w14:textId="77777777" w:rsidR="0003024B" w:rsidRPr="00995C95" w:rsidRDefault="0003024B" w:rsidP="00E25E8B">
            <w:pPr>
              <w:pStyle w:val="Textpoznpodarou"/>
              <w:jc w:val="both"/>
            </w:pPr>
          </w:p>
        </w:tc>
        <w:tc>
          <w:tcPr>
            <w:tcW w:w="7681" w:type="dxa"/>
            <w:tcMar>
              <w:left w:w="0" w:type="dxa"/>
            </w:tcMar>
          </w:tcPr>
          <w:p w14:paraId="35408896" w14:textId="77777777" w:rsidR="0003024B" w:rsidRPr="00B73E87" w:rsidRDefault="0003024B" w:rsidP="00E25E8B">
            <w:pPr>
              <w:pStyle w:val="Textpoznpodarou"/>
              <w:spacing w:after="200" w:line="276" w:lineRule="auto"/>
              <w:jc w:val="both"/>
              <w:rPr>
                <w:spacing w:val="-2"/>
              </w:rPr>
            </w:pPr>
            <w:r w:rsidRPr="00B73E87">
              <w:rPr>
                <w:spacing w:val="-2"/>
              </w:rPr>
              <w:t xml:space="preserve">The situation in the area of </w:t>
            </w:r>
            <w:r>
              <w:rPr>
                <w:spacing w:val="-2"/>
              </w:rPr>
              <w:t>the GG</w:t>
            </w:r>
            <w:r w:rsidRPr="00B73E87">
              <w:rPr>
                <w:spacing w:val="-2"/>
              </w:rPr>
              <w:t xml:space="preserve"> sector in the EU Member States</w:t>
            </w:r>
            <w:r w:rsidRPr="00B73E87">
              <w:rPr>
                <w:rStyle w:val="Znakapoznpodarou"/>
                <w:spacing w:val="-2"/>
              </w:rPr>
              <w:footnoteReference w:id="161"/>
            </w:r>
            <w:r w:rsidRPr="00B73E87">
              <w:rPr>
                <w:spacing w:val="-2"/>
              </w:rPr>
              <w:t xml:space="preserve"> has partially stabilised after the start of m</w:t>
            </w:r>
            <w:r>
              <w:rPr>
                <w:spacing w:val="-2"/>
              </w:rPr>
              <w:t>ild</w:t>
            </w:r>
            <w:r w:rsidRPr="00B73E87">
              <w:rPr>
                <w:spacing w:val="-2"/>
              </w:rPr>
              <w:t xml:space="preserve"> economic growth and the moderation of price developments the year before last. The </w:t>
            </w:r>
            <w:r>
              <w:t xml:space="preserve">deficit of </w:t>
            </w:r>
            <w:r w:rsidRPr="00995C95">
              <w:t xml:space="preserve">general government </w:t>
            </w:r>
            <w:r>
              <w:t xml:space="preserve">sector </w:t>
            </w:r>
            <w:r w:rsidRPr="00B73E87">
              <w:rPr>
                <w:spacing w:val="-2"/>
              </w:rPr>
              <w:t xml:space="preserve">in the EU fell below 3% of GDP in Q1 2025 for the first time in two and a half years. Subsequently, however, this favourable development stopped and in Q3, the deficit stood at 3.2% of GDP and was slightly higher in year-on-year terms (by 0.2 p. p.). In total, eleven EU Member States reported </w:t>
            </w:r>
            <w:r>
              <w:rPr>
                <w:spacing w:val="-2"/>
              </w:rPr>
              <w:t>the</w:t>
            </w:r>
            <w:r w:rsidRPr="00B73E87">
              <w:rPr>
                <w:spacing w:val="-2"/>
              </w:rPr>
              <w:t xml:space="preserve"> deficit of more than 3% of GDP in Q1 to Q3 2025 (the same as a year earlier). The deepest deficits burdened Romania (8.1% of GDP), Poland (6.5%), France (5.4%) and Belgium (5.2%), as well as Italy among major economies. The </w:t>
            </w:r>
            <w:r>
              <w:rPr>
                <w:spacing w:val="-2"/>
              </w:rPr>
              <w:t>Czech</w:t>
            </w:r>
            <w:r w:rsidRPr="00B73E87">
              <w:rPr>
                <w:spacing w:val="-2"/>
              </w:rPr>
              <w:t xml:space="preserve"> deficit </w:t>
            </w:r>
            <w:r w:rsidRPr="00B73E87">
              <w:rPr>
                <w:spacing w:val="-2"/>
              </w:rPr>
              <w:lastRenderedPageBreak/>
              <w:t>(2.0% of GDP) was slightly more favourable last year than in Germany and at the same time the lowest of all Central European countries. Only five countries achieved a surplus – in addition to traditionally fiscally responsible Denmark (+3.6% of GDP), also some currently or previously heavily indebted economies (Greece, Portugal, Cyprus, Ireland). Year-on-year, the balance deteriorated the most mainly in small or smaller countries (Luxembourg, Ireland, Denmark), and of the larger economies only in Poland (from -5.6% of GDP to -6.5% of GDP) and the Netherlands (from -0.5% to -1.5%). Improvements have been made mainly in countries facing pressure from the EU to consolidate public finances</w:t>
            </w:r>
            <w:r w:rsidRPr="00B73E87">
              <w:rPr>
                <w:rStyle w:val="Znakapoznpodarou"/>
                <w:spacing w:val="-2"/>
              </w:rPr>
              <w:footnoteReference w:id="162"/>
            </w:r>
            <w:r w:rsidRPr="00B73E87">
              <w:rPr>
                <w:spacing w:val="-2"/>
              </w:rPr>
              <w:t xml:space="preserve"> – in Hungary (from -5.4% to -3.3% of GDP), and to a lesser extent in Finland, Slovakia and Romania. In Germany, the deficit fell (from 2.8% to 2.3% of GDP). In the Czech Republic, as in the EU and the euro area, the deficit stagnated. The surplus increased (to 2.9% of GDP) in Greece. </w:t>
            </w:r>
          </w:p>
        </w:tc>
      </w:tr>
      <w:tr w:rsidR="0003024B" w:rsidRPr="00995C95" w14:paraId="25840248" w14:textId="77777777" w:rsidTr="00E25E8B">
        <w:trPr>
          <w:trHeight w:val="170"/>
        </w:trPr>
        <w:tc>
          <w:tcPr>
            <w:tcW w:w="1785" w:type="dxa"/>
            <w:vMerge w:val="restart"/>
            <w:tcMar>
              <w:left w:w="0" w:type="dxa"/>
            </w:tcMar>
          </w:tcPr>
          <w:p w14:paraId="220F53D4" w14:textId="77777777" w:rsidR="0003024B" w:rsidRPr="00995C95" w:rsidRDefault="0003024B" w:rsidP="00E25E8B">
            <w:pPr>
              <w:pStyle w:val="Marginlie"/>
              <w:rPr>
                <w:spacing w:val="0"/>
              </w:rPr>
            </w:pPr>
          </w:p>
        </w:tc>
        <w:tc>
          <w:tcPr>
            <w:tcW w:w="203" w:type="dxa"/>
            <w:tcMar>
              <w:left w:w="0" w:type="dxa"/>
            </w:tcMar>
          </w:tcPr>
          <w:p w14:paraId="410FAEED" w14:textId="77777777" w:rsidR="0003024B" w:rsidRPr="00995C95" w:rsidRDefault="0003024B" w:rsidP="00E25E8B">
            <w:pPr>
              <w:pStyle w:val="Textpoznpodarou"/>
              <w:jc w:val="both"/>
            </w:pPr>
          </w:p>
        </w:tc>
        <w:tc>
          <w:tcPr>
            <w:tcW w:w="7681" w:type="dxa"/>
            <w:tcMar>
              <w:left w:w="0" w:type="dxa"/>
            </w:tcMar>
          </w:tcPr>
          <w:p w14:paraId="11B69BCF" w14:textId="77777777" w:rsidR="0003024B" w:rsidRPr="00995C95" w:rsidRDefault="0003024B" w:rsidP="00E25E8B">
            <w:pPr>
              <w:pStyle w:val="Textpoznpodarou"/>
              <w:spacing w:after="20" w:line="276" w:lineRule="auto"/>
              <w:jc w:val="both"/>
              <w:rPr>
                <w:color w:val="0D0D0D" w:themeColor="text1" w:themeTint="F2"/>
              </w:rPr>
            </w:pPr>
            <w:r w:rsidRPr="00995C95">
              <w:rPr>
                <w:b/>
                <w:color w:val="0D0D0D" w:themeColor="text1" w:themeTint="F2"/>
              </w:rPr>
              <w:t xml:space="preserve">Chart 20 </w:t>
            </w:r>
            <w:r w:rsidRPr="00995C95">
              <w:rPr>
                <w:rFonts w:cs="Arial"/>
                <w:b/>
                <w:bCs/>
              </w:rPr>
              <w:t xml:space="preserve">Budget balance and debt ratio of the general government institution sector in selected EU states </w:t>
            </w:r>
            <w:r w:rsidRPr="00995C95">
              <w:rPr>
                <w:rFonts w:cs="Arial"/>
                <w:bCs/>
              </w:rPr>
              <w:t xml:space="preserve">(in % of GDP) </w:t>
            </w:r>
          </w:p>
        </w:tc>
      </w:tr>
      <w:tr w:rsidR="0003024B" w:rsidRPr="00995C95" w14:paraId="07189B5F" w14:textId="77777777" w:rsidTr="00E25E8B">
        <w:tblPrEx>
          <w:tblCellMar>
            <w:left w:w="70" w:type="dxa"/>
            <w:right w:w="70" w:type="dxa"/>
          </w:tblCellMar>
        </w:tblPrEx>
        <w:trPr>
          <w:trHeight w:val="170"/>
        </w:trPr>
        <w:tc>
          <w:tcPr>
            <w:tcW w:w="1785" w:type="dxa"/>
            <w:vMerge/>
          </w:tcPr>
          <w:p w14:paraId="545852D4" w14:textId="77777777" w:rsidR="0003024B" w:rsidRPr="00995C95" w:rsidRDefault="0003024B" w:rsidP="00E25E8B">
            <w:pPr>
              <w:pStyle w:val="Marginlie"/>
              <w:rPr>
                <w:spacing w:val="0"/>
              </w:rPr>
            </w:pPr>
          </w:p>
        </w:tc>
        <w:tc>
          <w:tcPr>
            <w:tcW w:w="203" w:type="dxa"/>
          </w:tcPr>
          <w:p w14:paraId="5B6E8494" w14:textId="77777777" w:rsidR="0003024B" w:rsidRPr="00995C95" w:rsidRDefault="0003024B" w:rsidP="00E25E8B">
            <w:pPr>
              <w:pStyle w:val="Textpoznpodarou"/>
              <w:jc w:val="both"/>
            </w:pPr>
          </w:p>
        </w:tc>
        <w:tc>
          <w:tcPr>
            <w:tcW w:w="7681" w:type="dxa"/>
          </w:tcPr>
          <w:p w14:paraId="39E0FB61" w14:textId="77777777" w:rsidR="0003024B" w:rsidRPr="00995C95" w:rsidRDefault="0003024B" w:rsidP="00E25E8B">
            <w:pPr>
              <w:pStyle w:val="Textpoznpodarou"/>
              <w:spacing w:before="20" w:after="20" w:line="276" w:lineRule="auto"/>
              <w:jc w:val="both"/>
              <w:rPr>
                <w:color w:val="0D0D0D" w:themeColor="text1" w:themeTint="F2"/>
              </w:rPr>
            </w:pPr>
            <w:r>
              <w:rPr>
                <w:noProof/>
              </w:rPr>
              <w:drawing>
                <wp:inline distT="0" distB="0" distL="0" distR="0" wp14:anchorId="0B1B2F0C" wp14:editId="2CE893BC">
                  <wp:extent cx="4749800" cy="3450866"/>
                  <wp:effectExtent l="0" t="0" r="0" b="0"/>
                  <wp:docPr id="1562531473" name="Graf 1">
                    <a:extLst xmlns:a="http://schemas.openxmlformats.org/drawingml/2006/main">
                      <a:ext uri="{FF2B5EF4-FFF2-40B4-BE49-F238E27FC236}">
                        <a16:creationId xmlns:a16="http://schemas.microsoft.com/office/drawing/2014/main" id="{030932C7-67D9-4842-AA2D-61F3F1F726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r w:rsidR="0003024B" w:rsidRPr="00995C95" w14:paraId="698249EB" w14:textId="77777777" w:rsidTr="00E25E8B">
        <w:trPr>
          <w:trHeight w:val="170"/>
        </w:trPr>
        <w:tc>
          <w:tcPr>
            <w:tcW w:w="1785" w:type="dxa"/>
            <w:vMerge/>
            <w:tcMar>
              <w:left w:w="0" w:type="dxa"/>
            </w:tcMar>
          </w:tcPr>
          <w:p w14:paraId="560D4AE6" w14:textId="77777777" w:rsidR="0003024B" w:rsidRPr="00995C95" w:rsidRDefault="0003024B" w:rsidP="00E25E8B">
            <w:pPr>
              <w:pStyle w:val="Marginlie"/>
              <w:rPr>
                <w:spacing w:val="0"/>
              </w:rPr>
            </w:pPr>
          </w:p>
        </w:tc>
        <w:tc>
          <w:tcPr>
            <w:tcW w:w="203" w:type="dxa"/>
            <w:tcMar>
              <w:left w:w="0" w:type="dxa"/>
            </w:tcMar>
          </w:tcPr>
          <w:p w14:paraId="56FF4D05" w14:textId="77777777" w:rsidR="0003024B" w:rsidRPr="00995C95" w:rsidRDefault="0003024B" w:rsidP="00E25E8B">
            <w:pPr>
              <w:pStyle w:val="Textpoznpodarou"/>
              <w:jc w:val="both"/>
            </w:pPr>
          </w:p>
        </w:tc>
        <w:tc>
          <w:tcPr>
            <w:tcW w:w="7681" w:type="dxa"/>
            <w:tcMar>
              <w:left w:w="0" w:type="dxa"/>
            </w:tcMar>
          </w:tcPr>
          <w:p w14:paraId="1B3A8F23" w14:textId="77777777" w:rsidR="0003024B" w:rsidRPr="00995C95" w:rsidRDefault="0003024B" w:rsidP="00E25E8B">
            <w:pPr>
              <w:spacing w:after="0"/>
              <w:rPr>
                <w:color w:val="0D0D0D" w:themeColor="text1" w:themeTint="F2"/>
                <w:sz w:val="14"/>
                <w:szCs w:val="14"/>
              </w:rPr>
            </w:pPr>
            <w:r w:rsidRPr="00995C95">
              <w:rPr>
                <w:color w:val="0D0D0D" w:themeColor="text1" w:themeTint="F2"/>
                <w:sz w:val="14"/>
                <w:szCs w:val="14"/>
              </w:rPr>
              <w:t xml:space="preserve">Note: Budget balance is seasonally adjusted. The debt rate expresses the balance at the end of quarter. </w:t>
            </w:r>
          </w:p>
          <w:p w14:paraId="3091EEC8" w14:textId="77777777" w:rsidR="0003024B" w:rsidRPr="00832B69" w:rsidRDefault="0003024B" w:rsidP="00E25E8B">
            <w:pPr>
              <w:spacing w:after="160"/>
              <w:rPr>
                <w:sz w:val="14"/>
                <w:szCs w:val="14"/>
              </w:rPr>
            </w:pPr>
            <w:r w:rsidRPr="00995C95">
              <w:rPr>
                <w:sz w:val="14"/>
                <w:szCs w:val="14"/>
              </w:rPr>
              <w:t>Source: Eurostat</w:t>
            </w:r>
          </w:p>
        </w:tc>
      </w:tr>
      <w:tr w:rsidR="0003024B" w:rsidRPr="00995C95" w14:paraId="642C9364" w14:textId="77777777" w:rsidTr="00E25E8B">
        <w:trPr>
          <w:trHeight w:val="170"/>
        </w:trPr>
        <w:tc>
          <w:tcPr>
            <w:tcW w:w="1785" w:type="dxa"/>
            <w:tcMar>
              <w:left w:w="0" w:type="dxa"/>
            </w:tcMar>
          </w:tcPr>
          <w:p w14:paraId="465A9F5A" w14:textId="77777777" w:rsidR="0003024B" w:rsidRPr="00995C95" w:rsidRDefault="0003024B" w:rsidP="00E25E8B">
            <w:pPr>
              <w:pStyle w:val="Marginlie"/>
              <w:rPr>
                <w:spacing w:val="0"/>
              </w:rPr>
            </w:pPr>
            <w:r w:rsidRPr="00995C95">
              <w:rPr>
                <w:spacing w:val="0"/>
              </w:rPr>
              <w:t>The debt ratio decreased, year-on-year, in less than half of the EU countries in Q3. The position of the Czech Republic has not changed according to the level of debt.</w:t>
            </w:r>
          </w:p>
        </w:tc>
        <w:tc>
          <w:tcPr>
            <w:tcW w:w="203" w:type="dxa"/>
            <w:tcMar>
              <w:left w:w="0" w:type="dxa"/>
            </w:tcMar>
          </w:tcPr>
          <w:p w14:paraId="1DA01784" w14:textId="77777777" w:rsidR="0003024B" w:rsidRPr="00995C95" w:rsidRDefault="0003024B" w:rsidP="00E25E8B">
            <w:pPr>
              <w:pStyle w:val="Textpoznpodarou"/>
              <w:jc w:val="both"/>
            </w:pPr>
          </w:p>
        </w:tc>
        <w:tc>
          <w:tcPr>
            <w:tcW w:w="7681" w:type="dxa"/>
            <w:tcMar>
              <w:left w:w="0" w:type="dxa"/>
            </w:tcMar>
          </w:tcPr>
          <w:p w14:paraId="21B2D1EF" w14:textId="77777777" w:rsidR="0003024B" w:rsidRPr="00B73E87" w:rsidRDefault="0003024B" w:rsidP="00E25E8B">
            <w:pPr>
              <w:spacing w:after="0"/>
              <w:rPr>
                <w:spacing w:val="-2"/>
              </w:rPr>
            </w:pPr>
            <w:r>
              <w:rPr>
                <w:spacing w:val="-2"/>
              </w:rPr>
              <w:t>The g</w:t>
            </w:r>
            <w:r w:rsidRPr="00B73E87">
              <w:rPr>
                <w:spacing w:val="-2"/>
              </w:rPr>
              <w:t xml:space="preserve">ross consolidated debt </w:t>
            </w:r>
            <w:r>
              <w:rPr>
                <w:spacing w:val="-2"/>
              </w:rPr>
              <w:t xml:space="preserve">of the general government sector </w:t>
            </w:r>
            <w:r w:rsidRPr="00B73E87">
              <w:rPr>
                <w:spacing w:val="-2"/>
              </w:rPr>
              <w:t xml:space="preserve">in the EU stood at 82.1% at the end of Q3 (88.5% of GDP in the euro area) and has been increasing, quarter-on-quarter, since the beginning of last year. Although the debt ratio was “only” 0.8 p. p. higher, year-on-year, it was the most significant strengthening in the last four years. Debt ratios fell, year-on-year, in 11 Member States – most notably in Greece (from 159% of GDP to 150% of GDP), Ireland (from 40% to 33%) and Cyprus (from 67% to 61%), and among major economies in Spain (from 104% to 103%). In the Czech Republic, debt amounted to 43.1% of GDP, remained almost unchanged, year-on-year (+0.3 p. p.) and remained the ninth lowest among the Member States. The debt ratio increased most significantly in countries with high budget deficits last year – Romania (from 53.3% of GDP to 58.9% of GDP) and Poland (from 53.2% to 58.1%). Almost half of the EU Member States and three-fifths of the euro area members reported debt in excess of 60% of GDP. </w:t>
            </w:r>
          </w:p>
        </w:tc>
      </w:tr>
    </w:tbl>
    <w:p w14:paraId="2143296F" w14:textId="24A80B91" w:rsidR="00A50D73" w:rsidRPr="00FC6700" w:rsidRDefault="00A50D73" w:rsidP="0003024B">
      <w:pPr>
        <w:pStyle w:val="Nadpis1"/>
        <w:rPr>
          <w:sz w:val="2"/>
          <w:szCs w:val="2"/>
        </w:rPr>
      </w:pPr>
    </w:p>
    <w:sectPr w:rsidR="00A50D73" w:rsidRPr="00FC6700" w:rsidSect="006F5416">
      <w:headerReference w:type="even" r:id="rId36"/>
      <w:headerReference w:type="default" r:id="rId37"/>
      <w:footerReference w:type="even" r:id="rId38"/>
      <w:footerReference w:type="default" r:id="rId39"/>
      <w:pgSz w:w="11906" w:h="16838" w:code="9"/>
      <w:pgMar w:top="1134" w:right="1134" w:bottom="1418"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096B5" w14:textId="77777777" w:rsidR="00E24B6C" w:rsidRPr="00995C95" w:rsidRDefault="00E24B6C" w:rsidP="00E71A58">
      <w:r w:rsidRPr="00995C95">
        <w:separator/>
      </w:r>
    </w:p>
  </w:endnote>
  <w:endnote w:type="continuationSeparator" w:id="0">
    <w:p w14:paraId="38F8FE8C" w14:textId="77777777" w:rsidR="00E24B6C" w:rsidRPr="00995C95" w:rsidRDefault="00E24B6C" w:rsidP="00E71A58">
      <w:r w:rsidRPr="00995C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4C456F" w:rsidRPr="00995C95" w14:paraId="7190CBD2" w14:textId="77777777" w:rsidTr="7BDB84E4">
      <w:trPr>
        <w:trHeight w:val="300"/>
      </w:trPr>
      <w:tc>
        <w:tcPr>
          <w:tcW w:w="3210" w:type="dxa"/>
        </w:tcPr>
        <w:p w14:paraId="2103B00D" w14:textId="05992450" w:rsidR="004C456F" w:rsidRPr="00995C95" w:rsidRDefault="004C456F" w:rsidP="7BDB84E4">
          <w:pPr>
            <w:pStyle w:val="Zhlav"/>
            <w:ind w:left="-115"/>
            <w:rPr>
              <w:lang w:val="en-GB"/>
            </w:rPr>
          </w:pPr>
        </w:p>
      </w:tc>
      <w:tc>
        <w:tcPr>
          <w:tcW w:w="3210" w:type="dxa"/>
        </w:tcPr>
        <w:p w14:paraId="7E4EC8CC" w14:textId="060F96F9" w:rsidR="004C456F" w:rsidRPr="00995C95" w:rsidRDefault="004C456F" w:rsidP="7BDB84E4">
          <w:pPr>
            <w:pStyle w:val="Zhlav"/>
            <w:jc w:val="center"/>
            <w:rPr>
              <w:lang w:val="en-GB"/>
            </w:rPr>
          </w:pPr>
        </w:p>
      </w:tc>
      <w:tc>
        <w:tcPr>
          <w:tcW w:w="3210" w:type="dxa"/>
        </w:tcPr>
        <w:p w14:paraId="16BBC583" w14:textId="6855A288" w:rsidR="004C456F" w:rsidRPr="00995C95" w:rsidRDefault="004C456F" w:rsidP="7BDB84E4">
          <w:pPr>
            <w:pStyle w:val="Zhlav"/>
            <w:ind w:right="-115"/>
            <w:jc w:val="right"/>
            <w:rPr>
              <w:lang w:val="en-GB"/>
            </w:rPr>
          </w:pPr>
        </w:p>
      </w:tc>
    </w:tr>
  </w:tbl>
  <w:p w14:paraId="6C27F8FA" w14:textId="20C55B48" w:rsidR="004C456F" w:rsidRPr="00995C95" w:rsidRDefault="004C456F" w:rsidP="7BDB84E4">
    <w:pPr>
      <w:pStyle w:val="Zpat"/>
      <w:rPr>
        <w:noProof w:val="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4C456F" w:rsidRPr="00995C95" w14:paraId="18EA34D8" w14:textId="77777777" w:rsidTr="7BDB84E4">
      <w:trPr>
        <w:trHeight w:val="300"/>
      </w:trPr>
      <w:tc>
        <w:tcPr>
          <w:tcW w:w="3210" w:type="dxa"/>
        </w:tcPr>
        <w:p w14:paraId="181DBAB7" w14:textId="02D77831" w:rsidR="004C456F" w:rsidRPr="00995C95" w:rsidRDefault="004C456F" w:rsidP="7BDB84E4">
          <w:pPr>
            <w:pStyle w:val="Zhlav"/>
            <w:ind w:left="-115"/>
            <w:rPr>
              <w:lang w:val="en-GB"/>
            </w:rPr>
          </w:pPr>
        </w:p>
      </w:tc>
      <w:tc>
        <w:tcPr>
          <w:tcW w:w="3210" w:type="dxa"/>
        </w:tcPr>
        <w:p w14:paraId="5B9D9AD1" w14:textId="74FB0172" w:rsidR="004C456F" w:rsidRPr="00995C95" w:rsidRDefault="004C456F" w:rsidP="7BDB84E4">
          <w:pPr>
            <w:pStyle w:val="Zhlav"/>
            <w:jc w:val="center"/>
            <w:rPr>
              <w:lang w:val="en-GB"/>
            </w:rPr>
          </w:pPr>
        </w:p>
      </w:tc>
      <w:tc>
        <w:tcPr>
          <w:tcW w:w="3210" w:type="dxa"/>
        </w:tcPr>
        <w:p w14:paraId="641FB2DE" w14:textId="73F7F7F2" w:rsidR="004C456F" w:rsidRPr="00995C95" w:rsidRDefault="004C456F" w:rsidP="7BDB84E4">
          <w:pPr>
            <w:pStyle w:val="Zhlav"/>
            <w:ind w:right="-115"/>
            <w:jc w:val="right"/>
            <w:rPr>
              <w:lang w:val="en-GB"/>
            </w:rPr>
          </w:pPr>
        </w:p>
      </w:tc>
    </w:tr>
  </w:tbl>
  <w:p w14:paraId="72D422D1" w14:textId="17FE3811" w:rsidR="004C456F" w:rsidRPr="00995C95" w:rsidRDefault="004C456F" w:rsidP="7BDB84E4">
    <w:pPr>
      <w:pStyle w:val="Zpat"/>
      <w:rPr>
        <w:noProof w:val="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362E7" w14:textId="0715AFCD" w:rsidR="004C456F" w:rsidRPr="00995C95" w:rsidRDefault="004C456F" w:rsidP="00A418BC">
    <w:pPr>
      <w:pStyle w:val="Zpat"/>
      <w:rPr>
        <w:noProof w:val="0"/>
        <w:szCs w:val="16"/>
        <w:lang w:val="en-GB"/>
      </w:rPr>
    </w:pPr>
    <w:r w:rsidRPr="00995C95">
      <w:rPr>
        <w:szCs w:val="16"/>
        <w:lang w:val="en-GB" w:eastAsia="cs-CZ"/>
      </w:rPr>
      <w:drawing>
        <wp:anchor distT="0" distB="0" distL="114300" distR="114300" simplePos="0" relativeHeight="251658241" behindDoc="0" locked="0" layoutInCell="1" allowOverlap="1" wp14:anchorId="2143298A" wp14:editId="2143298B">
          <wp:simplePos x="0" y="0"/>
          <wp:positionH relativeFrom="column">
            <wp:align>right</wp:align>
          </wp:positionH>
          <wp:positionV relativeFrom="paragraph">
            <wp:posOffset>-64770</wp:posOffset>
          </wp:positionV>
          <wp:extent cx="428625" cy="201295"/>
          <wp:effectExtent l="0" t="0" r="3175" b="1905"/>
          <wp:wrapNone/>
          <wp:docPr id="21" name="Picture 15"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5C95">
      <w:rPr>
        <w:noProof w:val="0"/>
        <w:szCs w:val="16"/>
        <w:lang w:val="en-GB"/>
      </w:rPr>
      <w:fldChar w:fldCharType="begin"/>
    </w:r>
    <w:r w:rsidRPr="00995C95">
      <w:rPr>
        <w:noProof w:val="0"/>
        <w:szCs w:val="16"/>
        <w:lang w:val="en-GB"/>
      </w:rPr>
      <w:instrText>PAGE   \* MERGEFORMAT</w:instrText>
    </w:r>
    <w:r w:rsidRPr="00995C95">
      <w:rPr>
        <w:noProof w:val="0"/>
        <w:szCs w:val="16"/>
        <w:lang w:val="en-GB"/>
      </w:rPr>
      <w:fldChar w:fldCharType="separate"/>
    </w:r>
    <w:r w:rsidR="00233D05" w:rsidRPr="00995C95">
      <w:rPr>
        <w:noProof w:val="0"/>
        <w:szCs w:val="16"/>
        <w:lang w:val="en-GB"/>
      </w:rPr>
      <w:t>50</w:t>
    </w:r>
    <w:r w:rsidRPr="00995C95">
      <w:rPr>
        <w:noProof w:val="0"/>
        <w:szCs w:val="16"/>
        <w:lang w:val="en-GB"/>
      </w:rPr>
      <w:fldChar w:fldCharType="end"/>
    </w:r>
    <w:r w:rsidRPr="00995C95">
      <w:rPr>
        <w:noProof w:val="0"/>
        <w:szCs w:val="16"/>
        <w:lang w:val="en-GB"/>
      </w:rPr>
      <w:tab/>
    </w:r>
    <w:r w:rsidR="005A327C" w:rsidRPr="00995C95">
      <w:rPr>
        <w:noProof w:val="0"/>
        <w:szCs w:val="16"/>
        <w:lang w:val="en-GB"/>
      </w:rPr>
      <w:t xml:space="preserve">year </w:t>
    </w:r>
    <w:r w:rsidR="00C5418A" w:rsidRPr="00995C95">
      <w:rPr>
        <w:noProof w:val="0"/>
        <w:szCs w:val="16"/>
        <w:lang w:val="en-GB"/>
      </w:rPr>
      <w:t>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9" w14:textId="360E7FB6" w:rsidR="004C456F" w:rsidRPr="00995C95" w:rsidRDefault="004C456F" w:rsidP="00A418BC">
    <w:pPr>
      <w:pStyle w:val="Zpat"/>
      <w:rPr>
        <w:noProof w:val="0"/>
        <w:szCs w:val="16"/>
        <w:lang w:val="en-GB"/>
      </w:rPr>
    </w:pPr>
    <w:r w:rsidRPr="00995C95">
      <w:rPr>
        <w:szCs w:val="16"/>
        <w:lang w:val="en-GB" w:eastAsia="cs-CZ"/>
      </w:rPr>
      <w:drawing>
        <wp:anchor distT="0" distB="0" distL="114300" distR="114300" simplePos="0" relativeHeight="251658240" behindDoc="0" locked="0" layoutInCell="1" allowOverlap="1" wp14:anchorId="2143298C" wp14:editId="2143298D">
          <wp:simplePos x="0" y="0"/>
          <wp:positionH relativeFrom="column">
            <wp:align>left</wp:align>
          </wp:positionH>
          <wp:positionV relativeFrom="paragraph">
            <wp:posOffset>-122555</wp:posOffset>
          </wp:positionV>
          <wp:extent cx="510540" cy="272415"/>
          <wp:effectExtent l="0" t="0" r="0" b="6985"/>
          <wp:wrapNone/>
          <wp:docPr id="22" name="Picture 16" descr="CSU RG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272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5C95">
      <w:rPr>
        <w:noProof w:val="0"/>
        <w:szCs w:val="16"/>
        <w:lang w:val="en-GB"/>
      </w:rPr>
      <w:tab/>
    </w:r>
    <w:r w:rsidR="005370C0" w:rsidRPr="00995C95">
      <w:rPr>
        <w:noProof w:val="0"/>
        <w:szCs w:val="16"/>
        <w:lang w:val="en-GB"/>
      </w:rPr>
      <w:t xml:space="preserve">Year </w:t>
    </w:r>
    <w:r w:rsidRPr="00995C95">
      <w:rPr>
        <w:noProof w:val="0"/>
        <w:szCs w:val="16"/>
        <w:lang w:val="en-GB"/>
      </w:rPr>
      <w:t>2025</w:t>
    </w:r>
    <w:r w:rsidRPr="00995C95">
      <w:rPr>
        <w:noProof w:val="0"/>
        <w:szCs w:val="16"/>
        <w:lang w:val="en-GB"/>
      </w:rPr>
      <w:tab/>
    </w:r>
    <w:r w:rsidRPr="00995C95">
      <w:rPr>
        <w:rStyle w:val="ZpatChar"/>
        <w:noProof w:val="0"/>
        <w:szCs w:val="16"/>
        <w:lang w:val="en-GB"/>
      </w:rPr>
      <w:fldChar w:fldCharType="begin"/>
    </w:r>
    <w:r w:rsidRPr="00995C95">
      <w:rPr>
        <w:rStyle w:val="ZpatChar"/>
        <w:noProof w:val="0"/>
        <w:szCs w:val="16"/>
        <w:lang w:val="en-GB"/>
      </w:rPr>
      <w:instrText>PAGE   \* MERGEFORMAT</w:instrText>
    </w:r>
    <w:r w:rsidRPr="00995C95">
      <w:rPr>
        <w:rStyle w:val="ZpatChar"/>
        <w:noProof w:val="0"/>
        <w:szCs w:val="16"/>
        <w:lang w:val="en-GB"/>
      </w:rPr>
      <w:fldChar w:fldCharType="separate"/>
    </w:r>
    <w:r w:rsidR="00233D05" w:rsidRPr="00995C95">
      <w:rPr>
        <w:rStyle w:val="ZpatChar"/>
        <w:noProof w:val="0"/>
        <w:szCs w:val="16"/>
        <w:lang w:val="en-GB"/>
      </w:rPr>
      <w:t>49</w:t>
    </w:r>
    <w:r w:rsidRPr="00995C95">
      <w:rPr>
        <w:rStyle w:val="ZpatChar"/>
        <w:noProof w:val="0"/>
        <w:szCs w:val="16"/>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D1F4B" w14:textId="77777777" w:rsidR="00E24B6C" w:rsidRPr="00995C95" w:rsidRDefault="00E24B6C" w:rsidP="00EA4302">
      <w:pPr>
        <w:spacing w:after="0"/>
      </w:pPr>
      <w:r w:rsidRPr="00995C95">
        <w:separator/>
      </w:r>
    </w:p>
  </w:footnote>
  <w:footnote w:type="continuationSeparator" w:id="0">
    <w:p w14:paraId="1DE5A743" w14:textId="77777777" w:rsidR="00E24B6C" w:rsidRPr="00995C95" w:rsidRDefault="00E24B6C" w:rsidP="00E71A58">
      <w:r w:rsidRPr="00995C95">
        <w:continuationSeparator/>
      </w:r>
    </w:p>
  </w:footnote>
  <w:footnote w:id="1">
    <w:p w14:paraId="4FF34039" w14:textId="77777777" w:rsidR="005B461B" w:rsidRPr="00995C95" w:rsidRDefault="005B461B" w:rsidP="005B461B">
      <w:pPr>
        <w:pStyle w:val="Textpoznpodarou"/>
        <w:jc w:val="both"/>
        <w:rPr>
          <w:spacing w:val="-2"/>
          <w:sz w:val="16"/>
          <w:szCs w:val="16"/>
        </w:rPr>
      </w:pPr>
      <w:r w:rsidRPr="00995C95">
        <w:rPr>
          <w:rStyle w:val="Znakapoznpodarou"/>
          <w:spacing w:val="-2"/>
          <w:sz w:val="16"/>
          <w:szCs w:val="16"/>
        </w:rPr>
        <w:footnoteRef/>
      </w:r>
      <w:r w:rsidRPr="00995C95">
        <w:rPr>
          <w:spacing w:val="-2"/>
          <w:sz w:val="16"/>
          <w:szCs w:val="16"/>
        </w:rPr>
        <w:t xml:space="preserve"> Data regarding the GDP, gross value added and their components are expressed in constant prices and adjusted for seasonal and calendar effects. </w:t>
      </w:r>
    </w:p>
  </w:footnote>
  <w:footnote w:id="2">
    <w:p w14:paraId="62AC47A1" w14:textId="77777777" w:rsidR="00433D92" w:rsidRPr="00995C95" w:rsidRDefault="00433D92" w:rsidP="00433D92">
      <w:pPr>
        <w:pStyle w:val="Textpoznpodarou"/>
        <w:jc w:val="both"/>
        <w:rPr>
          <w:sz w:val="16"/>
          <w:szCs w:val="16"/>
        </w:rPr>
      </w:pPr>
      <w:r w:rsidRPr="00995C95">
        <w:rPr>
          <w:rStyle w:val="Znakapoznpodarou"/>
          <w:spacing w:val="-2"/>
          <w:sz w:val="16"/>
          <w:szCs w:val="16"/>
        </w:rPr>
        <w:footnoteRef/>
      </w:r>
      <w:r w:rsidRPr="00995C95">
        <w:rPr>
          <w:spacing w:val="-2"/>
          <w:sz w:val="16"/>
          <w:szCs w:val="16"/>
        </w:rPr>
        <w:t xml:space="preserve"> </w:t>
      </w:r>
      <w:r w:rsidRPr="00995C95">
        <w:rPr>
          <w:sz w:val="16"/>
          <w:szCs w:val="16"/>
        </w:rPr>
        <w:t xml:space="preserve">Employment data are in the national accounts conception and adjusted for seasonal effects. </w:t>
      </w:r>
    </w:p>
  </w:footnote>
  <w:footnote w:id="3">
    <w:p w14:paraId="76986B2A" w14:textId="77777777" w:rsidR="006A1EB8" w:rsidRPr="00995C95" w:rsidRDefault="006A1EB8" w:rsidP="006A1EB8">
      <w:pPr>
        <w:pStyle w:val="Textpoznpodarou"/>
        <w:rPr>
          <w:sz w:val="16"/>
          <w:szCs w:val="16"/>
        </w:rPr>
      </w:pPr>
      <w:r w:rsidRPr="00995C95">
        <w:rPr>
          <w:rStyle w:val="Znakapoznpodarou"/>
          <w:sz w:val="16"/>
          <w:szCs w:val="16"/>
        </w:rPr>
        <w:footnoteRef/>
      </w:r>
      <w:r w:rsidRPr="00995C95">
        <w:rPr>
          <w:sz w:val="16"/>
          <w:szCs w:val="16"/>
        </w:rPr>
        <w:t xml:space="preserve"> The development of the GDP, gross value added, and their components is expressed with the help of the volume indices (i.e. adjusted for changes in prices) and adjusted for seasonal and calendar effects. Data are valid as of 3</w:t>
      </w:r>
      <w:r w:rsidRPr="00995C95">
        <w:rPr>
          <w:sz w:val="16"/>
          <w:szCs w:val="16"/>
          <w:vertAlign w:val="superscript"/>
        </w:rPr>
        <w:t>rd</w:t>
      </w:r>
      <w:r w:rsidRPr="00995C95">
        <w:rPr>
          <w:sz w:val="16"/>
          <w:szCs w:val="16"/>
        </w:rPr>
        <w:t xml:space="preserve"> March 2026.</w:t>
      </w:r>
    </w:p>
  </w:footnote>
  <w:footnote w:id="4">
    <w:p w14:paraId="0679EDA7" w14:textId="307B48BC" w:rsidR="003656AF" w:rsidRPr="00995C95" w:rsidRDefault="003656AF" w:rsidP="005042BB">
      <w:pPr>
        <w:pStyle w:val="Textpoznpodarou"/>
        <w:jc w:val="both"/>
      </w:pPr>
      <w:r w:rsidRPr="00995C95">
        <w:rPr>
          <w:rStyle w:val="Znakapoznpodarou"/>
          <w:sz w:val="16"/>
          <w:szCs w:val="16"/>
        </w:rPr>
        <w:footnoteRef/>
      </w:r>
      <w:r w:rsidRPr="00995C95">
        <w:rPr>
          <w:sz w:val="16"/>
          <w:szCs w:val="16"/>
        </w:rPr>
        <w:t xml:space="preserve"> </w:t>
      </w:r>
      <w:r w:rsidR="005042BB" w:rsidRPr="00995C95">
        <w:rPr>
          <w:sz w:val="16"/>
          <w:szCs w:val="16"/>
        </w:rPr>
        <w:t xml:space="preserve">Employment data are in the national accounts conception (persons), figure seasonally adjusted. </w:t>
      </w:r>
    </w:p>
  </w:footnote>
  <w:footnote w:id="5">
    <w:p w14:paraId="7493E1BF" w14:textId="7EC246B8" w:rsidR="00770FC8" w:rsidRPr="00995C95" w:rsidRDefault="00770FC8" w:rsidP="00770FC8">
      <w:pPr>
        <w:pStyle w:val="Textpoznpodarou"/>
        <w:rPr>
          <w:sz w:val="16"/>
          <w:szCs w:val="16"/>
        </w:rPr>
      </w:pPr>
      <w:r w:rsidRPr="00995C95">
        <w:rPr>
          <w:rStyle w:val="Znakapoznpodarou"/>
          <w:sz w:val="16"/>
          <w:szCs w:val="16"/>
        </w:rPr>
        <w:footnoteRef/>
      </w:r>
      <w:r w:rsidRPr="00995C95">
        <w:rPr>
          <w:sz w:val="16"/>
          <w:szCs w:val="16"/>
        </w:rPr>
        <w:t xml:space="preserve"> </w:t>
      </w:r>
      <w:r w:rsidR="005D67FE" w:rsidRPr="00995C95">
        <w:rPr>
          <w:sz w:val="16"/>
          <w:szCs w:val="16"/>
        </w:rPr>
        <w:t>Converted into the real expression using the deflator of household consumption.</w:t>
      </w:r>
    </w:p>
  </w:footnote>
  <w:footnote w:id="6">
    <w:p w14:paraId="2B1BD088" w14:textId="751FBF73" w:rsidR="00673247" w:rsidRPr="00995C95" w:rsidRDefault="00673247" w:rsidP="006057BE">
      <w:pPr>
        <w:pStyle w:val="Textpoznpodarou"/>
        <w:jc w:val="both"/>
        <w:rPr>
          <w:sz w:val="16"/>
          <w:szCs w:val="16"/>
        </w:rPr>
      </w:pPr>
      <w:r w:rsidRPr="00995C95">
        <w:rPr>
          <w:rStyle w:val="Znakapoznpodarou"/>
          <w:sz w:val="16"/>
          <w:szCs w:val="16"/>
        </w:rPr>
        <w:footnoteRef/>
      </w:r>
      <w:r w:rsidRPr="00995C95">
        <w:rPr>
          <w:sz w:val="16"/>
          <w:szCs w:val="16"/>
        </w:rPr>
        <w:t xml:space="preserve"> </w:t>
      </w:r>
      <w:r w:rsidR="006057BE" w:rsidRPr="00995C95">
        <w:rPr>
          <w:sz w:val="16"/>
          <w:szCs w:val="16"/>
        </w:rPr>
        <w:t xml:space="preserve">This section contains activities of organisations of common interests, repairs of computers and mainly personal and household goods and a number of other personal services (beauty, hairdressing treatment etc.). </w:t>
      </w:r>
    </w:p>
  </w:footnote>
  <w:footnote w:id="7">
    <w:p w14:paraId="33D9EDD0" w14:textId="376E4BE9" w:rsidR="00F160D4" w:rsidRPr="00995C95" w:rsidRDefault="00F160D4" w:rsidP="00344092">
      <w:pPr>
        <w:pStyle w:val="Textpoznpodarou"/>
        <w:rPr>
          <w:sz w:val="16"/>
          <w:szCs w:val="16"/>
        </w:rPr>
      </w:pPr>
      <w:r w:rsidRPr="00995C95">
        <w:rPr>
          <w:rStyle w:val="Znakapoznpodarou"/>
          <w:sz w:val="16"/>
          <w:szCs w:val="16"/>
        </w:rPr>
        <w:footnoteRef/>
      </w:r>
      <w:r w:rsidRPr="00995C95">
        <w:rPr>
          <w:sz w:val="16"/>
          <w:szCs w:val="16"/>
        </w:rPr>
        <w:t xml:space="preserve"> </w:t>
      </w:r>
      <w:r w:rsidR="00344092" w:rsidRPr="00995C95">
        <w:rPr>
          <w:sz w:val="16"/>
          <w:szCs w:val="16"/>
        </w:rPr>
        <w:t xml:space="preserve">If we do not count the extraordinary increase from </w:t>
      </w:r>
      <w:r w:rsidR="00C46423" w:rsidRPr="00995C95">
        <w:rPr>
          <w:sz w:val="16"/>
          <w:szCs w:val="16"/>
        </w:rPr>
        <w:t>Q</w:t>
      </w:r>
      <w:r w:rsidR="00344092" w:rsidRPr="00995C95">
        <w:rPr>
          <w:sz w:val="16"/>
          <w:szCs w:val="16"/>
        </w:rPr>
        <w:t>2</w:t>
      </w:r>
      <w:r w:rsidR="00C46423" w:rsidRPr="00995C95">
        <w:rPr>
          <w:sz w:val="16"/>
          <w:szCs w:val="16"/>
        </w:rPr>
        <w:t xml:space="preserve"> </w:t>
      </w:r>
      <w:r w:rsidR="00344092" w:rsidRPr="00995C95">
        <w:rPr>
          <w:sz w:val="16"/>
          <w:szCs w:val="16"/>
        </w:rPr>
        <w:t xml:space="preserve">2021 affected by covid, then the most since </w:t>
      </w:r>
      <w:r w:rsidR="00C46423" w:rsidRPr="00995C95">
        <w:rPr>
          <w:sz w:val="16"/>
          <w:szCs w:val="16"/>
        </w:rPr>
        <w:t>Q</w:t>
      </w:r>
      <w:r w:rsidR="00344092" w:rsidRPr="00995C95">
        <w:rPr>
          <w:sz w:val="16"/>
          <w:szCs w:val="16"/>
        </w:rPr>
        <w:t>2</w:t>
      </w:r>
      <w:r w:rsidR="00C46423" w:rsidRPr="00995C95">
        <w:rPr>
          <w:sz w:val="16"/>
          <w:szCs w:val="16"/>
        </w:rPr>
        <w:t xml:space="preserve"> </w:t>
      </w:r>
      <w:r w:rsidR="00344092" w:rsidRPr="00995C95">
        <w:rPr>
          <w:sz w:val="16"/>
          <w:szCs w:val="16"/>
        </w:rPr>
        <w:t>2018.</w:t>
      </w:r>
      <w:r w:rsidR="00C46423" w:rsidRPr="00995C95">
        <w:rPr>
          <w:sz w:val="16"/>
          <w:szCs w:val="16"/>
        </w:rPr>
        <w:t xml:space="preserve"> </w:t>
      </w:r>
    </w:p>
  </w:footnote>
  <w:footnote w:id="8">
    <w:p w14:paraId="46E91C5A" w14:textId="77777777" w:rsidR="006F12E9" w:rsidRPr="00995C95" w:rsidRDefault="006F12E9" w:rsidP="006F12E9">
      <w:pPr>
        <w:pStyle w:val="Textpoznpodarou"/>
        <w:rPr>
          <w:sz w:val="16"/>
          <w:szCs w:val="16"/>
        </w:rPr>
      </w:pPr>
      <w:r w:rsidRPr="00995C95">
        <w:rPr>
          <w:rStyle w:val="Znakapoznpodarou"/>
          <w:sz w:val="16"/>
          <w:szCs w:val="16"/>
        </w:rPr>
        <w:footnoteRef/>
      </w:r>
      <w:r w:rsidRPr="00995C95">
        <w:rPr>
          <w:sz w:val="16"/>
          <w:szCs w:val="16"/>
        </w:rPr>
        <w:t xml:space="preserve"> Data regarding consumption based on durability are in domestic conception. </w:t>
      </w:r>
    </w:p>
  </w:footnote>
  <w:footnote w:id="9">
    <w:p w14:paraId="37E28217" w14:textId="0D8F1219" w:rsidR="00AE01AE" w:rsidRPr="00995C95" w:rsidRDefault="00AE01AE" w:rsidP="00D15524">
      <w:pPr>
        <w:pStyle w:val="Textpoznpodarou"/>
        <w:jc w:val="both"/>
        <w:rPr>
          <w:sz w:val="16"/>
          <w:szCs w:val="16"/>
        </w:rPr>
      </w:pPr>
      <w:r w:rsidRPr="00995C95">
        <w:rPr>
          <w:rStyle w:val="Znakapoznpodarou"/>
          <w:sz w:val="16"/>
          <w:szCs w:val="16"/>
        </w:rPr>
        <w:footnoteRef/>
      </w:r>
      <w:r w:rsidRPr="00995C95">
        <w:rPr>
          <w:sz w:val="16"/>
          <w:szCs w:val="16"/>
        </w:rPr>
        <w:t xml:space="preserve"> </w:t>
      </w:r>
      <w:r w:rsidR="00D15524" w:rsidRPr="00995C95">
        <w:rPr>
          <w:sz w:val="16"/>
          <w:szCs w:val="16"/>
        </w:rPr>
        <w:t>Additions to the GDP change after exclusion of imports for final use.</w:t>
      </w:r>
    </w:p>
  </w:footnote>
  <w:footnote w:id="10">
    <w:p w14:paraId="43B01BD3" w14:textId="0ED7A573" w:rsidR="000501B2" w:rsidRPr="00995C95" w:rsidRDefault="000501B2" w:rsidP="00C42869">
      <w:pPr>
        <w:pStyle w:val="Textpoznpodarou"/>
        <w:rPr>
          <w:sz w:val="16"/>
          <w:szCs w:val="16"/>
        </w:rPr>
      </w:pPr>
      <w:r w:rsidRPr="00995C95">
        <w:rPr>
          <w:rStyle w:val="Znakapoznpodarou"/>
          <w:sz w:val="16"/>
          <w:szCs w:val="16"/>
        </w:rPr>
        <w:footnoteRef/>
      </w:r>
      <w:r w:rsidRPr="00995C95">
        <w:rPr>
          <w:sz w:val="16"/>
          <w:szCs w:val="16"/>
        </w:rPr>
        <w:t xml:space="preserve"> </w:t>
      </w:r>
      <w:r w:rsidR="00B4263C" w:rsidRPr="00995C95">
        <w:rPr>
          <w:sz w:val="16"/>
          <w:szCs w:val="16"/>
        </w:rPr>
        <w:t xml:space="preserve">Change of the inventory stock (in current prices and not seasonally adjusted) attained </w:t>
      </w:r>
      <w:r w:rsidR="006A15F2" w:rsidRPr="00995C95">
        <w:rPr>
          <w:sz w:val="16"/>
          <w:szCs w:val="16"/>
        </w:rPr>
        <w:t>+27</w:t>
      </w:r>
      <w:r w:rsidR="00B4263C" w:rsidRPr="00995C95">
        <w:rPr>
          <w:sz w:val="16"/>
          <w:szCs w:val="16"/>
        </w:rPr>
        <w:t>.</w:t>
      </w:r>
      <w:r w:rsidR="006A15F2" w:rsidRPr="00995C95">
        <w:rPr>
          <w:sz w:val="16"/>
          <w:szCs w:val="16"/>
        </w:rPr>
        <w:t>0</w:t>
      </w:r>
      <w:r w:rsidR="00B4263C" w:rsidRPr="00995C95">
        <w:rPr>
          <w:sz w:val="16"/>
          <w:szCs w:val="16"/>
        </w:rPr>
        <w:t xml:space="preserve"> bn CZK in</w:t>
      </w:r>
      <w:r w:rsidR="006A15F2" w:rsidRPr="00995C95">
        <w:rPr>
          <w:sz w:val="16"/>
          <w:szCs w:val="16"/>
        </w:rPr>
        <w:t xml:space="preserve"> year </w:t>
      </w:r>
      <w:r w:rsidR="00B4263C" w:rsidRPr="00995C95">
        <w:rPr>
          <w:sz w:val="16"/>
          <w:szCs w:val="16"/>
        </w:rPr>
        <w:t>2025</w:t>
      </w:r>
      <w:r w:rsidR="006A15F2" w:rsidRPr="00995C95">
        <w:rPr>
          <w:sz w:val="16"/>
          <w:szCs w:val="16"/>
        </w:rPr>
        <w:t xml:space="preserve">, compared to </w:t>
      </w:r>
      <w:r w:rsidRPr="00995C95">
        <w:rPr>
          <w:sz w:val="16"/>
          <w:szCs w:val="16"/>
        </w:rPr>
        <w:t xml:space="preserve">−24,0 </w:t>
      </w:r>
      <w:r w:rsidR="00AD1543" w:rsidRPr="00995C95">
        <w:rPr>
          <w:sz w:val="16"/>
          <w:szCs w:val="16"/>
        </w:rPr>
        <w:t xml:space="preserve">bn in year </w:t>
      </w:r>
      <w:r w:rsidRPr="00995C95">
        <w:rPr>
          <w:sz w:val="16"/>
          <w:szCs w:val="16"/>
        </w:rPr>
        <w:t xml:space="preserve">2024. </w:t>
      </w:r>
      <w:r w:rsidR="00C42869" w:rsidRPr="00995C95">
        <w:rPr>
          <w:sz w:val="16"/>
          <w:szCs w:val="16"/>
        </w:rPr>
        <w:t xml:space="preserve">Inventories increased especially in the first three quarters of the year. In Q4 2025, the change of inventories amounted to −67.9 bn CZK compared to 64.6 bn CZK in Q3 and −63.4 bn in Q4 2024. </w:t>
      </w:r>
      <w:r w:rsidRPr="00995C95">
        <w:rPr>
          <w:sz w:val="16"/>
          <w:szCs w:val="16"/>
        </w:rPr>
        <w:t xml:space="preserve">   </w:t>
      </w:r>
    </w:p>
  </w:footnote>
  <w:footnote w:id="11">
    <w:p w14:paraId="084CEEC6" w14:textId="77777777" w:rsidR="009E16C0" w:rsidRPr="00995C95" w:rsidRDefault="009E16C0" w:rsidP="009E16C0">
      <w:pPr>
        <w:pStyle w:val="Textpoznpodarou"/>
        <w:rPr>
          <w:sz w:val="16"/>
          <w:szCs w:val="16"/>
        </w:rPr>
      </w:pPr>
      <w:r w:rsidRPr="00995C95">
        <w:rPr>
          <w:rStyle w:val="Znakapoznpodarou"/>
          <w:sz w:val="16"/>
          <w:szCs w:val="16"/>
        </w:rPr>
        <w:footnoteRef/>
      </w:r>
      <w:r w:rsidRPr="00995C95">
        <w:rPr>
          <w:sz w:val="16"/>
          <w:szCs w:val="16"/>
        </w:rPr>
        <w:t xml:space="preserve"> According to the methodology of quarterly national accounts (export and import in FOB/FOB prices). International trade balance in current prices and seasonally adjusted. </w:t>
      </w:r>
    </w:p>
  </w:footnote>
  <w:footnote w:id="12">
    <w:p w14:paraId="0C70F902" w14:textId="77777777" w:rsidR="00EC2A23" w:rsidRPr="00995C95" w:rsidRDefault="00EC2A23" w:rsidP="00EC2A23">
      <w:pPr>
        <w:pStyle w:val="Textpoznpodarou"/>
        <w:jc w:val="both"/>
        <w:rPr>
          <w:rFonts w:cs="Arial"/>
          <w:color w:val="0D0D0D" w:themeColor="text1" w:themeTint="F2"/>
          <w:spacing w:val="-2"/>
          <w:sz w:val="16"/>
          <w:szCs w:val="16"/>
        </w:rPr>
      </w:pPr>
      <w:r w:rsidRPr="00995C95">
        <w:rPr>
          <w:rStyle w:val="Znakapoznpodarou"/>
          <w:rFonts w:cs="Arial"/>
          <w:color w:val="0D0D0D" w:themeColor="text1" w:themeTint="F2"/>
          <w:spacing w:val="-2"/>
          <w:sz w:val="16"/>
          <w:szCs w:val="16"/>
        </w:rPr>
        <w:footnoteRef/>
      </w:r>
      <w:r w:rsidRPr="00995C95">
        <w:rPr>
          <w:rFonts w:cs="Arial"/>
          <w:color w:val="0D0D0D" w:themeColor="text1" w:themeTint="F2"/>
          <w:spacing w:val="-2"/>
          <w:sz w:val="16"/>
          <w:szCs w:val="16"/>
        </w:rPr>
        <w:t xml:space="preserve"> Data related to GVA are expressed in constant prices and adjusted for seasonal and calendar effects. </w:t>
      </w:r>
    </w:p>
  </w:footnote>
  <w:footnote w:id="13">
    <w:p w14:paraId="650D6C52" w14:textId="77777777" w:rsidR="00EC2A23" w:rsidRPr="00995C95" w:rsidRDefault="00EC2A23" w:rsidP="00EC2A23">
      <w:pPr>
        <w:pStyle w:val="Textpoznpodarou"/>
        <w:rPr>
          <w:spacing w:val="-2"/>
          <w:sz w:val="16"/>
          <w:szCs w:val="16"/>
        </w:rPr>
      </w:pPr>
      <w:r w:rsidRPr="00995C95">
        <w:rPr>
          <w:rStyle w:val="Znakapoznpodarou"/>
          <w:spacing w:val="-2"/>
          <w:sz w:val="16"/>
          <w:szCs w:val="16"/>
        </w:rPr>
        <w:footnoteRef/>
      </w:r>
      <w:r w:rsidRPr="00995C95">
        <w:rPr>
          <w:spacing w:val="-2"/>
          <w:sz w:val="16"/>
          <w:szCs w:val="16"/>
        </w:rPr>
        <w:t xml:space="preserve"> In information and communication, GVA exceeded the pre-crisis level by 47%, by 20% in financial and insurance activities, by 17% in business services (professional, scientific, technical and administrative activities) and by 9% in public administration, education, human health and social care activities. Situation was favourable in agriculture and forestry (+15%), while performance in construction lagged </w:t>
      </w:r>
      <w:r w:rsidRPr="00E16D47">
        <w:rPr>
          <w:spacing w:val="-6"/>
          <w:sz w:val="16"/>
          <w:szCs w:val="16"/>
        </w:rPr>
        <w:t>behind Q4 2019 by 8% and in industry by 3% (in its manufacturing part, however, it returned to the pre-crisis level, after a two-year pause (+1%)).</w:t>
      </w:r>
      <w:r w:rsidRPr="00995C95">
        <w:rPr>
          <w:spacing w:val="-2"/>
          <w:sz w:val="16"/>
          <w:szCs w:val="16"/>
        </w:rPr>
        <w:t xml:space="preserve"> </w:t>
      </w:r>
    </w:p>
  </w:footnote>
  <w:footnote w:id="14">
    <w:p w14:paraId="4F017CE3" w14:textId="77777777" w:rsidR="00EC2A23" w:rsidRPr="00995C95" w:rsidRDefault="00EC2A23" w:rsidP="00EC2A23">
      <w:pPr>
        <w:pStyle w:val="Textpoznpodarou"/>
        <w:rPr>
          <w:spacing w:val="-2"/>
          <w:sz w:val="16"/>
          <w:szCs w:val="16"/>
        </w:rPr>
      </w:pPr>
      <w:r w:rsidRPr="00995C95">
        <w:rPr>
          <w:rStyle w:val="Znakapoznpodarou"/>
          <w:spacing w:val="-2"/>
          <w:sz w:val="16"/>
          <w:szCs w:val="16"/>
        </w:rPr>
        <w:footnoteRef/>
      </w:r>
      <w:r w:rsidRPr="00995C95">
        <w:rPr>
          <w:spacing w:val="-2"/>
          <w:sz w:val="16"/>
          <w:szCs w:val="16"/>
        </w:rPr>
        <w:t xml:space="preserve"> All agricultural data stated below are based on production or value added expressed at constant prices. </w:t>
      </w:r>
    </w:p>
  </w:footnote>
  <w:footnote w:id="15">
    <w:p w14:paraId="0720F2A0" w14:textId="77777777" w:rsidR="00EC2A23" w:rsidRPr="00995C95" w:rsidRDefault="00EC2A23" w:rsidP="00EC2A23">
      <w:pPr>
        <w:pStyle w:val="Textpoznpodarou"/>
        <w:rPr>
          <w:sz w:val="16"/>
          <w:szCs w:val="16"/>
        </w:rPr>
      </w:pPr>
      <w:r w:rsidRPr="00995C95">
        <w:rPr>
          <w:rStyle w:val="Znakapoznpodarou"/>
          <w:spacing w:val="-2"/>
          <w:sz w:val="16"/>
          <w:szCs w:val="16"/>
        </w:rPr>
        <w:footnoteRef/>
      </w:r>
      <w:r w:rsidRPr="00995C95">
        <w:rPr>
          <w:spacing w:val="-2"/>
          <w:sz w:val="16"/>
          <w:szCs w:val="16"/>
        </w:rPr>
        <w:t xml:space="preserve"> The cereal harvest increased by 13%, year-on-year, last year and reached 8.5 million tons (the most in the last nine years). The yield of legumes (+15%), potatoes (+12%), green corn (+12%), hops (+6%), grapes (+37%) was also higher and also increased for oilseeds (+9%), however unlike all the crops mentioned above, it lagged behind the long-term average (compared to the period 2015 to 2024, it was lower by a tenth). Among the more important crop groups, only the yield of sugar beet decreased, year-on-year (by 14%, but it almost did not lag behind the long-term average) and some fodder crops: clover and alfalfa (around 10%). </w:t>
      </w:r>
      <w:r w:rsidRPr="00995C95">
        <w:rPr>
          <w:spacing w:val="-3"/>
          <w:sz w:val="16"/>
          <w:szCs w:val="16"/>
        </w:rPr>
        <w:t xml:space="preserve"> </w:t>
      </w:r>
    </w:p>
  </w:footnote>
  <w:footnote w:id="16">
    <w:p w14:paraId="160895A8" w14:textId="77777777" w:rsidR="00EC2A23" w:rsidRPr="00995C95" w:rsidRDefault="00EC2A23" w:rsidP="00EC2A23">
      <w:pPr>
        <w:spacing w:after="0" w:line="240" w:lineRule="auto"/>
        <w:jc w:val="left"/>
        <w:rPr>
          <w:rFonts w:eastAsia="Arial" w:cs="Arial"/>
          <w:szCs w:val="20"/>
        </w:rPr>
      </w:pPr>
      <w:r w:rsidRPr="00995C95">
        <w:rPr>
          <w:rStyle w:val="Znakapoznpodarou"/>
          <w:sz w:val="16"/>
          <w:szCs w:val="16"/>
        </w:rPr>
        <w:footnoteRef/>
      </w:r>
      <w:r w:rsidRPr="00995C95">
        <w:rPr>
          <w:sz w:val="16"/>
          <w:szCs w:val="16"/>
        </w:rPr>
        <w:t xml:space="preserve"> More detailed business surveys show that physical meat production grew last year (+4.5%). If in 2024 pork contributed the most to the growth of meat production (in domestic slaughterhouses), this role was fulfilled by poultry meat, whose production (185 thousand tonnes) was the highest since 2010 last year. On the contrary, beef production decreased for the second year in a row (by 2%). Gross domestic output, expressed in physical terms by supplies from Czech farms to domestic and foreign slaughterhouses, increased, year-on-year, thanks to growth for poultry meat (+11.4%) and pork (+3.2%) for the whole last year; on the contrary, beef supplies decreased slightly (−0.8%). Exports of live animals for slaughter grew for all three types – poultry (+10.3%) the most, cattle the least (+3.5%), where, however, it is a long-term significant part of domestic production by weight (85 thousand cattle were exported for slaughter abroad last year, i.e. more than a quarter of the animals fattened in the Czech Republic). The development was different according to the main categories in the meat trade last year. The turnover of trade with beef (in physical terms) decreased – exports were lower by 7.8%, imports, also due to weak demand from domestic consumers, by as much as 22.3%. On the contrary, both imports (+4.8%, to 296 thousand tonnes) and exports (+2.6%, to 31 thousand tonnes) grew for the pork meat. Regarding the poultry meat, exporters were more successful (+6.5%, to 23 thousand tonnes), since imports strengthened only slightly, year-on-year (+0.9%, to 136 thousand tonnes). </w:t>
      </w:r>
    </w:p>
  </w:footnote>
  <w:footnote w:id="17">
    <w:p w14:paraId="626203FA" w14:textId="77777777" w:rsidR="00EC2A23" w:rsidRPr="00995C95" w:rsidRDefault="00EC2A23" w:rsidP="00EC2A23">
      <w:pPr>
        <w:spacing w:after="0" w:line="240" w:lineRule="auto"/>
        <w:jc w:val="left"/>
        <w:rPr>
          <w:rFonts w:cs="Arial"/>
          <w:color w:val="0D0D0D" w:themeColor="text1" w:themeTint="F2"/>
          <w:spacing w:val="-3"/>
          <w:sz w:val="16"/>
          <w:szCs w:val="16"/>
        </w:rPr>
      </w:pPr>
      <w:r w:rsidRPr="00995C95">
        <w:rPr>
          <w:rStyle w:val="Znakapoznpodarou"/>
          <w:spacing w:val="-4"/>
          <w:sz w:val="16"/>
          <w:szCs w:val="16"/>
        </w:rPr>
        <w:footnoteRef/>
      </w:r>
      <w:r w:rsidRPr="00995C95">
        <w:rPr>
          <w:spacing w:val="-4"/>
          <w:sz w:val="16"/>
          <w:szCs w:val="16"/>
        </w:rPr>
        <w:t xml:space="preserve"> Includes branches of mining and quarrying, manufacturing and also energy industry (here as activities of production and distribution of electricity, gas, heat and air conditioning supply). All year-on-year rates of growth of output are adjusted for calendar effects, quarter-on-quarter rates as well for the seasonal effects.</w:t>
      </w:r>
    </w:p>
  </w:footnote>
  <w:footnote w:id="18">
    <w:p w14:paraId="653F85A1" w14:textId="77777777" w:rsidR="00EC2A23" w:rsidRPr="00995C95" w:rsidRDefault="00EC2A23" w:rsidP="00EC2A23">
      <w:pPr>
        <w:pStyle w:val="Textpoznpodarou"/>
        <w:rPr>
          <w:color w:val="0D0D0D" w:themeColor="text1" w:themeTint="F2"/>
          <w:spacing w:val="-4"/>
          <w:sz w:val="16"/>
          <w:szCs w:val="16"/>
        </w:rPr>
      </w:pPr>
      <w:r w:rsidRPr="00995C95">
        <w:rPr>
          <w:rStyle w:val="Znakapoznpodarou"/>
          <w:color w:val="0D0D0D" w:themeColor="text1" w:themeTint="F2"/>
          <w:spacing w:val="-3"/>
          <w:sz w:val="16"/>
          <w:szCs w:val="16"/>
        </w:rPr>
        <w:footnoteRef/>
      </w:r>
      <w:r w:rsidRPr="00995C95">
        <w:rPr>
          <w:color w:val="0D0D0D" w:themeColor="text1" w:themeTint="F2"/>
          <w:spacing w:val="-3"/>
          <w:sz w:val="16"/>
          <w:szCs w:val="16"/>
        </w:rPr>
        <w:t xml:space="preserve"> Nearly t</w:t>
      </w:r>
      <w:r w:rsidRPr="00995C95">
        <w:rPr>
          <w:sz w:val="16"/>
          <w:szCs w:val="16"/>
        </w:rPr>
        <w:t xml:space="preserve">wo thirds of the main industrial sectors still fell behind their peak from years 2015 to 2019 in Q4 this year. These were primarily coal mining (by 61%), manufacturing of metal, metallurgy and foundry (−27%), mining of building materials (−27%), footwear and leather industry (−26%), textile industry (−24%), printing (−22%). Among the larger branches, there were also energy (−19%), manufacturing of building materials (−10%), chemical industry and machinery (−9%) and electronics industry (−6%). On the contrary, branches manufacturing investment products and those manufacturing non-durables 0%) were situated above the pre-crisis output level. Among individual activities, these were mainly the manufacturing of other transport equipment (+35%), manufacturing of motor vehicles and motorcycles (+18%), other manufacturing and pharmaceutical industry (both +16%), paper industry (+13%), electrical engineering </w:t>
      </w:r>
      <w:r w:rsidRPr="00995C95">
        <w:rPr>
          <w:color w:val="0D0D0D" w:themeColor="text1" w:themeTint="F2"/>
          <w:spacing w:val="-2"/>
          <w:sz w:val="16"/>
          <w:szCs w:val="16"/>
        </w:rPr>
        <w:t xml:space="preserve">(+12 %), </w:t>
      </w:r>
      <w:r w:rsidRPr="00995C95">
        <w:rPr>
          <w:sz w:val="16"/>
          <w:szCs w:val="16"/>
        </w:rPr>
        <w:t xml:space="preserve">food industry (+9%), metalworking industry </w:t>
      </w:r>
      <w:r w:rsidRPr="00995C95">
        <w:rPr>
          <w:color w:val="0D0D0D" w:themeColor="text1" w:themeTint="F2"/>
          <w:spacing w:val="-2"/>
          <w:sz w:val="16"/>
          <w:szCs w:val="16"/>
        </w:rPr>
        <w:t>(+8%)</w:t>
      </w:r>
      <w:r w:rsidRPr="00995C95">
        <w:rPr>
          <w:sz w:val="16"/>
          <w:szCs w:val="16"/>
        </w:rPr>
        <w:t xml:space="preserve"> and repairs of machinery and equipment </w:t>
      </w:r>
      <w:r w:rsidRPr="00995C95">
        <w:rPr>
          <w:color w:val="0D0D0D" w:themeColor="text1" w:themeTint="F2"/>
          <w:spacing w:val="-2"/>
          <w:sz w:val="16"/>
          <w:szCs w:val="16"/>
        </w:rPr>
        <w:t>(+6%).</w:t>
      </w:r>
    </w:p>
  </w:footnote>
  <w:footnote w:id="19">
    <w:p w14:paraId="50F65C56" w14:textId="77777777" w:rsidR="00EC2A23" w:rsidRPr="00995C95" w:rsidRDefault="00EC2A23" w:rsidP="00EC2A23">
      <w:pPr>
        <w:pStyle w:val="Textpoznpodarou"/>
        <w:rPr>
          <w:color w:val="0D0D0D" w:themeColor="text1" w:themeTint="F2"/>
          <w:spacing w:val="-4"/>
          <w:sz w:val="16"/>
          <w:szCs w:val="16"/>
        </w:rPr>
      </w:pPr>
      <w:r w:rsidRPr="00995C95">
        <w:rPr>
          <w:rStyle w:val="Znakapoznpodarou"/>
          <w:color w:val="0D0D0D" w:themeColor="text1" w:themeTint="F2"/>
          <w:spacing w:val="-4"/>
          <w:sz w:val="16"/>
          <w:szCs w:val="16"/>
        </w:rPr>
        <w:footnoteRef/>
      </w:r>
      <w:r w:rsidRPr="00995C95">
        <w:rPr>
          <w:color w:val="0D0D0D" w:themeColor="text1" w:themeTint="F2"/>
          <w:spacing w:val="-4"/>
          <w:sz w:val="16"/>
          <w:szCs w:val="16"/>
        </w:rPr>
        <w:t xml:space="preserve"> According to preliminary data from the Energy Regulatory Office, </w:t>
      </w:r>
      <w:r w:rsidRPr="00995C95">
        <w:rPr>
          <w:i/>
          <w:iCs/>
          <w:color w:val="0D0D0D" w:themeColor="text1" w:themeTint="F2"/>
          <w:spacing w:val="-4"/>
          <w:sz w:val="16"/>
          <w:szCs w:val="16"/>
        </w:rPr>
        <w:t>total net electricity production</w:t>
      </w:r>
      <w:r w:rsidRPr="00995C95">
        <w:rPr>
          <w:color w:val="0D0D0D" w:themeColor="text1" w:themeTint="F2"/>
          <w:spacing w:val="-4"/>
          <w:sz w:val="16"/>
          <w:szCs w:val="16"/>
        </w:rPr>
        <w:t xml:space="preserve"> (i.e. excluding intermediate consumption, including production losses) increased by 3.2%, year-on-year, in the Czech Republic last year and amounted to 71.2 TWh (the second lowest volume since 2002). The output growth was largely driven by nuclear power plants, which, thanks to the extension of fuel cycles and other modernisation measures, achieved record production last year (already covering half of the total net electricity consumption in the Czech Republic). Production of photovoltaic stations grew rapidly for the third year in a row (by 19% last year); however, it still contributed marginally to the total electricity production (6%). On the contrary, production of hydroelectric power plants decreased due to the lack of precipitation (−40%) and wind power plants also supplied less (−7%). </w:t>
      </w:r>
      <w:r w:rsidRPr="00995C95">
        <w:rPr>
          <w:i/>
          <w:iCs/>
          <w:color w:val="0D0D0D" w:themeColor="text1" w:themeTint="F2"/>
          <w:spacing w:val="-4"/>
          <w:sz w:val="16"/>
          <w:szCs w:val="16"/>
        </w:rPr>
        <w:t>Total domestic net electricity consumption</w:t>
      </w:r>
      <w:r w:rsidRPr="00995C95">
        <w:rPr>
          <w:color w:val="0D0D0D" w:themeColor="text1" w:themeTint="F2"/>
          <w:spacing w:val="-4"/>
          <w:sz w:val="16"/>
          <w:szCs w:val="16"/>
        </w:rPr>
        <w:t xml:space="preserve"> was 59.0 TWh last year. Its year-on-year decrease lasting three years stopped (+1.8%). This was largely due to higher household consumption (+6.5%), demand from small businesses also increased (+1.9%), while consumption by wholesale consumers decreased slightly, especially in the largest enterprises (-2.9%). Compared to year 2019, when total net consumption approached the long-term maximum, total electricity consumption fell by 5.2% last year, mainly due to the influence of wholesale customers (−8.2%), while only demand from households consuming 9.2% more grew. The Czech Republic remained a net exporter of electricity last year as well. The cross-border balance, i.e. the difference between exports and imports, increased from 0.8 TWh to 7.4 TWh, year-on-year.</w:t>
      </w:r>
    </w:p>
  </w:footnote>
  <w:footnote w:id="20">
    <w:p w14:paraId="164129D5" w14:textId="77777777" w:rsidR="00EC2A23" w:rsidRPr="00995C95" w:rsidRDefault="00EC2A23" w:rsidP="00EC2A23">
      <w:pPr>
        <w:pStyle w:val="Bezmezer"/>
        <w:jc w:val="left"/>
        <w:rPr>
          <w:color w:val="0D0D0D" w:themeColor="text1" w:themeTint="F2"/>
          <w:spacing w:val="-2"/>
          <w:lang w:val="en-GB"/>
        </w:rPr>
      </w:pPr>
      <w:r w:rsidRPr="00995C95">
        <w:rPr>
          <w:rStyle w:val="Znakapoznpodarou"/>
          <w:color w:val="0D0D0D" w:themeColor="text1" w:themeTint="F2"/>
          <w:spacing w:val="-4"/>
          <w:sz w:val="16"/>
          <w:szCs w:val="16"/>
          <w:lang w:val="en-GB"/>
        </w:rPr>
        <w:footnoteRef/>
      </w:r>
      <w:r w:rsidRPr="00995C95">
        <w:rPr>
          <w:rStyle w:val="Znakapoznpodarou"/>
          <w:color w:val="0D0D0D" w:themeColor="text1" w:themeTint="F2"/>
          <w:spacing w:val="-4"/>
          <w:sz w:val="16"/>
          <w:szCs w:val="16"/>
          <w:lang w:val="en-GB"/>
        </w:rPr>
        <w:t xml:space="preserve"> </w:t>
      </w:r>
      <w:r w:rsidRPr="00995C95">
        <w:rPr>
          <w:color w:val="0D0D0D" w:themeColor="text1" w:themeTint="F2"/>
          <w:spacing w:val="-4"/>
          <w:sz w:val="16"/>
          <w:szCs w:val="16"/>
          <w:lang w:val="en-GB"/>
        </w:rPr>
        <w:t xml:space="preserve">Gas consumption reached 7.21 bn </w:t>
      </w:r>
      <w:r w:rsidRPr="00995C95">
        <w:rPr>
          <w:rFonts w:cs="Arial"/>
          <w:color w:val="0D0D0D" w:themeColor="text1" w:themeTint="F2"/>
          <w:spacing w:val="-4"/>
          <w:sz w:val="16"/>
          <w:szCs w:val="16"/>
          <w:shd w:val="clear" w:color="auto" w:fill="FFFFFF"/>
          <w:lang w:val="en-GB"/>
        </w:rPr>
        <w:t>m</w:t>
      </w:r>
      <w:r w:rsidRPr="00995C95">
        <w:rPr>
          <w:rFonts w:cs="Arial"/>
          <w:color w:val="0D0D0D" w:themeColor="text1" w:themeTint="F2"/>
          <w:spacing w:val="-4"/>
          <w:sz w:val="16"/>
          <w:szCs w:val="16"/>
          <w:shd w:val="clear" w:color="auto" w:fill="FFFFFF"/>
          <w:vertAlign w:val="superscript"/>
          <w:lang w:val="en-GB"/>
        </w:rPr>
        <w:t>3</w:t>
      </w:r>
      <w:r w:rsidRPr="00995C95">
        <w:rPr>
          <w:color w:val="0D0D0D" w:themeColor="text1" w:themeTint="F2"/>
          <w:spacing w:val="-4"/>
          <w:sz w:val="16"/>
          <w:szCs w:val="16"/>
          <w:lang w:val="en-GB"/>
        </w:rPr>
        <w:t xml:space="preserve"> last year, up 6.5%, year-on-year (after recalculating consumption to the long-term thermal standard, however, the growth was only 0.5%, thus this consumption grew slightly for the second year in a row but fell in total by almost a quarter in 2022 and 2023). Actual consumption increased for all categories of customers last year – especially households (+9.9%) and retail business customers (+9.3%). Against year 2016, which was temperature comparable to last year, however, the current total consumption is lower by 13% (of which households by 20%). This is also partly due to the reduced number of customers (-5%), which is evident in all categories of customers, with the exception of small entrepreneurs, whose number was at the same level. </w:t>
      </w:r>
    </w:p>
  </w:footnote>
  <w:footnote w:id="21">
    <w:p w14:paraId="5CEE9B02" w14:textId="77777777" w:rsidR="00EC2A23" w:rsidRPr="00995C95" w:rsidRDefault="00EC2A23" w:rsidP="00EC2A23">
      <w:pPr>
        <w:pStyle w:val="Textpoznpodarou"/>
        <w:rPr>
          <w:sz w:val="16"/>
          <w:szCs w:val="16"/>
        </w:rPr>
      </w:pPr>
      <w:r w:rsidRPr="00995C95">
        <w:rPr>
          <w:rStyle w:val="Znakapoznpodarou"/>
          <w:color w:val="0D0D0D" w:themeColor="text1" w:themeTint="F2"/>
          <w:spacing w:val="-2"/>
          <w:sz w:val="16"/>
          <w:szCs w:val="16"/>
        </w:rPr>
        <w:footnoteRef/>
      </w:r>
      <w:r w:rsidRPr="00995C95">
        <w:rPr>
          <w:color w:val="0D0D0D" w:themeColor="text1" w:themeTint="F2"/>
          <w:sz w:val="16"/>
          <w:szCs w:val="16"/>
        </w:rPr>
        <w:t xml:space="preserve"> Total heat production increased by 3.1% last year (to 137 PJ) and its deeper slump from the previous three years thus halted (by 17.9% in total). More energy was produced from natural gas (+8%) and biomass (+11%) last year, which are the second and third most frequently used fuels in heat production, respectively. A third of the heat was produced from brown coal last year, the use of which slightly decreased, year-on-year (-0.6%). Thermal energy consumption (in central supply systems) increased, year-on-year (+3.4%, to 68.2 PJ) last year. Growth was mainly driven by the trade, services, education and health sectors (+8.1%) and households (+5.5%). On the contrary, consumption in industry stagnated.</w:t>
      </w:r>
    </w:p>
  </w:footnote>
  <w:footnote w:id="22">
    <w:p w14:paraId="48BD7245" w14:textId="77777777" w:rsidR="00EC2A23" w:rsidRPr="00995C95" w:rsidRDefault="00EC2A23" w:rsidP="00EC2A23">
      <w:pPr>
        <w:pStyle w:val="Textpoznpodarou"/>
        <w:jc w:val="both"/>
      </w:pPr>
      <w:r w:rsidRPr="00995C95">
        <w:rPr>
          <w:rStyle w:val="Znakapoznpodarou"/>
          <w:sz w:val="16"/>
          <w:szCs w:val="16"/>
        </w:rPr>
        <w:footnoteRef/>
      </w:r>
      <w:r w:rsidRPr="00995C95">
        <w:rPr>
          <w:sz w:val="16"/>
          <w:szCs w:val="16"/>
        </w:rPr>
        <w:t xml:space="preserve"> According to data from the Automotive Industry Association, 1.45 mil personal vehicles were manufactured in the Czech Republic in 2025</w:t>
      </w:r>
      <w:r w:rsidRPr="00995C95">
        <w:rPr>
          <w:color w:val="0D0D0D" w:themeColor="text1" w:themeTint="F2"/>
          <w:sz w:val="16"/>
          <w:szCs w:val="16"/>
        </w:rPr>
        <w:t>, which was by 0.5% less compared to the record result from the year before last. T</w:t>
      </w:r>
      <w:r w:rsidRPr="00995C95">
        <w:rPr>
          <w:sz w:val="16"/>
          <w:szCs w:val="16"/>
        </w:rPr>
        <w:t xml:space="preserve">he weaker launch of production at the beginning had a negative effect </w:t>
      </w:r>
      <w:r w:rsidRPr="00995C95">
        <w:rPr>
          <w:color w:val="0D0D0D" w:themeColor="text1" w:themeTint="F2"/>
          <w:sz w:val="16"/>
          <w:szCs w:val="16"/>
        </w:rPr>
        <w:t>(</w:t>
      </w:r>
      <w:r w:rsidRPr="00995C95">
        <w:rPr>
          <w:sz w:val="16"/>
          <w:szCs w:val="16"/>
        </w:rPr>
        <w:t>resulting from worse sales abroad, some manufacturers introduced short-term production restrictions</w:t>
      </w:r>
      <w:r w:rsidRPr="00995C95">
        <w:rPr>
          <w:color w:val="0D0D0D" w:themeColor="text1" w:themeTint="F2"/>
          <w:sz w:val="16"/>
          <w:szCs w:val="16"/>
        </w:rPr>
        <w:t xml:space="preserve">), </w:t>
      </w:r>
      <w:r w:rsidRPr="00995C95">
        <w:rPr>
          <w:sz w:val="16"/>
          <w:szCs w:val="16"/>
        </w:rPr>
        <w:t>on the contrary, the situation gradually improved in the spring and both June and September production (both 136 thousand vehicles) was already noticeably higher, year-on-year and December already brought a double-digit growth. After decline in year 2024, the segment of manufacturing of electric vehicles (including hybrid vehicles) has revived significantly last year, doubling production and accounting for nearly a sixth of the total motor vehicle production. In addition to personal vehicles, most manufacturers of other types of motor vehicles also recorded a decrease of total production last year.</w:t>
      </w:r>
      <w:r w:rsidRPr="00995C95">
        <w:rPr>
          <w:color w:val="0D0D0D" w:themeColor="text1" w:themeTint="F2"/>
          <w:spacing w:val="-3"/>
          <w:sz w:val="16"/>
          <w:szCs w:val="16"/>
        </w:rPr>
        <w:t xml:space="preserve"> </w:t>
      </w:r>
    </w:p>
  </w:footnote>
  <w:footnote w:id="23">
    <w:p w14:paraId="26D5930A" w14:textId="77777777" w:rsidR="00EC2A23" w:rsidRPr="00995C95" w:rsidRDefault="00EC2A23" w:rsidP="00EC2A23">
      <w:pPr>
        <w:pStyle w:val="Textpoznpodarou"/>
        <w:rPr>
          <w:sz w:val="16"/>
          <w:szCs w:val="16"/>
        </w:rPr>
      </w:pPr>
      <w:r w:rsidRPr="00995C95">
        <w:rPr>
          <w:rStyle w:val="Znakapoznpodarou"/>
          <w:sz w:val="16"/>
          <w:szCs w:val="16"/>
        </w:rPr>
        <w:footnoteRef/>
      </w:r>
      <w:r w:rsidRPr="00995C95">
        <w:rPr>
          <w:sz w:val="16"/>
          <w:szCs w:val="16"/>
        </w:rPr>
        <w:t xml:space="preserve"> It has included a very marginal segment in recent years of footwear manufacturing. </w:t>
      </w:r>
    </w:p>
  </w:footnote>
  <w:footnote w:id="24">
    <w:p w14:paraId="6A76B588" w14:textId="77777777" w:rsidR="00EC2A23" w:rsidRPr="00995C95" w:rsidRDefault="00EC2A23" w:rsidP="00EC2A23">
      <w:pPr>
        <w:pStyle w:val="Textpoznpodarou"/>
        <w:rPr>
          <w:sz w:val="16"/>
          <w:szCs w:val="16"/>
        </w:rPr>
      </w:pPr>
      <w:r w:rsidRPr="00995C95">
        <w:rPr>
          <w:rStyle w:val="Znakapoznpodarou"/>
          <w:sz w:val="16"/>
          <w:szCs w:val="16"/>
        </w:rPr>
        <w:footnoteRef/>
      </w:r>
      <w:r w:rsidRPr="00995C95">
        <w:rPr>
          <w:sz w:val="16"/>
          <w:szCs w:val="16"/>
        </w:rPr>
        <w:t xml:space="preserve"> The impact of last year relatively colder and rainier summer probably had an impact here. Since the beverage production fell by 6.5%, year-on-year, in Q3, the most since the beginning of 2021 (when demand was fundamentally affected by anti-pandemic restrictions).</w:t>
      </w:r>
    </w:p>
  </w:footnote>
  <w:footnote w:id="25">
    <w:p w14:paraId="671F0682" w14:textId="77777777" w:rsidR="00EC2A23" w:rsidRPr="00995C95" w:rsidRDefault="00EC2A23" w:rsidP="00EC2A23">
      <w:pPr>
        <w:pStyle w:val="Textpoznpodarou"/>
        <w:rPr>
          <w:rFonts w:cs="Arial"/>
          <w:color w:val="0D0D0D" w:themeColor="text1" w:themeTint="F2"/>
          <w:spacing w:val="-2"/>
          <w:sz w:val="16"/>
          <w:szCs w:val="16"/>
        </w:rPr>
      </w:pPr>
      <w:r w:rsidRPr="00995C95">
        <w:rPr>
          <w:rStyle w:val="Znakapoznpodarou"/>
          <w:rFonts w:cs="Arial"/>
          <w:color w:val="0D0D0D" w:themeColor="text1" w:themeTint="F2"/>
          <w:spacing w:val="-2"/>
          <w:sz w:val="16"/>
          <w:szCs w:val="16"/>
        </w:rPr>
        <w:footnoteRef/>
      </w:r>
      <w:r w:rsidRPr="00995C95">
        <w:rPr>
          <w:rFonts w:cs="Arial"/>
          <w:color w:val="0D0D0D" w:themeColor="text1" w:themeTint="F2"/>
          <w:spacing w:val="-2"/>
          <w:sz w:val="16"/>
          <w:szCs w:val="16"/>
        </w:rPr>
        <w:t xml:space="preserve"> S</w:t>
      </w:r>
      <w:r w:rsidRPr="00995C95">
        <w:rPr>
          <w:rFonts w:cs="Arial"/>
          <w:color w:val="0D0D0D" w:themeColor="text1" w:themeTint="F2"/>
          <w:spacing w:val="-4"/>
          <w:sz w:val="16"/>
          <w:szCs w:val="16"/>
        </w:rPr>
        <w:t xml:space="preserve">urvey of orders is performed in twelve manufacturing activities producing mostly custom-made products, with longer production cycle and larger order stocks. Year-on-year growth rates of orders are adjusted for calendar effects, quarter-on-quarter rates also for seasonality effects. </w:t>
      </w:r>
    </w:p>
  </w:footnote>
  <w:footnote w:id="26">
    <w:p w14:paraId="2C499CD8" w14:textId="77777777" w:rsidR="00EC2A23" w:rsidRPr="00995C95" w:rsidRDefault="00EC2A23" w:rsidP="00EC2A23">
      <w:pPr>
        <w:pStyle w:val="Textpoznpodarou"/>
        <w:rPr>
          <w:sz w:val="16"/>
          <w:szCs w:val="16"/>
        </w:rPr>
      </w:pPr>
      <w:r w:rsidRPr="00995C95">
        <w:rPr>
          <w:rStyle w:val="Znakapoznpodarou"/>
          <w:sz w:val="16"/>
          <w:szCs w:val="16"/>
        </w:rPr>
        <w:footnoteRef/>
      </w:r>
      <w:r w:rsidRPr="00995C95">
        <w:rPr>
          <w:sz w:val="16"/>
          <w:szCs w:val="16"/>
        </w:rPr>
        <w:t xml:space="preserve"> The strong growth impulse was mainly related to the modernization of public transport and the army. </w:t>
      </w:r>
      <w:r w:rsidRPr="00995C95">
        <w:rPr>
          <w:color w:val="0D0D0D" w:themeColor="text1" w:themeTint="F2"/>
          <w:sz w:val="16"/>
          <w:szCs w:val="16"/>
        </w:rPr>
        <w:t xml:space="preserve"> </w:t>
      </w:r>
    </w:p>
  </w:footnote>
  <w:footnote w:id="27">
    <w:p w14:paraId="1F12C85D" w14:textId="77777777" w:rsidR="00EC2A23" w:rsidRPr="00995C95" w:rsidRDefault="00EC2A23" w:rsidP="00EC2A23">
      <w:pPr>
        <w:pStyle w:val="Textpoznpodarou"/>
        <w:rPr>
          <w:sz w:val="16"/>
          <w:szCs w:val="16"/>
        </w:rPr>
      </w:pPr>
      <w:r w:rsidRPr="00995C95">
        <w:rPr>
          <w:rStyle w:val="Znakapoznpodarou"/>
          <w:sz w:val="16"/>
          <w:szCs w:val="16"/>
        </w:rPr>
        <w:footnoteRef/>
      </w:r>
      <w:r w:rsidRPr="00995C95">
        <w:rPr>
          <w:sz w:val="16"/>
          <w:szCs w:val="16"/>
        </w:rPr>
        <w:t xml:space="preserve">The last time they registered a comparably high annual growth in this sector was in years 2007 and 2009. </w:t>
      </w:r>
    </w:p>
  </w:footnote>
  <w:footnote w:id="28">
    <w:p w14:paraId="2E9D4C9C" w14:textId="77777777" w:rsidR="00EC2A23" w:rsidRPr="00995C95" w:rsidRDefault="00EC2A23" w:rsidP="00EC2A23">
      <w:pPr>
        <w:pStyle w:val="Textpoznpodarou"/>
        <w:rPr>
          <w:sz w:val="16"/>
          <w:szCs w:val="16"/>
        </w:rPr>
      </w:pPr>
      <w:r w:rsidRPr="00995C95">
        <w:rPr>
          <w:rStyle w:val="Znakapoznpodarou"/>
          <w:sz w:val="16"/>
          <w:szCs w:val="16"/>
        </w:rPr>
        <w:footnoteRef/>
      </w:r>
      <w:r w:rsidRPr="00995C95">
        <w:rPr>
          <w:sz w:val="16"/>
          <w:szCs w:val="16"/>
        </w:rPr>
        <w:t xml:space="preserve"> This number (in industrial businesses with 50 or more employees) decreased by 1.8% for the whole last year, of which the year-on-year decline moderated to 1.2% in December.  </w:t>
      </w:r>
    </w:p>
  </w:footnote>
  <w:footnote w:id="29">
    <w:p w14:paraId="6390D8AF" w14:textId="77777777" w:rsidR="00EC2A23" w:rsidRPr="00995C95" w:rsidRDefault="00EC2A23" w:rsidP="00EC2A23">
      <w:pPr>
        <w:pStyle w:val="Textpoznpodarou"/>
        <w:jc w:val="both"/>
        <w:rPr>
          <w:spacing w:val="-2"/>
          <w:sz w:val="16"/>
          <w:szCs w:val="16"/>
        </w:rPr>
      </w:pPr>
      <w:r w:rsidRPr="00995C95">
        <w:rPr>
          <w:rStyle w:val="Znakapoznpodarou"/>
          <w:spacing w:val="-2"/>
          <w:sz w:val="16"/>
          <w:szCs w:val="16"/>
        </w:rPr>
        <w:footnoteRef/>
      </w:r>
      <w:r w:rsidRPr="00995C95">
        <w:rPr>
          <w:spacing w:val="-2"/>
          <w:sz w:val="16"/>
          <w:szCs w:val="16"/>
        </w:rPr>
        <w:t xml:space="preserve"> </w:t>
      </w:r>
      <w:r w:rsidRPr="00995C95">
        <w:rPr>
          <w:sz w:val="16"/>
          <w:szCs w:val="16"/>
        </w:rPr>
        <w:t xml:space="preserve">Based on the survey from February 2026, 14% of businesses expected an improvement of own economic situation in the six-month horizon, while only 3% expected a deterioration. </w:t>
      </w:r>
    </w:p>
  </w:footnote>
  <w:footnote w:id="30">
    <w:p w14:paraId="46D58D83" w14:textId="77777777" w:rsidR="00EC2A23" w:rsidRPr="00995C95" w:rsidRDefault="00EC2A23" w:rsidP="00EC2A23">
      <w:pPr>
        <w:pStyle w:val="Textpoznpodarou"/>
        <w:rPr>
          <w:sz w:val="16"/>
          <w:szCs w:val="16"/>
        </w:rPr>
      </w:pPr>
      <w:r w:rsidRPr="00995C95">
        <w:rPr>
          <w:rStyle w:val="Znakapoznpodarou"/>
          <w:sz w:val="16"/>
          <w:szCs w:val="16"/>
        </w:rPr>
        <w:footnoteRef/>
      </w:r>
      <w:r w:rsidRPr="00995C95">
        <w:rPr>
          <w:sz w:val="16"/>
          <w:szCs w:val="16"/>
        </w:rPr>
        <w:t xml:space="preserve"> Businesses could have indicated more barriers simultaneously. </w:t>
      </w:r>
    </w:p>
  </w:footnote>
  <w:footnote w:id="31">
    <w:p w14:paraId="09A2AF90" w14:textId="77777777" w:rsidR="00EC2A23" w:rsidRPr="00995C95" w:rsidRDefault="00EC2A23" w:rsidP="00EC2A23">
      <w:pPr>
        <w:pStyle w:val="Textpoznpodarou"/>
        <w:rPr>
          <w:sz w:val="16"/>
          <w:szCs w:val="16"/>
        </w:rPr>
      </w:pPr>
      <w:r w:rsidRPr="00995C95">
        <w:rPr>
          <w:rStyle w:val="Znakapoznpodarou"/>
          <w:sz w:val="16"/>
          <w:szCs w:val="16"/>
        </w:rPr>
        <w:footnoteRef/>
      </w:r>
      <w:r w:rsidRPr="00995C95">
        <w:rPr>
          <w:sz w:val="16"/>
          <w:szCs w:val="16"/>
        </w:rPr>
        <w:t xml:space="preserve"> Among the individual manufacturing branches, the leather, petrochemical, pharmaceutical, plastics and rubber industries, repairs of machinery and equipment, as well as manufacturing of other transport equipment also reported higher capacity utilization (above 88%). On the contrary, weaker use (between 60 and 70%) was recorded in the electronics, beverage and engineering industries. </w:t>
      </w:r>
    </w:p>
  </w:footnote>
  <w:footnote w:id="32">
    <w:p w14:paraId="4135DA0A" w14:textId="77777777" w:rsidR="00EC2A23" w:rsidRPr="00995C95" w:rsidRDefault="00EC2A23" w:rsidP="00EC2A23">
      <w:pPr>
        <w:pStyle w:val="Textpoznpodarou"/>
        <w:rPr>
          <w:sz w:val="16"/>
          <w:szCs w:val="16"/>
        </w:rPr>
      </w:pPr>
      <w:r w:rsidRPr="00995C95">
        <w:rPr>
          <w:rStyle w:val="Znakapoznpodarou"/>
          <w:spacing w:val="-2"/>
          <w:sz w:val="16"/>
          <w:szCs w:val="16"/>
        </w:rPr>
        <w:footnoteRef/>
      </w:r>
      <w:r w:rsidRPr="00995C95">
        <w:rPr>
          <w:spacing w:val="-2"/>
          <w:sz w:val="16"/>
          <w:szCs w:val="16"/>
        </w:rPr>
        <w:t xml:space="preserve"> However, the output of German industry increased slightly in Q4 2025 alone (+0.9%, there was also a slight recovery in manufacturing of motor vehicles and motorcycles, but the reduction of the total number of employees in industry continued to deepen slightly). This was connected to the overall recovery of industry in the EU (+2.1%), while there was a higher acceleration in the Czech Republic (+4.2%) due to rapid growth of demand for intermediate products and investments, including the modernisation of the army. </w:t>
      </w:r>
    </w:p>
  </w:footnote>
  <w:footnote w:id="33">
    <w:p w14:paraId="49FA8A59" w14:textId="77777777" w:rsidR="00EC2A23" w:rsidRPr="00995C95" w:rsidRDefault="00EC2A23" w:rsidP="00EC2A23">
      <w:pPr>
        <w:pStyle w:val="Textpoznpodarou"/>
        <w:rPr>
          <w:spacing w:val="-2"/>
          <w:sz w:val="16"/>
          <w:szCs w:val="16"/>
        </w:rPr>
      </w:pPr>
      <w:r w:rsidRPr="00995C95">
        <w:rPr>
          <w:rStyle w:val="Znakapoznpodarou"/>
          <w:rFonts w:cs="Arial"/>
          <w:color w:val="0D0D0D" w:themeColor="text1" w:themeTint="F2"/>
          <w:spacing w:val="-2"/>
          <w:sz w:val="16"/>
          <w:szCs w:val="16"/>
        </w:rPr>
        <w:footnoteRef/>
      </w:r>
      <w:r w:rsidRPr="00995C95">
        <w:rPr>
          <w:rFonts w:cs="Arial"/>
          <w:color w:val="0D0D0D" w:themeColor="text1" w:themeTint="F2"/>
          <w:spacing w:val="-2"/>
          <w:sz w:val="16"/>
          <w:szCs w:val="16"/>
        </w:rPr>
        <w:t xml:space="preserve"> Data on construction production are at constant prices, year-on-year rates are adjusted for calendar effects, quarter-on-quarter also for seasonal effects. </w:t>
      </w:r>
    </w:p>
  </w:footnote>
  <w:footnote w:id="34">
    <w:p w14:paraId="2B9A5492" w14:textId="77777777" w:rsidR="00EC2A23" w:rsidRPr="00995C95" w:rsidRDefault="00EC2A23" w:rsidP="00EC2A23">
      <w:pPr>
        <w:pStyle w:val="Textpoznpodarou"/>
        <w:rPr>
          <w:sz w:val="16"/>
          <w:szCs w:val="16"/>
        </w:rPr>
      </w:pPr>
      <w:r w:rsidRPr="00995C95">
        <w:rPr>
          <w:rStyle w:val="Znakapoznpodarou"/>
          <w:spacing w:val="-2"/>
          <w:sz w:val="16"/>
          <w:szCs w:val="16"/>
        </w:rPr>
        <w:footnoteRef/>
      </w:r>
      <w:r w:rsidRPr="00995C95">
        <w:rPr>
          <w:spacing w:val="-2"/>
          <w:sz w:val="16"/>
          <w:szCs w:val="16"/>
        </w:rPr>
        <w:t xml:space="preserve"> Cost pressures partially eased already in 2024 (due to more favourable developments of prices of some energies and also the majority of building materials), but at the same time real estate price growth strengthened significantly (owing to increased demand on the part of households, which occurred even with relatively high and unchanged mortgage rates), which partially limited the more pronounced and broad-based growth of demand for residential real estate. </w:t>
      </w:r>
      <w:r w:rsidRPr="00995C95">
        <w:rPr>
          <w:color w:val="0D0D0D" w:themeColor="text1" w:themeTint="F2"/>
          <w:sz w:val="16"/>
          <w:szCs w:val="16"/>
        </w:rPr>
        <w:t xml:space="preserve">  </w:t>
      </w:r>
    </w:p>
  </w:footnote>
  <w:footnote w:id="35">
    <w:p w14:paraId="5AAB2F84" w14:textId="77777777" w:rsidR="00EC2A23" w:rsidRPr="00995C95" w:rsidRDefault="00EC2A23" w:rsidP="00EC2A23">
      <w:pPr>
        <w:pStyle w:val="Textpoznpodarou"/>
        <w:rPr>
          <w:sz w:val="16"/>
          <w:szCs w:val="16"/>
        </w:rPr>
      </w:pPr>
      <w:r w:rsidRPr="00995C95">
        <w:rPr>
          <w:rStyle w:val="Znakapoznpodarou"/>
          <w:sz w:val="16"/>
          <w:szCs w:val="16"/>
        </w:rPr>
        <w:footnoteRef/>
      </w:r>
      <w:r w:rsidRPr="00995C95">
        <w:rPr>
          <w:sz w:val="16"/>
          <w:szCs w:val="16"/>
        </w:rPr>
        <w:t xml:space="preserve"> Last year's number of completed dwellings in family houses (13.9 thousand) was the lowest in the last nineteen years. </w:t>
      </w:r>
    </w:p>
  </w:footnote>
  <w:footnote w:id="36">
    <w:p w14:paraId="744AC9EB" w14:textId="77777777" w:rsidR="00EC2A23" w:rsidRPr="00995C95" w:rsidRDefault="00EC2A23" w:rsidP="00EC2A23">
      <w:pPr>
        <w:pStyle w:val="Textpoznpodarou"/>
        <w:rPr>
          <w:sz w:val="16"/>
          <w:szCs w:val="16"/>
        </w:rPr>
      </w:pPr>
      <w:r w:rsidRPr="00995C95">
        <w:rPr>
          <w:rStyle w:val="Znakapoznpodarou"/>
          <w:sz w:val="16"/>
          <w:szCs w:val="16"/>
        </w:rPr>
        <w:footnoteRef/>
      </w:r>
      <w:r w:rsidRPr="00995C95">
        <w:rPr>
          <w:sz w:val="16"/>
          <w:szCs w:val="16"/>
        </w:rPr>
        <w:t xml:space="preserve"> Orders are given at current prices and cover only businesses with 50 and more employees. </w:t>
      </w:r>
    </w:p>
  </w:footnote>
  <w:footnote w:id="37">
    <w:p w14:paraId="74313CF2" w14:textId="77777777" w:rsidR="00EC2A23" w:rsidRPr="00995C95" w:rsidRDefault="00EC2A23" w:rsidP="00EC2A23">
      <w:pPr>
        <w:pStyle w:val="Textpoznpodarou"/>
        <w:rPr>
          <w:sz w:val="16"/>
          <w:szCs w:val="16"/>
        </w:rPr>
      </w:pPr>
      <w:r w:rsidRPr="00995C95">
        <w:rPr>
          <w:rStyle w:val="Znakapoznpodarou"/>
          <w:sz w:val="16"/>
          <w:szCs w:val="16"/>
        </w:rPr>
        <w:footnoteRef/>
      </w:r>
      <w:r w:rsidRPr="00995C95">
        <w:rPr>
          <w:sz w:val="16"/>
          <w:szCs w:val="16"/>
        </w:rPr>
        <w:t xml:space="preserve"> This decline was not significantly influenced by the fact that the number of large, permitted constructions (with a budget of over 1 bn CZK) increased slightly, year-on-year (from 44 in 2024 to 51 last year).  </w:t>
      </w:r>
    </w:p>
  </w:footnote>
  <w:footnote w:id="38">
    <w:p w14:paraId="1FFC046E" w14:textId="77777777" w:rsidR="00EC2A23" w:rsidRPr="00995C95" w:rsidRDefault="00EC2A23" w:rsidP="00EC2A23">
      <w:pPr>
        <w:pStyle w:val="Textpoznpodarou"/>
        <w:rPr>
          <w:sz w:val="16"/>
          <w:szCs w:val="16"/>
        </w:rPr>
      </w:pPr>
      <w:r w:rsidRPr="00995C95">
        <w:rPr>
          <w:rStyle w:val="Znakapoznpodarou"/>
          <w:sz w:val="16"/>
          <w:szCs w:val="16"/>
        </w:rPr>
        <w:footnoteRef/>
      </w:r>
      <w:r w:rsidRPr="00995C95">
        <w:rPr>
          <w:sz w:val="16"/>
          <w:szCs w:val="16"/>
        </w:rPr>
        <w:t xml:space="preserve"> The registered number of employees (in construction businesses with more than 50 workers) increased by 2.7%, year-on-year, last December and by 1.1% for the whole year. This represents a significant shift, since the number of employees decreased by 1.6% in 2024.</w:t>
      </w:r>
    </w:p>
  </w:footnote>
  <w:footnote w:id="39">
    <w:p w14:paraId="2242B4D2" w14:textId="77777777" w:rsidR="00EC2A23" w:rsidRPr="00995C95" w:rsidRDefault="00EC2A23" w:rsidP="00EC2A23">
      <w:pPr>
        <w:pStyle w:val="Textpoznpodarou"/>
        <w:rPr>
          <w:spacing w:val="-4"/>
          <w:sz w:val="16"/>
          <w:szCs w:val="16"/>
        </w:rPr>
      </w:pPr>
      <w:r w:rsidRPr="00995C95">
        <w:rPr>
          <w:rStyle w:val="Znakapoznpodarou"/>
          <w:spacing w:val="-4"/>
          <w:sz w:val="16"/>
          <w:szCs w:val="16"/>
        </w:rPr>
        <w:footnoteRef/>
      </w:r>
      <w:r w:rsidRPr="00995C95">
        <w:rPr>
          <w:spacing w:val="-4"/>
          <w:sz w:val="16"/>
          <w:szCs w:val="16"/>
        </w:rPr>
        <w:t xml:space="preserve"> Only a fifth of construction businesses did not report any of the possible growth barriers in February this year. This share, which is half lower than in the EU or the euro area, has remained essentially unchanged in the Czech Republic over the past eight years.</w:t>
      </w:r>
    </w:p>
  </w:footnote>
  <w:footnote w:id="40">
    <w:p w14:paraId="741FB35A" w14:textId="77777777" w:rsidR="00EC2A23" w:rsidRPr="00995C95" w:rsidRDefault="00EC2A23" w:rsidP="00EC2A23">
      <w:pPr>
        <w:pStyle w:val="Textpoznpodarou"/>
        <w:rPr>
          <w:spacing w:val="-4"/>
          <w:sz w:val="16"/>
          <w:szCs w:val="16"/>
        </w:rPr>
      </w:pPr>
      <w:r w:rsidRPr="00995C95">
        <w:rPr>
          <w:rStyle w:val="Znakapoznpodarou"/>
          <w:spacing w:val="-4"/>
          <w:sz w:val="16"/>
          <w:szCs w:val="16"/>
        </w:rPr>
        <w:footnoteRef/>
      </w:r>
      <w:r w:rsidRPr="00995C95">
        <w:rPr>
          <w:spacing w:val="-4"/>
          <w:sz w:val="16"/>
          <w:szCs w:val="16"/>
        </w:rPr>
        <w:t xml:space="preserve"> As with the shortage of workers, the lack of demand affected enterprises in the building construction segment the most (and the least in civil engineering). Worker shortages represent a key growth barrier in all three major construction segments. </w:t>
      </w:r>
    </w:p>
  </w:footnote>
  <w:footnote w:id="41">
    <w:p w14:paraId="7F308671" w14:textId="77777777" w:rsidR="00EC2A23" w:rsidRPr="00995C95" w:rsidRDefault="00EC2A23" w:rsidP="00EC2A23">
      <w:pPr>
        <w:pStyle w:val="Textpoznpodarou"/>
        <w:rPr>
          <w:spacing w:val="-4"/>
          <w:sz w:val="16"/>
          <w:szCs w:val="16"/>
        </w:rPr>
      </w:pPr>
      <w:r w:rsidRPr="00995C95">
        <w:rPr>
          <w:rStyle w:val="Znakapoznpodarou"/>
          <w:spacing w:val="-4"/>
          <w:sz w:val="16"/>
          <w:szCs w:val="16"/>
        </w:rPr>
        <w:footnoteRef/>
      </w:r>
      <w:r w:rsidRPr="00995C95">
        <w:rPr>
          <w:spacing w:val="-4"/>
          <w:sz w:val="16"/>
          <w:szCs w:val="16"/>
        </w:rPr>
        <w:t xml:space="preserve"> In February 2026, a quarter of construction businesses expected (in a three-month perspective) raise of the prices of their own production, which did not deviate significantly from the long-term average.</w:t>
      </w:r>
    </w:p>
  </w:footnote>
  <w:footnote w:id="42">
    <w:p w14:paraId="03A29BE9" w14:textId="77777777" w:rsidR="00EC2A23" w:rsidRPr="00995C95" w:rsidRDefault="00EC2A23" w:rsidP="00EC2A23">
      <w:pPr>
        <w:spacing w:after="0" w:line="240" w:lineRule="auto"/>
        <w:rPr>
          <w:spacing w:val="-2"/>
        </w:rPr>
      </w:pPr>
      <w:r w:rsidRPr="00995C95">
        <w:rPr>
          <w:rStyle w:val="Znakapoznpodarou"/>
          <w:color w:val="0D0D0D" w:themeColor="text1" w:themeTint="F2"/>
          <w:spacing w:val="-2"/>
          <w:sz w:val="16"/>
          <w:szCs w:val="16"/>
        </w:rPr>
        <w:footnoteRef/>
      </w:r>
      <w:r w:rsidRPr="00995C95">
        <w:rPr>
          <w:color w:val="0D0D0D" w:themeColor="text1" w:themeTint="F2"/>
          <w:spacing w:val="-2"/>
          <w:sz w:val="16"/>
          <w:szCs w:val="16"/>
        </w:rPr>
        <w:t xml:space="preserve"> </w:t>
      </w:r>
      <w:r w:rsidRPr="00995C95">
        <w:rPr>
          <w:color w:val="0D0D0D" w:themeColor="text1" w:themeTint="F2"/>
          <w:spacing w:val="-6"/>
          <w:sz w:val="16"/>
          <w:szCs w:val="16"/>
        </w:rPr>
        <w:t>Without trade, financial and insurance activities, science, research and public services. All data for services are in constant prices, year-on-year data are adjusted for calendar effects, quarter-on-quarter data are adjusted for seasonal effects (including the effect of the number of working days).</w:t>
      </w:r>
    </w:p>
  </w:footnote>
  <w:footnote w:id="43">
    <w:p w14:paraId="1043DAB1" w14:textId="77777777" w:rsidR="00EC2A23" w:rsidRPr="00995C95" w:rsidRDefault="00EC2A23" w:rsidP="00EC2A23">
      <w:pPr>
        <w:pStyle w:val="Textpoznpodarou"/>
        <w:rPr>
          <w:sz w:val="16"/>
          <w:szCs w:val="16"/>
        </w:rPr>
      </w:pPr>
      <w:r w:rsidRPr="00995C95">
        <w:rPr>
          <w:rStyle w:val="Znakapoznpodarou"/>
          <w:sz w:val="16"/>
          <w:szCs w:val="16"/>
        </w:rPr>
        <w:footnoteRef/>
      </w:r>
      <w:r w:rsidRPr="00995C95">
        <w:rPr>
          <w:sz w:val="16"/>
          <w:szCs w:val="16"/>
        </w:rPr>
        <w:t xml:space="preserve"> Compared to Q2 2019, total sales (seasonally adjusted) were 4.8% higher in Q4 2025. Of the main service sectors, information and communication (+16.4%) and professional, scientific and technical activities (+8.0%) and transportation and storage (+4.5%) exceeded this level. On the contrary, sales were still the most lagging behind in accommodation, food service and restaurants (−13.3%) and in administrative and support service activities (−5.9%).</w:t>
      </w:r>
    </w:p>
  </w:footnote>
  <w:footnote w:id="44">
    <w:p w14:paraId="16296FC0" w14:textId="77777777" w:rsidR="00EC2A23" w:rsidRPr="00995C95" w:rsidRDefault="00EC2A23" w:rsidP="00EC2A23">
      <w:pPr>
        <w:pStyle w:val="Textpoznpodarou"/>
        <w:rPr>
          <w:sz w:val="16"/>
          <w:szCs w:val="16"/>
        </w:rPr>
      </w:pPr>
      <w:r w:rsidRPr="00995C95">
        <w:rPr>
          <w:rStyle w:val="Znakapoznpodarou"/>
          <w:sz w:val="16"/>
          <w:szCs w:val="16"/>
        </w:rPr>
        <w:footnoteRef/>
      </w:r>
      <w:r w:rsidRPr="00995C95">
        <w:rPr>
          <w:sz w:val="16"/>
          <w:szCs w:val="16"/>
        </w:rPr>
        <w:t xml:space="preserve"> Unadjusted advertising revenues decreased by 0.3%, year-on-year, last year (and thus declined in real terms for the second year in a row). In contrast, revenues from market research and public opinion polling increased slightly (by 2.4%, the most in the last four years). </w:t>
      </w:r>
    </w:p>
  </w:footnote>
  <w:footnote w:id="45">
    <w:p w14:paraId="4EB0DC1C" w14:textId="77777777" w:rsidR="00EC2A23" w:rsidRPr="00995C95" w:rsidRDefault="00EC2A23" w:rsidP="00EC2A23">
      <w:pPr>
        <w:pStyle w:val="Textpoznpodarou"/>
        <w:rPr>
          <w:sz w:val="16"/>
          <w:szCs w:val="16"/>
        </w:rPr>
      </w:pPr>
      <w:r w:rsidRPr="00995C95">
        <w:rPr>
          <w:rStyle w:val="Znakapoznpodarou"/>
          <w:sz w:val="16"/>
          <w:szCs w:val="16"/>
        </w:rPr>
        <w:footnoteRef/>
      </w:r>
      <w:r w:rsidRPr="00995C95">
        <w:rPr>
          <w:sz w:val="16"/>
          <w:szCs w:val="16"/>
        </w:rPr>
        <w:t xml:space="preserve"> This sub-branch with significant share of small businesses mainly includes brokering activities, design, translation and photographic activities or activities of construction supervision. </w:t>
      </w:r>
    </w:p>
  </w:footnote>
  <w:footnote w:id="46">
    <w:p w14:paraId="71F90353" w14:textId="77777777" w:rsidR="00EC2A23" w:rsidRPr="00995C95" w:rsidRDefault="00EC2A23" w:rsidP="00EC2A23">
      <w:pPr>
        <w:pStyle w:val="Textpoznpodarou"/>
        <w:jc w:val="both"/>
      </w:pPr>
      <w:r w:rsidRPr="00995C95">
        <w:rPr>
          <w:rStyle w:val="Znakapoznpodarou"/>
          <w:sz w:val="16"/>
          <w:szCs w:val="16"/>
        </w:rPr>
        <w:footnoteRef/>
      </w:r>
      <w:r w:rsidRPr="00995C95">
        <w:rPr>
          <w:sz w:val="16"/>
          <w:szCs w:val="16"/>
        </w:rPr>
        <w:t xml:space="preserve"> </w:t>
      </w:r>
      <w:r w:rsidRPr="00995C95">
        <w:rPr>
          <w:rFonts w:eastAsia="Times New Roman"/>
          <w:color w:val="0D0D0D" w:themeColor="text1" w:themeTint="F2"/>
          <w:spacing w:val="-6"/>
          <w:sz w:val="16"/>
          <w:szCs w:val="16"/>
        </w:rPr>
        <w:t xml:space="preserve">They consist mainly of activities linked to the web portals, news press offices and agencies or data processing and hosting. </w:t>
      </w:r>
    </w:p>
  </w:footnote>
  <w:footnote w:id="47">
    <w:p w14:paraId="7901693B" w14:textId="77777777" w:rsidR="00EC2A23" w:rsidRPr="00995C95" w:rsidRDefault="00EC2A23" w:rsidP="00EC2A23">
      <w:pPr>
        <w:pStyle w:val="Textpoznpodarou"/>
        <w:jc w:val="both"/>
        <w:rPr>
          <w:sz w:val="16"/>
          <w:szCs w:val="16"/>
        </w:rPr>
      </w:pPr>
      <w:r w:rsidRPr="00995C95">
        <w:rPr>
          <w:rStyle w:val="Znakapoznpodarou"/>
          <w:sz w:val="16"/>
          <w:szCs w:val="16"/>
        </w:rPr>
        <w:footnoteRef/>
      </w:r>
      <w:r w:rsidRPr="00995C95">
        <w:rPr>
          <w:sz w:val="16"/>
          <w:szCs w:val="16"/>
        </w:rPr>
        <w:t xml:space="preserve"> </w:t>
      </w:r>
      <w:r w:rsidRPr="00995C95">
        <w:rPr>
          <w:rFonts w:eastAsia="Times New Roman"/>
          <w:color w:val="0D0D0D" w:themeColor="text1" w:themeTint="F2"/>
          <w:spacing w:val="-6"/>
          <w:sz w:val="16"/>
          <w:szCs w:val="16"/>
        </w:rPr>
        <w:t xml:space="preserve">They mainly include programming, consultancy in IT area or computer facilities management activities.  </w:t>
      </w:r>
    </w:p>
  </w:footnote>
  <w:footnote w:id="48">
    <w:p w14:paraId="462EF3CB" w14:textId="77777777" w:rsidR="00EC2A23" w:rsidRPr="00995C95" w:rsidRDefault="00EC2A23" w:rsidP="00EC2A23">
      <w:pPr>
        <w:pStyle w:val="Textpoznpodarou"/>
        <w:rPr>
          <w:sz w:val="16"/>
          <w:szCs w:val="16"/>
        </w:rPr>
      </w:pPr>
      <w:r w:rsidRPr="00995C95">
        <w:rPr>
          <w:rStyle w:val="Znakapoznpodarou"/>
          <w:sz w:val="16"/>
          <w:szCs w:val="16"/>
        </w:rPr>
        <w:footnoteRef/>
      </w:r>
      <w:r w:rsidRPr="00995C95">
        <w:rPr>
          <w:sz w:val="16"/>
          <w:szCs w:val="16"/>
        </w:rPr>
        <w:t xml:space="preserve"> This drop of demand may have been related to the repercussions of a longer strike in Hollywood here (from H2 2023). The development of sales of the domestic motion picture and music publishing activities is generally quite volatile, which is related to irregular invoicing.</w:t>
      </w:r>
    </w:p>
  </w:footnote>
  <w:footnote w:id="49">
    <w:p w14:paraId="124B9A3A" w14:textId="77777777" w:rsidR="00EC2A23" w:rsidRPr="00995C95" w:rsidRDefault="00EC2A23" w:rsidP="00EC2A23">
      <w:pPr>
        <w:pStyle w:val="Textpoznpodarou"/>
      </w:pPr>
      <w:r w:rsidRPr="00995C95">
        <w:rPr>
          <w:rStyle w:val="Znakapoznpodarou"/>
          <w:sz w:val="16"/>
          <w:szCs w:val="16"/>
        </w:rPr>
        <w:footnoteRef/>
      </w:r>
      <w:r w:rsidRPr="00995C95">
        <w:rPr>
          <w:sz w:val="16"/>
          <w:szCs w:val="16"/>
        </w:rPr>
        <w:t xml:space="preserve"> The motion picture distribution segment performed similarly. According to data from the Union of Motion Picture Distributors, the gross nominal sales of domestic cinema operators increased by 0.5%, year-on-year, last year (with a decrease of total attendance by 3.3%, which slightly deepened for the second year in a row). Last year's result was affected by weaker sales in the autumn months. Compared to 2019, cinema attendance was almost a third lower last year (with almost the same number of performances played) and sales by an eighth. </w:t>
      </w:r>
    </w:p>
  </w:footnote>
  <w:footnote w:id="50">
    <w:p w14:paraId="796850A0" w14:textId="77777777" w:rsidR="00EC2A23" w:rsidRPr="00995C95" w:rsidRDefault="00EC2A23" w:rsidP="00EC2A23">
      <w:pPr>
        <w:pStyle w:val="Textpoznpodarou"/>
        <w:rPr>
          <w:sz w:val="16"/>
          <w:szCs w:val="16"/>
        </w:rPr>
      </w:pPr>
      <w:r w:rsidRPr="00995C95">
        <w:rPr>
          <w:rStyle w:val="Znakapoznpodarou"/>
          <w:sz w:val="16"/>
          <w:szCs w:val="16"/>
        </w:rPr>
        <w:footnoteRef/>
      </w:r>
      <w:r w:rsidRPr="00995C95">
        <w:rPr>
          <w:sz w:val="16"/>
          <w:szCs w:val="16"/>
        </w:rPr>
        <w:t xml:space="preserve"> Last year's development was influenced by rapidly rising prices for the creation of programming and broadcasting activities as sales at current prices grew slightly (+0.1%).</w:t>
      </w:r>
      <w:r w:rsidRPr="00995C95">
        <w:rPr>
          <w:spacing w:val="-4"/>
          <w:sz w:val="16"/>
          <w:szCs w:val="16"/>
        </w:rPr>
        <w:t xml:space="preserve"> </w:t>
      </w:r>
    </w:p>
  </w:footnote>
  <w:footnote w:id="51">
    <w:p w14:paraId="31E9F4C0" w14:textId="77777777" w:rsidR="00EC2A23" w:rsidRPr="00995C95" w:rsidRDefault="00EC2A23" w:rsidP="00EC2A23">
      <w:pPr>
        <w:pStyle w:val="Textpoznpodarou"/>
        <w:rPr>
          <w:sz w:val="16"/>
          <w:szCs w:val="16"/>
        </w:rPr>
      </w:pPr>
      <w:r w:rsidRPr="00995C95">
        <w:rPr>
          <w:rStyle w:val="Znakapoznpodarou"/>
          <w:sz w:val="16"/>
          <w:szCs w:val="16"/>
        </w:rPr>
        <w:footnoteRef/>
      </w:r>
      <w:r w:rsidRPr="00995C95">
        <w:rPr>
          <w:sz w:val="16"/>
          <w:szCs w:val="16"/>
        </w:rPr>
        <w:t xml:space="preserve"> According to current data from the Ministry of Transport, transport performance (in passenger-kilometres) increased, year-on-year, in rail transport by 4.6%, in road transport by 12.6% and in public transport by 6.8% in Q1 Q3 2025. However, the number of passengers increased only in public transport (+1.4%), while it stagnated on the railway. The growth of transport performance on roads continued in freight transport (+4.9%) and on the contrary it continued to decline on rail (by 3.3%), due to the shortening of transport distances (the volume of transported cargo increased in contrast by 6.9% last year</w:t>
      </w:r>
      <w:r w:rsidRPr="00995C95">
        <w:rPr>
          <w:rFonts w:cs="Arial"/>
          <w:color w:val="0D0D0D" w:themeColor="text1" w:themeTint="F2"/>
          <w:spacing w:val="-4"/>
          <w:sz w:val="16"/>
          <w:szCs w:val="16"/>
        </w:rPr>
        <w:t>).</w:t>
      </w:r>
    </w:p>
  </w:footnote>
  <w:footnote w:id="52">
    <w:p w14:paraId="775F2F81" w14:textId="77777777" w:rsidR="00EC2A23" w:rsidRPr="00995C95" w:rsidRDefault="00EC2A23" w:rsidP="00EC2A23">
      <w:pPr>
        <w:pStyle w:val="Textpoznpodarou"/>
        <w:rPr>
          <w:sz w:val="16"/>
          <w:szCs w:val="16"/>
        </w:rPr>
      </w:pPr>
      <w:r w:rsidRPr="00995C95">
        <w:rPr>
          <w:rStyle w:val="Znakapoznpodarou"/>
          <w:sz w:val="16"/>
          <w:szCs w:val="16"/>
        </w:rPr>
        <w:footnoteRef/>
      </w:r>
      <w:r w:rsidRPr="00995C95">
        <w:rPr>
          <w:sz w:val="16"/>
          <w:szCs w:val="16"/>
        </w:rPr>
        <w:t xml:space="preserve"> On the contrary, the number of passengers handled at airports in the Czech Republic continued to grow (according to current data for Q1 to Q3 2025, by 6.5%, year-on-year). </w:t>
      </w:r>
    </w:p>
  </w:footnote>
  <w:footnote w:id="53">
    <w:p w14:paraId="19AE6C30" w14:textId="77777777" w:rsidR="00EC2A23" w:rsidRPr="00995C95" w:rsidRDefault="00EC2A23" w:rsidP="00EC2A23">
      <w:pPr>
        <w:pStyle w:val="Textpoznpodarou"/>
        <w:rPr>
          <w:spacing w:val="-2"/>
          <w:sz w:val="16"/>
          <w:szCs w:val="16"/>
        </w:rPr>
      </w:pPr>
      <w:r w:rsidRPr="00995C95">
        <w:rPr>
          <w:rStyle w:val="Znakapoznpodarou"/>
          <w:sz w:val="16"/>
          <w:szCs w:val="16"/>
        </w:rPr>
        <w:footnoteRef/>
      </w:r>
      <w:r w:rsidRPr="00995C95">
        <w:rPr>
          <w:sz w:val="16"/>
          <w:szCs w:val="16"/>
        </w:rPr>
        <w:t xml:space="preserve"> Prices of accommodation services increased by 8.5%, year-on-year, in Q1 2025, and prices of food services by 4.9%, year-on-year. Compared to 2015, they were 95% higher in total for both segments in March last year, while prices of the total consumer basket increased by </w:t>
      </w:r>
      <w:r>
        <w:rPr>
          <w:sz w:val="16"/>
          <w:szCs w:val="16"/>
        </w:rPr>
        <w:t>“</w:t>
      </w:r>
      <w:r w:rsidRPr="00995C95">
        <w:rPr>
          <w:sz w:val="16"/>
          <w:szCs w:val="16"/>
        </w:rPr>
        <w:t>only</w:t>
      </w:r>
      <w:r>
        <w:rPr>
          <w:sz w:val="16"/>
          <w:szCs w:val="16"/>
        </w:rPr>
        <w:t>”</w:t>
      </w:r>
      <w:r w:rsidRPr="00995C95">
        <w:rPr>
          <w:sz w:val="16"/>
          <w:szCs w:val="16"/>
        </w:rPr>
        <w:t xml:space="preserve"> 54% over the same period. </w:t>
      </w:r>
    </w:p>
  </w:footnote>
  <w:footnote w:id="54">
    <w:p w14:paraId="53793EE2" w14:textId="77777777" w:rsidR="00EC2A23" w:rsidRPr="00995C95" w:rsidRDefault="00EC2A23" w:rsidP="00EC2A23">
      <w:pPr>
        <w:spacing w:after="0" w:line="240" w:lineRule="auto"/>
        <w:jc w:val="left"/>
        <w:rPr>
          <w:rFonts w:eastAsia="Arial" w:cs="Arial"/>
          <w:szCs w:val="20"/>
        </w:rPr>
      </w:pPr>
      <w:r w:rsidRPr="00995C95">
        <w:rPr>
          <w:rStyle w:val="Znakapoznpodarou"/>
          <w:spacing w:val="-2"/>
          <w:sz w:val="16"/>
          <w:szCs w:val="16"/>
        </w:rPr>
        <w:footnoteRef/>
      </w:r>
      <w:r w:rsidRPr="00995C95">
        <w:rPr>
          <w:spacing w:val="-2"/>
          <w:sz w:val="16"/>
          <w:szCs w:val="16"/>
        </w:rPr>
        <w:t xml:space="preserve"> Overall, however, the number of guests in all MAFs in the Czech Republic increased slightly, year-on-year, in Q3 (+1.5%), since the changeable weather did not disturb urban tourism so much, as indirectly evidenced by the solid growth of the number of arrivals to top-category hotels in the Czech Republic (5*: +4.9%, 4*: +3.3%).  The total demand growth in tourism in the Czech Republic was again driven mainly by foreign guests throughout the year. Israelis contributed the most to the growth last year (with a 35% increase of overnight stays), while Poles (+13.4%), Ukrainians (+8.4%) and the British (+7.5%) also had a significant impact. Demand from Germans stagnated, with these citizens still accounting for almost a quarter of the number of overnight stays (their demand grew by 3.1%, year-on-year, in 2024 and, together with guests from Israel and Great Britain, contributed the most to the growth of all overnight stays by foreign guests). Among the regions, the total demand for accommodation grew the most in the </w:t>
      </w:r>
      <w:r>
        <w:rPr>
          <w:spacing w:val="-2"/>
          <w:sz w:val="16"/>
          <w:szCs w:val="16"/>
        </w:rPr>
        <w:t>“</w:t>
      </w:r>
      <w:proofErr w:type="spellStart"/>
      <w:r w:rsidRPr="00995C95">
        <w:rPr>
          <w:i/>
          <w:iCs/>
          <w:spacing w:val="-2"/>
          <w:sz w:val="16"/>
          <w:szCs w:val="16"/>
        </w:rPr>
        <w:t>Pardubický</w:t>
      </w:r>
      <w:proofErr w:type="spellEnd"/>
      <w:r w:rsidRPr="00995C95">
        <w:rPr>
          <w:spacing w:val="-2"/>
          <w:sz w:val="16"/>
          <w:szCs w:val="16"/>
        </w:rPr>
        <w:t xml:space="preserve"> region” (+5.8%) and the least in the “</w:t>
      </w:r>
      <w:proofErr w:type="spellStart"/>
      <w:r w:rsidRPr="00995C95">
        <w:rPr>
          <w:rFonts w:eastAsia="Arial" w:cs="Arial"/>
          <w:i/>
          <w:iCs/>
          <w:sz w:val="16"/>
          <w:szCs w:val="16"/>
        </w:rPr>
        <w:t>Jihočeský</w:t>
      </w:r>
      <w:proofErr w:type="spellEnd"/>
      <w:r w:rsidRPr="00995C95">
        <w:rPr>
          <w:rFonts w:eastAsia="Arial" w:cs="Arial"/>
          <w:sz w:val="16"/>
          <w:szCs w:val="16"/>
        </w:rPr>
        <w:t xml:space="preserve"> region</w:t>
      </w:r>
      <w:r>
        <w:rPr>
          <w:rFonts w:eastAsia="Arial" w:cs="Arial"/>
          <w:sz w:val="16"/>
          <w:szCs w:val="16"/>
        </w:rPr>
        <w:t>”</w:t>
      </w:r>
      <w:r w:rsidRPr="00995C95">
        <w:rPr>
          <w:rFonts w:eastAsia="Arial" w:cs="Arial"/>
          <w:sz w:val="16"/>
          <w:szCs w:val="16"/>
        </w:rPr>
        <w:t xml:space="preserve"> (</w:t>
      </w:r>
      <w:r w:rsidRPr="00995C95">
        <w:rPr>
          <w:spacing w:val="-2"/>
          <w:sz w:val="16"/>
          <w:szCs w:val="16"/>
        </w:rPr>
        <w:t>+0.8%). No region recorded a decrease of the number of overnight stays last year. Growth was 3.9% in Prague and was largely driven by foreign demand. It increased last year in all regions, except for the “</w:t>
      </w:r>
      <w:proofErr w:type="spellStart"/>
      <w:r w:rsidRPr="00995C95">
        <w:rPr>
          <w:i/>
          <w:iCs/>
          <w:spacing w:val="-2"/>
          <w:sz w:val="16"/>
          <w:szCs w:val="16"/>
        </w:rPr>
        <w:t>Vysočina</w:t>
      </w:r>
      <w:proofErr w:type="spellEnd"/>
      <w:r w:rsidRPr="00995C95">
        <w:rPr>
          <w:spacing w:val="-2"/>
          <w:sz w:val="16"/>
          <w:szCs w:val="16"/>
        </w:rPr>
        <w:t xml:space="preserve"> region” (−0.3%). In the case of domestic clientele, a similar slight decline of interest was recorded in the “</w:t>
      </w:r>
      <w:proofErr w:type="spellStart"/>
      <w:r w:rsidRPr="00995C95">
        <w:rPr>
          <w:rFonts w:eastAsia="Arial" w:cs="Arial"/>
          <w:i/>
          <w:iCs/>
          <w:sz w:val="16"/>
          <w:szCs w:val="16"/>
        </w:rPr>
        <w:t>Královéhradecký</w:t>
      </w:r>
      <w:proofErr w:type="spellEnd"/>
      <w:r w:rsidRPr="00995C95">
        <w:rPr>
          <w:rFonts w:eastAsia="Arial" w:cs="Arial"/>
          <w:sz w:val="16"/>
          <w:szCs w:val="16"/>
        </w:rPr>
        <w:t xml:space="preserve"> region</w:t>
      </w:r>
      <w:r>
        <w:rPr>
          <w:rFonts w:eastAsia="Arial" w:cs="Arial"/>
          <w:sz w:val="16"/>
          <w:szCs w:val="16"/>
        </w:rPr>
        <w:t xml:space="preserve">” </w:t>
      </w:r>
      <w:r w:rsidRPr="00995C95">
        <w:rPr>
          <w:rFonts w:eastAsia="Arial" w:cs="Arial"/>
          <w:sz w:val="16"/>
          <w:szCs w:val="16"/>
        </w:rPr>
        <w:t xml:space="preserve">and </w:t>
      </w:r>
      <w:r>
        <w:rPr>
          <w:rFonts w:eastAsia="Arial" w:cs="Arial"/>
          <w:sz w:val="16"/>
          <w:szCs w:val="16"/>
        </w:rPr>
        <w:t>“</w:t>
      </w:r>
      <w:proofErr w:type="spellStart"/>
      <w:r w:rsidRPr="00995C95">
        <w:rPr>
          <w:rFonts w:eastAsia="Arial" w:cs="Arial"/>
          <w:i/>
          <w:iCs/>
          <w:sz w:val="16"/>
          <w:szCs w:val="16"/>
        </w:rPr>
        <w:t>Jihočeský</w:t>
      </w:r>
      <w:proofErr w:type="spellEnd"/>
      <w:r w:rsidRPr="00995C95">
        <w:rPr>
          <w:rFonts w:eastAsia="Arial" w:cs="Arial"/>
          <w:sz w:val="16"/>
          <w:szCs w:val="16"/>
        </w:rPr>
        <w:t xml:space="preserve"> region</w:t>
      </w:r>
      <w:r>
        <w:rPr>
          <w:rFonts w:eastAsia="Arial" w:cs="Arial"/>
          <w:sz w:val="16"/>
          <w:szCs w:val="16"/>
        </w:rPr>
        <w:t>”</w:t>
      </w:r>
      <w:r w:rsidRPr="00995C95">
        <w:rPr>
          <w:rFonts w:eastAsia="Arial" w:cs="Arial"/>
          <w:sz w:val="16"/>
          <w:szCs w:val="16"/>
        </w:rPr>
        <w:t>,</w:t>
      </w:r>
      <w:r w:rsidRPr="00995C95">
        <w:rPr>
          <w:spacing w:val="-2"/>
          <w:sz w:val="16"/>
          <w:szCs w:val="16"/>
        </w:rPr>
        <w:t xml:space="preserve"> while the overnight stays of Czechs increased slightly in other regions (the most in the “</w:t>
      </w:r>
      <w:proofErr w:type="spellStart"/>
      <w:r w:rsidRPr="00995C95">
        <w:rPr>
          <w:i/>
          <w:iCs/>
          <w:spacing w:val="-2"/>
          <w:sz w:val="16"/>
          <w:szCs w:val="16"/>
        </w:rPr>
        <w:t>Plzeňský</w:t>
      </w:r>
      <w:proofErr w:type="spellEnd"/>
      <w:r w:rsidRPr="00995C95">
        <w:rPr>
          <w:spacing w:val="-2"/>
          <w:sz w:val="16"/>
          <w:szCs w:val="16"/>
        </w:rPr>
        <w:t xml:space="preserve"> region”: +4.6%)</w:t>
      </w:r>
      <w:r w:rsidRPr="00995C95">
        <w:rPr>
          <w:rFonts w:eastAsia="Arial" w:cs="Arial"/>
          <w:sz w:val="16"/>
          <w:szCs w:val="16"/>
        </w:rPr>
        <w:t xml:space="preserve">.  </w:t>
      </w:r>
    </w:p>
  </w:footnote>
  <w:footnote w:id="55">
    <w:p w14:paraId="6D6E4EF2" w14:textId="77777777" w:rsidR="00EC2A23" w:rsidRPr="00995C95" w:rsidRDefault="00EC2A23" w:rsidP="00EC2A23">
      <w:pPr>
        <w:pStyle w:val="Textpoznpodarou"/>
        <w:rPr>
          <w:sz w:val="16"/>
          <w:szCs w:val="16"/>
        </w:rPr>
      </w:pPr>
      <w:r w:rsidRPr="00995C95">
        <w:rPr>
          <w:rStyle w:val="Znakapoznpodarou"/>
          <w:sz w:val="16"/>
          <w:szCs w:val="16"/>
        </w:rPr>
        <w:footnoteRef/>
      </w:r>
      <w:r w:rsidRPr="00995C95">
        <w:rPr>
          <w:sz w:val="16"/>
          <w:szCs w:val="16"/>
        </w:rPr>
        <w:t xml:space="preserve"> This happened almost exclusively thanks to domestic clientele. The number of foreign guests was comparable to 2019 last </w:t>
      </w:r>
      <w:proofErr w:type="gramStart"/>
      <w:r w:rsidRPr="00995C95">
        <w:rPr>
          <w:sz w:val="16"/>
          <w:szCs w:val="16"/>
        </w:rPr>
        <w:t>year,</w:t>
      </w:r>
      <w:proofErr w:type="gramEnd"/>
      <w:r w:rsidRPr="00995C95">
        <w:rPr>
          <w:sz w:val="16"/>
          <w:szCs w:val="16"/>
        </w:rPr>
        <w:t xml:space="preserve"> however their number of overnight stays was still slightly lagging behind (by 1.6%). </w:t>
      </w:r>
    </w:p>
  </w:footnote>
  <w:footnote w:id="56">
    <w:p w14:paraId="3BD79ADE" w14:textId="77777777" w:rsidR="00EC2A23" w:rsidRPr="00995C95" w:rsidRDefault="00EC2A23" w:rsidP="00EC2A23">
      <w:pPr>
        <w:pStyle w:val="Textpoznpodarou"/>
        <w:rPr>
          <w:sz w:val="16"/>
          <w:szCs w:val="16"/>
        </w:rPr>
      </w:pPr>
      <w:r w:rsidRPr="00995C95">
        <w:rPr>
          <w:rStyle w:val="Znakapoznpodarou"/>
          <w:sz w:val="16"/>
          <w:szCs w:val="16"/>
        </w:rPr>
        <w:footnoteRef/>
      </w:r>
      <w:r w:rsidRPr="00995C95">
        <w:rPr>
          <w:sz w:val="16"/>
          <w:szCs w:val="16"/>
        </w:rPr>
        <w:t xml:space="preserve"> These include, for example, the organization of conferences and exhibitions, activities of collection agencies and credit bureaus, but also e.g. call-centre activities.   </w:t>
      </w:r>
    </w:p>
  </w:footnote>
  <w:footnote w:id="57">
    <w:p w14:paraId="595D015A" w14:textId="77777777" w:rsidR="00EC2A23" w:rsidRPr="00995C95" w:rsidRDefault="00EC2A23" w:rsidP="00EC2A23">
      <w:pPr>
        <w:pStyle w:val="Textpoznpodarou"/>
        <w:rPr>
          <w:sz w:val="16"/>
          <w:szCs w:val="16"/>
        </w:rPr>
      </w:pPr>
      <w:r w:rsidRPr="00995C95">
        <w:rPr>
          <w:rStyle w:val="Znakapoznpodarou"/>
          <w:sz w:val="16"/>
          <w:szCs w:val="16"/>
        </w:rPr>
        <w:footnoteRef/>
      </w:r>
      <w:r w:rsidRPr="00995C95">
        <w:rPr>
          <w:sz w:val="16"/>
          <w:szCs w:val="16"/>
        </w:rPr>
        <w:t xml:space="preserve"> Year-on-year, sales (without adjustment) increased the most for rental and leasing of other machinery (e.g. construction or agricultural), equipment and trucks (+8.1%), the least for rental and leasing of passenger cars (and other light motor vehicles), where demand stagnated as in the previous two years.</w:t>
      </w:r>
    </w:p>
  </w:footnote>
  <w:footnote w:id="58">
    <w:p w14:paraId="6009B734" w14:textId="77777777" w:rsidR="00EC2A23" w:rsidRPr="00995C95" w:rsidRDefault="00EC2A23" w:rsidP="00EC2A23">
      <w:pPr>
        <w:pStyle w:val="Textpoznpodarou"/>
        <w:rPr>
          <w:sz w:val="16"/>
          <w:szCs w:val="16"/>
        </w:rPr>
      </w:pPr>
      <w:r w:rsidRPr="00995C95">
        <w:rPr>
          <w:rStyle w:val="Znakapoznpodarou"/>
          <w:sz w:val="16"/>
          <w:szCs w:val="16"/>
        </w:rPr>
        <w:footnoteRef/>
      </w:r>
      <w:r w:rsidRPr="00995C95">
        <w:rPr>
          <w:sz w:val="16"/>
          <w:szCs w:val="16"/>
        </w:rPr>
        <w:t xml:space="preserve"> The decline of sales also occurred amid a high growth of the number of working foreigners in the Czech Republic. Refugees from Ukraine have played a significant role in it in the last four years. Due to the Temporary protection status granted to these persons, their employment in the CR is administratively simpler (compared to other groups of migrants from the so-called third countries) and thus they can find employment more easily </w:t>
      </w:r>
      <w:r>
        <w:rPr>
          <w:sz w:val="16"/>
          <w:szCs w:val="16"/>
        </w:rPr>
        <w:t>“</w:t>
      </w:r>
      <w:r w:rsidRPr="00995C95">
        <w:rPr>
          <w:sz w:val="16"/>
          <w:szCs w:val="16"/>
        </w:rPr>
        <w:t>directly</w:t>
      </w:r>
      <w:r>
        <w:rPr>
          <w:sz w:val="16"/>
          <w:szCs w:val="16"/>
        </w:rPr>
        <w:t>”</w:t>
      </w:r>
      <w:r w:rsidRPr="00995C95">
        <w:rPr>
          <w:sz w:val="16"/>
          <w:szCs w:val="16"/>
        </w:rPr>
        <w:t xml:space="preserve"> (without an intermediary). In addition to the above, the reduced demand for the agency workers on the part of key manufacturing branches of the industry can also play a role in the decrease of sales.</w:t>
      </w:r>
    </w:p>
  </w:footnote>
  <w:footnote w:id="59">
    <w:p w14:paraId="6FC63A1A" w14:textId="77777777" w:rsidR="00EC2A23" w:rsidRPr="00995C95" w:rsidRDefault="00EC2A23" w:rsidP="00EC2A23">
      <w:pPr>
        <w:pStyle w:val="Textpoznpodarou"/>
        <w:rPr>
          <w:sz w:val="16"/>
          <w:szCs w:val="16"/>
        </w:rPr>
      </w:pPr>
      <w:r w:rsidRPr="00995C95">
        <w:rPr>
          <w:rStyle w:val="Znakapoznpodarou"/>
          <w:sz w:val="16"/>
          <w:szCs w:val="16"/>
        </w:rPr>
        <w:footnoteRef/>
      </w:r>
      <w:r w:rsidRPr="00995C95">
        <w:rPr>
          <w:sz w:val="16"/>
          <w:szCs w:val="16"/>
        </w:rPr>
        <w:t xml:space="preserve"> Last November, it thus broke out of the negative zone for the first time since the end of 2019 and was almost 12% higher than the long-term average (2003–2024). Although there was a slight correction in the following months, consumer confidence was still noticeably higher, year-on-year.  </w:t>
      </w:r>
    </w:p>
  </w:footnote>
  <w:footnote w:id="60">
    <w:p w14:paraId="22AFED16" w14:textId="77777777" w:rsidR="00EC2A23" w:rsidRPr="00995C95" w:rsidRDefault="00EC2A23" w:rsidP="00EC2A23">
      <w:pPr>
        <w:spacing w:after="0" w:line="240" w:lineRule="auto"/>
        <w:jc w:val="left"/>
        <w:rPr>
          <w:spacing w:val="-2"/>
        </w:rPr>
      </w:pPr>
      <w:r w:rsidRPr="00995C95">
        <w:rPr>
          <w:rStyle w:val="Znakapoznpodarou"/>
          <w:color w:val="0D0D0D" w:themeColor="text1" w:themeTint="F2"/>
          <w:spacing w:val="-2"/>
          <w:sz w:val="16"/>
          <w:szCs w:val="16"/>
        </w:rPr>
        <w:footnoteRef/>
      </w:r>
      <w:r w:rsidRPr="00995C95">
        <w:rPr>
          <w:color w:val="0D0D0D" w:themeColor="text1" w:themeTint="F2"/>
          <w:spacing w:val="-2"/>
          <w:sz w:val="16"/>
          <w:szCs w:val="16"/>
        </w:rPr>
        <w:t xml:space="preserve"> All year-on-year rates of retail sales are given at constant prices and adjusted for calendar effects, quarter-on-quarter rates are seasonally adjusted (including the effect of the number of working days). Retail trade includes only CZ-NACE 47 economic activities.</w:t>
      </w:r>
    </w:p>
  </w:footnote>
  <w:footnote w:id="61">
    <w:p w14:paraId="52271F5C" w14:textId="77777777" w:rsidR="00EC2A23" w:rsidRPr="00995C95" w:rsidRDefault="00EC2A23" w:rsidP="00EC2A23">
      <w:pPr>
        <w:pStyle w:val="Textpoznpodarou"/>
        <w:rPr>
          <w:spacing w:val="-2"/>
          <w:sz w:val="16"/>
          <w:szCs w:val="16"/>
        </w:rPr>
      </w:pPr>
      <w:r w:rsidRPr="00995C95">
        <w:rPr>
          <w:rStyle w:val="Znakapoznpodarou"/>
          <w:sz w:val="16"/>
          <w:szCs w:val="16"/>
        </w:rPr>
        <w:footnoteRef/>
      </w:r>
      <w:r w:rsidRPr="00995C95">
        <w:rPr>
          <w:sz w:val="16"/>
          <w:szCs w:val="16"/>
        </w:rPr>
        <w:t xml:space="preserve"> In addition, sales growth in the marginal segment of non-specialised stores with non-food goods predominating continued for the fifth year in a row last year (by 5.7% last year, by 14.6% the year before). It focuses on offering diverse, rather smaller goods at discount prices and has gradually expanded its sales network in the Czech Republic in recent years. </w:t>
      </w:r>
    </w:p>
  </w:footnote>
  <w:footnote w:id="62">
    <w:p w14:paraId="41EAF95E" w14:textId="77777777" w:rsidR="00EC2A23" w:rsidRPr="00995C95" w:rsidRDefault="00EC2A23" w:rsidP="00EC2A23">
      <w:pPr>
        <w:pStyle w:val="Textpoznpodarou"/>
        <w:rPr>
          <w:sz w:val="16"/>
          <w:szCs w:val="16"/>
        </w:rPr>
      </w:pPr>
      <w:r w:rsidRPr="00995C95">
        <w:rPr>
          <w:rStyle w:val="Znakapoznpodarou"/>
          <w:spacing w:val="-2"/>
          <w:sz w:val="16"/>
          <w:szCs w:val="16"/>
        </w:rPr>
        <w:footnoteRef/>
      </w:r>
      <w:r w:rsidRPr="00995C95">
        <w:rPr>
          <w:spacing w:val="-2"/>
          <w:sz w:val="16"/>
          <w:szCs w:val="16"/>
        </w:rPr>
        <w:t xml:space="preserve"> Favourable price developments also helped to drive demand for both of these assortment groups in the longer term (consumer prices fell slightly here in both 2024 and 2025). </w:t>
      </w:r>
    </w:p>
  </w:footnote>
  <w:footnote w:id="63">
    <w:p w14:paraId="6E6D6908" w14:textId="77777777" w:rsidR="00EC2A23" w:rsidRPr="00995C95" w:rsidRDefault="00EC2A23" w:rsidP="00EC2A23">
      <w:pPr>
        <w:pStyle w:val="Textpoznpodarou"/>
        <w:rPr>
          <w:rFonts w:cs="Arial"/>
          <w:color w:val="0D0D0D" w:themeColor="text1" w:themeTint="F2"/>
          <w:spacing w:val="-2"/>
          <w:sz w:val="16"/>
          <w:szCs w:val="16"/>
        </w:rPr>
      </w:pPr>
      <w:r w:rsidRPr="00995C95">
        <w:rPr>
          <w:rStyle w:val="Znakapoznpodarou"/>
          <w:sz w:val="16"/>
          <w:szCs w:val="16"/>
        </w:rPr>
        <w:footnoteRef/>
      </w:r>
      <w:r w:rsidRPr="00995C95">
        <w:rPr>
          <w:sz w:val="16"/>
          <w:szCs w:val="16"/>
        </w:rPr>
        <w:t xml:space="preserve"> The consumer price of diesel reached an average of 32.70 CZK/l last May, and Natural 95 petrol was sold at filling stations for approximately 33.90 CZK/l. In the case of diesel, this was the lowest value since June 2023 and in the case of Natural 95 petrol even since September 2021. Favourable price developments continued without significant fluctuations until the outbreak of the war in Iran (at the beginning of March 2026). In addition to domestic households and companies, foreign carriers that operate transit transport through the Czech Republic have also responded to this development. </w:t>
      </w:r>
    </w:p>
  </w:footnote>
  <w:footnote w:id="64">
    <w:p w14:paraId="76634898" w14:textId="77777777" w:rsidR="00EC2A23" w:rsidRPr="00995C95" w:rsidRDefault="00EC2A23" w:rsidP="00EC2A23">
      <w:pPr>
        <w:pStyle w:val="Textpoznpodarou"/>
        <w:rPr>
          <w:spacing w:val="-2"/>
          <w:sz w:val="16"/>
          <w:szCs w:val="16"/>
        </w:rPr>
      </w:pPr>
      <w:r w:rsidRPr="00995C95">
        <w:rPr>
          <w:rStyle w:val="Znakapoznpodarou"/>
          <w:spacing w:val="-2"/>
          <w:sz w:val="16"/>
          <w:szCs w:val="16"/>
        </w:rPr>
        <w:footnoteRef/>
      </w:r>
      <w:r w:rsidRPr="00995C95">
        <w:rPr>
          <w:spacing w:val="-2"/>
          <w:sz w:val="16"/>
          <w:szCs w:val="16"/>
        </w:rPr>
        <w:t xml:space="preserve"> However, fuel sales at current prices increased by only 1.5% last year, i.e. four times less than in 2024.</w:t>
      </w:r>
    </w:p>
  </w:footnote>
  <w:footnote w:id="65">
    <w:p w14:paraId="59E4F69D" w14:textId="77777777" w:rsidR="00EC2A23" w:rsidRPr="00995C95" w:rsidRDefault="00EC2A23" w:rsidP="00EC2A23">
      <w:pPr>
        <w:pStyle w:val="Textpoznpodarou"/>
        <w:rPr>
          <w:sz w:val="16"/>
          <w:szCs w:val="16"/>
        </w:rPr>
      </w:pPr>
      <w:r w:rsidRPr="00995C95">
        <w:rPr>
          <w:rStyle w:val="Znakapoznpodarou"/>
          <w:spacing w:val="-2"/>
          <w:sz w:val="16"/>
          <w:szCs w:val="16"/>
        </w:rPr>
        <w:footnoteRef/>
      </w:r>
      <w:r w:rsidRPr="00995C95">
        <w:rPr>
          <w:spacing w:val="-2"/>
          <w:sz w:val="16"/>
          <w:szCs w:val="16"/>
        </w:rPr>
        <w:t xml:space="preserve"> Sales have been falling at a similar pace here for the fourth year in a row. It can be assumed that an increasingly significant part of the demand for computer and communication equipment is usually realized in larger establishments belonging (according to their predominant activity) to sales via Internet. </w:t>
      </w:r>
      <w:r w:rsidRPr="00995C95">
        <w:rPr>
          <w:sz w:val="16"/>
          <w:szCs w:val="16"/>
        </w:rPr>
        <w:t xml:space="preserve"> </w:t>
      </w:r>
    </w:p>
  </w:footnote>
  <w:footnote w:id="66">
    <w:p w14:paraId="3FD5C791" w14:textId="77777777" w:rsidR="00EC2A23" w:rsidRPr="00995C95" w:rsidRDefault="00EC2A23" w:rsidP="00EC2A23">
      <w:pPr>
        <w:pStyle w:val="Textpoznpodarou"/>
        <w:jc w:val="both"/>
        <w:rPr>
          <w:sz w:val="16"/>
          <w:szCs w:val="16"/>
        </w:rPr>
      </w:pPr>
      <w:r w:rsidRPr="00995C95">
        <w:rPr>
          <w:rStyle w:val="Znakapoznpodarou"/>
          <w:sz w:val="16"/>
          <w:szCs w:val="16"/>
        </w:rPr>
        <w:footnoteRef/>
      </w:r>
      <w:r w:rsidRPr="00995C95">
        <w:rPr>
          <w:sz w:val="16"/>
          <w:szCs w:val="16"/>
        </w:rPr>
        <w:t xml:space="preserve"> These include mainly hardware, building materials, paints, glass, DIY supplies, electrical appliances, electronics, furniture, lighting equipment, carpets or home textiles. </w:t>
      </w:r>
    </w:p>
  </w:footnote>
  <w:footnote w:id="67">
    <w:p w14:paraId="0755DA0C" w14:textId="77777777" w:rsidR="00EC2A23" w:rsidRPr="00995C95" w:rsidRDefault="00EC2A23" w:rsidP="00EC2A23">
      <w:pPr>
        <w:pStyle w:val="Textpoznpodarou"/>
        <w:rPr>
          <w:sz w:val="16"/>
          <w:szCs w:val="16"/>
        </w:rPr>
      </w:pPr>
      <w:r w:rsidRPr="00995C95">
        <w:rPr>
          <w:rStyle w:val="Znakapoznpodarou"/>
          <w:sz w:val="16"/>
          <w:szCs w:val="16"/>
        </w:rPr>
        <w:footnoteRef/>
      </w:r>
      <w:r w:rsidRPr="00995C95">
        <w:rPr>
          <w:sz w:val="16"/>
          <w:szCs w:val="16"/>
        </w:rPr>
        <w:t xml:space="preserve"> More detailed data for non-specialised stores with food predominating (in enterprises with an annual turnover of more than 15 bn CZK) indicate that the long-term trend of decline of the consumption of alcohol, non-alcoholic beverages and tobacco products probably continued last year (e.g. consumer prices of tobacco products increased by 7.0% in the Czech Republic last year, but sales for these products in the above-mentioned store segment increased by only 4.4% at current prices). On the contrary, consumers probably demanded more non-food goods in the above-mentioned stores last year, as indicated by the growth of sales at current prices for building materials and hardware (+7.4%). In contrast, they demanded less clothing, footwear, leather goods and travel equipment (−6.8%). Last year, consumer prices in the Czech Republic did not rise for clothing and footwear, on the contrary, they rose for household products. </w:t>
      </w:r>
    </w:p>
  </w:footnote>
  <w:footnote w:id="68">
    <w:p w14:paraId="039AC612" w14:textId="77777777" w:rsidR="00EC2A23" w:rsidRPr="00995C95" w:rsidRDefault="00EC2A23" w:rsidP="00EC2A23">
      <w:pPr>
        <w:pStyle w:val="Textpoznpodarou"/>
        <w:jc w:val="both"/>
        <w:rPr>
          <w:spacing w:val="-2"/>
        </w:rPr>
      </w:pPr>
      <w:r w:rsidRPr="00995C95">
        <w:rPr>
          <w:rStyle w:val="Znakapoznpodarou"/>
          <w:spacing w:val="-2"/>
          <w:sz w:val="16"/>
          <w:szCs w:val="16"/>
        </w:rPr>
        <w:footnoteRef/>
      </w:r>
      <w:r w:rsidRPr="00995C95">
        <w:rPr>
          <w:spacing w:val="-2"/>
          <w:sz w:val="16"/>
          <w:szCs w:val="16"/>
        </w:rPr>
        <w:t xml:space="preserve"> </w:t>
      </w:r>
      <w:bookmarkStart w:id="19" w:name="_Hlk194788133"/>
      <w:r w:rsidRPr="00995C95">
        <w:rPr>
          <w:sz w:val="16"/>
          <w:szCs w:val="16"/>
        </w:rPr>
        <w:t>These include, for example meat products, pastries, confectionery products, beverages or fruit and vegetables. However, tobacco shops, whose role grows especially to the detriment of stores with meat, have the greatest weight here in the latest years.</w:t>
      </w:r>
      <w:bookmarkEnd w:id="19"/>
    </w:p>
  </w:footnote>
  <w:footnote w:id="69">
    <w:p w14:paraId="6FA517F9" w14:textId="77777777" w:rsidR="002B7440" w:rsidRPr="00995C95" w:rsidRDefault="002B7440" w:rsidP="002B7440">
      <w:pPr>
        <w:pStyle w:val="Textpoznpodarou"/>
        <w:rPr>
          <w:rFonts w:cs="Arial"/>
          <w:iCs/>
          <w:sz w:val="16"/>
          <w:szCs w:val="16"/>
        </w:rPr>
      </w:pPr>
      <w:r w:rsidRPr="00995C95">
        <w:rPr>
          <w:rStyle w:val="Znakapoznpodarou"/>
          <w:rFonts w:cs="Arial"/>
          <w:i/>
          <w:sz w:val="16"/>
          <w:szCs w:val="16"/>
        </w:rPr>
        <w:footnoteRef/>
      </w:r>
      <w:r w:rsidRPr="00995C95">
        <w:rPr>
          <w:rFonts w:cs="Arial"/>
          <w:i/>
          <w:iCs/>
          <w:sz w:val="16"/>
          <w:szCs w:val="16"/>
        </w:rPr>
        <w:t xml:space="preserve"> </w:t>
      </w:r>
      <w:r w:rsidRPr="00995C95">
        <w:rPr>
          <w:sz w:val="16"/>
          <w:szCs w:val="16"/>
        </w:rPr>
        <w:t xml:space="preserve">Data for international trade with goods are recalculated using the updated method based on higher rate of detail since year 2020, see </w:t>
      </w:r>
      <w:hyperlink r:id="rId1" w:history="1">
        <w:r w:rsidRPr="00995C95">
          <w:rPr>
            <w:rStyle w:val="Hypertextovodkaz"/>
            <w:rFonts w:cs="Arial"/>
            <w:i/>
            <w:sz w:val="16"/>
            <w:szCs w:val="16"/>
            <w:bdr w:val="none" w:sz="0" w:space="0" w:color="auto" w:frame="1"/>
            <w:shd w:val="clear" w:color="auto" w:fill="FFFFFF"/>
          </w:rPr>
          <w:t>https://www.czso.cz/csu/czso/aktualizace-metody-propoctu-zahranicni-obchod-se-zbozim</w:t>
        </w:r>
      </w:hyperlink>
      <w:r w:rsidRPr="00995C95">
        <w:rPr>
          <w:rFonts w:cs="Arial"/>
          <w:i/>
          <w:sz w:val="16"/>
          <w:szCs w:val="16"/>
          <w:bdr w:val="none" w:sz="0" w:space="0" w:color="auto" w:frame="1"/>
          <w:shd w:val="clear" w:color="auto" w:fill="FFFFFF"/>
        </w:rPr>
        <w:t>.</w:t>
      </w:r>
      <w:r w:rsidRPr="00995C95">
        <w:rPr>
          <w:sz w:val="16"/>
          <w:szCs w:val="16"/>
        </w:rPr>
        <w:t xml:space="preserve"> Unless stated otherwise, all figures are without seasonal adjustment and at current prices</w:t>
      </w:r>
      <w:r w:rsidRPr="00995C95">
        <w:rPr>
          <w:rFonts w:cs="Arial"/>
          <w:i/>
          <w:iCs/>
          <w:sz w:val="16"/>
          <w:szCs w:val="16"/>
        </w:rPr>
        <w:t xml:space="preserve">. </w:t>
      </w:r>
    </w:p>
  </w:footnote>
  <w:footnote w:id="70">
    <w:p w14:paraId="2B95A6CA" w14:textId="77777777" w:rsidR="002B7440" w:rsidRPr="00995C95" w:rsidRDefault="002B7440" w:rsidP="002B7440">
      <w:pPr>
        <w:pStyle w:val="Textpoznpodarou"/>
        <w:rPr>
          <w:sz w:val="16"/>
          <w:szCs w:val="16"/>
        </w:rPr>
      </w:pPr>
      <w:r w:rsidRPr="00995C95">
        <w:rPr>
          <w:rStyle w:val="Znakapoznpodarou"/>
          <w:sz w:val="16"/>
          <w:szCs w:val="16"/>
        </w:rPr>
        <w:footnoteRef/>
      </w:r>
      <w:r w:rsidRPr="00995C95">
        <w:rPr>
          <w:sz w:val="16"/>
          <w:szCs w:val="16"/>
        </w:rPr>
        <w:t xml:space="preserve"> Export prices of goods fell by 1.2% in 2025. In Q4 2025 alone, they decreased by 4.2%, year-on-year, and by 0.7%, quarter-on-quarter. </w:t>
      </w:r>
    </w:p>
  </w:footnote>
  <w:footnote w:id="71">
    <w:p w14:paraId="272C6CA0" w14:textId="77777777" w:rsidR="002B7440" w:rsidRPr="00995C95" w:rsidRDefault="002B7440" w:rsidP="002B7440">
      <w:pPr>
        <w:pStyle w:val="Textpoznpodarou"/>
      </w:pPr>
      <w:r w:rsidRPr="00995C95">
        <w:rPr>
          <w:rStyle w:val="Znakapoznpodarou"/>
          <w:sz w:val="16"/>
          <w:szCs w:val="16"/>
        </w:rPr>
        <w:footnoteRef/>
      </w:r>
      <w:r w:rsidRPr="00995C95">
        <w:rPr>
          <w:sz w:val="16"/>
          <w:szCs w:val="16"/>
        </w:rPr>
        <w:t xml:space="preserve"> In the Czech context, the effect of stocking up in connection with the expected introduction of tariffs on imports to the USA was reflected mainly in a significant acceleration in the year-on-year increase of exports of goods to Germany in Q1 of this year, which is the largest European exporter to the USA. The Czech Republic is a subcontractor in this relation. However, the increase of Czech exports to Germany decreased sharply in Q2. Exports from the Czech Republic to the USA themselves strengthened significantly in 2024, and this year's Q1 continued this trend. Here, too, the dynamics slowed down in the following quarters. </w:t>
      </w:r>
    </w:p>
  </w:footnote>
  <w:footnote w:id="72">
    <w:p w14:paraId="3A5E6726" w14:textId="77777777" w:rsidR="00B104EC" w:rsidRPr="00995C95" w:rsidRDefault="00B104EC" w:rsidP="00B104EC">
      <w:pPr>
        <w:pStyle w:val="Textpoznpodarou"/>
        <w:rPr>
          <w:sz w:val="16"/>
          <w:szCs w:val="16"/>
        </w:rPr>
      </w:pPr>
      <w:r w:rsidRPr="00995C95">
        <w:rPr>
          <w:rStyle w:val="Znakapoznpodarou"/>
          <w:sz w:val="16"/>
          <w:szCs w:val="16"/>
        </w:rPr>
        <w:footnoteRef/>
      </w:r>
      <w:r w:rsidRPr="00995C95">
        <w:rPr>
          <w:sz w:val="16"/>
          <w:szCs w:val="16"/>
        </w:rPr>
        <w:t xml:space="preserve"> Exports to the UK increased by 1.1 bn CZK last year after an increase of 40.9 bn CZK in 2024, by 3.4 bn CZK to the USA after an increase of 21.4 bn CZK, and exports to Singapore by 50 million CZK after an increase of 10.6 bn CZK.  </w:t>
      </w:r>
    </w:p>
  </w:footnote>
  <w:footnote w:id="73">
    <w:p w14:paraId="061A725A" w14:textId="77777777" w:rsidR="00444B1D" w:rsidRPr="00995C95" w:rsidRDefault="00444B1D" w:rsidP="00444B1D">
      <w:pPr>
        <w:pStyle w:val="Textpoznpodarou"/>
        <w:rPr>
          <w:sz w:val="16"/>
          <w:szCs w:val="16"/>
        </w:rPr>
      </w:pPr>
      <w:r w:rsidRPr="00995C95">
        <w:rPr>
          <w:rStyle w:val="Znakapoznpodarou"/>
          <w:sz w:val="16"/>
          <w:szCs w:val="16"/>
        </w:rPr>
        <w:footnoteRef/>
      </w:r>
      <w:r w:rsidRPr="00995C95">
        <w:rPr>
          <w:sz w:val="16"/>
          <w:szCs w:val="16"/>
        </w:rPr>
        <w:t xml:space="preserve"> Import prices fell by 1.6% in 2025. They were lower by 5.1%, year-on-year, and by 1.1%, quarter-on-quarter, in Q4. </w:t>
      </w:r>
    </w:p>
  </w:footnote>
  <w:footnote w:id="74">
    <w:p w14:paraId="30F39FD3" w14:textId="77777777" w:rsidR="006C398B" w:rsidRPr="00995C95" w:rsidRDefault="006C398B" w:rsidP="006C398B">
      <w:pPr>
        <w:pStyle w:val="Textpoznpodarou"/>
        <w:rPr>
          <w:sz w:val="16"/>
          <w:szCs w:val="16"/>
        </w:rPr>
      </w:pPr>
      <w:r w:rsidRPr="00995C95">
        <w:rPr>
          <w:rStyle w:val="Znakapoznpodarou"/>
          <w:sz w:val="16"/>
          <w:szCs w:val="16"/>
        </w:rPr>
        <w:footnoteRef/>
      </w:r>
      <w:r w:rsidRPr="00995C95">
        <w:rPr>
          <w:sz w:val="16"/>
          <w:szCs w:val="16"/>
        </w:rPr>
        <w:t xml:space="preserve"> The increase was mainly in weapons and ammunition.</w:t>
      </w:r>
    </w:p>
  </w:footnote>
  <w:footnote w:id="75">
    <w:p w14:paraId="657B9FEC" w14:textId="77777777" w:rsidR="004111A5" w:rsidRPr="00995C95" w:rsidRDefault="004111A5" w:rsidP="004111A5">
      <w:pPr>
        <w:pStyle w:val="Textpoznpodarou"/>
        <w:rPr>
          <w:sz w:val="16"/>
          <w:szCs w:val="16"/>
        </w:rPr>
      </w:pPr>
      <w:r w:rsidRPr="00995C95">
        <w:rPr>
          <w:rStyle w:val="Znakapoznpodarou"/>
          <w:sz w:val="16"/>
          <w:szCs w:val="16"/>
        </w:rPr>
        <w:footnoteRef/>
      </w:r>
      <w:r w:rsidRPr="00995C95">
        <w:rPr>
          <w:sz w:val="16"/>
          <w:szCs w:val="16"/>
        </w:rPr>
        <w:t xml:space="preserve"> Batteries were imported to a larger extent, especially for electric cars. </w:t>
      </w:r>
    </w:p>
  </w:footnote>
  <w:footnote w:id="76">
    <w:p w14:paraId="3287E9DA" w14:textId="03C7BCFE" w:rsidR="004D1C4E" w:rsidRPr="00995C95" w:rsidRDefault="004D1C4E" w:rsidP="004D1C4E">
      <w:pPr>
        <w:pStyle w:val="Textpoznpodarou"/>
        <w:rPr>
          <w:sz w:val="16"/>
          <w:szCs w:val="16"/>
        </w:rPr>
      </w:pPr>
      <w:r w:rsidRPr="00995C95">
        <w:rPr>
          <w:rStyle w:val="Znakapoznpodarou"/>
          <w:sz w:val="16"/>
          <w:szCs w:val="16"/>
        </w:rPr>
        <w:footnoteRef/>
      </w:r>
      <w:r w:rsidRPr="00995C95">
        <w:rPr>
          <w:sz w:val="16"/>
          <w:szCs w:val="16"/>
        </w:rPr>
        <w:t xml:space="preserve"> </w:t>
      </w:r>
      <w:r w:rsidR="00C57BF0" w:rsidRPr="00995C95">
        <w:rPr>
          <w:sz w:val="16"/>
          <w:szCs w:val="16"/>
        </w:rPr>
        <w:t xml:space="preserve">The impact on the balance for the </w:t>
      </w:r>
      <w:r w:rsidR="002A23FD">
        <w:rPr>
          <w:sz w:val="16"/>
          <w:szCs w:val="16"/>
        </w:rPr>
        <w:t>“</w:t>
      </w:r>
      <w:r w:rsidR="00C57BF0" w:rsidRPr="00995C95">
        <w:rPr>
          <w:sz w:val="16"/>
          <w:szCs w:val="16"/>
        </w:rPr>
        <w:t>unspecified</w:t>
      </w:r>
      <w:r w:rsidR="002A23FD">
        <w:rPr>
          <w:sz w:val="16"/>
          <w:szCs w:val="16"/>
        </w:rPr>
        <w:t>”</w:t>
      </w:r>
      <w:r w:rsidR="00C57BF0" w:rsidRPr="00995C95">
        <w:rPr>
          <w:sz w:val="16"/>
          <w:szCs w:val="16"/>
        </w:rPr>
        <w:t xml:space="preserve"> category </w:t>
      </w:r>
      <w:r w:rsidR="006167D7" w:rsidRPr="00995C95">
        <w:rPr>
          <w:sz w:val="16"/>
          <w:szCs w:val="16"/>
        </w:rPr>
        <w:t xml:space="preserve">has been growing since the beginning of the year. </w:t>
      </w:r>
      <w:r w:rsidR="006162DC" w:rsidRPr="00995C95">
        <w:rPr>
          <w:sz w:val="16"/>
          <w:szCs w:val="16"/>
        </w:rPr>
        <w:t>Mainly the t</w:t>
      </w:r>
      <w:r w:rsidR="00C57BF0" w:rsidRPr="00995C95">
        <w:rPr>
          <w:sz w:val="16"/>
          <w:szCs w:val="16"/>
        </w:rPr>
        <w:t xml:space="preserve">rade with crude oil and natural gas, which could not be territorially classified, was captured here. </w:t>
      </w:r>
      <w:r w:rsidRPr="00995C95">
        <w:rPr>
          <w:sz w:val="16"/>
          <w:szCs w:val="16"/>
        </w:rPr>
        <w:t xml:space="preserve"> </w:t>
      </w:r>
    </w:p>
  </w:footnote>
  <w:footnote w:id="77">
    <w:p w14:paraId="74198ED5" w14:textId="37420963" w:rsidR="004554AD" w:rsidRPr="00995C95" w:rsidRDefault="004554AD" w:rsidP="00773692">
      <w:pPr>
        <w:pStyle w:val="Textpoznpodarou"/>
        <w:rPr>
          <w:sz w:val="16"/>
          <w:szCs w:val="16"/>
        </w:rPr>
      </w:pPr>
      <w:r w:rsidRPr="00995C95">
        <w:rPr>
          <w:rStyle w:val="Znakapoznpodarou"/>
          <w:sz w:val="16"/>
          <w:szCs w:val="16"/>
        </w:rPr>
        <w:footnoteRef/>
      </w:r>
      <w:r w:rsidRPr="00995C95">
        <w:rPr>
          <w:sz w:val="16"/>
          <w:szCs w:val="16"/>
        </w:rPr>
        <w:t xml:space="preserve"> </w:t>
      </w:r>
      <w:r w:rsidR="00134AC4" w:rsidRPr="00995C95">
        <w:rPr>
          <w:sz w:val="16"/>
          <w:szCs w:val="16"/>
        </w:rPr>
        <w:t xml:space="preserve">The balance deteriorated by </w:t>
      </w:r>
      <w:r w:rsidR="00773692" w:rsidRPr="00995C95">
        <w:rPr>
          <w:sz w:val="16"/>
          <w:szCs w:val="16"/>
        </w:rPr>
        <w:t>3</w:t>
      </w:r>
      <w:r w:rsidR="00134AC4" w:rsidRPr="00995C95">
        <w:rPr>
          <w:sz w:val="16"/>
          <w:szCs w:val="16"/>
        </w:rPr>
        <w:t>.</w:t>
      </w:r>
      <w:r w:rsidR="00773692" w:rsidRPr="00995C95">
        <w:rPr>
          <w:sz w:val="16"/>
          <w:szCs w:val="16"/>
        </w:rPr>
        <w:t>4</w:t>
      </w:r>
      <w:r w:rsidR="00134AC4" w:rsidRPr="00995C95">
        <w:rPr>
          <w:sz w:val="16"/>
          <w:szCs w:val="16"/>
        </w:rPr>
        <w:t xml:space="preserve"> bn CZK in case of unspecified origin of goods. </w:t>
      </w:r>
    </w:p>
  </w:footnote>
  <w:footnote w:id="78">
    <w:p w14:paraId="4839C0B8" w14:textId="77777777" w:rsidR="00292B59" w:rsidRPr="00995C95" w:rsidRDefault="00292B59" w:rsidP="00292B59">
      <w:pPr>
        <w:pStyle w:val="Textpoznpodarou"/>
        <w:rPr>
          <w:sz w:val="16"/>
          <w:szCs w:val="16"/>
        </w:rPr>
      </w:pPr>
      <w:r w:rsidRPr="00995C95">
        <w:rPr>
          <w:rStyle w:val="Znakapoznpodarou"/>
          <w:sz w:val="16"/>
          <w:szCs w:val="16"/>
        </w:rPr>
        <w:footnoteRef/>
      </w:r>
      <w:r w:rsidRPr="00995C95">
        <w:rPr>
          <w:sz w:val="16"/>
          <w:szCs w:val="16"/>
        </w:rPr>
        <w:t xml:space="preserve"> Imputed rent expresses the cost of owner living. Apart from prices of housing themselves, it also contains the cost of construction and renovation and further fees. For more see: </w:t>
      </w:r>
      <w:hyperlink r:id="rId2" w:history="1">
        <w:r w:rsidRPr="00995C95">
          <w:rPr>
            <w:rStyle w:val="Hypertextovodkaz"/>
            <w:sz w:val="16"/>
            <w:szCs w:val="16"/>
          </w:rPr>
          <w:t>https://csu.gov.cz/metodicka-poznamka-k-indexu-spotrebitelskych-cen-imputovane-najemne</w:t>
        </w:r>
      </w:hyperlink>
      <w:r w:rsidRPr="00995C95">
        <w:rPr>
          <w:rStyle w:val="Hypertextovodkaz"/>
          <w:sz w:val="16"/>
          <w:szCs w:val="16"/>
        </w:rPr>
        <w:t>.</w:t>
      </w:r>
    </w:p>
  </w:footnote>
  <w:footnote w:id="79">
    <w:p w14:paraId="096789D1" w14:textId="77777777" w:rsidR="00EC6FA8" w:rsidRPr="00995C95" w:rsidRDefault="00EC6FA8" w:rsidP="00EC6FA8">
      <w:pPr>
        <w:pStyle w:val="Textpoznpodarou"/>
        <w:rPr>
          <w:sz w:val="16"/>
          <w:szCs w:val="16"/>
        </w:rPr>
      </w:pPr>
      <w:r w:rsidRPr="00995C95">
        <w:rPr>
          <w:rStyle w:val="Znakapoznpodarou"/>
          <w:sz w:val="16"/>
          <w:szCs w:val="16"/>
        </w:rPr>
        <w:footnoteRef/>
      </w:r>
      <w:r w:rsidRPr="00995C95">
        <w:rPr>
          <w:sz w:val="16"/>
          <w:szCs w:val="16"/>
        </w:rPr>
        <w:t xml:space="preserve"> Contains services of personal care and personal needs and accessories, social care, insurance and further financial services etc.</w:t>
      </w:r>
    </w:p>
  </w:footnote>
  <w:footnote w:id="80">
    <w:p w14:paraId="07A6AA06" w14:textId="521F9A65" w:rsidR="008E72A6" w:rsidRPr="00995C95" w:rsidRDefault="008E72A6" w:rsidP="008E72A6">
      <w:pPr>
        <w:pStyle w:val="Textpoznpodarou"/>
        <w:rPr>
          <w:sz w:val="16"/>
          <w:szCs w:val="16"/>
        </w:rPr>
      </w:pPr>
      <w:r w:rsidRPr="00995C95">
        <w:rPr>
          <w:rStyle w:val="Znakapoznpodarou"/>
          <w:sz w:val="16"/>
          <w:szCs w:val="16"/>
        </w:rPr>
        <w:footnoteRef/>
      </w:r>
      <w:r w:rsidRPr="00995C95">
        <w:rPr>
          <w:sz w:val="16"/>
          <w:szCs w:val="16"/>
        </w:rPr>
        <w:t xml:space="preserve"> Contrary to the consumer price index, which the CZSO compiles for the Czech economy, HICP does not contain imputed rent, which is the main reason for the difference between the HICP and Consumer price index. </w:t>
      </w:r>
    </w:p>
  </w:footnote>
  <w:footnote w:id="81">
    <w:p w14:paraId="201A7B17" w14:textId="77777777" w:rsidR="004D40CC" w:rsidRPr="00995C95" w:rsidRDefault="004D40CC" w:rsidP="004D40CC">
      <w:pPr>
        <w:pStyle w:val="Textpoznpodarou"/>
        <w:rPr>
          <w:sz w:val="16"/>
          <w:szCs w:val="16"/>
        </w:rPr>
      </w:pPr>
      <w:r w:rsidRPr="00995C95">
        <w:rPr>
          <w:rStyle w:val="Znakapoznpodarou"/>
          <w:sz w:val="16"/>
          <w:szCs w:val="16"/>
        </w:rPr>
        <w:footnoteRef/>
      </w:r>
      <w:r w:rsidRPr="00995C95">
        <w:rPr>
          <w:sz w:val="16"/>
          <w:szCs w:val="16"/>
        </w:rPr>
        <w:t xml:space="preserve"> Without prices of water distribution and services associated with wastewaters. </w:t>
      </w:r>
    </w:p>
  </w:footnote>
  <w:footnote w:id="82">
    <w:p w14:paraId="07FD9EDC" w14:textId="3551ACB3" w:rsidR="00E43EC0" w:rsidRPr="00995C95" w:rsidRDefault="00E43EC0" w:rsidP="003D1A7F">
      <w:pPr>
        <w:pStyle w:val="Textpoznpodarou"/>
        <w:jc w:val="both"/>
        <w:rPr>
          <w:sz w:val="16"/>
          <w:szCs w:val="16"/>
        </w:rPr>
      </w:pPr>
      <w:r w:rsidRPr="00995C95">
        <w:rPr>
          <w:rStyle w:val="Znakapoznpodarou"/>
          <w:sz w:val="16"/>
          <w:szCs w:val="16"/>
        </w:rPr>
        <w:footnoteRef/>
      </w:r>
      <w:r w:rsidRPr="00995C95">
        <w:rPr>
          <w:sz w:val="16"/>
          <w:szCs w:val="16"/>
        </w:rPr>
        <w:t xml:space="preserve"> </w:t>
      </w:r>
      <w:r w:rsidR="005A0DA4" w:rsidRPr="00995C95">
        <w:rPr>
          <w:sz w:val="16"/>
          <w:szCs w:val="16"/>
        </w:rPr>
        <w:t>Based on the CNB data, the average koruna foreign exchange per euro reached 2</w:t>
      </w:r>
      <w:r w:rsidR="0069608D" w:rsidRPr="00995C95">
        <w:rPr>
          <w:sz w:val="16"/>
          <w:szCs w:val="16"/>
        </w:rPr>
        <w:t>4</w:t>
      </w:r>
      <w:r w:rsidR="005A0DA4" w:rsidRPr="00995C95">
        <w:rPr>
          <w:sz w:val="16"/>
          <w:szCs w:val="16"/>
        </w:rPr>
        <w:t>.</w:t>
      </w:r>
      <w:r w:rsidR="0069608D" w:rsidRPr="00995C95">
        <w:rPr>
          <w:sz w:val="16"/>
          <w:szCs w:val="16"/>
        </w:rPr>
        <w:t>693</w:t>
      </w:r>
      <w:r w:rsidR="005A0DA4" w:rsidRPr="00995C95">
        <w:rPr>
          <w:sz w:val="16"/>
          <w:szCs w:val="16"/>
        </w:rPr>
        <w:t xml:space="preserve"> CZK/EUR</w:t>
      </w:r>
      <w:r w:rsidR="00122351" w:rsidRPr="00995C95">
        <w:rPr>
          <w:sz w:val="16"/>
          <w:szCs w:val="16"/>
        </w:rPr>
        <w:t xml:space="preserve"> and per dollar 21.914 CZK/USD </w:t>
      </w:r>
      <w:r w:rsidR="005A0DA4" w:rsidRPr="00995C95">
        <w:rPr>
          <w:sz w:val="16"/>
          <w:szCs w:val="16"/>
        </w:rPr>
        <w:t>in 202</w:t>
      </w:r>
      <w:r w:rsidR="00122351" w:rsidRPr="00995C95">
        <w:rPr>
          <w:sz w:val="16"/>
          <w:szCs w:val="16"/>
        </w:rPr>
        <w:t>5</w:t>
      </w:r>
      <w:r w:rsidR="005A0DA4" w:rsidRPr="00995C95">
        <w:rPr>
          <w:sz w:val="16"/>
          <w:szCs w:val="16"/>
        </w:rPr>
        <w:t xml:space="preserve">. </w:t>
      </w:r>
      <w:r w:rsidR="00C72F3B" w:rsidRPr="00995C95">
        <w:rPr>
          <w:sz w:val="16"/>
          <w:szCs w:val="16"/>
        </w:rPr>
        <w:t xml:space="preserve">The koruna foreign exchange attained on average </w:t>
      </w:r>
      <w:r w:rsidR="005A0DA4" w:rsidRPr="00995C95">
        <w:rPr>
          <w:sz w:val="16"/>
          <w:szCs w:val="16"/>
        </w:rPr>
        <w:t>2</w:t>
      </w:r>
      <w:r w:rsidR="00C72F3B" w:rsidRPr="00995C95">
        <w:rPr>
          <w:sz w:val="16"/>
          <w:szCs w:val="16"/>
        </w:rPr>
        <w:t>5</w:t>
      </w:r>
      <w:r w:rsidR="005A0DA4" w:rsidRPr="00995C95">
        <w:rPr>
          <w:sz w:val="16"/>
          <w:szCs w:val="16"/>
        </w:rPr>
        <w:t>.</w:t>
      </w:r>
      <w:r w:rsidR="00C72F3B" w:rsidRPr="00995C95">
        <w:rPr>
          <w:sz w:val="16"/>
          <w:szCs w:val="16"/>
        </w:rPr>
        <w:t>119</w:t>
      </w:r>
      <w:r w:rsidR="005A0DA4" w:rsidRPr="00995C95">
        <w:rPr>
          <w:sz w:val="16"/>
          <w:szCs w:val="16"/>
        </w:rPr>
        <w:t xml:space="preserve"> CZK/EUR </w:t>
      </w:r>
      <w:r w:rsidR="00C8788E" w:rsidRPr="00995C95">
        <w:rPr>
          <w:sz w:val="16"/>
          <w:szCs w:val="16"/>
        </w:rPr>
        <w:t xml:space="preserve">and 23.202 CZK/USD </w:t>
      </w:r>
      <w:r w:rsidR="005A0DA4" w:rsidRPr="00995C95">
        <w:rPr>
          <w:sz w:val="16"/>
          <w:szCs w:val="16"/>
        </w:rPr>
        <w:t>in 202</w:t>
      </w:r>
      <w:r w:rsidR="00C8788E" w:rsidRPr="00995C95">
        <w:rPr>
          <w:sz w:val="16"/>
          <w:szCs w:val="16"/>
        </w:rPr>
        <w:t>4</w:t>
      </w:r>
      <w:r w:rsidR="005A0DA4" w:rsidRPr="00995C95">
        <w:rPr>
          <w:sz w:val="16"/>
          <w:szCs w:val="16"/>
        </w:rPr>
        <w:t>.</w:t>
      </w:r>
      <w:r w:rsidR="00501E5A" w:rsidRPr="00995C95">
        <w:rPr>
          <w:sz w:val="16"/>
          <w:szCs w:val="16"/>
        </w:rPr>
        <w:t xml:space="preserve"> In Q4 2025, the koruna foreign exchange per euro</w:t>
      </w:r>
      <w:r w:rsidR="004E5681" w:rsidRPr="00995C95">
        <w:rPr>
          <w:sz w:val="16"/>
          <w:szCs w:val="16"/>
        </w:rPr>
        <w:t xml:space="preserve"> r</w:t>
      </w:r>
      <w:r w:rsidR="00501E5A" w:rsidRPr="00995C95">
        <w:rPr>
          <w:sz w:val="16"/>
          <w:szCs w:val="16"/>
        </w:rPr>
        <w:t>eached an average of 24.273</w:t>
      </w:r>
      <w:r w:rsidR="004E5681" w:rsidRPr="00995C95">
        <w:rPr>
          <w:sz w:val="16"/>
          <w:szCs w:val="16"/>
        </w:rPr>
        <w:t xml:space="preserve"> CZK</w:t>
      </w:r>
      <w:r w:rsidR="00501E5A" w:rsidRPr="00995C95">
        <w:rPr>
          <w:sz w:val="16"/>
          <w:szCs w:val="16"/>
        </w:rPr>
        <w:t>/EUR compared to CZK 24.498</w:t>
      </w:r>
      <w:r w:rsidR="004E5681" w:rsidRPr="00995C95">
        <w:rPr>
          <w:sz w:val="16"/>
          <w:szCs w:val="16"/>
        </w:rPr>
        <w:t xml:space="preserve"> CZK</w:t>
      </w:r>
      <w:r w:rsidR="00501E5A" w:rsidRPr="00995C95">
        <w:rPr>
          <w:sz w:val="16"/>
          <w:szCs w:val="16"/>
        </w:rPr>
        <w:t>/EUR in Q3 and 25.249</w:t>
      </w:r>
      <w:r w:rsidR="00E9591B" w:rsidRPr="00995C95">
        <w:rPr>
          <w:sz w:val="16"/>
          <w:szCs w:val="16"/>
        </w:rPr>
        <w:t xml:space="preserve"> CZK</w:t>
      </w:r>
      <w:r w:rsidR="00501E5A" w:rsidRPr="00995C95">
        <w:rPr>
          <w:sz w:val="16"/>
          <w:szCs w:val="16"/>
        </w:rPr>
        <w:t xml:space="preserve">/EUR in Q4 2024. The </w:t>
      </w:r>
      <w:r w:rsidR="00E9591B" w:rsidRPr="00995C95">
        <w:rPr>
          <w:sz w:val="16"/>
          <w:szCs w:val="16"/>
        </w:rPr>
        <w:t xml:space="preserve">koruna foreign </w:t>
      </w:r>
      <w:r w:rsidR="00501E5A" w:rsidRPr="00995C95">
        <w:rPr>
          <w:sz w:val="16"/>
          <w:szCs w:val="16"/>
        </w:rPr>
        <w:t xml:space="preserve">exchange </w:t>
      </w:r>
      <w:r w:rsidR="008F75C5" w:rsidRPr="00995C95">
        <w:rPr>
          <w:sz w:val="16"/>
          <w:szCs w:val="16"/>
        </w:rPr>
        <w:t xml:space="preserve">per </w:t>
      </w:r>
      <w:r w:rsidR="00501E5A" w:rsidRPr="00995C95">
        <w:rPr>
          <w:sz w:val="16"/>
          <w:szCs w:val="16"/>
        </w:rPr>
        <w:t xml:space="preserve">dollar </w:t>
      </w:r>
      <w:r w:rsidR="008F75C5" w:rsidRPr="00995C95">
        <w:rPr>
          <w:sz w:val="16"/>
          <w:szCs w:val="16"/>
        </w:rPr>
        <w:t>averag</w:t>
      </w:r>
      <w:r w:rsidR="00501E5A" w:rsidRPr="00995C95">
        <w:rPr>
          <w:sz w:val="16"/>
          <w:szCs w:val="16"/>
        </w:rPr>
        <w:t>ed 20.866</w:t>
      </w:r>
      <w:r w:rsidR="008F75C5" w:rsidRPr="00995C95">
        <w:rPr>
          <w:sz w:val="16"/>
          <w:szCs w:val="16"/>
        </w:rPr>
        <w:t xml:space="preserve"> CZK</w:t>
      </w:r>
      <w:r w:rsidR="00501E5A" w:rsidRPr="00995C95">
        <w:rPr>
          <w:sz w:val="16"/>
          <w:szCs w:val="16"/>
        </w:rPr>
        <w:t>/USD</w:t>
      </w:r>
      <w:r w:rsidR="008F75C5" w:rsidRPr="00995C95">
        <w:rPr>
          <w:sz w:val="16"/>
          <w:szCs w:val="16"/>
        </w:rPr>
        <w:t xml:space="preserve"> in Q4 2025</w:t>
      </w:r>
      <w:r w:rsidR="00501E5A" w:rsidRPr="00995C95">
        <w:rPr>
          <w:sz w:val="16"/>
          <w:szCs w:val="16"/>
        </w:rPr>
        <w:t xml:space="preserve"> and 20.973</w:t>
      </w:r>
      <w:r w:rsidR="008F75C5" w:rsidRPr="00995C95">
        <w:rPr>
          <w:sz w:val="16"/>
          <w:szCs w:val="16"/>
        </w:rPr>
        <w:t xml:space="preserve"> CZK</w:t>
      </w:r>
      <w:r w:rsidR="00501E5A" w:rsidRPr="00995C95">
        <w:rPr>
          <w:sz w:val="16"/>
          <w:szCs w:val="16"/>
        </w:rPr>
        <w:t>/USD</w:t>
      </w:r>
      <w:r w:rsidR="008F75C5" w:rsidRPr="00995C95">
        <w:rPr>
          <w:sz w:val="16"/>
          <w:szCs w:val="16"/>
        </w:rPr>
        <w:t xml:space="preserve"> in Q3</w:t>
      </w:r>
      <w:r w:rsidR="00501E5A" w:rsidRPr="00995C95">
        <w:rPr>
          <w:sz w:val="16"/>
          <w:szCs w:val="16"/>
        </w:rPr>
        <w:t>. In Q4 2024, it was 23.640 CZK/USD.</w:t>
      </w:r>
      <w:r w:rsidR="005A0DA4" w:rsidRPr="00995C95">
        <w:rPr>
          <w:sz w:val="16"/>
          <w:szCs w:val="16"/>
        </w:rPr>
        <w:t xml:space="preserve"> </w:t>
      </w:r>
    </w:p>
  </w:footnote>
  <w:footnote w:id="83">
    <w:p w14:paraId="77E5D353" w14:textId="77777777" w:rsidR="0032050F" w:rsidRPr="00995C95" w:rsidRDefault="0032050F" w:rsidP="0032050F">
      <w:pPr>
        <w:pStyle w:val="Textpoznpodarou"/>
        <w:jc w:val="both"/>
        <w:rPr>
          <w:color w:val="0D0D0D" w:themeColor="text1" w:themeTint="F2"/>
          <w:spacing w:val="-2"/>
          <w:sz w:val="16"/>
          <w:szCs w:val="16"/>
        </w:rPr>
      </w:pPr>
      <w:r w:rsidRPr="00995C95">
        <w:rPr>
          <w:rStyle w:val="Znakapoznpodarou"/>
          <w:color w:val="0D0D0D" w:themeColor="text1" w:themeTint="F2"/>
          <w:spacing w:val="-2"/>
          <w:sz w:val="16"/>
          <w:szCs w:val="16"/>
        </w:rPr>
        <w:footnoteRef/>
      </w:r>
      <w:r w:rsidRPr="00995C95">
        <w:rPr>
          <w:color w:val="0D0D0D" w:themeColor="text1" w:themeTint="F2"/>
          <w:spacing w:val="-2"/>
          <w:sz w:val="16"/>
          <w:szCs w:val="16"/>
        </w:rPr>
        <w:t xml:space="preserve"> </w:t>
      </w:r>
      <w:r w:rsidRPr="00995C95">
        <w:rPr>
          <w:sz w:val="16"/>
          <w:szCs w:val="16"/>
        </w:rPr>
        <w:t>Data regarding employment stem from the national accounts’ conception. They are expressed in physical persons and adjusted for seasonal effects</w:t>
      </w:r>
      <w:r w:rsidRPr="00995C95">
        <w:rPr>
          <w:spacing w:val="-6"/>
          <w:sz w:val="16"/>
          <w:szCs w:val="16"/>
        </w:rPr>
        <w:t xml:space="preserve">. Unlike the data from the business statistics or the labour force sample survey </w:t>
      </w:r>
      <w:r w:rsidRPr="00995C95">
        <w:rPr>
          <w:sz w:val="16"/>
          <w:szCs w:val="16"/>
        </w:rPr>
        <w:t xml:space="preserve">(LFSS) also include for instance the estimation of the grey economy impact. </w:t>
      </w:r>
    </w:p>
  </w:footnote>
  <w:footnote w:id="84">
    <w:p w14:paraId="46E91CE6" w14:textId="77777777" w:rsidR="0032050F" w:rsidRPr="00995C95" w:rsidRDefault="0032050F" w:rsidP="0032050F">
      <w:pPr>
        <w:pStyle w:val="Textpoznpodarou"/>
        <w:rPr>
          <w:sz w:val="16"/>
          <w:szCs w:val="16"/>
        </w:rPr>
      </w:pPr>
      <w:r w:rsidRPr="00995C95">
        <w:rPr>
          <w:rStyle w:val="Znakapoznpodarou"/>
          <w:sz w:val="16"/>
          <w:szCs w:val="16"/>
        </w:rPr>
        <w:footnoteRef/>
      </w:r>
      <w:r w:rsidRPr="00995C95">
        <w:rPr>
          <w:sz w:val="16"/>
          <w:szCs w:val="16"/>
        </w:rPr>
        <w:t xml:space="preserve"> 12% more people (+117 thousand) were employed in the public administration and defence, education, human health and social work activities in Q4 last year compared to the end of 2018. Increases in construction (+13%), professional, scientific, technical and administrative activities (+8%), information and communication (+18%) and also real estate also had a significant impact. </w:t>
      </w:r>
    </w:p>
  </w:footnote>
  <w:footnote w:id="85">
    <w:p w14:paraId="7806863B" w14:textId="77777777" w:rsidR="0032050F" w:rsidRPr="00995C95" w:rsidRDefault="0032050F" w:rsidP="0032050F">
      <w:pPr>
        <w:pStyle w:val="Textpoznpodarou"/>
        <w:jc w:val="both"/>
        <w:rPr>
          <w:sz w:val="16"/>
          <w:szCs w:val="16"/>
        </w:rPr>
      </w:pPr>
      <w:r w:rsidRPr="00995C95">
        <w:rPr>
          <w:rStyle w:val="Znakapoznpodarou"/>
          <w:sz w:val="16"/>
          <w:szCs w:val="16"/>
        </w:rPr>
        <w:footnoteRef/>
      </w:r>
      <w:r w:rsidRPr="00995C95">
        <w:rPr>
          <w:sz w:val="16"/>
          <w:szCs w:val="16"/>
        </w:rPr>
        <w:t xml:space="preserve"> Unlike the year before last, domestic employment grew faster than in the EU (where it grew by 0.5% in year 2025), also for the reason that the domestic growth was also supported by self-employed persons. As in the Czech Republic, the increase of jobs in the Union manifested exclusively in construction (+1.1%) and across the services branches - the most in real estate activities (+2.9%), financial and insurance activities (+1.3%) and branches with a significant state role (+1.2%). On the contrary, the number of workers shrank in manufacturing (-0.7%), where the situation rather continued to deteriorate (there was no positive turnaround even in Q4 2025), similarly to the primary sector (-4.8%). The total number of workers in the economy grew the most last year in Malta (+3.9%) and among the major countries, mainly in Spain (+2.7%) and Italy (+1.1%). Employment stagnated in France, Germany and in all other countries neighbouring the Czech Republic. Only Romania (−3.5%) recorded a more significant decline, followed by a milder decline in Lithuania (−0.7%), Latvia, Estonia and Finland (equal: −0.5%) and Slovenia (−0.4%). Industrial employment had a significant impact on the different rates between </w:t>
      </w:r>
      <w:r w:rsidRPr="005D522A">
        <w:rPr>
          <w:spacing w:val="2"/>
          <w:sz w:val="16"/>
          <w:szCs w:val="16"/>
        </w:rPr>
        <w:t>Member States, with the fastest growth in Spain (+3.9%) and Ireland (+3.6%), the largest contraction in Estonia (-4.5%) and Romania (-4.2%),</w:t>
      </w:r>
      <w:r w:rsidRPr="00995C95">
        <w:rPr>
          <w:sz w:val="16"/>
          <w:szCs w:val="16"/>
        </w:rPr>
        <w:t xml:space="preserve"> and a widening decline to 1.8% in Germany. </w:t>
      </w:r>
    </w:p>
  </w:footnote>
  <w:footnote w:id="86">
    <w:p w14:paraId="2D588E1B" w14:textId="77777777" w:rsidR="0032050F" w:rsidRPr="00995C95" w:rsidRDefault="0032050F" w:rsidP="0032050F">
      <w:pPr>
        <w:pStyle w:val="Textpoznpodarou"/>
        <w:rPr>
          <w:sz w:val="16"/>
          <w:szCs w:val="16"/>
        </w:rPr>
      </w:pPr>
      <w:r w:rsidRPr="00995C95">
        <w:rPr>
          <w:rStyle w:val="Znakapoznpodarou"/>
          <w:sz w:val="16"/>
          <w:szCs w:val="16"/>
        </w:rPr>
        <w:footnoteRef/>
      </w:r>
      <w:r w:rsidRPr="00995C95">
        <w:rPr>
          <w:sz w:val="16"/>
          <w:szCs w:val="16"/>
        </w:rPr>
        <w:t xml:space="preserve"> More detailed data from the LFSS show that both the number of entrepreneurs without employees and employers increased, year-on-year, in Q3 and Q4 of 2025.</w:t>
      </w:r>
    </w:p>
  </w:footnote>
  <w:footnote w:id="87">
    <w:p w14:paraId="39506146" w14:textId="77777777" w:rsidR="0032050F" w:rsidRPr="00995C95" w:rsidRDefault="0032050F" w:rsidP="0032050F">
      <w:pPr>
        <w:pStyle w:val="Textpoznpodarou"/>
      </w:pPr>
      <w:r w:rsidRPr="00995C95">
        <w:rPr>
          <w:rStyle w:val="Znakapoznpodarou"/>
          <w:sz w:val="16"/>
          <w:szCs w:val="16"/>
        </w:rPr>
        <w:footnoteRef/>
      </w:r>
      <w:r w:rsidRPr="00995C95">
        <w:rPr>
          <w:sz w:val="16"/>
          <w:szCs w:val="16"/>
        </w:rPr>
        <w:t xml:space="preserve"> For simplification consist of economic group public administration and defence, education, human health and social work activities. </w:t>
      </w:r>
    </w:p>
  </w:footnote>
  <w:footnote w:id="88">
    <w:p w14:paraId="5BB08E7F" w14:textId="77777777" w:rsidR="0032050F" w:rsidRPr="00995C95" w:rsidRDefault="0032050F" w:rsidP="0032050F">
      <w:pPr>
        <w:pStyle w:val="Textpoznpodarou"/>
      </w:pPr>
      <w:r w:rsidRPr="00995C95">
        <w:rPr>
          <w:rStyle w:val="Znakapoznpodarou"/>
          <w:sz w:val="16"/>
          <w:szCs w:val="16"/>
        </w:rPr>
        <w:footnoteRef/>
      </w:r>
      <w:r w:rsidRPr="00995C95">
        <w:rPr>
          <w:sz w:val="16"/>
          <w:szCs w:val="16"/>
        </w:rPr>
        <w:t xml:space="preserve"> These include in addition to cultural, amusement and recreational activities, for instance various services for households (repair of goods, hairdressing and cosmetic activities, etc.). Employment is comprised of more than one third of small entrepreneurs in this branch (or self-employed persons). </w:t>
      </w:r>
    </w:p>
  </w:footnote>
  <w:footnote w:id="89">
    <w:p w14:paraId="1F5796B3" w14:textId="77777777" w:rsidR="0032050F" w:rsidRPr="00995C95" w:rsidRDefault="0032050F" w:rsidP="0032050F">
      <w:pPr>
        <w:pStyle w:val="Textpoznpodarou"/>
        <w:jc w:val="both"/>
        <w:rPr>
          <w:sz w:val="16"/>
          <w:szCs w:val="16"/>
        </w:rPr>
      </w:pPr>
      <w:r w:rsidRPr="00995C95">
        <w:rPr>
          <w:rStyle w:val="Znakapoznpodarou"/>
          <w:sz w:val="16"/>
          <w:szCs w:val="16"/>
        </w:rPr>
        <w:footnoteRef/>
      </w:r>
      <w:r w:rsidRPr="00995C95">
        <w:rPr>
          <w:sz w:val="16"/>
          <w:szCs w:val="16"/>
        </w:rPr>
        <w:t xml:space="preserve"> Data stem from the national accounts’ conception and are seasonally adjusted. </w:t>
      </w:r>
    </w:p>
  </w:footnote>
  <w:footnote w:id="90">
    <w:p w14:paraId="7E3D0E77" w14:textId="77777777" w:rsidR="0032050F" w:rsidRPr="00995C95" w:rsidRDefault="0032050F" w:rsidP="0032050F">
      <w:pPr>
        <w:pStyle w:val="Textpoznpodarou"/>
        <w:rPr>
          <w:sz w:val="16"/>
          <w:szCs w:val="16"/>
        </w:rPr>
      </w:pPr>
      <w:r w:rsidRPr="00995C95">
        <w:rPr>
          <w:rStyle w:val="Znakapoznpodarou"/>
          <w:sz w:val="16"/>
          <w:szCs w:val="16"/>
        </w:rPr>
        <w:footnoteRef/>
      </w:r>
      <w:r w:rsidRPr="00995C95">
        <w:rPr>
          <w:sz w:val="16"/>
          <w:szCs w:val="16"/>
        </w:rPr>
        <w:t xml:space="preserve"> Compared to 2019, the number of hours worked in the economy was higher by 5.2% last year, of which 9.8% for the self-employed. A similar increase was 2.9% for the number of manual workers, of which 5.4% for the self-employed.</w:t>
      </w:r>
      <w:r w:rsidRPr="00995C95">
        <w:rPr>
          <w:spacing w:val="-4"/>
          <w:sz w:val="16"/>
          <w:szCs w:val="16"/>
        </w:rPr>
        <w:t xml:space="preserve"> </w:t>
      </w:r>
    </w:p>
  </w:footnote>
  <w:footnote w:id="91">
    <w:p w14:paraId="0760E957" w14:textId="77777777" w:rsidR="0032050F" w:rsidRPr="00995C95" w:rsidRDefault="0032050F" w:rsidP="0032050F">
      <w:pPr>
        <w:pStyle w:val="Textpoznpodarou"/>
        <w:rPr>
          <w:sz w:val="16"/>
          <w:szCs w:val="16"/>
        </w:rPr>
      </w:pPr>
      <w:r w:rsidRPr="00995C95">
        <w:rPr>
          <w:rStyle w:val="Znakapoznpodarou"/>
          <w:sz w:val="16"/>
          <w:szCs w:val="16"/>
        </w:rPr>
        <w:footnoteRef/>
      </w:r>
      <w:r w:rsidRPr="00995C95">
        <w:rPr>
          <w:sz w:val="16"/>
          <w:szCs w:val="16"/>
        </w:rPr>
        <w:t xml:space="preserve"> These are activities in real estate, where the time worked (as in the only major economic activity) even decreased slightly last year (by 0.3%). The second exception is the other service activities, where 3.0% more hours were worked, year-on-year, last year, however employment increased by as much as 4.2%. </w:t>
      </w:r>
    </w:p>
  </w:footnote>
  <w:footnote w:id="92">
    <w:p w14:paraId="2BE456B2" w14:textId="77777777" w:rsidR="0032050F" w:rsidRPr="00995C95" w:rsidRDefault="0032050F" w:rsidP="0032050F">
      <w:pPr>
        <w:pStyle w:val="Textpoznpodarou"/>
        <w:rPr>
          <w:sz w:val="16"/>
          <w:szCs w:val="16"/>
        </w:rPr>
      </w:pPr>
      <w:r w:rsidRPr="00995C95">
        <w:rPr>
          <w:rStyle w:val="Znakapoznpodarou"/>
          <w:sz w:val="16"/>
          <w:szCs w:val="16"/>
        </w:rPr>
        <w:footnoteRef/>
      </w:r>
      <w:r w:rsidRPr="00995C95">
        <w:rPr>
          <w:sz w:val="16"/>
          <w:szCs w:val="16"/>
        </w:rPr>
        <w:t xml:space="preserve"> Expresses seasonally adjusted GDP or GVA at the level of individual branches (in 2020 prices) per hour worked by employed persons (after seasonal adjustment).</w:t>
      </w:r>
    </w:p>
  </w:footnote>
  <w:footnote w:id="93">
    <w:p w14:paraId="71DEA4F5" w14:textId="77777777" w:rsidR="0032050F" w:rsidRPr="00995C95" w:rsidRDefault="0032050F" w:rsidP="0032050F">
      <w:pPr>
        <w:pStyle w:val="Textpoznpodarou"/>
      </w:pPr>
      <w:r w:rsidRPr="00995C95">
        <w:rPr>
          <w:rStyle w:val="Znakapoznpodarou"/>
          <w:sz w:val="16"/>
          <w:szCs w:val="16"/>
        </w:rPr>
        <w:footnoteRef/>
      </w:r>
      <w:r w:rsidRPr="00995C95">
        <w:rPr>
          <w:sz w:val="16"/>
          <w:szCs w:val="16"/>
        </w:rPr>
        <w:t xml:space="preserve"> </w:t>
      </w:r>
      <w:r w:rsidRPr="00995C95">
        <w:rPr>
          <w:color w:val="0D0D0D" w:themeColor="text1" w:themeTint="F2"/>
          <w:sz w:val="16"/>
          <w:szCs w:val="16"/>
        </w:rPr>
        <w:t xml:space="preserve">It stems from the LFSS data, that the number of economically inactive persons not looking for work but stating their willingness to work amounted to 75 thousand last year in Q4 </w:t>
      </w:r>
      <w:r w:rsidRPr="00995C95">
        <w:rPr>
          <w:sz w:val="16"/>
          <w:szCs w:val="16"/>
        </w:rPr>
        <w:t xml:space="preserve">(similarly to the preceding </w:t>
      </w:r>
      <w:r w:rsidRPr="00995C95">
        <w:rPr>
          <w:color w:val="0D0D0D" w:themeColor="text1" w:themeTint="F2"/>
          <w:sz w:val="16"/>
          <w:szCs w:val="16"/>
        </w:rPr>
        <w:t>year). In addition, only a fifth of this number was able to start work (a significant part of the work reserves are students and women on parental leave) immediately (within 14 days). Further, it is also possible to include the frictionally unemployed in the labour force reserves – in a broader sense, people who have been unemployed for less than one year. According to the same source, there were 106 thousand of them (a tenth more, year-on-year). A numerically marginal group of part-time workers who report a willingness to work longer (20 thousand) can also be added. Even with the theoretical immediate integration of all these people into the labour market (not taking into account their territorial and qualification mismatch with potential vacancies), the total number of employed persons would increase by only 3.9%.</w:t>
      </w:r>
      <w:r w:rsidRPr="00995C95">
        <w:rPr>
          <w:sz w:val="16"/>
          <w:szCs w:val="16"/>
        </w:rPr>
        <w:t xml:space="preserve"> </w:t>
      </w:r>
    </w:p>
  </w:footnote>
  <w:footnote w:id="94">
    <w:p w14:paraId="056B30FC" w14:textId="77777777" w:rsidR="0032050F" w:rsidRPr="00995C95" w:rsidRDefault="0032050F" w:rsidP="0032050F">
      <w:pPr>
        <w:pStyle w:val="Textpoznpodarou"/>
        <w:rPr>
          <w:sz w:val="16"/>
          <w:szCs w:val="16"/>
        </w:rPr>
      </w:pPr>
      <w:r w:rsidRPr="00995C95">
        <w:rPr>
          <w:rStyle w:val="Znakapoznpodarou"/>
          <w:sz w:val="16"/>
          <w:szCs w:val="16"/>
        </w:rPr>
        <w:footnoteRef/>
      </w:r>
      <w:r w:rsidRPr="00995C95">
        <w:rPr>
          <w:sz w:val="16"/>
          <w:szCs w:val="16"/>
        </w:rPr>
        <w:t xml:space="preserve"> More than four-fifths of all Ukrainian citizens (or 74% of males and 91% of females) working in the Czech Republic in an employed capacity did not need a work permit (work permit, the employee card or blue card) at the end of Q4 2025. </w:t>
      </w:r>
    </w:p>
  </w:footnote>
  <w:footnote w:id="95">
    <w:p w14:paraId="7C42EF43" w14:textId="77777777" w:rsidR="0032050F" w:rsidRPr="00995C95" w:rsidRDefault="0032050F" w:rsidP="0032050F">
      <w:pPr>
        <w:pStyle w:val="Textpoznpodarou"/>
        <w:rPr>
          <w:color w:val="0D0D0D" w:themeColor="text1" w:themeTint="F2"/>
          <w:sz w:val="16"/>
          <w:szCs w:val="16"/>
        </w:rPr>
      </w:pPr>
      <w:r w:rsidRPr="00995C95">
        <w:rPr>
          <w:rStyle w:val="Znakapoznpodarou"/>
          <w:sz w:val="16"/>
          <w:szCs w:val="16"/>
        </w:rPr>
        <w:footnoteRef/>
      </w:r>
      <w:r w:rsidRPr="00995C95">
        <w:rPr>
          <w:sz w:val="16"/>
          <w:szCs w:val="16"/>
        </w:rPr>
        <w:t xml:space="preserve"> As of 1</w:t>
      </w:r>
      <w:r w:rsidRPr="00995C95">
        <w:rPr>
          <w:sz w:val="16"/>
          <w:szCs w:val="16"/>
          <w:vertAlign w:val="superscript"/>
        </w:rPr>
        <w:t>st</w:t>
      </w:r>
      <w:r w:rsidRPr="00995C95">
        <w:rPr>
          <w:sz w:val="16"/>
          <w:szCs w:val="16"/>
        </w:rPr>
        <w:t xml:space="preserve"> July 2024, foreigners from some economically developed countries outside the EU (USA, Great Britain, Canada, Australia, New Zealand, Japan, South Korea, Israel and Singapore) newly do not need a work permit or employee cards in the Czech Republic. At the end of December last year, 10.0 thousand persons from these countries worked in the Czech Republic in an employment position (up 4%, year-on-year).</w:t>
      </w:r>
    </w:p>
  </w:footnote>
  <w:footnote w:id="96">
    <w:p w14:paraId="2EE1D4A1" w14:textId="77777777" w:rsidR="0032050F" w:rsidRPr="00995C95" w:rsidRDefault="0032050F" w:rsidP="0032050F">
      <w:pPr>
        <w:pStyle w:val="Textpoznpodarou"/>
      </w:pPr>
      <w:r w:rsidRPr="00995C95">
        <w:rPr>
          <w:rStyle w:val="Znakapoznpodarou"/>
          <w:sz w:val="16"/>
          <w:szCs w:val="16"/>
        </w:rPr>
        <w:footnoteRef/>
      </w:r>
      <w:r w:rsidRPr="00995C95">
        <w:rPr>
          <w:sz w:val="16"/>
          <w:szCs w:val="16"/>
        </w:rPr>
        <w:t xml:space="preserve"> In addition, the Ministry of Industry and Trade registered 146 thousand foreign nationals with trade licenses in the Czech Republic in the same period (a tenth more year-on-year). Ukrainians, of whom 52,000 did business in the Czech Republic, accounted for two-thirds of this growth, followed by Slovaks (28,000), Vietnamese (21,000) and Russians, Romanians, Germans and Poles with a significant margin.</w:t>
      </w:r>
      <w:r w:rsidRPr="00995C95">
        <w:rPr>
          <w:color w:val="0D0D0D" w:themeColor="text1" w:themeTint="F2"/>
          <w:sz w:val="16"/>
          <w:szCs w:val="16"/>
        </w:rPr>
        <w:t xml:space="preserve"> </w:t>
      </w:r>
    </w:p>
  </w:footnote>
  <w:footnote w:id="97">
    <w:p w14:paraId="28A6DE8F" w14:textId="77777777" w:rsidR="0032050F" w:rsidRPr="00995C95" w:rsidRDefault="0032050F" w:rsidP="0032050F">
      <w:pPr>
        <w:pStyle w:val="Textpoznpodarou"/>
        <w:rPr>
          <w:sz w:val="16"/>
          <w:szCs w:val="16"/>
        </w:rPr>
      </w:pPr>
      <w:r w:rsidRPr="00995C95">
        <w:rPr>
          <w:rStyle w:val="Znakapoznpodarou"/>
          <w:sz w:val="16"/>
          <w:szCs w:val="16"/>
        </w:rPr>
        <w:footnoteRef/>
      </w:r>
      <w:r w:rsidRPr="00995C95">
        <w:rPr>
          <w:sz w:val="16"/>
          <w:szCs w:val="16"/>
        </w:rPr>
        <w:t xml:space="preserve"> This region, with a relatively strong representation of industry, has recently faced relatively higher unemployment and job losses (probably also in subcontractors for the motor vehicle industry). </w:t>
      </w:r>
    </w:p>
  </w:footnote>
  <w:footnote w:id="98">
    <w:p w14:paraId="24B4E506" w14:textId="77777777" w:rsidR="0032050F" w:rsidRPr="00995C95" w:rsidRDefault="0032050F" w:rsidP="0032050F">
      <w:pPr>
        <w:pStyle w:val="Textpoznpodarou"/>
        <w:rPr>
          <w:sz w:val="16"/>
          <w:szCs w:val="16"/>
        </w:rPr>
      </w:pPr>
      <w:r w:rsidRPr="00995C95">
        <w:rPr>
          <w:rStyle w:val="Znakapoznpodarou"/>
          <w:sz w:val="16"/>
          <w:szCs w:val="16"/>
        </w:rPr>
        <w:footnoteRef/>
      </w:r>
      <w:r w:rsidRPr="00995C95">
        <w:rPr>
          <w:sz w:val="16"/>
          <w:szCs w:val="16"/>
        </w:rPr>
        <w:t xml:space="preserve"> According to data from the LFSS, their number increased by 21 thousand or 8%, year-on-year, in Q4 2025 (the growth rate was strengthening last year), which could be related to a strong influx of workers from non-EU countries. </w:t>
      </w:r>
    </w:p>
  </w:footnote>
  <w:footnote w:id="99">
    <w:p w14:paraId="4AC2DF2F" w14:textId="77777777" w:rsidR="0032050F" w:rsidRPr="00995C95" w:rsidRDefault="0032050F" w:rsidP="0032050F">
      <w:pPr>
        <w:pStyle w:val="Textpoznpodarou"/>
        <w:rPr>
          <w:sz w:val="16"/>
          <w:szCs w:val="16"/>
        </w:rPr>
      </w:pPr>
      <w:r w:rsidRPr="00995C95">
        <w:rPr>
          <w:rStyle w:val="Znakapoznpodarou"/>
          <w:sz w:val="16"/>
          <w:szCs w:val="16"/>
        </w:rPr>
        <w:footnoteRef/>
      </w:r>
      <w:r w:rsidRPr="00995C95">
        <w:rPr>
          <w:sz w:val="16"/>
          <w:szCs w:val="16"/>
        </w:rPr>
        <w:t xml:space="preserve"> These are data in a new model of seasonal adjustment – using the trend cycle. The innovated adjustment model better reflects changes in the nature of the labour market and seasonality. The monthly unemployment rate is similarly adjusted. </w:t>
      </w:r>
    </w:p>
  </w:footnote>
  <w:footnote w:id="100">
    <w:p w14:paraId="30F8FD45" w14:textId="77777777" w:rsidR="0032050F" w:rsidRPr="00995C95" w:rsidRDefault="0032050F" w:rsidP="0032050F">
      <w:pPr>
        <w:pStyle w:val="Textpoznpodarou"/>
        <w:rPr>
          <w:sz w:val="16"/>
          <w:szCs w:val="16"/>
        </w:rPr>
      </w:pPr>
      <w:r w:rsidRPr="00995C95">
        <w:rPr>
          <w:rStyle w:val="Znakapoznpodarou"/>
          <w:sz w:val="16"/>
          <w:szCs w:val="16"/>
        </w:rPr>
        <w:footnoteRef/>
      </w:r>
      <w:r w:rsidRPr="00995C95">
        <w:rPr>
          <w:sz w:val="16"/>
          <w:szCs w:val="16"/>
        </w:rPr>
        <w:t xml:space="preserve"> This was related to more general changes on the labour market after the retreat of the COVID-19 pandemic, as well as to the state employment policy, which stimulated the supply of these jobs from year 2023 (in particular in the form of a discount on employers' premiums, which applies to selected groups of employees, e.g. persons caring for a child under 10 years of age, persons over 55 years of age, persons with disabilities or students).</w:t>
      </w:r>
    </w:p>
  </w:footnote>
  <w:footnote w:id="101">
    <w:p w14:paraId="5B1908D2" w14:textId="77777777" w:rsidR="0032050F" w:rsidRPr="00995C95" w:rsidRDefault="0032050F" w:rsidP="0032050F">
      <w:pPr>
        <w:pStyle w:val="Textpoznpodarou"/>
      </w:pPr>
      <w:r w:rsidRPr="00995C95">
        <w:rPr>
          <w:rStyle w:val="Znakapoznpodarou"/>
          <w:sz w:val="16"/>
          <w:szCs w:val="16"/>
        </w:rPr>
        <w:footnoteRef/>
      </w:r>
      <w:r w:rsidRPr="00995C95">
        <w:rPr>
          <w:sz w:val="16"/>
          <w:szCs w:val="16"/>
        </w:rPr>
        <w:t xml:space="preserve"> Nevertheless, the number of people working in this form grew slightly, year-on-year. According to data from LFSS, 366 thousand of females (+7.5%, year-on-year) and 149 thousand of males (+3.7%) worked part-time in the Czech Republic in Q4 2025. Although a full third of women working part-time were aged 30–44 years, the year-on-year growth of the number of these jobs was concentrated in older or alternatively the youngest women (up to 25 years of age). 12.4% of females worked in this form in the age group 25 to 54 years and this share stagnated, year-on-year (it was 15% in the total female population). Thus, in the European context, the Czech Republic is still one of the countries with a significantly below-average share of part-time work. 29% of all females aged 15 to 74 worked in this way in the EU in Q4 2025, 50% in Germany and Austria, and even around 63% in the Netherlands. On the contrary, among the countries that joined the Union after 2000, only Estonia (20%) and Malta (17%) had a higher share than the Czech Republic, and Greece (10%) and Portugal (8%) had a very low share among the older members. Year-on-year, this share increased the most in Finland, Belgium, Latvia, Poland and Slovakia (in the range of 1 to 2 p. p.), and by 0.4 p. p. in the Czech Republic. </w:t>
      </w:r>
    </w:p>
  </w:footnote>
  <w:footnote w:id="102">
    <w:p w14:paraId="6A744870" w14:textId="77777777" w:rsidR="0032050F" w:rsidRPr="00995C95" w:rsidRDefault="0032050F" w:rsidP="0032050F">
      <w:pPr>
        <w:pStyle w:val="Textpoznpodarou"/>
        <w:jc w:val="both"/>
        <w:rPr>
          <w:sz w:val="16"/>
          <w:szCs w:val="16"/>
        </w:rPr>
      </w:pPr>
      <w:r w:rsidRPr="00995C95">
        <w:rPr>
          <w:rStyle w:val="Znakapoznpodarou"/>
          <w:sz w:val="16"/>
          <w:szCs w:val="16"/>
        </w:rPr>
        <w:footnoteRef/>
      </w:r>
      <w:r w:rsidRPr="00995C95">
        <w:rPr>
          <w:sz w:val="16"/>
          <w:szCs w:val="16"/>
        </w:rPr>
        <w:t xml:space="preserve"> Unless stated otherwise, seasonally adjusted data are used from now on. </w:t>
      </w:r>
    </w:p>
  </w:footnote>
  <w:footnote w:id="103">
    <w:p w14:paraId="0A0BDCF6" w14:textId="77777777" w:rsidR="0032050F" w:rsidRPr="00995C95" w:rsidRDefault="0032050F" w:rsidP="0032050F">
      <w:pPr>
        <w:pStyle w:val="Textpoznpodarou"/>
        <w:rPr>
          <w:sz w:val="16"/>
          <w:szCs w:val="16"/>
        </w:rPr>
      </w:pPr>
      <w:r w:rsidRPr="00995C95">
        <w:rPr>
          <w:rStyle w:val="Znakapoznpodarou"/>
          <w:sz w:val="16"/>
          <w:szCs w:val="16"/>
        </w:rPr>
        <w:footnoteRef/>
      </w:r>
      <w:r w:rsidRPr="00995C95">
        <w:rPr>
          <w:sz w:val="16"/>
          <w:szCs w:val="16"/>
        </w:rPr>
        <w:t xml:space="preserve"> According to the Business Survey from February 2026, a quarter of companies (excluding seasonality) expected a reduction of the number of employees in selected services over a three-month horizon, a tenth both in industry and construction (but only 3% in trade). On the contrary, the intention to expand the number of workers was most evident in trade and construction (both 18%) and the least in industry and services (only 10% of firms agreed). </w:t>
      </w:r>
    </w:p>
  </w:footnote>
  <w:footnote w:id="104">
    <w:p w14:paraId="04288EE8" w14:textId="77777777" w:rsidR="0032050F" w:rsidRPr="00995C95" w:rsidRDefault="0032050F" w:rsidP="0032050F">
      <w:pPr>
        <w:pStyle w:val="Textpoznpodarou"/>
        <w:jc w:val="both"/>
        <w:rPr>
          <w:color w:val="0D0D0D" w:themeColor="text1" w:themeTint="F2"/>
          <w:spacing w:val="-2"/>
          <w:sz w:val="16"/>
          <w:szCs w:val="16"/>
        </w:rPr>
      </w:pPr>
      <w:r w:rsidRPr="00995C95">
        <w:rPr>
          <w:rStyle w:val="Znakapoznpodarou"/>
          <w:sz w:val="16"/>
          <w:szCs w:val="16"/>
        </w:rPr>
        <w:footnoteRef/>
      </w:r>
      <w:r w:rsidRPr="00995C95">
        <w:rPr>
          <w:sz w:val="16"/>
          <w:szCs w:val="16"/>
        </w:rPr>
        <w:t xml:space="preserve"> </w:t>
      </w:r>
      <w:r w:rsidRPr="00995C95">
        <w:rPr>
          <w:color w:val="0D0D0D" w:themeColor="text1" w:themeTint="F2"/>
          <w:spacing w:val="-2"/>
          <w:sz w:val="16"/>
          <w:szCs w:val="16"/>
        </w:rPr>
        <w:t xml:space="preserve">The prevailing negative anticipations of employment were expressed by enterprises in one half of </w:t>
      </w:r>
      <w:r w:rsidRPr="00995C95">
        <w:rPr>
          <w:i/>
          <w:iCs/>
          <w:color w:val="0D0D0D" w:themeColor="text1" w:themeTint="F2"/>
          <w:spacing w:val="-2"/>
          <w:sz w:val="16"/>
          <w:szCs w:val="16"/>
        </w:rPr>
        <w:t>manufacturing industries</w:t>
      </w:r>
      <w:r w:rsidRPr="00995C95">
        <w:rPr>
          <w:color w:val="0D0D0D" w:themeColor="text1" w:themeTint="F2"/>
          <w:spacing w:val="-2"/>
          <w:sz w:val="16"/>
          <w:szCs w:val="16"/>
        </w:rPr>
        <w:t xml:space="preserve">. Mechanical engineering, metallurgy and foundry industry, manufacturing of building materials and chemical industry, and from smaller activities the textile, clothing, woodworking and furniture industries held the worst prospects. On the contrary, positive employment outlook persisted mainly in the manufacturing of rail transport equipment, electrical engineering, repairs of machinery and equipment, pharmaceutical and food industry. In </w:t>
      </w:r>
      <w:r w:rsidRPr="00995C95">
        <w:rPr>
          <w:i/>
          <w:iCs/>
          <w:color w:val="0D0D0D" w:themeColor="text1" w:themeTint="F2"/>
          <w:spacing w:val="-2"/>
          <w:sz w:val="16"/>
          <w:szCs w:val="16"/>
        </w:rPr>
        <w:t>services</w:t>
      </w:r>
      <w:r w:rsidRPr="00995C95">
        <w:rPr>
          <w:color w:val="0D0D0D" w:themeColor="text1" w:themeTint="F2"/>
          <w:spacing w:val="-2"/>
          <w:sz w:val="16"/>
          <w:szCs w:val="16"/>
        </w:rPr>
        <w:t xml:space="preserve">, negative expectations prevailed in a quarter of sub-sectors – most notably in financial and insurance activities, motion picture and sound industry, telecommunications and advertising. By contrast, optimism prevailed in restaurants and food service, information activities, warehousing, activities of head offices and management consultancy activities, security and investigation activities. </w:t>
      </w:r>
    </w:p>
  </w:footnote>
  <w:footnote w:id="105">
    <w:p w14:paraId="22FEFCFA" w14:textId="77777777" w:rsidR="0032050F" w:rsidRPr="00995C95" w:rsidRDefault="0032050F" w:rsidP="0032050F">
      <w:pPr>
        <w:pStyle w:val="Textpoznpodarou"/>
        <w:rPr>
          <w:sz w:val="16"/>
          <w:szCs w:val="16"/>
        </w:rPr>
      </w:pPr>
      <w:r w:rsidRPr="00995C95">
        <w:rPr>
          <w:rStyle w:val="Znakapoznpodarou"/>
          <w:color w:val="0D0D0D" w:themeColor="text1" w:themeTint="F2"/>
          <w:sz w:val="16"/>
          <w:szCs w:val="16"/>
        </w:rPr>
        <w:footnoteRef/>
      </w:r>
      <w:r w:rsidRPr="00995C95">
        <w:rPr>
          <w:color w:val="0D0D0D" w:themeColor="text1" w:themeTint="F2"/>
          <w:sz w:val="16"/>
          <w:szCs w:val="16"/>
        </w:rPr>
        <w:t xml:space="preserve"> Businesses could have stated more barriers simultaneously. </w:t>
      </w:r>
    </w:p>
  </w:footnote>
  <w:footnote w:id="106">
    <w:p w14:paraId="2B3BBA1E" w14:textId="77777777" w:rsidR="0032050F" w:rsidRPr="00995C95" w:rsidRDefault="0032050F" w:rsidP="0032050F">
      <w:pPr>
        <w:pStyle w:val="Textpoznpodarou"/>
        <w:rPr>
          <w:spacing w:val="-3"/>
          <w:sz w:val="16"/>
          <w:szCs w:val="16"/>
        </w:rPr>
      </w:pPr>
      <w:r w:rsidRPr="00995C95">
        <w:rPr>
          <w:rStyle w:val="Znakapoznpodarou"/>
          <w:spacing w:val="-3"/>
          <w:sz w:val="16"/>
          <w:szCs w:val="16"/>
        </w:rPr>
        <w:footnoteRef/>
      </w:r>
      <w:r w:rsidRPr="00995C95">
        <w:rPr>
          <w:spacing w:val="-3"/>
          <w:sz w:val="16"/>
          <w:szCs w:val="16"/>
        </w:rPr>
        <w:t xml:space="preserve"> Data on unemployment rates in the Czech Republic are based on the LFSS (according to the ILO methodology) and are seasonally adjusted using a trend cycle. </w:t>
      </w:r>
    </w:p>
  </w:footnote>
  <w:footnote w:id="107">
    <w:p w14:paraId="2D5FECB0" w14:textId="77777777" w:rsidR="0032050F" w:rsidRPr="00995C95" w:rsidRDefault="0032050F" w:rsidP="0032050F">
      <w:pPr>
        <w:pStyle w:val="paragraph"/>
        <w:spacing w:before="0" w:beforeAutospacing="0" w:after="0" w:afterAutospacing="0"/>
        <w:rPr>
          <w:rFonts w:ascii="Arial" w:hAnsi="Arial" w:cs="Arial"/>
          <w:color w:val="0D0D0D" w:themeColor="text1" w:themeTint="F2"/>
          <w:sz w:val="16"/>
          <w:szCs w:val="16"/>
        </w:rPr>
      </w:pPr>
      <w:r w:rsidRPr="00995C95">
        <w:rPr>
          <w:rStyle w:val="Znakapoznpodarou"/>
          <w:rFonts w:ascii="Arial" w:hAnsi="Arial" w:cs="Arial"/>
          <w:color w:val="0D0D0D" w:themeColor="text1" w:themeTint="F2"/>
          <w:sz w:val="16"/>
          <w:szCs w:val="16"/>
        </w:rPr>
        <w:footnoteRef/>
      </w:r>
      <w:r w:rsidRPr="00995C95">
        <w:rPr>
          <w:rFonts w:ascii="Arial" w:hAnsi="Arial" w:cs="Arial"/>
          <w:color w:val="0D0D0D" w:themeColor="text1" w:themeTint="F2"/>
          <w:sz w:val="16"/>
          <w:szCs w:val="16"/>
        </w:rPr>
        <w:t xml:space="preserve"> The labour market remains generally stable within the EU. The seasonally adjusted unemployment rate (persons aged 15-74 years) was 5.8% in the Union in January 2026, and 6.1% in the euro area. There was no significant change month-on-month or year-on-year. Current unemployment in both formations is almost at its historical lows (yet it is currently slightly higher than, for example, in the USA, where it was 4.3%, or in Japan with 2.7%). Unemployment in the Czech Republic (3.2%) is one of the lowest, currently together with Poland and Bulgaria (3.1% each) and Malta (3.4%). It is now at 4% in Germany and the Netherlands, 4.5% in Hungary, and at 5.6% in Slovakia and Austria. The worst situation is in Finland (10.0%), and after a long time, Spain (9.8%) and Greece (7.7%) are not in the lead in the EU, as the reduction of unemployment in these countries is currently one of the highest. There was also a positive shift in Sweden, yet unemployment remains high (8.0%). It also continued to increase in France (7.7%) and Denmark (7.5%). Year-on-year, total unemployment is lower in 11 Member States – mainly in Greece (−2.1 p. p.), Sweden (−1.8 p. p.) Italy (−1.5 p. p.), Estonia (−1.3 p. p.) and Spain (−1.1 p. p.). On the contrary, there was a deterioration in 14 countries – mainly in Finland and Denmark (both +0.9 p.p</w:t>
      </w:r>
      <w:r w:rsidRPr="00995C95">
        <w:rPr>
          <w:rStyle w:val="eop"/>
          <w:rFonts w:ascii="Arial" w:hAnsi="Arial" w:cs="Arial"/>
          <w:color w:val="0D0D0D" w:themeColor="text1" w:themeTint="F2"/>
          <w:spacing w:val="-4"/>
          <w:sz w:val="16"/>
          <w:szCs w:val="16"/>
        </w:rPr>
        <w:t xml:space="preserve">.). </w:t>
      </w:r>
    </w:p>
  </w:footnote>
  <w:footnote w:id="108">
    <w:p w14:paraId="5407E2F8" w14:textId="77777777" w:rsidR="0032050F" w:rsidRPr="00995C95" w:rsidRDefault="0032050F" w:rsidP="0032050F">
      <w:pPr>
        <w:pStyle w:val="Textpoznpodarou"/>
        <w:rPr>
          <w:color w:val="0D0D0D" w:themeColor="text1" w:themeTint="F2"/>
          <w:sz w:val="16"/>
          <w:szCs w:val="16"/>
        </w:rPr>
      </w:pPr>
      <w:r w:rsidRPr="00995C95">
        <w:rPr>
          <w:rStyle w:val="Znakapoznpodarou"/>
          <w:color w:val="0D0D0D" w:themeColor="text1" w:themeTint="F2"/>
          <w:sz w:val="16"/>
          <w:szCs w:val="16"/>
        </w:rPr>
        <w:footnoteRef/>
      </w:r>
      <w:r w:rsidRPr="00995C95">
        <w:rPr>
          <w:color w:val="0D0D0D" w:themeColor="text1" w:themeTint="F2"/>
          <w:sz w:val="16"/>
          <w:szCs w:val="16"/>
        </w:rPr>
        <w:t xml:space="preserve"> Year-on-year, there were 13 thousand of them more in Q4 (to 52 thousand), mainly due to the influence of males. People who have been unemployed for more than a year currently account for 33% of the total number of unemployed (29% a year earlier), which represents an average value in the long-term and international context. </w:t>
      </w:r>
    </w:p>
  </w:footnote>
  <w:footnote w:id="109">
    <w:p w14:paraId="4D9B256D" w14:textId="77777777" w:rsidR="0032050F" w:rsidRPr="00995C95" w:rsidRDefault="0032050F" w:rsidP="0032050F">
      <w:pPr>
        <w:pStyle w:val="Textpoznpodarou"/>
        <w:rPr>
          <w:sz w:val="16"/>
          <w:szCs w:val="16"/>
        </w:rPr>
      </w:pPr>
      <w:r w:rsidRPr="00995C95">
        <w:rPr>
          <w:rStyle w:val="Znakapoznpodarou"/>
          <w:color w:val="0D0D0D" w:themeColor="text1" w:themeTint="F2"/>
          <w:sz w:val="16"/>
          <w:szCs w:val="16"/>
        </w:rPr>
        <w:footnoteRef/>
      </w:r>
      <w:r w:rsidRPr="00995C95">
        <w:rPr>
          <w:color w:val="0D0D0D" w:themeColor="text1" w:themeTint="F2"/>
          <w:sz w:val="16"/>
          <w:szCs w:val="16"/>
        </w:rPr>
        <w:t xml:space="preserve"> The highest share of unemployed (to the population aged 15–64) was currently held by males in the “</w:t>
      </w:r>
      <w:proofErr w:type="spellStart"/>
      <w:r w:rsidRPr="00995C95">
        <w:rPr>
          <w:i/>
          <w:iCs/>
          <w:color w:val="0D0D0D" w:themeColor="text1" w:themeTint="F2"/>
          <w:sz w:val="16"/>
          <w:szCs w:val="16"/>
        </w:rPr>
        <w:t>Karviná</w:t>
      </w:r>
      <w:proofErr w:type="spellEnd"/>
      <w:r w:rsidRPr="00995C95">
        <w:rPr>
          <w:i/>
          <w:iCs/>
          <w:color w:val="0D0D0D" w:themeColor="text1" w:themeTint="F2"/>
          <w:sz w:val="16"/>
          <w:szCs w:val="16"/>
        </w:rPr>
        <w:t xml:space="preserve"> </w:t>
      </w:r>
      <w:r w:rsidRPr="00995C95">
        <w:rPr>
          <w:color w:val="0D0D0D" w:themeColor="text1" w:themeTint="F2"/>
          <w:sz w:val="16"/>
          <w:szCs w:val="16"/>
        </w:rPr>
        <w:t>district</w:t>
      </w:r>
      <w:r>
        <w:rPr>
          <w:color w:val="0D0D0D" w:themeColor="text1" w:themeTint="F2"/>
          <w:sz w:val="16"/>
          <w:szCs w:val="16"/>
        </w:rPr>
        <w:t>”</w:t>
      </w:r>
      <w:r w:rsidRPr="00995C95">
        <w:rPr>
          <w:color w:val="0D0D0D" w:themeColor="text1" w:themeTint="F2"/>
          <w:sz w:val="16"/>
          <w:szCs w:val="16"/>
        </w:rPr>
        <w:t xml:space="preserve"> (10.5%) and females in the “</w:t>
      </w:r>
      <w:r w:rsidRPr="00995C95">
        <w:rPr>
          <w:i/>
          <w:iCs/>
          <w:color w:val="0D0D0D" w:themeColor="text1" w:themeTint="F2"/>
          <w:sz w:val="16"/>
          <w:szCs w:val="16"/>
        </w:rPr>
        <w:t>Most</w:t>
      </w:r>
      <w:r w:rsidRPr="00995C95">
        <w:rPr>
          <w:color w:val="0D0D0D" w:themeColor="text1" w:themeTint="F2"/>
          <w:sz w:val="16"/>
          <w:szCs w:val="16"/>
        </w:rPr>
        <w:t xml:space="preserve"> district</w:t>
      </w:r>
      <w:r>
        <w:rPr>
          <w:color w:val="0D0D0D" w:themeColor="text1" w:themeTint="F2"/>
          <w:sz w:val="16"/>
          <w:szCs w:val="16"/>
        </w:rPr>
        <w:t>”</w:t>
      </w:r>
      <w:r w:rsidRPr="00995C95">
        <w:rPr>
          <w:color w:val="0D0D0D" w:themeColor="text1" w:themeTint="F2"/>
          <w:sz w:val="16"/>
          <w:szCs w:val="16"/>
        </w:rPr>
        <w:t xml:space="preserve"> (11.8%). In addition to the above-mentioned regions, total unemployment exceeding the national value by at least half was recorded in the “districts of </w:t>
      </w:r>
      <w:proofErr w:type="spellStart"/>
      <w:r w:rsidRPr="00995C95">
        <w:rPr>
          <w:i/>
          <w:iCs/>
          <w:color w:val="0D0D0D" w:themeColor="text1" w:themeTint="F2"/>
          <w:sz w:val="16"/>
          <w:szCs w:val="16"/>
        </w:rPr>
        <w:t>Bruntál</w:t>
      </w:r>
      <w:proofErr w:type="spellEnd"/>
      <w:r w:rsidRPr="00995C95">
        <w:rPr>
          <w:i/>
          <w:iCs/>
          <w:color w:val="0D0D0D" w:themeColor="text1" w:themeTint="F2"/>
          <w:sz w:val="16"/>
          <w:szCs w:val="16"/>
        </w:rPr>
        <w:t xml:space="preserve">, Sokolov, Chomutov, </w:t>
      </w:r>
      <w:proofErr w:type="spellStart"/>
      <w:r w:rsidRPr="00995C95">
        <w:rPr>
          <w:i/>
          <w:iCs/>
          <w:color w:val="0D0D0D" w:themeColor="text1" w:themeTint="F2"/>
          <w:sz w:val="16"/>
          <w:szCs w:val="16"/>
        </w:rPr>
        <w:t>Znojmo</w:t>
      </w:r>
      <w:proofErr w:type="spellEnd"/>
      <w:r w:rsidRPr="00995C95">
        <w:rPr>
          <w:color w:val="0D0D0D" w:themeColor="text1" w:themeTint="F2"/>
          <w:sz w:val="16"/>
          <w:szCs w:val="16"/>
        </w:rPr>
        <w:t xml:space="preserve"> and </w:t>
      </w:r>
      <w:proofErr w:type="spellStart"/>
      <w:r w:rsidRPr="00995C95">
        <w:rPr>
          <w:i/>
          <w:iCs/>
          <w:color w:val="0D0D0D" w:themeColor="text1" w:themeTint="F2"/>
          <w:sz w:val="16"/>
          <w:szCs w:val="16"/>
        </w:rPr>
        <w:t>Děčín</w:t>
      </w:r>
      <w:proofErr w:type="spellEnd"/>
      <w:r>
        <w:rPr>
          <w:color w:val="0D0D0D" w:themeColor="text1" w:themeTint="F2"/>
          <w:sz w:val="16"/>
          <w:szCs w:val="16"/>
        </w:rPr>
        <w:t>”</w:t>
      </w:r>
      <w:r w:rsidRPr="00995C95">
        <w:rPr>
          <w:color w:val="0D0D0D" w:themeColor="text1" w:themeTint="F2"/>
          <w:sz w:val="16"/>
          <w:szCs w:val="16"/>
        </w:rPr>
        <w:t>. On the contrary, the lowest (below 3.6%) was in the immediate outskirts of Prague and in the “</w:t>
      </w:r>
      <w:proofErr w:type="spellStart"/>
      <w:r w:rsidRPr="00995C95">
        <w:rPr>
          <w:i/>
          <w:iCs/>
          <w:color w:val="0D0D0D" w:themeColor="text1" w:themeTint="F2"/>
          <w:sz w:val="16"/>
          <w:szCs w:val="16"/>
        </w:rPr>
        <w:t>Rychnov</w:t>
      </w:r>
      <w:proofErr w:type="spellEnd"/>
      <w:r w:rsidRPr="00995C95">
        <w:rPr>
          <w:i/>
          <w:iCs/>
          <w:color w:val="0D0D0D" w:themeColor="text1" w:themeTint="F2"/>
          <w:sz w:val="16"/>
          <w:szCs w:val="16"/>
        </w:rPr>
        <w:t xml:space="preserve">, </w:t>
      </w:r>
      <w:proofErr w:type="spellStart"/>
      <w:r w:rsidRPr="00995C95">
        <w:rPr>
          <w:i/>
          <w:iCs/>
          <w:color w:val="0D0D0D" w:themeColor="text1" w:themeTint="F2"/>
          <w:sz w:val="16"/>
          <w:szCs w:val="16"/>
        </w:rPr>
        <w:t>Pelhřimov</w:t>
      </w:r>
      <w:proofErr w:type="spellEnd"/>
      <w:r w:rsidRPr="00995C95">
        <w:rPr>
          <w:color w:val="0D0D0D" w:themeColor="text1" w:themeTint="F2"/>
          <w:sz w:val="16"/>
          <w:szCs w:val="16"/>
        </w:rPr>
        <w:t xml:space="preserve"> </w:t>
      </w:r>
      <w:r w:rsidRPr="00995C95">
        <w:rPr>
          <w:i/>
          <w:iCs/>
          <w:color w:val="0D0D0D" w:themeColor="text1" w:themeTint="F2"/>
          <w:sz w:val="16"/>
          <w:szCs w:val="16"/>
        </w:rPr>
        <w:t>and Mladá Boleslav</w:t>
      </w:r>
      <w:r w:rsidRPr="00995C95">
        <w:rPr>
          <w:color w:val="0D0D0D" w:themeColor="text1" w:themeTint="F2"/>
          <w:sz w:val="16"/>
          <w:szCs w:val="16"/>
        </w:rPr>
        <w:t xml:space="preserve"> districts</w:t>
      </w:r>
      <w:r>
        <w:rPr>
          <w:color w:val="0D0D0D" w:themeColor="text1" w:themeTint="F2"/>
          <w:sz w:val="16"/>
          <w:szCs w:val="16"/>
        </w:rPr>
        <w:t>”</w:t>
      </w:r>
      <w:r w:rsidRPr="00995C95">
        <w:rPr>
          <w:color w:val="0D0D0D" w:themeColor="text1" w:themeTint="F2"/>
          <w:sz w:val="16"/>
          <w:szCs w:val="16"/>
        </w:rPr>
        <w:t>. Year-on-year, unemployment increased in all regions of the Czech Republic – the most in the “</w:t>
      </w:r>
      <w:r w:rsidRPr="00995C95">
        <w:rPr>
          <w:i/>
          <w:iCs/>
          <w:color w:val="0D0D0D" w:themeColor="text1" w:themeTint="F2"/>
          <w:sz w:val="16"/>
          <w:szCs w:val="16"/>
        </w:rPr>
        <w:t>Sokolov</w:t>
      </w:r>
      <w:r w:rsidRPr="00995C95">
        <w:rPr>
          <w:color w:val="0D0D0D" w:themeColor="text1" w:themeTint="F2"/>
          <w:sz w:val="16"/>
          <w:szCs w:val="16"/>
        </w:rPr>
        <w:t xml:space="preserve"> region</w:t>
      </w:r>
      <w:r>
        <w:rPr>
          <w:color w:val="0D0D0D" w:themeColor="text1" w:themeTint="F2"/>
          <w:sz w:val="16"/>
          <w:szCs w:val="16"/>
        </w:rPr>
        <w:t>”</w:t>
      </w:r>
      <w:r w:rsidRPr="00995C95">
        <w:rPr>
          <w:color w:val="0D0D0D" w:themeColor="text1" w:themeTint="F2"/>
          <w:sz w:val="16"/>
          <w:szCs w:val="16"/>
        </w:rPr>
        <w:t xml:space="preserve"> (from 6.3% to 8.2%), the “</w:t>
      </w:r>
      <w:r w:rsidRPr="00995C95">
        <w:rPr>
          <w:i/>
          <w:iCs/>
          <w:color w:val="0D0D0D" w:themeColor="text1" w:themeTint="F2"/>
          <w:sz w:val="16"/>
          <w:szCs w:val="16"/>
        </w:rPr>
        <w:t>Most</w:t>
      </w:r>
      <w:r w:rsidRPr="00995C95">
        <w:rPr>
          <w:color w:val="0D0D0D" w:themeColor="text1" w:themeTint="F2"/>
          <w:sz w:val="16"/>
          <w:szCs w:val="16"/>
        </w:rPr>
        <w:t xml:space="preserve"> region</w:t>
      </w:r>
      <w:r>
        <w:rPr>
          <w:color w:val="0D0D0D" w:themeColor="text1" w:themeTint="F2"/>
          <w:sz w:val="16"/>
          <w:szCs w:val="16"/>
        </w:rPr>
        <w:t>”</w:t>
      </w:r>
      <w:r w:rsidRPr="00995C95">
        <w:rPr>
          <w:color w:val="0D0D0D" w:themeColor="text1" w:themeTint="F2"/>
          <w:sz w:val="16"/>
          <w:szCs w:val="16"/>
        </w:rPr>
        <w:t xml:space="preserve"> (from 8.8% to 10.3%) and the “</w:t>
      </w:r>
      <w:proofErr w:type="spellStart"/>
      <w:r w:rsidRPr="00995C95">
        <w:rPr>
          <w:i/>
          <w:iCs/>
          <w:color w:val="0D0D0D" w:themeColor="text1" w:themeTint="F2"/>
          <w:sz w:val="16"/>
          <w:szCs w:val="16"/>
        </w:rPr>
        <w:t>Česká</w:t>
      </w:r>
      <w:proofErr w:type="spellEnd"/>
      <w:r w:rsidRPr="00995C95">
        <w:rPr>
          <w:i/>
          <w:iCs/>
          <w:color w:val="0D0D0D" w:themeColor="text1" w:themeTint="F2"/>
          <w:sz w:val="16"/>
          <w:szCs w:val="16"/>
        </w:rPr>
        <w:t xml:space="preserve"> </w:t>
      </w:r>
      <w:proofErr w:type="spellStart"/>
      <w:r w:rsidRPr="00995C95">
        <w:rPr>
          <w:i/>
          <w:iCs/>
          <w:color w:val="0D0D0D" w:themeColor="text1" w:themeTint="F2"/>
          <w:sz w:val="16"/>
          <w:szCs w:val="16"/>
        </w:rPr>
        <w:t>Lípa</w:t>
      </w:r>
      <w:proofErr w:type="spellEnd"/>
      <w:r w:rsidRPr="00995C95">
        <w:rPr>
          <w:color w:val="0D0D0D" w:themeColor="text1" w:themeTint="F2"/>
          <w:sz w:val="16"/>
          <w:szCs w:val="16"/>
        </w:rPr>
        <w:t xml:space="preserve"> region</w:t>
      </w:r>
      <w:r>
        <w:rPr>
          <w:color w:val="0D0D0D" w:themeColor="text1" w:themeTint="F2"/>
          <w:sz w:val="16"/>
          <w:szCs w:val="16"/>
        </w:rPr>
        <w:t>”</w:t>
      </w:r>
      <w:r w:rsidRPr="00995C95">
        <w:rPr>
          <w:color w:val="0D0D0D" w:themeColor="text1" w:themeTint="F2"/>
          <w:sz w:val="16"/>
          <w:szCs w:val="16"/>
        </w:rPr>
        <w:t xml:space="preserve"> (from 4.9% to 6.4%).</w:t>
      </w:r>
      <w:r w:rsidRPr="00995C95">
        <w:rPr>
          <w:rFonts w:cs="Arial"/>
          <w:color w:val="0D0D0D" w:themeColor="text1" w:themeTint="F2"/>
          <w:sz w:val="16"/>
          <w:szCs w:val="16"/>
        </w:rPr>
        <w:t xml:space="preserve"> </w:t>
      </w:r>
    </w:p>
  </w:footnote>
  <w:footnote w:id="110">
    <w:p w14:paraId="53F79E90" w14:textId="77777777" w:rsidR="0032050F" w:rsidRPr="00995C95" w:rsidRDefault="0032050F" w:rsidP="0032050F">
      <w:pPr>
        <w:pStyle w:val="Textpoznpodarou"/>
        <w:rPr>
          <w:rFonts w:cs="Arial"/>
          <w:sz w:val="16"/>
          <w:szCs w:val="16"/>
        </w:rPr>
      </w:pPr>
      <w:r w:rsidRPr="00995C95">
        <w:rPr>
          <w:rStyle w:val="Znakapoznpodarou"/>
          <w:sz w:val="16"/>
          <w:szCs w:val="16"/>
        </w:rPr>
        <w:footnoteRef/>
      </w:r>
      <w:r w:rsidRPr="00995C95">
        <w:rPr>
          <w:sz w:val="16"/>
          <w:szCs w:val="16"/>
        </w:rPr>
        <w:t xml:space="preserve"> </w:t>
      </w:r>
      <w:r w:rsidRPr="00995C95">
        <w:rPr>
          <w:color w:val="0D0D0D" w:themeColor="text1" w:themeTint="F2"/>
          <w:sz w:val="16"/>
          <w:szCs w:val="16"/>
        </w:rPr>
        <w:t>According to the CZSO experimental statistics (</w:t>
      </w:r>
      <w:r w:rsidRPr="00995C95">
        <w:rPr>
          <w:sz w:val="16"/>
          <w:szCs w:val="16"/>
        </w:rPr>
        <w:t xml:space="preserve">surveys of enterprises carried out since 2020), the offer of domestic companies was estimated at 99 thousand vacancies in Q4 2025 (these are only employed positions, not temporary jobs, e.g. various types of agreements). The number of job vacancies decreased by 2%, year-on-year (and was slightly falling also in the previous last year’s quarters). The current decline of supply was mainly due to administrative and support activities (-2.2 thousand), as well as public administration and transport, including warehousing (both around 1 thousand) and, somewhat surprisingly, construction and information and communication. On the contrary, the supply of jobs in trade and industry grew the most (both by about 2 thousand) and in education (+1.2 thousand). Most vacancies were in sectors with an important role of the state (26 thousand), in industry (25 thousand) and in trade (13 thousand). </w:t>
      </w:r>
    </w:p>
  </w:footnote>
  <w:footnote w:id="111">
    <w:p w14:paraId="5D8ADD97" w14:textId="77777777" w:rsidR="0032050F" w:rsidRPr="00995C95" w:rsidRDefault="0032050F" w:rsidP="0032050F">
      <w:pPr>
        <w:pStyle w:val="Textpoznpodarou"/>
        <w:rPr>
          <w:sz w:val="16"/>
          <w:szCs w:val="16"/>
        </w:rPr>
      </w:pPr>
      <w:r w:rsidRPr="00995C95">
        <w:rPr>
          <w:rStyle w:val="Znakapoznpodarou"/>
          <w:sz w:val="16"/>
          <w:szCs w:val="16"/>
        </w:rPr>
        <w:footnoteRef/>
      </w:r>
      <w:r w:rsidRPr="00995C95">
        <w:rPr>
          <w:sz w:val="16"/>
          <w:szCs w:val="16"/>
        </w:rPr>
        <w:t xml:space="preserve"> However, many job vacancies (especially for people with higher qualifications) are advertised in a different form (e.g. via job portals). At the same time, not all unemployed persons (according to the international concept of the ILO) use labour offices as their primary source of information on job vacancies. People with higher education more often prefer several ways of looking for a job simultaneously (placing and updating CVs, actively attending interviews, etc.).</w:t>
      </w:r>
    </w:p>
  </w:footnote>
  <w:footnote w:id="112">
    <w:p w14:paraId="3363DD8C" w14:textId="77777777" w:rsidR="0032050F" w:rsidRPr="00995C95" w:rsidRDefault="0032050F" w:rsidP="0032050F">
      <w:pPr>
        <w:pStyle w:val="Textpoznpodarou"/>
        <w:rPr>
          <w:sz w:val="16"/>
          <w:szCs w:val="16"/>
        </w:rPr>
      </w:pPr>
      <w:r w:rsidRPr="00995C95">
        <w:rPr>
          <w:rStyle w:val="Znakapoznpodarou"/>
          <w:sz w:val="16"/>
          <w:szCs w:val="16"/>
        </w:rPr>
        <w:footnoteRef/>
      </w:r>
      <w:r w:rsidRPr="00995C95">
        <w:rPr>
          <w:sz w:val="16"/>
          <w:szCs w:val="16"/>
        </w:rPr>
        <w:t xml:space="preserve"> For almost three quarters of job vacancies, only basic education was sufficient for applicants. On the other hand, more than a third of all registered job applicants have at least a high school diploma.</w:t>
      </w:r>
    </w:p>
  </w:footnote>
  <w:footnote w:id="113">
    <w:p w14:paraId="193708B9" w14:textId="77777777" w:rsidR="0032050F" w:rsidRPr="00995C95" w:rsidRDefault="0032050F" w:rsidP="0032050F">
      <w:pPr>
        <w:pStyle w:val="paragraph"/>
        <w:spacing w:before="0" w:beforeAutospacing="0" w:after="0" w:afterAutospacing="0"/>
        <w:textAlignment w:val="baseline"/>
        <w:rPr>
          <w:rFonts w:ascii="Arial" w:eastAsia="Calibri" w:hAnsi="Arial"/>
          <w:sz w:val="16"/>
          <w:szCs w:val="16"/>
        </w:rPr>
      </w:pPr>
      <w:r w:rsidRPr="00995C95">
        <w:rPr>
          <w:rStyle w:val="Znakapoznpodarou"/>
          <w:sz w:val="16"/>
          <w:szCs w:val="16"/>
        </w:rPr>
        <w:footnoteRef/>
      </w:r>
      <w:r w:rsidRPr="00995C95">
        <w:rPr>
          <w:sz w:val="16"/>
          <w:szCs w:val="16"/>
        </w:rPr>
        <w:t xml:space="preserve"> </w:t>
      </w:r>
      <w:r w:rsidRPr="00995C95">
        <w:rPr>
          <w:rFonts w:ascii="Arial" w:eastAsia="Calibri" w:hAnsi="Arial"/>
          <w:sz w:val="16"/>
          <w:szCs w:val="16"/>
        </w:rPr>
        <w:t>At the end of January 2026, the highest number of applicants for a position was traditionally in the</w:t>
      </w:r>
      <w:r>
        <w:rPr>
          <w:rFonts w:ascii="Arial" w:eastAsia="Calibri" w:hAnsi="Arial"/>
          <w:sz w:val="16"/>
          <w:szCs w:val="16"/>
        </w:rPr>
        <w:t xml:space="preserve"> “</w:t>
      </w:r>
      <w:proofErr w:type="spellStart"/>
      <w:r w:rsidRPr="00995C95">
        <w:rPr>
          <w:rFonts w:ascii="Arial" w:eastAsia="Calibri" w:hAnsi="Arial"/>
          <w:sz w:val="16"/>
          <w:szCs w:val="16"/>
        </w:rPr>
        <w:t>Karviná</w:t>
      </w:r>
      <w:proofErr w:type="spellEnd"/>
      <w:r w:rsidRPr="00995C95">
        <w:rPr>
          <w:rFonts w:ascii="Arial" w:eastAsia="Calibri" w:hAnsi="Arial"/>
          <w:sz w:val="16"/>
          <w:szCs w:val="16"/>
        </w:rPr>
        <w:t xml:space="preserve"> district” (20), followed by </w:t>
      </w:r>
      <w:r w:rsidRPr="00995C95">
        <w:rPr>
          <w:rFonts w:ascii="Arial" w:eastAsia="Calibri" w:hAnsi="Arial"/>
          <w:i/>
          <w:iCs/>
          <w:sz w:val="16"/>
          <w:szCs w:val="16"/>
        </w:rPr>
        <w:t>Sokolov</w:t>
      </w:r>
      <w:r w:rsidRPr="00995C95">
        <w:rPr>
          <w:rFonts w:ascii="Arial" w:eastAsia="Calibri" w:hAnsi="Arial"/>
          <w:sz w:val="16"/>
          <w:szCs w:val="16"/>
        </w:rPr>
        <w:t xml:space="preserve"> and </w:t>
      </w:r>
      <w:proofErr w:type="spellStart"/>
      <w:r w:rsidRPr="00995C95">
        <w:rPr>
          <w:rFonts w:ascii="Arial" w:eastAsia="Calibri" w:hAnsi="Arial"/>
          <w:i/>
          <w:iCs/>
          <w:sz w:val="16"/>
          <w:szCs w:val="16"/>
        </w:rPr>
        <w:t>Děčín</w:t>
      </w:r>
      <w:proofErr w:type="spellEnd"/>
      <w:r w:rsidRPr="00995C95">
        <w:rPr>
          <w:rFonts w:ascii="Arial" w:eastAsia="Calibri" w:hAnsi="Arial"/>
          <w:sz w:val="16"/>
          <w:szCs w:val="16"/>
        </w:rPr>
        <w:t xml:space="preserve"> (17 each), </w:t>
      </w:r>
      <w:proofErr w:type="spellStart"/>
      <w:r w:rsidRPr="00995C95">
        <w:rPr>
          <w:rFonts w:ascii="Arial" w:eastAsia="Calibri" w:hAnsi="Arial"/>
          <w:i/>
          <w:iCs/>
          <w:sz w:val="16"/>
          <w:szCs w:val="16"/>
        </w:rPr>
        <w:t>Bruntál</w:t>
      </w:r>
      <w:proofErr w:type="spellEnd"/>
      <w:r w:rsidRPr="00995C95">
        <w:rPr>
          <w:rFonts w:ascii="Arial" w:eastAsia="Calibri" w:hAnsi="Arial"/>
          <w:sz w:val="16"/>
          <w:szCs w:val="16"/>
        </w:rPr>
        <w:t xml:space="preserve"> (14</w:t>
      </w:r>
      <w:r w:rsidRPr="00995C95">
        <w:rPr>
          <w:rFonts w:ascii="Arial" w:eastAsia="Calibri" w:hAnsi="Arial"/>
          <w:i/>
          <w:iCs/>
          <w:sz w:val="16"/>
          <w:szCs w:val="16"/>
        </w:rPr>
        <w:t xml:space="preserve">), </w:t>
      </w:r>
      <w:proofErr w:type="spellStart"/>
      <w:r w:rsidRPr="00995C95">
        <w:rPr>
          <w:rFonts w:ascii="Arial" w:eastAsia="Calibri" w:hAnsi="Arial"/>
          <w:i/>
          <w:iCs/>
          <w:sz w:val="16"/>
          <w:szCs w:val="16"/>
        </w:rPr>
        <w:t>Hodonín</w:t>
      </w:r>
      <w:proofErr w:type="spellEnd"/>
      <w:r w:rsidRPr="00995C95">
        <w:rPr>
          <w:rFonts w:ascii="Arial" w:eastAsia="Calibri" w:hAnsi="Arial"/>
          <w:sz w:val="16"/>
          <w:szCs w:val="16"/>
        </w:rPr>
        <w:t xml:space="preserve"> and </w:t>
      </w:r>
      <w:proofErr w:type="spellStart"/>
      <w:r w:rsidRPr="00995C95">
        <w:rPr>
          <w:rFonts w:ascii="Arial" w:eastAsia="Calibri" w:hAnsi="Arial"/>
          <w:i/>
          <w:iCs/>
          <w:sz w:val="16"/>
          <w:szCs w:val="16"/>
        </w:rPr>
        <w:t>Znojmo</w:t>
      </w:r>
      <w:proofErr w:type="spellEnd"/>
      <w:r w:rsidRPr="00995C95">
        <w:rPr>
          <w:rFonts w:ascii="Arial" w:eastAsia="Calibri" w:hAnsi="Arial"/>
          <w:sz w:val="16"/>
          <w:szCs w:val="16"/>
        </w:rPr>
        <w:t xml:space="preserve"> (12) and </w:t>
      </w:r>
      <w:proofErr w:type="spellStart"/>
      <w:r w:rsidRPr="00995C95">
        <w:rPr>
          <w:rFonts w:ascii="Arial" w:eastAsia="Calibri" w:hAnsi="Arial"/>
          <w:i/>
          <w:iCs/>
          <w:sz w:val="16"/>
          <w:szCs w:val="16"/>
        </w:rPr>
        <w:t>Jablonec</w:t>
      </w:r>
      <w:proofErr w:type="spellEnd"/>
      <w:r w:rsidRPr="00995C95">
        <w:rPr>
          <w:rFonts w:ascii="Arial" w:eastAsia="Calibri" w:hAnsi="Arial"/>
          <w:i/>
          <w:iCs/>
          <w:sz w:val="16"/>
          <w:szCs w:val="16"/>
        </w:rPr>
        <w:t xml:space="preserve"> n. Nisa</w:t>
      </w:r>
      <w:r w:rsidRPr="00995C95">
        <w:rPr>
          <w:rFonts w:ascii="Arial" w:eastAsia="Calibri" w:hAnsi="Arial"/>
          <w:sz w:val="16"/>
          <w:szCs w:val="16"/>
        </w:rPr>
        <w:t xml:space="preserve"> (11) and </w:t>
      </w:r>
      <w:r w:rsidRPr="00995C95">
        <w:rPr>
          <w:rFonts w:ascii="Arial" w:eastAsia="Calibri" w:hAnsi="Arial"/>
          <w:i/>
          <w:iCs/>
          <w:sz w:val="16"/>
          <w:szCs w:val="16"/>
        </w:rPr>
        <w:t xml:space="preserve">Ústí </w:t>
      </w:r>
      <w:proofErr w:type="spellStart"/>
      <w:r w:rsidRPr="00995C95">
        <w:rPr>
          <w:rFonts w:ascii="Arial" w:eastAsia="Calibri" w:hAnsi="Arial"/>
          <w:i/>
          <w:iCs/>
          <w:sz w:val="16"/>
          <w:szCs w:val="16"/>
        </w:rPr>
        <w:t>nad</w:t>
      </w:r>
      <w:proofErr w:type="spellEnd"/>
      <w:r w:rsidRPr="00995C95">
        <w:rPr>
          <w:rFonts w:ascii="Arial" w:eastAsia="Calibri" w:hAnsi="Arial"/>
          <w:i/>
          <w:iCs/>
          <w:sz w:val="16"/>
          <w:szCs w:val="16"/>
        </w:rPr>
        <w:t xml:space="preserve"> Labem</w:t>
      </w:r>
      <w:r w:rsidRPr="00995C95">
        <w:rPr>
          <w:rFonts w:ascii="Arial" w:eastAsia="Calibri" w:hAnsi="Arial"/>
          <w:sz w:val="16"/>
          <w:szCs w:val="16"/>
        </w:rPr>
        <w:t xml:space="preserve"> (10). On the contrary, the ratio between applicants and vacancies was almost equal in the “districts of </w:t>
      </w:r>
      <w:r w:rsidRPr="00995C95">
        <w:rPr>
          <w:rFonts w:ascii="Arial" w:eastAsia="Calibri" w:hAnsi="Arial"/>
          <w:i/>
          <w:iCs/>
          <w:sz w:val="16"/>
          <w:szCs w:val="16"/>
        </w:rPr>
        <w:t>Mladá Boleslav</w:t>
      </w:r>
      <w:r w:rsidRPr="00995C95">
        <w:rPr>
          <w:rFonts w:ascii="Arial" w:eastAsia="Calibri" w:hAnsi="Arial"/>
          <w:sz w:val="16"/>
          <w:szCs w:val="16"/>
        </w:rPr>
        <w:t>” (1.3), Prague-East and West (1.4) and continued to be favourable in the</w:t>
      </w:r>
      <w:r>
        <w:rPr>
          <w:rFonts w:ascii="Arial" w:eastAsia="Calibri" w:hAnsi="Arial"/>
          <w:sz w:val="16"/>
          <w:szCs w:val="16"/>
        </w:rPr>
        <w:t xml:space="preserve"> “</w:t>
      </w:r>
      <w:proofErr w:type="spellStart"/>
      <w:r w:rsidRPr="00995C95">
        <w:rPr>
          <w:rFonts w:ascii="Arial" w:eastAsia="Calibri" w:hAnsi="Arial"/>
          <w:sz w:val="16"/>
          <w:szCs w:val="16"/>
        </w:rPr>
        <w:t>Tachov</w:t>
      </w:r>
      <w:proofErr w:type="spellEnd"/>
      <w:r w:rsidRPr="00995C95">
        <w:rPr>
          <w:rFonts w:ascii="Arial" w:eastAsia="Calibri" w:hAnsi="Arial"/>
          <w:i/>
          <w:iCs/>
          <w:sz w:val="16"/>
          <w:szCs w:val="16"/>
        </w:rPr>
        <w:t xml:space="preserve"> </w:t>
      </w:r>
      <w:r w:rsidRPr="00995C95">
        <w:rPr>
          <w:rFonts w:ascii="Arial" w:eastAsia="Calibri" w:hAnsi="Arial"/>
          <w:sz w:val="16"/>
          <w:szCs w:val="16"/>
        </w:rPr>
        <w:t xml:space="preserve">region” (1.6) and Prague (1.7). </w:t>
      </w:r>
    </w:p>
  </w:footnote>
  <w:footnote w:id="114">
    <w:p w14:paraId="6F5651E8" w14:textId="77777777" w:rsidR="0032050F" w:rsidRPr="00995C95" w:rsidRDefault="0032050F" w:rsidP="0032050F">
      <w:pPr>
        <w:pStyle w:val="Textpoznpodarou"/>
        <w:rPr>
          <w:sz w:val="16"/>
          <w:szCs w:val="16"/>
        </w:rPr>
      </w:pPr>
      <w:r w:rsidRPr="00995C95">
        <w:rPr>
          <w:rStyle w:val="Znakapoznpodarou"/>
          <w:sz w:val="16"/>
          <w:szCs w:val="16"/>
        </w:rPr>
        <w:footnoteRef/>
      </w:r>
      <w:r w:rsidRPr="00995C95">
        <w:rPr>
          <w:sz w:val="16"/>
          <w:szCs w:val="16"/>
        </w:rPr>
        <w:t xml:space="preserve"> According to the preliminary results of the Information and Statistics on Average Earnings (under the responsibility of the MLSA), the median wage of Ukrainians working in the Czech Republic reached only 77% of the wage of workers with Czech citizenship last year, it was 91% for citizens of Bulgaria, 97% for Poland and Romania, but 116% for Slovaks and 97% for other foreigners in total. </w:t>
      </w:r>
    </w:p>
  </w:footnote>
  <w:footnote w:id="115">
    <w:p w14:paraId="5D913408" w14:textId="77777777" w:rsidR="0032050F" w:rsidRPr="00995C95" w:rsidRDefault="0032050F" w:rsidP="0032050F">
      <w:pPr>
        <w:pStyle w:val="Textpoznpodarou"/>
        <w:rPr>
          <w:spacing w:val="-4"/>
          <w:sz w:val="16"/>
          <w:szCs w:val="16"/>
        </w:rPr>
      </w:pPr>
      <w:r w:rsidRPr="00995C95">
        <w:rPr>
          <w:rStyle w:val="Znakapoznpodarou"/>
          <w:spacing w:val="-4"/>
          <w:sz w:val="16"/>
          <w:szCs w:val="16"/>
        </w:rPr>
        <w:footnoteRef/>
      </w:r>
      <w:r w:rsidRPr="00995C95">
        <w:rPr>
          <w:spacing w:val="-4"/>
          <w:sz w:val="16"/>
          <w:szCs w:val="16"/>
        </w:rPr>
        <w:t xml:space="preserve"> Regarding net earnings, the slight increase of the tax burden on labour due to the reintroduction of employee contributions to sickness insurance (the total social insurance contribution for employees increased from 6.5% to 7.1%), which was approved as part of the government's consolidation package (with effect from January 2024), has an adverse impact on their development. On the contrary, the abolition of the super-gross wage (January 2021) contributed to the growth of the purchasing power of earnings. </w:t>
      </w:r>
    </w:p>
  </w:footnote>
  <w:footnote w:id="116">
    <w:p w14:paraId="2685EF66" w14:textId="77777777" w:rsidR="0032050F" w:rsidRPr="00995C95" w:rsidRDefault="0032050F" w:rsidP="0032050F">
      <w:pPr>
        <w:pStyle w:val="Textpoznpodarou"/>
        <w:jc w:val="both"/>
        <w:rPr>
          <w:sz w:val="16"/>
          <w:szCs w:val="16"/>
        </w:rPr>
      </w:pPr>
      <w:r w:rsidRPr="00995C95">
        <w:rPr>
          <w:rStyle w:val="Znakapoznpodarou"/>
          <w:sz w:val="16"/>
          <w:szCs w:val="16"/>
        </w:rPr>
        <w:footnoteRef/>
      </w:r>
      <w:r w:rsidRPr="00995C95">
        <w:rPr>
          <w:sz w:val="16"/>
          <w:szCs w:val="16"/>
        </w:rPr>
        <w:t xml:space="preserve"> It includes business, employer and professional organisations and also personal services (e.g. hairdressing treatment, funeral services), repairs of goods and activities of households as employers of domestic personnel. </w:t>
      </w:r>
    </w:p>
  </w:footnote>
  <w:footnote w:id="117">
    <w:p w14:paraId="1A7752F2" w14:textId="6CA05A48" w:rsidR="00366248" w:rsidRPr="00995C95" w:rsidRDefault="00366248" w:rsidP="00403226">
      <w:pPr>
        <w:pStyle w:val="Textpoznpodarou"/>
        <w:rPr>
          <w:sz w:val="16"/>
          <w:szCs w:val="16"/>
        </w:rPr>
      </w:pPr>
      <w:r w:rsidRPr="00995C95">
        <w:rPr>
          <w:rStyle w:val="Znakapoznpodarou"/>
          <w:sz w:val="16"/>
          <w:szCs w:val="16"/>
        </w:rPr>
        <w:footnoteRef/>
      </w:r>
      <w:r w:rsidRPr="00995C95">
        <w:rPr>
          <w:sz w:val="16"/>
          <w:szCs w:val="16"/>
        </w:rPr>
        <w:t xml:space="preserve"> </w:t>
      </w:r>
      <w:r w:rsidR="00403226" w:rsidRPr="00995C95">
        <w:rPr>
          <w:sz w:val="16"/>
          <w:szCs w:val="16"/>
        </w:rPr>
        <w:t xml:space="preserve">The </w:t>
      </w:r>
      <w:r w:rsidR="00403226" w:rsidRPr="00995C95">
        <w:rPr>
          <w:i/>
          <w:sz w:val="16"/>
          <w:szCs w:val="16"/>
        </w:rPr>
        <w:t>ARAD</w:t>
      </w:r>
      <w:r w:rsidR="00403226" w:rsidRPr="00995C95">
        <w:rPr>
          <w:sz w:val="16"/>
          <w:szCs w:val="16"/>
        </w:rPr>
        <w:t xml:space="preserve"> database of the Czech National Bank (CNB) is the data source in this chapter. Values of exchange rates are also from the CNB. </w:t>
      </w:r>
    </w:p>
  </w:footnote>
  <w:footnote w:id="118">
    <w:p w14:paraId="5797B372" w14:textId="65C67F87" w:rsidR="00F853CC" w:rsidRPr="00995C95" w:rsidRDefault="00F853CC" w:rsidP="00F853CC">
      <w:pPr>
        <w:pStyle w:val="Textpoznpodarou"/>
        <w:rPr>
          <w:sz w:val="16"/>
          <w:szCs w:val="16"/>
        </w:rPr>
      </w:pPr>
      <w:r w:rsidRPr="00995C95">
        <w:rPr>
          <w:rStyle w:val="Znakapoznpodarou"/>
          <w:sz w:val="16"/>
          <w:szCs w:val="16"/>
        </w:rPr>
        <w:footnoteRef/>
      </w:r>
      <w:r w:rsidRPr="00995C95">
        <w:rPr>
          <w:sz w:val="16"/>
          <w:szCs w:val="16"/>
        </w:rPr>
        <w:t xml:space="preserve"> Unless otherwise stated, the difference between the value as of 31 December 2025 and 30 September 2025 is understood as the change of interest rates.  </w:t>
      </w:r>
    </w:p>
  </w:footnote>
  <w:footnote w:id="119">
    <w:p w14:paraId="5BC330DF" w14:textId="77777777" w:rsidR="00A64380" w:rsidRPr="00995C95" w:rsidRDefault="00A64380" w:rsidP="00A64380">
      <w:pPr>
        <w:pStyle w:val="Textpoznpodarou"/>
        <w:rPr>
          <w:sz w:val="16"/>
          <w:szCs w:val="16"/>
        </w:rPr>
      </w:pPr>
      <w:r w:rsidRPr="00995C95">
        <w:rPr>
          <w:rStyle w:val="Znakapoznpodarou"/>
          <w:sz w:val="16"/>
          <w:szCs w:val="16"/>
        </w:rPr>
        <w:footnoteRef/>
      </w:r>
      <w:r w:rsidRPr="00995C95">
        <w:rPr>
          <w:sz w:val="16"/>
          <w:szCs w:val="16"/>
        </w:rPr>
        <w:t xml:space="preserve"> Population including self-employed persons.</w:t>
      </w:r>
    </w:p>
  </w:footnote>
  <w:footnote w:id="120">
    <w:p w14:paraId="57288B0C" w14:textId="1DF4DA4E" w:rsidR="003A1F60" w:rsidRPr="00995C95" w:rsidRDefault="003A1F60" w:rsidP="005D2579">
      <w:pPr>
        <w:pStyle w:val="Textpoznpodarou"/>
        <w:jc w:val="both"/>
        <w:rPr>
          <w:sz w:val="16"/>
          <w:szCs w:val="16"/>
        </w:rPr>
      </w:pPr>
      <w:r w:rsidRPr="00995C95">
        <w:rPr>
          <w:rStyle w:val="Znakapoznpodarou"/>
          <w:sz w:val="16"/>
          <w:szCs w:val="16"/>
        </w:rPr>
        <w:footnoteRef/>
      </w:r>
      <w:r w:rsidRPr="00995C95">
        <w:rPr>
          <w:sz w:val="16"/>
          <w:szCs w:val="16"/>
        </w:rPr>
        <w:t xml:space="preserve"> </w:t>
      </w:r>
      <w:r w:rsidR="00F468D9" w:rsidRPr="00995C95">
        <w:rPr>
          <w:sz w:val="16"/>
          <w:szCs w:val="16"/>
        </w:rPr>
        <w:t xml:space="preserve">New contracts also include the refinanced credit and other renegotiated loans. Refinanced credit includes current contracts concluded newly at other bank, while other renegotiated loans are current contracts concluded with new conditions at the same bank. </w:t>
      </w:r>
    </w:p>
  </w:footnote>
  <w:footnote w:id="121">
    <w:p w14:paraId="1A58E23E" w14:textId="262946A7" w:rsidR="00CC08A4" w:rsidRPr="00995C95" w:rsidRDefault="00CC08A4" w:rsidP="00DA3F50">
      <w:pPr>
        <w:pStyle w:val="Textpoznpodarou"/>
        <w:rPr>
          <w:sz w:val="16"/>
          <w:szCs w:val="16"/>
        </w:rPr>
      </w:pPr>
      <w:r w:rsidRPr="00995C95">
        <w:rPr>
          <w:rStyle w:val="Znakapoznpodarou"/>
          <w:sz w:val="16"/>
          <w:szCs w:val="16"/>
        </w:rPr>
        <w:footnoteRef/>
      </w:r>
      <w:r w:rsidRPr="00995C95">
        <w:rPr>
          <w:sz w:val="16"/>
          <w:szCs w:val="16"/>
        </w:rPr>
        <w:t xml:space="preserve"> </w:t>
      </w:r>
      <w:r w:rsidR="00D11A3A" w:rsidRPr="00995C95">
        <w:rPr>
          <w:sz w:val="16"/>
          <w:szCs w:val="16"/>
        </w:rPr>
        <w:t>The share began to grow sharply at the turn of 2021 and 2022 and peaked at 52.5% at the end of December 2024.</w:t>
      </w:r>
    </w:p>
  </w:footnote>
  <w:footnote w:id="122">
    <w:p w14:paraId="741AD021" w14:textId="5B128E45" w:rsidR="00034EA1" w:rsidRPr="00995C95" w:rsidRDefault="00034EA1" w:rsidP="006A3D17">
      <w:pPr>
        <w:pStyle w:val="Textpoznpodarou"/>
      </w:pPr>
      <w:r w:rsidRPr="00995C95">
        <w:rPr>
          <w:rStyle w:val="Znakapoznpodarou"/>
          <w:sz w:val="16"/>
          <w:szCs w:val="16"/>
        </w:rPr>
        <w:footnoteRef/>
      </w:r>
      <w:r w:rsidRPr="00995C95">
        <w:rPr>
          <w:sz w:val="16"/>
          <w:szCs w:val="16"/>
        </w:rPr>
        <w:t xml:space="preserve"> </w:t>
      </w:r>
      <w:r w:rsidR="00C7466F" w:rsidRPr="00995C95">
        <w:rPr>
          <w:sz w:val="16"/>
          <w:szCs w:val="16"/>
        </w:rPr>
        <w:t xml:space="preserve">The volume of </w:t>
      </w:r>
      <w:r w:rsidR="00DA3F50" w:rsidRPr="00995C95">
        <w:rPr>
          <w:sz w:val="16"/>
          <w:szCs w:val="16"/>
        </w:rPr>
        <w:t xml:space="preserve">credit </w:t>
      </w:r>
      <w:r w:rsidR="00C7466F" w:rsidRPr="00995C95">
        <w:rPr>
          <w:sz w:val="16"/>
          <w:szCs w:val="16"/>
        </w:rPr>
        <w:t xml:space="preserve">here often fluctuates significantly. The current results were mainly driven by a sharp increase </w:t>
      </w:r>
      <w:r w:rsidR="00DA3F50" w:rsidRPr="00995C95">
        <w:rPr>
          <w:sz w:val="16"/>
          <w:szCs w:val="16"/>
        </w:rPr>
        <w:t xml:space="preserve">of credit </w:t>
      </w:r>
      <w:r w:rsidR="00C7466F" w:rsidRPr="00995C95">
        <w:rPr>
          <w:sz w:val="16"/>
          <w:szCs w:val="16"/>
        </w:rPr>
        <w:t xml:space="preserve">in the </w:t>
      </w:r>
      <w:r w:rsidR="001A5661" w:rsidRPr="00995C95">
        <w:rPr>
          <w:sz w:val="16"/>
          <w:szCs w:val="16"/>
        </w:rPr>
        <w:t xml:space="preserve">branch of </w:t>
      </w:r>
      <w:r w:rsidR="00C7466F" w:rsidRPr="00995C95">
        <w:rPr>
          <w:sz w:val="16"/>
          <w:szCs w:val="16"/>
        </w:rPr>
        <w:t>publishing</w:t>
      </w:r>
      <w:r w:rsidR="001A5661" w:rsidRPr="00995C95">
        <w:rPr>
          <w:sz w:val="16"/>
          <w:szCs w:val="16"/>
        </w:rPr>
        <w:t xml:space="preserve"> acti</w:t>
      </w:r>
      <w:r w:rsidR="006A3D17" w:rsidRPr="00995C95">
        <w:rPr>
          <w:sz w:val="16"/>
          <w:szCs w:val="16"/>
        </w:rPr>
        <w:t>vities</w:t>
      </w:r>
      <w:r w:rsidR="00C7466F" w:rsidRPr="00995C95">
        <w:rPr>
          <w:sz w:val="16"/>
          <w:szCs w:val="16"/>
        </w:rPr>
        <w:t>, programming</w:t>
      </w:r>
      <w:r w:rsidR="006A3D17" w:rsidRPr="00995C95">
        <w:rPr>
          <w:sz w:val="16"/>
          <w:szCs w:val="16"/>
        </w:rPr>
        <w:t xml:space="preserve">, </w:t>
      </w:r>
      <w:r w:rsidR="00C7466F" w:rsidRPr="00995C95">
        <w:rPr>
          <w:sz w:val="16"/>
          <w:szCs w:val="16"/>
        </w:rPr>
        <w:t>broadcasting and information activities</w:t>
      </w:r>
      <w:r w:rsidR="006A3D17" w:rsidRPr="00995C95">
        <w:rPr>
          <w:sz w:val="16"/>
          <w:szCs w:val="16"/>
        </w:rPr>
        <w:t xml:space="preserve">. </w:t>
      </w:r>
      <w:r w:rsidR="00C7466F" w:rsidRPr="00995C95">
        <w:rPr>
          <w:sz w:val="16"/>
          <w:szCs w:val="16"/>
        </w:rPr>
        <w:t xml:space="preserve"> </w:t>
      </w:r>
    </w:p>
  </w:footnote>
  <w:footnote w:id="123">
    <w:p w14:paraId="71786BDC" w14:textId="77777777" w:rsidR="0003024B" w:rsidRPr="00995C95" w:rsidRDefault="0003024B" w:rsidP="0003024B">
      <w:pPr>
        <w:pStyle w:val="Textpoznpodarou"/>
        <w:jc w:val="both"/>
        <w:rPr>
          <w:sz w:val="16"/>
          <w:szCs w:val="16"/>
        </w:rPr>
      </w:pPr>
      <w:r w:rsidRPr="00995C95">
        <w:rPr>
          <w:rStyle w:val="Znakapoznpodarou"/>
          <w:spacing w:val="-2"/>
          <w:sz w:val="16"/>
          <w:szCs w:val="16"/>
        </w:rPr>
        <w:footnoteRef/>
      </w:r>
      <w:r w:rsidRPr="00995C95">
        <w:rPr>
          <w:spacing w:val="-2"/>
          <w:sz w:val="16"/>
          <w:szCs w:val="16"/>
        </w:rPr>
        <w:t xml:space="preserve"> </w:t>
      </w:r>
      <w:r w:rsidRPr="00995C95">
        <w:rPr>
          <w:rFonts w:eastAsia="Times New Roman"/>
          <w:spacing w:val="-2"/>
          <w:sz w:val="16"/>
          <w:szCs w:val="16"/>
        </w:rPr>
        <w:t xml:space="preserve">Unless stated otherwise, all data related to the state budget stem from the data of the Ministry of Finance (MF) of the CR regarding the treasury fulfilment. </w:t>
      </w:r>
    </w:p>
  </w:footnote>
  <w:footnote w:id="124">
    <w:p w14:paraId="33CECB96" w14:textId="77777777" w:rsidR="0003024B" w:rsidRPr="00995C95" w:rsidRDefault="0003024B" w:rsidP="0003024B">
      <w:pPr>
        <w:pStyle w:val="Textpoznpodarou"/>
        <w:jc w:val="both"/>
        <w:rPr>
          <w:sz w:val="16"/>
          <w:szCs w:val="16"/>
        </w:rPr>
      </w:pPr>
      <w:r w:rsidRPr="00995C95">
        <w:rPr>
          <w:rStyle w:val="Znakapoznpodarou"/>
          <w:sz w:val="16"/>
          <w:szCs w:val="16"/>
        </w:rPr>
        <w:footnoteRef/>
      </w:r>
      <w:r w:rsidRPr="00995C95">
        <w:rPr>
          <w:sz w:val="16"/>
          <w:szCs w:val="16"/>
        </w:rPr>
        <w:t xml:space="preserve"> Act On the state budget for year 2025 (based on the MF macroeconomic prediction from August 2024 and approved at the end of December 2024) anticipates annual deficit of 241 bn CZK this year, which is by 30 bn lower than the deficit achieved in year 2024.</w:t>
      </w:r>
    </w:p>
  </w:footnote>
  <w:footnote w:id="125">
    <w:p w14:paraId="1F650C4A" w14:textId="77777777" w:rsidR="0003024B" w:rsidRPr="00995C95" w:rsidRDefault="0003024B" w:rsidP="0003024B">
      <w:pPr>
        <w:pStyle w:val="Textpoznpodarou"/>
      </w:pPr>
      <w:r w:rsidRPr="00995C95">
        <w:rPr>
          <w:rStyle w:val="Znakapoznpodarou"/>
          <w:sz w:val="16"/>
          <w:szCs w:val="16"/>
        </w:rPr>
        <w:footnoteRef/>
      </w:r>
      <w:r w:rsidRPr="00995C95">
        <w:rPr>
          <w:sz w:val="16"/>
          <w:szCs w:val="16"/>
        </w:rPr>
        <w:t xml:space="preserve"> These are funds for programmes from the EU and Financial Mechanisms (FM) budgets pre-financed by the SB and subsequently reimbursed from the EU and the FM budgets. Without these funds (included in the approved SB with a neutral impact), last year's deficit was the lowest after 2019 and at the same time it decreased, year-on-year, for the fourth time in a row (in that 38.9 bn CZK last year).</w:t>
      </w:r>
    </w:p>
  </w:footnote>
  <w:footnote w:id="126">
    <w:p w14:paraId="029541B6" w14:textId="77777777" w:rsidR="0003024B" w:rsidRPr="00995C95" w:rsidRDefault="0003024B" w:rsidP="0003024B">
      <w:pPr>
        <w:pStyle w:val="Textpoznpodarou"/>
        <w:rPr>
          <w:sz w:val="16"/>
          <w:szCs w:val="16"/>
        </w:rPr>
      </w:pPr>
      <w:r w:rsidRPr="00995C95">
        <w:rPr>
          <w:rStyle w:val="Znakapoznpodarou"/>
          <w:sz w:val="16"/>
          <w:szCs w:val="16"/>
        </w:rPr>
        <w:footnoteRef/>
      </w:r>
      <w:r w:rsidRPr="00995C95">
        <w:rPr>
          <w:sz w:val="16"/>
          <w:szCs w:val="16"/>
        </w:rPr>
        <w:t xml:space="preserve"> As of January 2025, the BAT has been changed as part of the consolidation package so that the collection from the increased shared tax rates is the income of the state budget only (reduction of the share of municipalities to 24.16% and regions to 9.45%). According to the Ministry of Finance's estimates, the positive impact </w:t>
      </w:r>
      <w:r>
        <w:rPr>
          <w:sz w:val="16"/>
          <w:szCs w:val="16"/>
        </w:rPr>
        <w:t xml:space="preserve">(on SB) </w:t>
      </w:r>
      <w:r w:rsidRPr="00995C95">
        <w:rPr>
          <w:sz w:val="16"/>
          <w:szCs w:val="16"/>
        </w:rPr>
        <w:t xml:space="preserve">of this legislative change amounted to 13.3 bn CZK for the whole last year. </w:t>
      </w:r>
    </w:p>
  </w:footnote>
  <w:footnote w:id="127">
    <w:p w14:paraId="330699E4" w14:textId="77777777" w:rsidR="0003024B" w:rsidRPr="00995C95" w:rsidRDefault="0003024B" w:rsidP="0003024B">
      <w:pPr>
        <w:spacing w:after="0" w:line="240" w:lineRule="auto"/>
        <w:rPr>
          <w:sz w:val="16"/>
          <w:szCs w:val="16"/>
        </w:rPr>
      </w:pPr>
      <w:r w:rsidRPr="00995C95">
        <w:rPr>
          <w:rStyle w:val="Znakapoznpodarou"/>
          <w:sz w:val="16"/>
          <w:szCs w:val="16"/>
        </w:rPr>
        <w:footnoteRef/>
      </w:r>
      <w:r w:rsidRPr="00995C95">
        <w:rPr>
          <w:sz w:val="16"/>
          <w:szCs w:val="16"/>
        </w:rPr>
        <w:t xml:space="preserve"> The gradual raising of the minimum assessment base for the self-employed (from 30% to 35% of the average wage from January 2025) as well as the increase of the premium rate for selected groups (e.g. employers of firefighters or paramedics and workers in high-risk employment) had a positive effect. On the contrary, the application of discounts on insurance premiums had a negative effect (from January 2025, a discount of 6.5% of the assessment base for working pensioners was introduced).</w:t>
      </w:r>
    </w:p>
  </w:footnote>
  <w:footnote w:id="128">
    <w:p w14:paraId="1F4A9134" w14:textId="77777777" w:rsidR="0003024B" w:rsidRPr="00995C95" w:rsidRDefault="0003024B" w:rsidP="0003024B">
      <w:pPr>
        <w:pStyle w:val="Textpoznpodarou"/>
        <w:jc w:val="both"/>
        <w:rPr>
          <w:spacing w:val="-2"/>
        </w:rPr>
      </w:pPr>
      <w:r w:rsidRPr="00995C95">
        <w:rPr>
          <w:rStyle w:val="Znakapoznpodarou"/>
          <w:spacing w:val="-2"/>
          <w:sz w:val="16"/>
          <w:szCs w:val="16"/>
        </w:rPr>
        <w:footnoteRef/>
      </w:r>
      <w:r w:rsidRPr="00995C95">
        <w:rPr>
          <w:spacing w:val="-2"/>
          <w:sz w:val="16"/>
          <w:szCs w:val="16"/>
        </w:rPr>
        <w:t xml:space="preserve"> </w:t>
      </w:r>
      <w:r w:rsidRPr="00C62D9A">
        <w:rPr>
          <w:spacing w:val="-4"/>
          <w:sz w:val="16"/>
          <w:szCs w:val="16"/>
        </w:rPr>
        <w:t>This concerns the unification of two reduced rates (10% and 15%) into one of 12% (apart from books, which are now completely exempt from VAT). Several goods and services are now subject to lower taxation (e.g. basic foodstuffs, medicines, medical products, construction work). The negative budgetary impact is mainly mitigated by the transfer of some items without demonstrable social or health significance to the basic 21% tax rate (beer, non-alcoholic beverages, services of authors and artists, hairdressing services, firewood, municipal waste, cleaning work).</w:t>
      </w:r>
    </w:p>
  </w:footnote>
  <w:footnote w:id="129">
    <w:p w14:paraId="0AB14C6A" w14:textId="77777777" w:rsidR="0003024B" w:rsidRPr="00995C95" w:rsidRDefault="0003024B" w:rsidP="0003024B">
      <w:pPr>
        <w:pStyle w:val="Textpoznpodarou"/>
        <w:jc w:val="both"/>
        <w:rPr>
          <w:spacing w:val="-2"/>
          <w:sz w:val="16"/>
          <w:szCs w:val="16"/>
        </w:rPr>
      </w:pPr>
      <w:r w:rsidRPr="00995C95">
        <w:rPr>
          <w:rStyle w:val="Znakapoznpodarou"/>
          <w:spacing w:val="-2"/>
          <w:sz w:val="16"/>
          <w:szCs w:val="16"/>
        </w:rPr>
        <w:footnoteRef/>
      </w:r>
      <w:r w:rsidRPr="00995C95">
        <w:rPr>
          <w:spacing w:val="-2"/>
          <w:sz w:val="16"/>
          <w:szCs w:val="16"/>
        </w:rPr>
        <w:t xml:space="preserve"> </w:t>
      </w:r>
      <w:r w:rsidRPr="00995C95">
        <w:rPr>
          <w:sz w:val="16"/>
          <w:szCs w:val="16"/>
        </w:rPr>
        <w:t xml:space="preserve">This was first reflected in the cash </w:t>
      </w:r>
      <w:r w:rsidRPr="00E96CBD">
        <w:rPr>
          <w:sz w:val="16"/>
          <w:szCs w:val="16"/>
        </w:rPr>
        <w:t>fulfilment</w:t>
      </w:r>
      <w:r w:rsidRPr="00995C95">
        <w:rPr>
          <w:sz w:val="16"/>
          <w:szCs w:val="16"/>
        </w:rPr>
        <w:t xml:space="preserve"> of the SB in February 2024 and thus still had</w:t>
      </w:r>
      <w:r>
        <w:rPr>
          <w:sz w:val="16"/>
          <w:szCs w:val="16"/>
        </w:rPr>
        <w:t xml:space="preserve"> partial</w:t>
      </w:r>
      <w:r w:rsidRPr="00995C95">
        <w:rPr>
          <w:sz w:val="16"/>
          <w:szCs w:val="16"/>
        </w:rPr>
        <w:t xml:space="preserve"> impact on the year-on-year pace of the VAT collection amount. </w:t>
      </w:r>
    </w:p>
  </w:footnote>
  <w:footnote w:id="130">
    <w:p w14:paraId="4ECD2DC9" w14:textId="77777777" w:rsidR="0003024B" w:rsidRPr="00995C95" w:rsidRDefault="0003024B" w:rsidP="0003024B">
      <w:pPr>
        <w:pStyle w:val="Textpoznpodarou"/>
        <w:jc w:val="both"/>
        <w:rPr>
          <w:spacing w:val="-2"/>
          <w:sz w:val="16"/>
          <w:szCs w:val="16"/>
        </w:rPr>
      </w:pPr>
      <w:r w:rsidRPr="00995C95">
        <w:rPr>
          <w:rStyle w:val="Znakapoznpodarou"/>
          <w:spacing w:val="-2"/>
          <w:sz w:val="16"/>
          <w:szCs w:val="16"/>
        </w:rPr>
        <w:footnoteRef/>
      </w:r>
      <w:r w:rsidRPr="00995C95">
        <w:rPr>
          <w:spacing w:val="-2"/>
          <w:sz w:val="16"/>
          <w:szCs w:val="16"/>
        </w:rPr>
        <w:t xml:space="preserve"> </w:t>
      </w:r>
      <w:r w:rsidRPr="00995C95">
        <w:rPr>
          <w:sz w:val="16"/>
          <w:szCs w:val="16"/>
        </w:rPr>
        <w:t xml:space="preserve">Last year, there was a further increase of the tax rate on classic tobacco products (by 5%, as part of the gradual raise during the 2024 – 2027 period) as well as an expansion of the range of taxed products: e-cigarette refills from 2024 (growth of rate by 15%) and nicotine pouches and other alternatives from 2025. At the same time, the consumption of alternative tobacco products is also growing thanks to higher social tolerance and still relatively lower level of taxation as well. </w:t>
      </w:r>
    </w:p>
  </w:footnote>
  <w:footnote w:id="131">
    <w:p w14:paraId="30626976" w14:textId="77777777" w:rsidR="0003024B" w:rsidRPr="00995C95" w:rsidRDefault="0003024B" w:rsidP="0003024B">
      <w:pPr>
        <w:pStyle w:val="Textpoznpodarou"/>
        <w:rPr>
          <w:spacing w:val="-2"/>
          <w:sz w:val="16"/>
          <w:szCs w:val="16"/>
        </w:rPr>
      </w:pPr>
      <w:r w:rsidRPr="00995C95">
        <w:rPr>
          <w:rStyle w:val="Znakapoznpodarou"/>
          <w:spacing w:val="-2"/>
          <w:sz w:val="16"/>
          <w:szCs w:val="16"/>
        </w:rPr>
        <w:footnoteRef/>
      </w:r>
      <w:r w:rsidRPr="00995C95">
        <w:rPr>
          <w:spacing w:val="-2"/>
          <w:sz w:val="16"/>
          <w:szCs w:val="16"/>
        </w:rPr>
        <w:t xml:space="preserve"> </w:t>
      </w:r>
      <w:r w:rsidRPr="00C62D9A">
        <w:rPr>
          <w:spacing w:val="-4"/>
          <w:sz w:val="16"/>
          <w:szCs w:val="16"/>
        </w:rPr>
        <w:t>According to CZSO data, from January to October 2025, the consumption of diesel increased by 1.9%, motor gasoline by 1.5% and aviation kerosene by 1.0%, year-on-year. The average consumer price of Natural 95 petrol in the Czech Republic was 33.9 CZK/l in May 2025 (the least since September 2021) and diesel 32.7 CZK/l (the least since June 2023). Cross-border purchases (or stronger transit traffic) also probably contributed to higher domestic consumption, as the price of these commodities was among the lowest in Central Europe.</w:t>
      </w:r>
    </w:p>
  </w:footnote>
  <w:footnote w:id="132">
    <w:p w14:paraId="4A74ADDB" w14:textId="77777777" w:rsidR="0003024B" w:rsidRPr="00995C95" w:rsidRDefault="0003024B" w:rsidP="0003024B">
      <w:pPr>
        <w:pStyle w:val="Textpoznpodarou"/>
        <w:rPr>
          <w:spacing w:val="-2"/>
          <w:sz w:val="16"/>
          <w:szCs w:val="16"/>
        </w:rPr>
      </w:pPr>
      <w:r w:rsidRPr="00995C95">
        <w:rPr>
          <w:rStyle w:val="Znakapoznpodarou"/>
          <w:spacing w:val="-2"/>
          <w:sz w:val="16"/>
          <w:szCs w:val="16"/>
        </w:rPr>
        <w:footnoteRef/>
      </w:r>
      <w:r w:rsidRPr="00995C95">
        <w:rPr>
          <w:spacing w:val="-2"/>
          <w:sz w:val="16"/>
          <w:szCs w:val="16"/>
        </w:rPr>
        <w:t xml:space="preserve"> In addition, the collection of most energy taxes – mainly from natural gas and electricity – grew. In contrast, the collection of tax on alcohol decreased slightly last year after stagnating in 2024, as the effect of the continued increase of the tax rate was not enough to offset the falling consumption (or the shift of residents' preferences to spirits with a lower alcohol content). Changes in the lifestyle of the population were probably also reflected in the continuing slight reduction of tax collection on beer and sparkling wine. </w:t>
      </w:r>
    </w:p>
  </w:footnote>
  <w:footnote w:id="133">
    <w:p w14:paraId="793E8A2A" w14:textId="77777777" w:rsidR="0003024B" w:rsidRPr="00995C95" w:rsidRDefault="0003024B" w:rsidP="0003024B">
      <w:pPr>
        <w:pStyle w:val="Textpoznpodarou"/>
        <w:rPr>
          <w:sz w:val="16"/>
          <w:szCs w:val="16"/>
        </w:rPr>
      </w:pPr>
      <w:r w:rsidRPr="00995C95">
        <w:rPr>
          <w:rStyle w:val="Znakapoznpodarou"/>
          <w:spacing w:val="-2"/>
          <w:sz w:val="16"/>
          <w:szCs w:val="16"/>
        </w:rPr>
        <w:footnoteRef/>
      </w:r>
      <w:r w:rsidRPr="00995C95">
        <w:rPr>
          <w:spacing w:val="-2"/>
          <w:sz w:val="16"/>
          <w:szCs w:val="16"/>
        </w:rPr>
        <w:t xml:space="preserve"> </w:t>
      </w:r>
      <w:r w:rsidRPr="00C62D9A">
        <w:rPr>
          <w:spacing w:val="-4"/>
          <w:sz w:val="16"/>
          <w:szCs w:val="16"/>
        </w:rPr>
        <w:t>This applies to energy, petrochemical and mining companies (in the field of fossil fuels) and also includes large banks. This is a 60% tax surcharge applied to the excess profit of these companies, determined as the difference between the tax base in 2023 to 2025 and the average of the tax bases for 2018 to 2021 increased by 20%. The vast majority of the collection of this tax flowed to the SB from the energy sector.</w:t>
      </w:r>
      <w:r w:rsidRPr="00995C95">
        <w:rPr>
          <w:spacing w:val="-2"/>
          <w:sz w:val="16"/>
          <w:szCs w:val="16"/>
        </w:rPr>
        <w:t xml:space="preserve"> </w:t>
      </w:r>
    </w:p>
  </w:footnote>
  <w:footnote w:id="134">
    <w:p w14:paraId="6F4764C4" w14:textId="77777777" w:rsidR="0003024B" w:rsidRPr="00995C95" w:rsidRDefault="0003024B" w:rsidP="0003024B">
      <w:pPr>
        <w:pStyle w:val="Textpoznpodarou"/>
        <w:rPr>
          <w:sz w:val="16"/>
          <w:szCs w:val="16"/>
        </w:rPr>
      </w:pPr>
      <w:r w:rsidRPr="00995C95">
        <w:rPr>
          <w:rStyle w:val="Znakapoznpodarou"/>
          <w:sz w:val="16"/>
          <w:szCs w:val="16"/>
        </w:rPr>
        <w:footnoteRef/>
      </w:r>
      <w:r w:rsidRPr="00995C95">
        <w:rPr>
          <w:sz w:val="16"/>
          <w:szCs w:val="16"/>
        </w:rPr>
        <w:t xml:space="preserve"> The collection of this tax at the level of all public budgets was 10.3% higher, year-on-year (+27 bn CZK) last year. Of these, the collection of the most important </w:t>
      </w:r>
      <w:r>
        <w:rPr>
          <w:sz w:val="16"/>
          <w:szCs w:val="16"/>
        </w:rPr>
        <w:t>tax</w:t>
      </w:r>
      <w:r w:rsidRPr="00995C95">
        <w:rPr>
          <w:sz w:val="16"/>
          <w:szCs w:val="16"/>
        </w:rPr>
        <w:t xml:space="preserve"> in terms of weight – </w:t>
      </w:r>
      <w:r>
        <w:rPr>
          <w:sz w:val="16"/>
          <w:szCs w:val="16"/>
        </w:rPr>
        <w:t>ITNP from dependent activity</w:t>
      </w:r>
      <w:r w:rsidRPr="00995C95">
        <w:rPr>
          <w:sz w:val="16"/>
          <w:szCs w:val="16"/>
        </w:rPr>
        <w:t xml:space="preserve"> – reached 223 bn CZK and exceeded the record level from 2019 for the first time (by 3.3%), when the super-gross wage regime (with higher total taxation) was still in force. </w:t>
      </w:r>
    </w:p>
  </w:footnote>
  <w:footnote w:id="135">
    <w:p w14:paraId="20F1A89E" w14:textId="77777777" w:rsidR="0003024B" w:rsidRPr="00995C95" w:rsidRDefault="0003024B" w:rsidP="0003024B">
      <w:pPr>
        <w:pStyle w:val="Textpoznpodarou"/>
        <w:rPr>
          <w:sz w:val="16"/>
          <w:szCs w:val="16"/>
        </w:rPr>
      </w:pPr>
      <w:r w:rsidRPr="00995C95">
        <w:rPr>
          <w:rStyle w:val="Znakapoznpodarou"/>
          <w:sz w:val="16"/>
          <w:szCs w:val="16"/>
        </w:rPr>
        <w:footnoteRef/>
      </w:r>
      <w:r w:rsidRPr="00995C95">
        <w:rPr>
          <w:sz w:val="16"/>
          <w:szCs w:val="16"/>
        </w:rPr>
        <w:t xml:space="preserve"> Most of these changes began to affect the amount of tax collection for the first time in February 2024. The impact of the abolition or reduction of some tax discounts was first felt only during the annual tax settlement (in April 2025).  </w:t>
      </w:r>
    </w:p>
  </w:footnote>
  <w:footnote w:id="136">
    <w:p w14:paraId="71DE8126" w14:textId="77777777" w:rsidR="0003024B" w:rsidRPr="00995C95" w:rsidRDefault="0003024B" w:rsidP="0003024B">
      <w:pPr>
        <w:pStyle w:val="Textpoznpodarou"/>
        <w:rPr>
          <w:sz w:val="16"/>
          <w:szCs w:val="16"/>
        </w:rPr>
      </w:pPr>
      <w:r w:rsidRPr="00995C95">
        <w:rPr>
          <w:rStyle w:val="Znakapoznpodarou"/>
          <w:sz w:val="16"/>
          <w:szCs w:val="16"/>
        </w:rPr>
        <w:footnoteRef/>
      </w:r>
      <w:r w:rsidRPr="00995C95">
        <w:rPr>
          <w:sz w:val="16"/>
          <w:szCs w:val="16"/>
        </w:rPr>
        <w:t xml:space="preserve"> Compared to the originally approved SB for 2025, last year's performance lagged behind by 11% and compared to the budget after the changes </w:t>
      </w:r>
      <w:r>
        <w:rPr>
          <w:sz w:val="16"/>
          <w:szCs w:val="16"/>
        </w:rPr>
        <w:t xml:space="preserve">even </w:t>
      </w:r>
      <w:r w:rsidRPr="00995C95">
        <w:rPr>
          <w:sz w:val="16"/>
          <w:szCs w:val="16"/>
        </w:rPr>
        <w:t>by as much as 20%, or 53 bn CZK (the estimate for the category of non-tax and capital income and received transfers was enhanced during last year, which was mainly related to the faster continuous drawdown of investments from the SB, which were directed to the pre-financing of joint projects of the Czech Republic and the EU).</w:t>
      </w:r>
      <w:r w:rsidRPr="00995C95">
        <w:rPr>
          <w:color w:val="0D0D0D" w:themeColor="text1" w:themeTint="F2"/>
          <w:sz w:val="16"/>
          <w:szCs w:val="16"/>
        </w:rPr>
        <w:t xml:space="preserve"> </w:t>
      </w:r>
    </w:p>
  </w:footnote>
  <w:footnote w:id="137">
    <w:p w14:paraId="000D8126" w14:textId="77777777" w:rsidR="0003024B" w:rsidRPr="00995C95" w:rsidRDefault="0003024B" w:rsidP="0003024B">
      <w:pPr>
        <w:pStyle w:val="Textpoznpodarou"/>
        <w:rPr>
          <w:sz w:val="16"/>
          <w:szCs w:val="16"/>
        </w:rPr>
      </w:pPr>
      <w:r w:rsidRPr="00995C95">
        <w:rPr>
          <w:rStyle w:val="Znakapoznpodarou"/>
          <w:sz w:val="16"/>
          <w:szCs w:val="16"/>
        </w:rPr>
        <w:footnoteRef/>
      </w:r>
      <w:r w:rsidRPr="00995C95">
        <w:rPr>
          <w:sz w:val="16"/>
          <w:szCs w:val="16"/>
        </w:rPr>
        <w:t xml:space="preserve"> At the same time, the approved SB expected revenues from the sale of allowances in the amount of 30 bn CZK in 2025. The failure to meet the expected return was affected by a more significant than expected effect of the market stability reserve mechanism. The relatively low price of allowances on the European market in both 2024 and 2025 was also related to the persistently high number of allowances in circulation due to the decline of the volume of emissions emitted and the overall cooling of the market.</w:t>
      </w:r>
    </w:p>
  </w:footnote>
  <w:footnote w:id="138">
    <w:p w14:paraId="2120497A" w14:textId="77777777" w:rsidR="0003024B" w:rsidRPr="00995C95" w:rsidRDefault="0003024B" w:rsidP="0003024B">
      <w:pPr>
        <w:pStyle w:val="Textpoznpodarou"/>
        <w:rPr>
          <w:sz w:val="16"/>
          <w:szCs w:val="16"/>
        </w:rPr>
      </w:pPr>
      <w:r w:rsidRPr="00995C95">
        <w:rPr>
          <w:rStyle w:val="Znakapoznpodarou"/>
          <w:sz w:val="16"/>
          <w:szCs w:val="16"/>
        </w:rPr>
        <w:footnoteRef/>
      </w:r>
      <w:r w:rsidRPr="00995C95">
        <w:rPr>
          <w:sz w:val="16"/>
          <w:szCs w:val="16"/>
        </w:rPr>
        <w:t xml:space="preserve"> Expenditure on teachers' salaries increased by 7% from 1 January 2025 and increased by 5% for other teaching staff (tutors, teaching assistants) and non-teaching staff. The increase of salary tariffs by 1,400 CZK affected only non-teaching staff. The year-on-year growth of expenditure also considers the continuing growth of the number of pupils and students in regional education and the greater use of the division of hours to improve the quality of teaching. </w:t>
      </w:r>
    </w:p>
  </w:footnote>
  <w:footnote w:id="139">
    <w:p w14:paraId="6EAF8969" w14:textId="77777777" w:rsidR="0003024B" w:rsidRPr="00995C95" w:rsidRDefault="0003024B" w:rsidP="0003024B">
      <w:pPr>
        <w:pStyle w:val="Textpoznpodarou"/>
        <w:rPr>
          <w:sz w:val="16"/>
          <w:szCs w:val="16"/>
        </w:rPr>
      </w:pPr>
      <w:r w:rsidRPr="00995C95">
        <w:rPr>
          <w:rStyle w:val="Znakapoznpodarou"/>
          <w:sz w:val="16"/>
          <w:szCs w:val="16"/>
        </w:rPr>
        <w:footnoteRef/>
      </w:r>
      <w:r w:rsidRPr="00995C95">
        <w:rPr>
          <w:sz w:val="16"/>
          <w:szCs w:val="16"/>
        </w:rPr>
        <w:t xml:space="preserve"> This estimate was slightly increased over the course of last year so that the expected expenditure on social benefits in 2025 should have exceeded their actual use in the previous year by 2%.</w:t>
      </w:r>
    </w:p>
  </w:footnote>
  <w:footnote w:id="140">
    <w:p w14:paraId="5F37828B" w14:textId="77777777" w:rsidR="0003024B" w:rsidRPr="00995C95" w:rsidRDefault="0003024B" w:rsidP="0003024B">
      <w:pPr>
        <w:spacing w:after="0" w:line="240" w:lineRule="auto"/>
        <w:jc w:val="left"/>
        <w:rPr>
          <w:rFonts w:eastAsia="Calibri" w:cs="Verdana"/>
          <w:color w:val="000000"/>
          <w:sz w:val="16"/>
          <w:szCs w:val="16"/>
        </w:rPr>
      </w:pPr>
      <w:r w:rsidRPr="00995C95">
        <w:rPr>
          <w:rFonts w:eastAsia="Calibri" w:cs="Verdana"/>
          <w:color w:val="000000"/>
          <w:sz w:val="16"/>
          <w:szCs w:val="16"/>
          <w:vertAlign w:val="superscript"/>
        </w:rPr>
        <w:footnoteRef/>
      </w:r>
      <w:r w:rsidRPr="00995C95">
        <w:rPr>
          <w:rFonts w:eastAsia="Calibri" w:cs="Verdana"/>
          <w:color w:val="000000"/>
          <w:sz w:val="16"/>
          <w:szCs w:val="16"/>
        </w:rPr>
        <w:t xml:space="preserve"> The basic amount of the pension assessment has been increased to 4,660 CZK (+260 CZK); the percentage assessment increased by 0.6% and pensioners who reached the age of 85 in January 2025 had their percentage assessment increased by another 1,000 CZK. In December 2025, the average monthly old-age pension (excluding concurrence with other pensions) was 2% higher, year-on-year, reaching 22.3 thousand CZK for males and 19.9 thousand CZK for females.</w:t>
      </w:r>
    </w:p>
  </w:footnote>
  <w:footnote w:id="141">
    <w:p w14:paraId="6F980302" w14:textId="77777777" w:rsidR="0003024B" w:rsidRPr="00995C95" w:rsidRDefault="0003024B" w:rsidP="0003024B">
      <w:pPr>
        <w:spacing w:after="0" w:line="240" w:lineRule="auto"/>
        <w:jc w:val="left"/>
        <w:rPr>
          <w:rFonts w:eastAsia="Calibri" w:cs="Verdana"/>
          <w:color w:val="000000"/>
          <w:sz w:val="16"/>
          <w:szCs w:val="16"/>
        </w:rPr>
      </w:pPr>
      <w:r w:rsidRPr="00995C95">
        <w:rPr>
          <w:rStyle w:val="Znakapoznpodarou"/>
          <w:sz w:val="16"/>
          <w:szCs w:val="16"/>
        </w:rPr>
        <w:footnoteRef/>
      </w:r>
      <w:r w:rsidRPr="00995C95">
        <w:rPr>
          <w:sz w:val="16"/>
          <w:szCs w:val="16"/>
        </w:rPr>
        <w:t xml:space="preserve"> From October 2024, the required insurance period has increased from 35 to 40 years. Further tightening has already taken place: the maximum period of early retirement has been reduced from 5 years to 3 years, the indexation of the percentage assessment of early retirement up to the retirement age has been abolished, and the reduction of the amount of pension for early retirement has increased significantly. The total number of persons with permanently reduced old-age pensions (due to prematurity) was only 0.4% higher, year-on-year, at the end of last year (the lowest increase in the current millennium). Even so, these people already accounted for almost one third of the total number of old-age pensioners.</w:t>
      </w:r>
    </w:p>
  </w:footnote>
  <w:footnote w:id="142">
    <w:p w14:paraId="35B84EE0" w14:textId="77777777" w:rsidR="0003024B" w:rsidRPr="00995C95" w:rsidRDefault="0003024B" w:rsidP="0003024B">
      <w:pPr>
        <w:pStyle w:val="Textpoznpodarou"/>
        <w:jc w:val="both"/>
      </w:pPr>
      <w:r w:rsidRPr="00995C95">
        <w:rPr>
          <w:rStyle w:val="Znakapoznpodarou"/>
          <w:sz w:val="16"/>
          <w:szCs w:val="16"/>
        </w:rPr>
        <w:footnoteRef/>
      </w:r>
      <w:r w:rsidRPr="00995C95">
        <w:rPr>
          <w:rStyle w:val="Znakapoznpodarou"/>
          <w:sz w:val="16"/>
          <w:szCs w:val="16"/>
        </w:rPr>
        <w:t xml:space="preserve"> </w:t>
      </w:r>
      <w:bookmarkStart w:id="31" w:name="_Hlk195396744"/>
      <w:r w:rsidRPr="00995C95">
        <w:rPr>
          <w:spacing w:val="-4"/>
          <w:sz w:val="16"/>
          <w:szCs w:val="16"/>
        </w:rPr>
        <w:t xml:space="preserve">This expresses the difference between income from pension insurance premiums and expenditure on benefits from this insurance (incl. funds for the administration of the benefit system) according to the balance sheet of the Ministry of Finance. </w:t>
      </w:r>
      <w:bookmarkEnd w:id="31"/>
    </w:p>
  </w:footnote>
  <w:footnote w:id="143">
    <w:p w14:paraId="7AB6B79F" w14:textId="77777777" w:rsidR="0003024B" w:rsidRPr="00995C95" w:rsidRDefault="0003024B" w:rsidP="0003024B">
      <w:pPr>
        <w:pStyle w:val="Textpoznpodarou"/>
        <w:jc w:val="both"/>
        <w:rPr>
          <w:sz w:val="16"/>
          <w:szCs w:val="16"/>
        </w:rPr>
      </w:pPr>
      <w:r w:rsidRPr="00995C95">
        <w:rPr>
          <w:rStyle w:val="Znakapoznpodarou"/>
          <w:sz w:val="16"/>
          <w:szCs w:val="16"/>
        </w:rPr>
        <w:footnoteRef/>
      </w:r>
      <w:r w:rsidRPr="00995C95">
        <w:rPr>
          <w:sz w:val="16"/>
          <w:szCs w:val="16"/>
        </w:rPr>
        <w:t xml:space="preserve"> </w:t>
      </w:r>
      <w:r w:rsidRPr="007A2674">
        <w:rPr>
          <w:spacing w:val="-2"/>
          <w:sz w:val="16"/>
          <w:szCs w:val="16"/>
        </w:rPr>
        <w:t>It was closely related to the statutory increase of amounts for people in the 2nd to 4th degree of dependence for both children and adults (from July 2024). Last December, 381 thousand people received these benefits, up 1.5%, year-on-year (however, 11.6% more than in 2015).</w:t>
      </w:r>
      <w:r w:rsidRPr="00995C95">
        <w:rPr>
          <w:sz w:val="16"/>
          <w:szCs w:val="16"/>
        </w:rPr>
        <w:t xml:space="preserve"> </w:t>
      </w:r>
    </w:p>
  </w:footnote>
  <w:footnote w:id="144">
    <w:p w14:paraId="4EAF3D35" w14:textId="77777777" w:rsidR="0003024B" w:rsidRPr="00995C95" w:rsidRDefault="0003024B" w:rsidP="0003024B">
      <w:pPr>
        <w:pStyle w:val="Textpoznpodarou"/>
        <w:rPr>
          <w:sz w:val="16"/>
          <w:szCs w:val="16"/>
        </w:rPr>
      </w:pPr>
      <w:r w:rsidRPr="00995C95">
        <w:rPr>
          <w:rStyle w:val="Znakapoznpodarou"/>
          <w:sz w:val="16"/>
          <w:szCs w:val="16"/>
        </w:rPr>
        <w:footnoteRef/>
      </w:r>
      <w:r w:rsidRPr="00995C95">
        <w:rPr>
          <w:sz w:val="16"/>
          <w:szCs w:val="16"/>
        </w:rPr>
        <w:t xml:space="preserve"> The year-on-year development is influenced by an increase of the eligible costs of housing and accommodation for the purposes of determining entitlement to humanitarian benefits. In December 2025, 45 thousand benefits were paid out. A seventh less, year-on-year (and even half as much compared to December 2022). </w:t>
      </w:r>
    </w:p>
  </w:footnote>
  <w:footnote w:id="145">
    <w:p w14:paraId="33CBEA34" w14:textId="77777777" w:rsidR="0003024B" w:rsidRPr="00995C95" w:rsidRDefault="0003024B" w:rsidP="0003024B">
      <w:pPr>
        <w:pStyle w:val="Textpoznpodarou"/>
        <w:rPr>
          <w:sz w:val="16"/>
          <w:szCs w:val="16"/>
        </w:rPr>
      </w:pPr>
      <w:r w:rsidRPr="00995C95">
        <w:rPr>
          <w:rStyle w:val="Znakapoznpodarou"/>
          <w:sz w:val="16"/>
          <w:szCs w:val="16"/>
        </w:rPr>
        <w:footnoteRef/>
      </w:r>
      <w:r w:rsidRPr="00995C95">
        <w:rPr>
          <w:sz w:val="16"/>
          <w:szCs w:val="16"/>
        </w:rPr>
        <w:t xml:space="preserve"> Due to the increase of the amounts of normative housing costs, the number of beneficiaries of this benefit continued to grow slightly (it amounted to 307 thousand in December last year, which was 7% higher, year-on-year, and the number of beneficiaries has doubled in the last four years). </w:t>
      </w:r>
    </w:p>
  </w:footnote>
  <w:footnote w:id="146">
    <w:p w14:paraId="30E49F76" w14:textId="77777777" w:rsidR="0003024B" w:rsidRPr="00995C95" w:rsidRDefault="0003024B" w:rsidP="0003024B">
      <w:pPr>
        <w:pStyle w:val="Textpoznpodarou"/>
        <w:rPr>
          <w:sz w:val="16"/>
          <w:szCs w:val="16"/>
        </w:rPr>
      </w:pPr>
      <w:r w:rsidRPr="00995C95">
        <w:rPr>
          <w:rStyle w:val="Znakapoznpodarou"/>
          <w:sz w:val="16"/>
          <w:szCs w:val="16"/>
        </w:rPr>
        <w:footnoteRef/>
      </w:r>
      <w:r w:rsidRPr="00995C95">
        <w:rPr>
          <w:sz w:val="16"/>
          <w:szCs w:val="16"/>
        </w:rPr>
        <w:t xml:space="preserve"> However, compared to the record drawdown in the </w:t>
      </w:r>
      <w:r>
        <w:rPr>
          <w:sz w:val="16"/>
          <w:szCs w:val="16"/>
        </w:rPr>
        <w:t>“</w:t>
      </w:r>
      <w:r w:rsidRPr="00995C95">
        <w:rPr>
          <w:sz w:val="16"/>
          <w:szCs w:val="16"/>
        </w:rPr>
        <w:t>pandemic year</w:t>
      </w:r>
      <w:r>
        <w:rPr>
          <w:sz w:val="16"/>
          <w:szCs w:val="16"/>
        </w:rPr>
        <w:t>”</w:t>
      </w:r>
      <w:r w:rsidRPr="00995C95">
        <w:rPr>
          <w:sz w:val="16"/>
          <w:szCs w:val="16"/>
        </w:rPr>
        <w:t xml:space="preserve"> of 2020, the state spent 11% less on these benefits last year.</w:t>
      </w:r>
    </w:p>
  </w:footnote>
  <w:footnote w:id="147">
    <w:p w14:paraId="4DC65226" w14:textId="77777777" w:rsidR="0003024B" w:rsidRPr="00995C95" w:rsidRDefault="0003024B" w:rsidP="0003024B">
      <w:pPr>
        <w:pStyle w:val="Textpoznpodarou"/>
        <w:rPr>
          <w:sz w:val="16"/>
          <w:szCs w:val="16"/>
        </w:rPr>
      </w:pPr>
      <w:r w:rsidRPr="00995C95">
        <w:rPr>
          <w:rStyle w:val="Znakapoznpodarou"/>
          <w:sz w:val="16"/>
          <w:szCs w:val="16"/>
        </w:rPr>
        <w:footnoteRef/>
      </w:r>
      <w:r w:rsidRPr="00995C95">
        <w:rPr>
          <w:sz w:val="16"/>
          <w:szCs w:val="16"/>
        </w:rPr>
        <w:t xml:space="preserve"> The influence of higher </w:t>
      </w:r>
      <w:r w:rsidRPr="009E2892">
        <w:rPr>
          <w:sz w:val="16"/>
          <w:szCs w:val="16"/>
        </w:rPr>
        <w:t>illness</w:t>
      </w:r>
      <w:r w:rsidRPr="00995C95">
        <w:rPr>
          <w:sz w:val="16"/>
          <w:szCs w:val="16"/>
        </w:rPr>
        <w:t xml:space="preserve"> was also evident here. According to data from the CSSA, the number of days off (associated with temporary incapacity for work) reached 76.3 million in 2025</w:t>
      </w:r>
      <w:r>
        <w:rPr>
          <w:sz w:val="16"/>
          <w:szCs w:val="16"/>
        </w:rPr>
        <w:t>.</w:t>
      </w:r>
      <w:r w:rsidRPr="00995C95">
        <w:rPr>
          <w:sz w:val="16"/>
          <w:szCs w:val="16"/>
        </w:rPr>
        <w:t xml:space="preserve"> </w:t>
      </w:r>
      <w:r>
        <w:rPr>
          <w:sz w:val="16"/>
          <w:szCs w:val="16"/>
        </w:rPr>
        <w:t>A</w:t>
      </w:r>
      <w:r w:rsidRPr="00995C95">
        <w:rPr>
          <w:sz w:val="16"/>
          <w:szCs w:val="16"/>
        </w:rPr>
        <w:t xml:space="preserve">lthough it increased slightly, year-on-year (+0.4%), but it was the second lowest </w:t>
      </w:r>
      <w:r>
        <w:rPr>
          <w:sz w:val="16"/>
          <w:szCs w:val="16"/>
        </w:rPr>
        <w:t xml:space="preserve">absolute </w:t>
      </w:r>
      <w:r w:rsidRPr="00995C95">
        <w:rPr>
          <w:sz w:val="16"/>
          <w:szCs w:val="16"/>
        </w:rPr>
        <w:t xml:space="preserve">number in the last six years. </w:t>
      </w:r>
    </w:p>
  </w:footnote>
  <w:footnote w:id="148">
    <w:p w14:paraId="4C4A654E" w14:textId="77777777" w:rsidR="0003024B" w:rsidRPr="009E2892" w:rsidRDefault="0003024B" w:rsidP="0003024B">
      <w:pPr>
        <w:pStyle w:val="Textpoznpodarou"/>
        <w:rPr>
          <w:sz w:val="16"/>
          <w:szCs w:val="16"/>
        </w:rPr>
      </w:pPr>
      <w:r w:rsidRPr="00995C95">
        <w:rPr>
          <w:rStyle w:val="Znakapoznpodarou"/>
          <w:sz w:val="16"/>
          <w:szCs w:val="16"/>
        </w:rPr>
        <w:footnoteRef/>
      </w:r>
      <w:r w:rsidRPr="00995C95">
        <w:rPr>
          <w:rStyle w:val="Znakapoznpodarou"/>
          <w:sz w:val="16"/>
          <w:szCs w:val="16"/>
        </w:rPr>
        <w:t xml:space="preserve"> </w:t>
      </w:r>
      <w:r>
        <w:rPr>
          <w:sz w:val="16"/>
          <w:szCs w:val="16"/>
        </w:rPr>
        <w:t xml:space="preserve"> </w:t>
      </w:r>
      <w:r w:rsidRPr="00995C95">
        <w:rPr>
          <w:sz w:val="16"/>
          <w:szCs w:val="16"/>
        </w:rPr>
        <w:t xml:space="preserve">As of </w:t>
      </w:r>
      <w:r w:rsidRPr="009E2892">
        <w:rPr>
          <w:sz w:val="16"/>
          <w:szCs w:val="16"/>
        </w:rPr>
        <w:t>January 2024,</w:t>
      </w:r>
      <w:r>
        <w:rPr>
          <w:sz w:val="16"/>
          <w:szCs w:val="16"/>
        </w:rPr>
        <w:t xml:space="preserve"> </w:t>
      </w:r>
      <w:r w:rsidRPr="009E2892">
        <w:rPr>
          <w:sz w:val="16"/>
          <w:szCs w:val="16"/>
        </w:rPr>
        <w:t>health insurance paid directly by the employee was reintroduced, amounting to 0.6% of the assessment base (gross wage).</w:t>
      </w:r>
      <w:r>
        <w:rPr>
          <w:sz w:val="16"/>
          <w:szCs w:val="16"/>
        </w:rPr>
        <w:t xml:space="preserve"> At the same time</w:t>
      </w:r>
      <w:r w:rsidRPr="00995C95">
        <w:rPr>
          <w:sz w:val="16"/>
          <w:szCs w:val="16"/>
        </w:rPr>
        <w:t xml:space="preserve"> the assessment base for the self-employed has been </w:t>
      </w:r>
      <w:r>
        <w:rPr>
          <w:sz w:val="16"/>
          <w:szCs w:val="16"/>
        </w:rPr>
        <w:t xml:space="preserve">also </w:t>
      </w:r>
      <w:r w:rsidRPr="00995C95">
        <w:rPr>
          <w:sz w:val="16"/>
          <w:szCs w:val="16"/>
        </w:rPr>
        <w:t xml:space="preserve">increased. Later, the limits for participation in </w:t>
      </w:r>
      <w:r w:rsidRPr="009E2892">
        <w:rPr>
          <w:spacing w:val="-2"/>
          <w:sz w:val="16"/>
          <w:szCs w:val="16"/>
        </w:rPr>
        <w:t>the insurance of an employee working on the basis of an agreement to perform work were set (from January 2025, this limit is CZK 11,500).</w:t>
      </w:r>
    </w:p>
  </w:footnote>
  <w:footnote w:id="149">
    <w:p w14:paraId="5D1D3195" w14:textId="77777777" w:rsidR="0003024B" w:rsidRPr="00995C95" w:rsidRDefault="0003024B" w:rsidP="0003024B">
      <w:pPr>
        <w:pStyle w:val="Textpoznpodarou"/>
        <w:jc w:val="both"/>
        <w:rPr>
          <w:sz w:val="16"/>
          <w:szCs w:val="16"/>
        </w:rPr>
      </w:pPr>
      <w:r w:rsidRPr="00995C95">
        <w:rPr>
          <w:rStyle w:val="Znakapoznpodarou"/>
          <w:sz w:val="16"/>
          <w:szCs w:val="16"/>
        </w:rPr>
        <w:footnoteRef/>
      </w:r>
      <w:r w:rsidRPr="00995C95">
        <w:rPr>
          <w:sz w:val="16"/>
          <w:szCs w:val="16"/>
        </w:rPr>
        <w:t xml:space="preserve"> </w:t>
      </w:r>
      <w:bookmarkStart w:id="32" w:name="_Hlk195456556"/>
      <w:r w:rsidRPr="00995C95">
        <w:rPr>
          <w:sz w:val="16"/>
          <w:szCs w:val="16"/>
        </w:rPr>
        <w:t xml:space="preserve">This expresses the difference between revenues of sickness insurance premiums and expenditure on benefits from this insurance </w:t>
      </w:r>
      <w:r>
        <w:rPr>
          <w:sz w:val="16"/>
          <w:szCs w:val="16"/>
        </w:rPr>
        <w:t>(</w:t>
      </w:r>
      <w:r w:rsidRPr="00995C95">
        <w:rPr>
          <w:sz w:val="16"/>
          <w:szCs w:val="16"/>
        </w:rPr>
        <w:t>according to the CSSA balance sheet</w:t>
      </w:r>
      <w:r>
        <w:rPr>
          <w:sz w:val="16"/>
          <w:szCs w:val="16"/>
        </w:rPr>
        <w:t>)</w:t>
      </w:r>
      <w:r w:rsidRPr="00995C95">
        <w:rPr>
          <w:sz w:val="16"/>
          <w:szCs w:val="16"/>
        </w:rPr>
        <w:t xml:space="preserve">. </w:t>
      </w:r>
      <w:bookmarkEnd w:id="32"/>
    </w:p>
  </w:footnote>
  <w:footnote w:id="150">
    <w:p w14:paraId="44040F93" w14:textId="77777777" w:rsidR="0003024B" w:rsidRPr="00995C95" w:rsidRDefault="0003024B" w:rsidP="0003024B">
      <w:pPr>
        <w:pStyle w:val="Textpoznpodarou"/>
        <w:rPr>
          <w:sz w:val="16"/>
          <w:szCs w:val="16"/>
        </w:rPr>
      </w:pPr>
      <w:r w:rsidRPr="00995C95">
        <w:rPr>
          <w:rStyle w:val="Znakapoznpodarou"/>
          <w:sz w:val="16"/>
          <w:szCs w:val="16"/>
        </w:rPr>
        <w:footnoteRef/>
      </w:r>
      <w:r w:rsidRPr="00995C95">
        <w:rPr>
          <w:sz w:val="16"/>
          <w:szCs w:val="16"/>
        </w:rPr>
        <w:t xml:space="preserve"> Net expenditures correspond to the balance of the budget chapter State debt (No. 396). </w:t>
      </w:r>
    </w:p>
  </w:footnote>
  <w:footnote w:id="151">
    <w:p w14:paraId="6AD64A33" w14:textId="77777777" w:rsidR="0003024B" w:rsidRPr="00995C95" w:rsidRDefault="0003024B" w:rsidP="0003024B">
      <w:pPr>
        <w:pStyle w:val="Textpoznpodarou"/>
      </w:pPr>
      <w:r w:rsidRPr="00995C95">
        <w:rPr>
          <w:rStyle w:val="Znakapoznpodarou"/>
          <w:sz w:val="16"/>
          <w:szCs w:val="16"/>
        </w:rPr>
        <w:footnoteRef/>
      </w:r>
      <w:r w:rsidRPr="00995C95">
        <w:rPr>
          <w:sz w:val="16"/>
          <w:szCs w:val="16"/>
        </w:rPr>
        <w:t xml:space="preserve"> Their total sales on the primary and secondary markets reached 486 bn CZK last year (376 bn CZK a year earlier). The average maturity of newly sold koruna bonds was 8.9 years and the average annual yield of newly sold fixed-interest bonds was 4.21%. While the maturity period decreased slightly, year-on-year (by 1.5 years), the average yield increased (by 0.26 p. p.), but its last year's level was still slightly lower than for newly issued government bonds in 2022 and 2023.  </w:t>
      </w:r>
    </w:p>
  </w:footnote>
  <w:footnote w:id="152">
    <w:p w14:paraId="39E97187" w14:textId="77777777" w:rsidR="0003024B" w:rsidRPr="00995C95" w:rsidRDefault="0003024B" w:rsidP="0003024B">
      <w:pPr>
        <w:pStyle w:val="Textpoznpodarou"/>
        <w:rPr>
          <w:sz w:val="16"/>
          <w:szCs w:val="16"/>
        </w:rPr>
      </w:pPr>
      <w:r w:rsidRPr="00995C95">
        <w:rPr>
          <w:rStyle w:val="Znakapoznpodarou"/>
          <w:sz w:val="16"/>
          <w:szCs w:val="16"/>
        </w:rPr>
        <w:footnoteRef/>
      </w:r>
      <w:r w:rsidRPr="00995C95">
        <w:rPr>
          <w:sz w:val="16"/>
          <w:szCs w:val="16"/>
        </w:rPr>
        <w:t xml:space="preserve"> This increase is reflected in an across-the-board increase of salary tariffs for members of the security forces and soldiers (by 1500 CZK) and most other civil servants (by 1400 CZK) from January 2025. From July 2025, expenditure on soldiers' salaries, (service tariffs and housing allowances) of police, firefighters and other members of the security forces (higher stabilisation allowances) has been further strengthened. </w:t>
      </w:r>
    </w:p>
  </w:footnote>
  <w:footnote w:id="153">
    <w:p w14:paraId="4BB50A34" w14:textId="77777777" w:rsidR="0003024B" w:rsidRPr="00995C95" w:rsidRDefault="0003024B" w:rsidP="0003024B">
      <w:pPr>
        <w:pStyle w:val="Textpoznpodarou"/>
        <w:rPr>
          <w:sz w:val="16"/>
          <w:szCs w:val="16"/>
        </w:rPr>
      </w:pPr>
      <w:r w:rsidRPr="00995C95">
        <w:rPr>
          <w:rStyle w:val="Znakapoznpodarou"/>
          <w:sz w:val="16"/>
          <w:szCs w:val="16"/>
        </w:rPr>
        <w:footnoteRef/>
      </w:r>
      <w:r w:rsidRPr="00995C95">
        <w:rPr>
          <w:sz w:val="16"/>
          <w:szCs w:val="16"/>
        </w:rPr>
        <w:t xml:space="preserve"> These are compensations for the supply of electricity and gas to customers and for losses due to the capping of their prices (with a year-on-year decrease of 7.4 bn CZK) and subsidies to the transmission system operator (−1.3 bn CZK), which were still paid at the beginning of 2024. </w:t>
      </w:r>
    </w:p>
  </w:footnote>
  <w:footnote w:id="154">
    <w:p w14:paraId="7B5555A3" w14:textId="77777777" w:rsidR="0003024B" w:rsidRPr="00995C95" w:rsidRDefault="0003024B" w:rsidP="0003024B">
      <w:pPr>
        <w:pStyle w:val="Textpoznpodarou"/>
        <w:rPr>
          <w:spacing w:val="-3"/>
          <w:sz w:val="16"/>
          <w:szCs w:val="16"/>
        </w:rPr>
      </w:pPr>
      <w:r w:rsidRPr="00995C95">
        <w:rPr>
          <w:rStyle w:val="Znakapoznpodarou"/>
          <w:spacing w:val="-3"/>
          <w:sz w:val="16"/>
          <w:szCs w:val="16"/>
        </w:rPr>
        <w:footnoteRef/>
      </w:r>
      <w:r w:rsidRPr="00995C95">
        <w:rPr>
          <w:rStyle w:val="Znakapoznpodarou"/>
          <w:spacing w:val="-3"/>
        </w:rPr>
        <w:t xml:space="preserve"> </w:t>
      </w:r>
      <w:r w:rsidRPr="00995C95">
        <w:rPr>
          <w:sz w:val="16"/>
          <w:szCs w:val="16"/>
        </w:rPr>
        <w:t xml:space="preserve">The impact of the newly introduced automatic indexation, which adjusts the assessment base of the payment by the sum of 100% of consumer price growth and 50% of real wage growth from January 2024, has become apparent. As a result, the monthly payment per person has increased from 2085 CZK to 2127 CZK since January 2025.  </w:t>
      </w:r>
    </w:p>
  </w:footnote>
  <w:footnote w:id="155">
    <w:p w14:paraId="13C34BDF" w14:textId="77777777" w:rsidR="0003024B" w:rsidRPr="00995C95" w:rsidRDefault="0003024B" w:rsidP="0003024B">
      <w:pPr>
        <w:pStyle w:val="Textpoznpodarou"/>
        <w:rPr>
          <w:sz w:val="16"/>
          <w:szCs w:val="16"/>
        </w:rPr>
      </w:pPr>
      <w:r w:rsidRPr="00995C95">
        <w:rPr>
          <w:rStyle w:val="Znakapoznpodarou"/>
          <w:sz w:val="16"/>
          <w:szCs w:val="16"/>
        </w:rPr>
        <w:footnoteRef/>
      </w:r>
      <w:r w:rsidRPr="00995C95">
        <w:rPr>
          <w:sz w:val="16"/>
          <w:szCs w:val="16"/>
        </w:rPr>
        <w:t xml:space="preserve"> At the same time, last year's drawdown exceeded the original budget expectation (according to the approved SB), which amounted to 250 bn CZK. At the same time, this expectation was continuously adjusted during the year by budgetary measures (up to just under 270 bn CZK in Q3). </w:t>
      </w:r>
    </w:p>
  </w:footnote>
  <w:footnote w:id="156">
    <w:p w14:paraId="46427504" w14:textId="77777777" w:rsidR="0003024B" w:rsidRPr="00995C95" w:rsidRDefault="0003024B" w:rsidP="0003024B">
      <w:pPr>
        <w:pStyle w:val="Textpoznpodarou"/>
        <w:rPr>
          <w:sz w:val="16"/>
          <w:szCs w:val="16"/>
        </w:rPr>
      </w:pPr>
      <w:r w:rsidRPr="00995C95">
        <w:rPr>
          <w:rStyle w:val="Znakapoznpodarou"/>
          <w:sz w:val="16"/>
          <w:szCs w:val="16"/>
        </w:rPr>
        <w:footnoteRef/>
      </w:r>
      <w:r w:rsidRPr="00995C95">
        <w:rPr>
          <w:sz w:val="16"/>
          <w:szCs w:val="16"/>
        </w:rPr>
        <w:t xml:space="preserve"> This is related to the gradual launch of the use of these expenditures in the new (current) EU programming period.</w:t>
      </w:r>
    </w:p>
  </w:footnote>
  <w:footnote w:id="157">
    <w:p w14:paraId="7E8FED78" w14:textId="77777777" w:rsidR="0003024B" w:rsidRPr="00995C95" w:rsidRDefault="0003024B" w:rsidP="0003024B">
      <w:pPr>
        <w:pStyle w:val="Textpoznpodarou"/>
        <w:jc w:val="both"/>
        <w:rPr>
          <w:sz w:val="16"/>
          <w:szCs w:val="16"/>
        </w:rPr>
      </w:pPr>
      <w:r w:rsidRPr="00995C95">
        <w:rPr>
          <w:rStyle w:val="Znakapoznpodarou"/>
          <w:sz w:val="16"/>
          <w:szCs w:val="16"/>
        </w:rPr>
        <w:footnoteRef/>
      </w:r>
      <w:r w:rsidRPr="00995C95">
        <w:rPr>
          <w:sz w:val="16"/>
          <w:szCs w:val="16"/>
        </w:rPr>
        <w:t xml:space="preserve"> </w:t>
      </w:r>
      <w:r w:rsidRPr="00797A95">
        <w:rPr>
          <w:spacing w:val="-2"/>
          <w:sz w:val="16"/>
          <w:szCs w:val="16"/>
        </w:rPr>
        <w:t>Unless stated otherwise, data regarding the GG sector in Czechia are expressed in nominal terms and without seasonal adjustment.</w:t>
      </w:r>
    </w:p>
  </w:footnote>
  <w:footnote w:id="158">
    <w:p w14:paraId="72961EAF" w14:textId="77777777" w:rsidR="0003024B" w:rsidRPr="00995C95" w:rsidRDefault="0003024B" w:rsidP="0003024B">
      <w:pPr>
        <w:pStyle w:val="Textpoznpodarou"/>
        <w:jc w:val="both"/>
        <w:rPr>
          <w:sz w:val="16"/>
          <w:szCs w:val="16"/>
        </w:rPr>
      </w:pPr>
      <w:r w:rsidRPr="00995C95">
        <w:rPr>
          <w:rStyle w:val="Znakapoznpodarou"/>
          <w:sz w:val="16"/>
          <w:szCs w:val="16"/>
        </w:rPr>
        <w:footnoteRef/>
      </w:r>
      <w:r w:rsidRPr="00995C95">
        <w:rPr>
          <w:sz w:val="16"/>
          <w:szCs w:val="16"/>
        </w:rPr>
        <w:t xml:space="preserve"> </w:t>
      </w:r>
      <w:r w:rsidRPr="00995C95">
        <w:rPr>
          <w:spacing w:val="-4"/>
          <w:sz w:val="16"/>
          <w:szCs w:val="16"/>
        </w:rPr>
        <w:t>Data regarding the government</w:t>
      </w:r>
      <w:r>
        <w:rPr>
          <w:spacing w:val="-4"/>
          <w:sz w:val="16"/>
          <w:szCs w:val="16"/>
        </w:rPr>
        <w:t xml:space="preserve"> sector</w:t>
      </w:r>
      <w:r w:rsidRPr="00995C95">
        <w:rPr>
          <w:spacing w:val="-4"/>
          <w:sz w:val="16"/>
          <w:szCs w:val="16"/>
        </w:rPr>
        <w:t xml:space="preserve"> for Q4 2025 will be published by the CZSO on 1</w:t>
      </w:r>
      <w:r w:rsidRPr="00995C95">
        <w:rPr>
          <w:spacing w:val="-4"/>
          <w:sz w:val="16"/>
          <w:szCs w:val="16"/>
          <w:vertAlign w:val="superscript"/>
        </w:rPr>
        <w:t>st</w:t>
      </w:r>
      <w:r w:rsidRPr="00995C95">
        <w:rPr>
          <w:spacing w:val="-4"/>
          <w:sz w:val="16"/>
          <w:szCs w:val="16"/>
        </w:rPr>
        <w:t xml:space="preserve"> </w:t>
      </w:r>
      <w:proofErr w:type="gramStart"/>
      <w:r w:rsidRPr="00995C95">
        <w:rPr>
          <w:spacing w:val="-4"/>
          <w:sz w:val="16"/>
          <w:szCs w:val="16"/>
        </w:rPr>
        <w:t>April,</w:t>
      </w:r>
      <w:proofErr w:type="gramEnd"/>
      <w:r w:rsidRPr="00995C95">
        <w:rPr>
          <w:spacing w:val="-4"/>
          <w:sz w:val="16"/>
          <w:szCs w:val="16"/>
        </w:rPr>
        <w:t xml:space="preserve"> 2026, Eurostat subsequently on behalf of the Union Member States on 22</w:t>
      </w:r>
      <w:r w:rsidRPr="00995C95">
        <w:rPr>
          <w:spacing w:val="-4"/>
          <w:sz w:val="16"/>
          <w:szCs w:val="16"/>
          <w:vertAlign w:val="superscript"/>
        </w:rPr>
        <w:t>nd</w:t>
      </w:r>
      <w:r w:rsidRPr="00995C95">
        <w:rPr>
          <w:spacing w:val="-4"/>
          <w:sz w:val="16"/>
          <w:szCs w:val="16"/>
        </w:rPr>
        <w:t xml:space="preserve"> April. More detailed assessment of the development </w:t>
      </w:r>
      <w:r>
        <w:rPr>
          <w:spacing w:val="-4"/>
          <w:sz w:val="16"/>
          <w:szCs w:val="16"/>
        </w:rPr>
        <w:t xml:space="preserve">in the Czechia </w:t>
      </w:r>
      <w:r w:rsidRPr="00995C95">
        <w:rPr>
          <w:spacing w:val="-4"/>
          <w:sz w:val="16"/>
          <w:szCs w:val="16"/>
        </w:rPr>
        <w:t xml:space="preserve">for Q3 2025 is offered in the publication Analysis of the sector accounts: </w:t>
      </w:r>
      <w:hyperlink r:id="rId3" w:history="1">
        <w:proofErr w:type="spellStart"/>
        <w:r w:rsidRPr="00995C95">
          <w:rPr>
            <w:rStyle w:val="Hypertextovodkaz"/>
            <w:i/>
            <w:color w:val="auto"/>
            <w:sz w:val="16"/>
            <w:szCs w:val="16"/>
          </w:rPr>
          <w:t>Analýza</w:t>
        </w:r>
        <w:proofErr w:type="spellEnd"/>
        <w:r w:rsidRPr="00995C95">
          <w:rPr>
            <w:rStyle w:val="Hypertextovodkaz"/>
            <w:i/>
            <w:color w:val="auto"/>
            <w:sz w:val="16"/>
            <w:szCs w:val="16"/>
          </w:rPr>
          <w:t xml:space="preserve"> </w:t>
        </w:r>
        <w:proofErr w:type="spellStart"/>
        <w:r w:rsidRPr="00995C95">
          <w:rPr>
            <w:rStyle w:val="Hypertextovodkaz"/>
            <w:i/>
            <w:color w:val="auto"/>
            <w:sz w:val="16"/>
            <w:szCs w:val="16"/>
          </w:rPr>
          <w:t>sektorových</w:t>
        </w:r>
        <w:proofErr w:type="spellEnd"/>
        <w:r w:rsidRPr="00995C95">
          <w:rPr>
            <w:rStyle w:val="Hypertextovodkaz"/>
            <w:i/>
            <w:color w:val="auto"/>
            <w:sz w:val="16"/>
            <w:szCs w:val="16"/>
          </w:rPr>
          <w:t xml:space="preserve"> </w:t>
        </w:r>
        <w:proofErr w:type="spellStart"/>
        <w:r w:rsidRPr="00995C95">
          <w:rPr>
            <w:rStyle w:val="Hypertextovodkaz"/>
            <w:i/>
            <w:color w:val="auto"/>
            <w:sz w:val="16"/>
            <w:szCs w:val="16"/>
          </w:rPr>
          <w:t>účtů</w:t>
        </w:r>
        <w:proofErr w:type="spellEnd"/>
      </w:hyperlink>
    </w:p>
  </w:footnote>
  <w:footnote w:id="159">
    <w:p w14:paraId="042416CA" w14:textId="77777777" w:rsidR="0003024B" w:rsidRPr="00995C95" w:rsidRDefault="0003024B" w:rsidP="0003024B">
      <w:pPr>
        <w:pStyle w:val="Textpoznpodarou"/>
        <w:jc w:val="both"/>
        <w:rPr>
          <w:sz w:val="16"/>
          <w:szCs w:val="16"/>
        </w:rPr>
      </w:pPr>
      <w:r w:rsidRPr="00995C95">
        <w:rPr>
          <w:rStyle w:val="Znakapoznpodarou"/>
          <w:sz w:val="16"/>
          <w:szCs w:val="16"/>
        </w:rPr>
        <w:footnoteRef/>
      </w:r>
      <w:r w:rsidRPr="00995C95">
        <w:rPr>
          <w:sz w:val="16"/>
          <w:szCs w:val="16"/>
        </w:rPr>
        <w:t xml:space="preserve"> This deterioration was due to local government institutions, whose surplus fell by 13.8% to 70.0 bn CZK (and was thus the lowest in the last four years in the same period). By contrast, the central government </w:t>
      </w:r>
      <w:r>
        <w:rPr>
          <w:sz w:val="16"/>
          <w:szCs w:val="16"/>
        </w:rPr>
        <w:t xml:space="preserve">sector </w:t>
      </w:r>
      <w:r w:rsidRPr="00995C95">
        <w:rPr>
          <w:sz w:val="16"/>
          <w:szCs w:val="16"/>
        </w:rPr>
        <w:t xml:space="preserve">deficit, which has traditionally contributed dominantly to the deterioration of the budget balance of </w:t>
      </w:r>
      <w:r>
        <w:rPr>
          <w:sz w:val="16"/>
          <w:szCs w:val="16"/>
        </w:rPr>
        <w:t xml:space="preserve">the whole GG </w:t>
      </w:r>
      <w:r w:rsidRPr="00995C95">
        <w:rPr>
          <w:sz w:val="16"/>
          <w:szCs w:val="16"/>
        </w:rPr>
        <w:t xml:space="preserve">sector in recent years, narrowed by 3.3%, year-on-year, to 155 bn CZK (the best result in the last six years). The deficit of health insurance companies was then reduced by about 5 bn CZK, year-on-year. </w:t>
      </w:r>
    </w:p>
  </w:footnote>
  <w:footnote w:id="160">
    <w:p w14:paraId="778AF68E" w14:textId="77777777" w:rsidR="0003024B" w:rsidRPr="00995C95" w:rsidRDefault="0003024B" w:rsidP="0003024B">
      <w:pPr>
        <w:pStyle w:val="Textpoznpodarou"/>
        <w:rPr>
          <w:sz w:val="16"/>
          <w:szCs w:val="16"/>
        </w:rPr>
      </w:pPr>
      <w:r w:rsidRPr="00995C95">
        <w:rPr>
          <w:rStyle w:val="Znakapoznpodarou"/>
          <w:sz w:val="16"/>
          <w:szCs w:val="16"/>
        </w:rPr>
        <w:footnoteRef/>
      </w:r>
      <w:r w:rsidRPr="00995C95">
        <w:rPr>
          <w:sz w:val="16"/>
          <w:szCs w:val="16"/>
        </w:rPr>
        <w:t xml:space="preserve"> On the contrary, dividend income, which was dominantly behind the decline of general government ownership income in 2024, increased, year-on-year, last year (and effectively returned to the level of Q1 to Q3 2023).</w:t>
      </w:r>
    </w:p>
  </w:footnote>
  <w:footnote w:id="161">
    <w:p w14:paraId="2921A81D" w14:textId="77777777" w:rsidR="0003024B" w:rsidRPr="00995C95" w:rsidRDefault="0003024B" w:rsidP="0003024B">
      <w:pPr>
        <w:pStyle w:val="Textpoznpodarou"/>
        <w:rPr>
          <w:sz w:val="16"/>
          <w:szCs w:val="16"/>
        </w:rPr>
      </w:pPr>
      <w:r w:rsidRPr="00995C95">
        <w:rPr>
          <w:rStyle w:val="Znakapoznpodarou"/>
          <w:sz w:val="16"/>
          <w:szCs w:val="16"/>
        </w:rPr>
        <w:footnoteRef/>
      </w:r>
      <w:r w:rsidRPr="00995C95">
        <w:rPr>
          <w:sz w:val="16"/>
          <w:szCs w:val="16"/>
        </w:rPr>
        <w:t xml:space="preserve"> All the data on the budget </w:t>
      </w:r>
      <w:r>
        <w:rPr>
          <w:sz w:val="16"/>
          <w:szCs w:val="16"/>
        </w:rPr>
        <w:t>balance</w:t>
      </w:r>
      <w:r w:rsidRPr="00995C95">
        <w:rPr>
          <w:sz w:val="16"/>
          <w:szCs w:val="16"/>
        </w:rPr>
        <w:t xml:space="preserve"> listed below are expressed after adjusting for seasonality and number of working days. </w:t>
      </w:r>
    </w:p>
  </w:footnote>
  <w:footnote w:id="162">
    <w:p w14:paraId="0B3B2433" w14:textId="77777777" w:rsidR="0003024B" w:rsidRPr="002F2349" w:rsidRDefault="0003024B" w:rsidP="0003024B">
      <w:pPr>
        <w:pStyle w:val="Textpoznpodarou"/>
        <w:rPr>
          <w:sz w:val="16"/>
          <w:szCs w:val="16"/>
        </w:rPr>
      </w:pPr>
      <w:r w:rsidRPr="00995C95">
        <w:rPr>
          <w:rStyle w:val="Znakapoznpodarou"/>
          <w:sz w:val="16"/>
          <w:szCs w:val="16"/>
        </w:rPr>
        <w:footnoteRef/>
      </w:r>
      <w:r w:rsidRPr="00995C95">
        <w:rPr>
          <w:sz w:val="16"/>
          <w:szCs w:val="16"/>
        </w:rPr>
        <w:t xml:space="preserve"> This is the start of the so-called Excessive Deficit Procedure for breaches of budgetary rules. This standard procedure was resumed after a temporary interruption between 2020 and 2023 (due to the COVID-19 pandemic). In 2024, proceedings were opened with Belgium, France, Italy, Malta and some Central European members (Slovakia, Poland, Hungary), a year later with Austria and this year with Finland.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4C456F" w:rsidRPr="00995C95" w14:paraId="63EB0BA1" w14:textId="77777777" w:rsidTr="7BDB84E4">
      <w:trPr>
        <w:trHeight w:val="300"/>
      </w:trPr>
      <w:tc>
        <w:tcPr>
          <w:tcW w:w="3210" w:type="dxa"/>
        </w:tcPr>
        <w:p w14:paraId="357BF5F4" w14:textId="22EABFF2" w:rsidR="004C456F" w:rsidRPr="00995C95" w:rsidRDefault="004C456F" w:rsidP="7BDB84E4">
          <w:pPr>
            <w:pStyle w:val="Zhlav"/>
            <w:ind w:left="-115"/>
            <w:rPr>
              <w:lang w:val="en-GB"/>
            </w:rPr>
          </w:pPr>
        </w:p>
      </w:tc>
      <w:tc>
        <w:tcPr>
          <w:tcW w:w="3210" w:type="dxa"/>
        </w:tcPr>
        <w:p w14:paraId="2B8B2F90" w14:textId="25F76AAE" w:rsidR="004C456F" w:rsidRPr="00995C95" w:rsidRDefault="004C456F" w:rsidP="7BDB84E4">
          <w:pPr>
            <w:pStyle w:val="Zhlav"/>
            <w:jc w:val="center"/>
            <w:rPr>
              <w:lang w:val="en-GB"/>
            </w:rPr>
          </w:pPr>
        </w:p>
      </w:tc>
      <w:tc>
        <w:tcPr>
          <w:tcW w:w="3210" w:type="dxa"/>
        </w:tcPr>
        <w:p w14:paraId="63170252" w14:textId="0C92FE13" w:rsidR="004C456F" w:rsidRPr="00995C95" w:rsidRDefault="004C456F" w:rsidP="7BDB84E4">
          <w:pPr>
            <w:pStyle w:val="Zhlav"/>
            <w:ind w:right="-115"/>
            <w:jc w:val="right"/>
            <w:rPr>
              <w:lang w:val="en-GB"/>
            </w:rPr>
          </w:pPr>
        </w:p>
      </w:tc>
    </w:tr>
  </w:tbl>
  <w:p w14:paraId="7C250868" w14:textId="2D1B868B" w:rsidR="004C456F" w:rsidRPr="00995C95" w:rsidRDefault="004C456F" w:rsidP="7BDB84E4">
    <w:pPr>
      <w:pStyle w:val="Zhlav"/>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4C456F" w:rsidRPr="00995C95" w14:paraId="3353788A" w14:textId="77777777" w:rsidTr="7BDB84E4">
      <w:trPr>
        <w:trHeight w:val="300"/>
      </w:trPr>
      <w:tc>
        <w:tcPr>
          <w:tcW w:w="3210" w:type="dxa"/>
        </w:tcPr>
        <w:p w14:paraId="1FBBBEEE" w14:textId="678CCEA8" w:rsidR="004C456F" w:rsidRPr="00995C95" w:rsidRDefault="004C456F" w:rsidP="7BDB84E4">
          <w:pPr>
            <w:pStyle w:val="Zhlav"/>
            <w:ind w:left="-115"/>
            <w:rPr>
              <w:lang w:val="en-GB"/>
            </w:rPr>
          </w:pPr>
        </w:p>
      </w:tc>
      <w:tc>
        <w:tcPr>
          <w:tcW w:w="3210" w:type="dxa"/>
        </w:tcPr>
        <w:p w14:paraId="0386F6B5" w14:textId="59E86013" w:rsidR="004C456F" w:rsidRPr="00995C95" w:rsidRDefault="004C456F" w:rsidP="7BDB84E4">
          <w:pPr>
            <w:pStyle w:val="Zhlav"/>
            <w:jc w:val="center"/>
            <w:rPr>
              <w:lang w:val="en-GB"/>
            </w:rPr>
          </w:pPr>
        </w:p>
      </w:tc>
      <w:tc>
        <w:tcPr>
          <w:tcW w:w="3210" w:type="dxa"/>
        </w:tcPr>
        <w:p w14:paraId="55DF6978" w14:textId="7A91F53E" w:rsidR="004C456F" w:rsidRPr="00995C95" w:rsidRDefault="004C456F" w:rsidP="7BDB84E4">
          <w:pPr>
            <w:pStyle w:val="Zhlav"/>
            <w:ind w:right="-115"/>
            <w:jc w:val="right"/>
            <w:rPr>
              <w:lang w:val="en-GB"/>
            </w:rPr>
          </w:pPr>
        </w:p>
      </w:tc>
    </w:tr>
  </w:tbl>
  <w:p w14:paraId="07352E89" w14:textId="3FA50847" w:rsidR="004C456F" w:rsidRPr="00995C95" w:rsidRDefault="004C456F" w:rsidP="7BDB84E4">
    <w:pPr>
      <w:pStyle w:val="Zhlav"/>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6" w14:textId="1194052D" w:rsidR="004C456F" w:rsidRPr="00995C95" w:rsidRDefault="004B5D8A" w:rsidP="00C27E4F">
    <w:pPr>
      <w:pStyle w:val="Zhlav"/>
      <w:rPr>
        <w:lang w:val="en-GB"/>
      </w:rPr>
    </w:pPr>
    <w:r w:rsidRPr="00995C95">
      <w:rPr>
        <w:lang w:val="en-GB"/>
      </w:rPr>
      <w:t>The Czech Economy Development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7" w14:textId="475889E2" w:rsidR="004C456F" w:rsidRPr="00995C95" w:rsidRDefault="005A327C" w:rsidP="00937AE2">
    <w:pPr>
      <w:pStyle w:val="Zhlav"/>
      <w:rPr>
        <w:lang w:val="en-GB"/>
      </w:rPr>
    </w:pPr>
    <w:r w:rsidRPr="00995C95">
      <w:rPr>
        <w:lang w:val="en-GB"/>
      </w:rPr>
      <w:t>The Czech Economy Development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143297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C5946"/>
    <w:multiLevelType w:val="hybridMultilevel"/>
    <w:tmpl w:val="4C1C2D78"/>
    <w:lvl w:ilvl="0" w:tplc="B01A56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95764B"/>
    <w:multiLevelType w:val="hybridMultilevel"/>
    <w:tmpl w:val="84788BC8"/>
    <w:lvl w:ilvl="0" w:tplc="1B96A2C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9D55121"/>
    <w:multiLevelType w:val="hybridMultilevel"/>
    <w:tmpl w:val="338E27C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0D361065"/>
    <w:multiLevelType w:val="hybridMultilevel"/>
    <w:tmpl w:val="991072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0E145AAD"/>
    <w:multiLevelType w:val="hybridMultilevel"/>
    <w:tmpl w:val="963044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8B35353"/>
    <w:multiLevelType w:val="multilevel"/>
    <w:tmpl w:val="1C0E9EAE"/>
    <w:name w:val="Analyza"/>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pStyle w:val="Nadpis5"/>
      <w:suff w:val="space"/>
      <w:lvlText w:val="%1.%2.%3.%4.%5"/>
      <w:lvlJc w:val="left"/>
      <w:pPr>
        <w:ind w:left="1008" w:hanging="1008"/>
      </w:pPr>
      <w:rPr>
        <w:rFonts w:hint="default"/>
      </w:rPr>
    </w:lvl>
    <w:lvl w:ilvl="5">
      <w:start w:val="1"/>
      <w:numFmt w:val="decimal"/>
      <w:pStyle w:val="Nadpis6"/>
      <w:suff w:val="space"/>
      <w:lvlText w:val="%1.%2.%3.%4.%5.%6"/>
      <w:lvlJc w:val="left"/>
      <w:pPr>
        <w:ind w:left="1152" w:hanging="1152"/>
      </w:pPr>
      <w:rPr>
        <w:rFonts w:hint="default"/>
      </w:rPr>
    </w:lvl>
    <w:lvl w:ilvl="6">
      <w:start w:val="1"/>
      <w:numFmt w:val="decimal"/>
      <w:pStyle w:val="Nadpis7"/>
      <w:suff w:val="space"/>
      <w:lvlText w:val="%1.%2.%3.%4.%5.%6.%7"/>
      <w:lvlJc w:val="left"/>
      <w:pPr>
        <w:ind w:left="1296" w:hanging="1296"/>
      </w:pPr>
      <w:rPr>
        <w:rFonts w:hint="default"/>
      </w:rPr>
    </w:lvl>
    <w:lvl w:ilvl="7">
      <w:start w:val="1"/>
      <w:numFmt w:val="decimal"/>
      <w:pStyle w:val="Nadpis8"/>
      <w:suff w:val="space"/>
      <w:lvlText w:val="%1.%2.%3.%4.%5.%6.%7.%8"/>
      <w:lvlJc w:val="left"/>
      <w:pPr>
        <w:ind w:left="1440" w:hanging="1440"/>
      </w:pPr>
      <w:rPr>
        <w:rFonts w:hint="default"/>
      </w:rPr>
    </w:lvl>
    <w:lvl w:ilvl="8">
      <w:start w:val="1"/>
      <w:numFmt w:val="decimal"/>
      <w:pStyle w:val="Nadpis9"/>
      <w:suff w:val="space"/>
      <w:lvlText w:val="%1.%2.%3.%4.%5.%6.%7.%8.%9"/>
      <w:lvlJc w:val="left"/>
      <w:pPr>
        <w:ind w:left="1584" w:hanging="1584"/>
      </w:pPr>
      <w:rPr>
        <w:rFonts w:hint="default"/>
      </w:rPr>
    </w:lvl>
  </w:abstractNum>
  <w:abstractNum w:abstractNumId="16" w15:restartNumberingAfterBreak="0">
    <w:nsid w:val="1E462C8E"/>
    <w:multiLevelType w:val="hybridMultilevel"/>
    <w:tmpl w:val="84B464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2C64F20"/>
    <w:multiLevelType w:val="hybridMultilevel"/>
    <w:tmpl w:val="ADE25A6C"/>
    <w:lvl w:ilvl="0" w:tplc="04050001">
      <w:start w:val="1"/>
      <w:numFmt w:val="bullet"/>
      <w:lvlText w:val=""/>
      <w:lvlJc w:val="left"/>
      <w:pPr>
        <w:ind w:left="363"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8352333"/>
    <w:multiLevelType w:val="multilevel"/>
    <w:tmpl w:val="D0ACFA4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28DA62F8"/>
    <w:multiLevelType w:val="hybridMultilevel"/>
    <w:tmpl w:val="419C87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A5A7A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C2420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D106EA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11355C0"/>
    <w:multiLevelType w:val="multilevel"/>
    <w:tmpl w:val="697E8BE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39914012"/>
    <w:multiLevelType w:val="multilevel"/>
    <w:tmpl w:val="F380F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C7C1667"/>
    <w:multiLevelType w:val="hybridMultilevel"/>
    <w:tmpl w:val="735E7570"/>
    <w:lvl w:ilvl="0" w:tplc="5588AF8E">
      <w:start w:val="1"/>
      <w:numFmt w:val="decimal"/>
      <w:lvlText w:val="%1."/>
      <w:lvlJc w:val="left"/>
      <w:pPr>
        <w:ind w:left="4800" w:hanging="360"/>
      </w:pPr>
      <w:rPr>
        <w:rFonts w:hint="default"/>
      </w:rPr>
    </w:lvl>
    <w:lvl w:ilvl="1" w:tplc="04050019" w:tentative="1">
      <w:start w:val="1"/>
      <w:numFmt w:val="lowerLetter"/>
      <w:lvlText w:val="%2."/>
      <w:lvlJc w:val="left"/>
      <w:pPr>
        <w:ind w:left="5520" w:hanging="360"/>
      </w:pPr>
    </w:lvl>
    <w:lvl w:ilvl="2" w:tplc="0405001B" w:tentative="1">
      <w:start w:val="1"/>
      <w:numFmt w:val="lowerRoman"/>
      <w:lvlText w:val="%3."/>
      <w:lvlJc w:val="right"/>
      <w:pPr>
        <w:ind w:left="6240" w:hanging="180"/>
      </w:pPr>
    </w:lvl>
    <w:lvl w:ilvl="3" w:tplc="0405000F" w:tentative="1">
      <w:start w:val="1"/>
      <w:numFmt w:val="decimal"/>
      <w:lvlText w:val="%4."/>
      <w:lvlJc w:val="left"/>
      <w:pPr>
        <w:ind w:left="6960" w:hanging="360"/>
      </w:pPr>
    </w:lvl>
    <w:lvl w:ilvl="4" w:tplc="04050019" w:tentative="1">
      <w:start w:val="1"/>
      <w:numFmt w:val="lowerLetter"/>
      <w:lvlText w:val="%5."/>
      <w:lvlJc w:val="left"/>
      <w:pPr>
        <w:ind w:left="7680" w:hanging="360"/>
      </w:pPr>
    </w:lvl>
    <w:lvl w:ilvl="5" w:tplc="0405001B" w:tentative="1">
      <w:start w:val="1"/>
      <w:numFmt w:val="lowerRoman"/>
      <w:lvlText w:val="%6."/>
      <w:lvlJc w:val="right"/>
      <w:pPr>
        <w:ind w:left="8400" w:hanging="180"/>
      </w:pPr>
    </w:lvl>
    <w:lvl w:ilvl="6" w:tplc="0405000F" w:tentative="1">
      <w:start w:val="1"/>
      <w:numFmt w:val="decimal"/>
      <w:lvlText w:val="%7."/>
      <w:lvlJc w:val="left"/>
      <w:pPr>
        <w:ind w:left="9120" w:hanging="360"/>
      </w:pPr>
    </w:lvl>
    <w:lvl w:ilvl="7" w:tplc="04050019" w:tentative="1">
      <w:start w:val="1"/>
      <w:numFmt w:val="lowerLetter"/>
      <w:lvlText w:val="%8."/>
      <w:lvlJc w:val="left"/>
      <w:pPr>
        <w:ind w:left="9840" w:hanging="360"/>
      </w:pPr>
    </w:lvl>
    <w:lvl w:ilvl="8" w:tplc="0405001B" w:tentative="1">
      <w:start w:val="1"/>
      <w:numFmt w:val="lowerRoman"/>
      <w:lvlText w:val="%9."/>
      <w:lvlJc w:val="right"/>
      <w:pPr>
        <w:ind w:left="10560" w:hanging="180"/>
      </w:pPr>
    </w:lvl>
  </w:abstractNum>
  <w:abstractNum w:abstractNumId="27" w15:restartNumberingAfterBreak="0">
    <w:nsid w:val="3D4D0562"/>
    <w:multiLevelType w:val="hybridMultilevel"/>
    <w:tmpl w:val="E8A8F2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3BB1D16"/>
    <w:multiLevelType w:val="hybridMultilevel"/>
    <w:tmpl w:val="CA4409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44558D6"/>
    <w:multiLevelType w:val="hybridMultilevel"/>
    <w:tmpl w:val="1B90B8E0"/>
    <w:lvl w:ilvl="0" w:tplc="4B66ED1E">
      <w:start w:val="1"/>
      <w:numFmt w:val="decimal"/>
      <w:lvlText w:val="%1."/>
      <w:lvlJc w:val="left"/>
      <w:pPr>
        <w:ind w:left="4905" w:hanging="360"/>
      </w:pPr>
      <w:rPr>
        <w:rFonts w:hint="default"/>
      </w:rPr>
    </w:lvl>
    <w:lvl w:ilvl="1" w:tplc="04050019" w:tentative="1">
      <w:start w:val="1"/>
      <w:numFmt w:val="lowerLetter"/>
      <w:lvlText w:val="%2."/>
      <w:lvlJc w:val="left"/>
      <w:pPr>
        <w:ind w:left="5625" w:hanging="360"/>
      </w:pPr>
    </w:lvl>
    <w:lvl w:ilvl="2" w:tplc="0405001B" w:tentative="1">
      <w:start w:val="1"/>
      <w:numFmt w:val="lowerRoman"/>
      <w:lvlText w:val="%3."/>
      <w:lvlJc w:val="right"/>
      <w:pPr>
        <w:ind w:left="6345" w:hanging="180"/>
      </w:pPr>
    </w:lvl>
    <w:lvl w:ilvl="3" w:tplc="0405000F" w:tentative="1">
      <w:start w:val="1"/>
      <w:numFmt w:val="decimal"/>
      <w:lvlText w:val="%4."/>
      <w:lvlJc w:val="left"/>
      <w:pPr>
        <w:ind w:left="7065" w:hanging="360"/>
      </w:pPr>
    </w:lvl>
    <w:lvl w:ilvl="4" w:tplc="04050019" w:tentative="1">
      <w:start w:val="1"/>
      <w:numFmt w:val="lowerLetter"/>
      <w:lvlText w:val="%5."/>
      <w:lvlJc w:val="left"/>
      <w:pPr>
        <w:ind w:left="7785" w:hanging="360"/>
      </w:pPr>
    </w:lvl>
    <w:lvl w:ilvl="5" w:tplc="0405001B" w:tentative="1">
      <w:start w:val="1"/>
      <w:numFmt w:val="lowerRoman"/>
      <w:lvlText w:val="%6."/>
      <w:lvlJc w:val="right"/>
      <w:pPr>
        <w:ind w:left="8505" w:hanging="180"/>
      </w:pPr>
    </w:lvl>
    <w:lvl w:ilvl="6" w:tplc="0405000F" w:tentative="1">
      <w:start w:val="1"/>
      <w:numFmt w:val="decimal"/>
      <w:lvlText w:val="%7."/>
      <w:lvlJc w:val="left"/>
      <w:pPr>
        <w:ind w:left="9225" w:hanging="360"/>
      </w:pPr>
    </w:lvl>
    <w:lvl w:ilvl="7" w:tplc="04050019" w:tentative="1">
      <w:start w:val="1"/>
      <w:numFmt w:val="lowerLetter"/>
      <w:lvlText w:val="%8."/>
      <w:lvlJc w:val="left"/>
      <w:pPr>
        <w:ind w:left="9945" w:hanging="360"/>
      </w:pPr>
    </w:lvl>
    <w:lvl w:ilvl="8" w:tplc="0405001B" w:tentative="1">
      <w:start w:val="1"/>
      <w:numFmt w:val="lowerRoman"/>
      <w:lvlText w:val="%9."/>
      <w:lvlJc w:val="right"/>
      <w:pPr>
        <w:ind w:left="10665" w:hanging="180"/>
      </w:pPr>
    </w:lvl>
  </w:abstractNum>
  <w:abstractNum w:abstractNumId="30" w15:restartNumberingAfterBreak="0">
    <w:nsid w:val="479678F7"/>
    <w:multiLevelType w:val="hybridMultilevel"/>
    <w:tmpl w:val="A4DE7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95051A8"/>
    <w:multiLevelType w:val="hybridMultilevel"/>
    <w:tmpl w:val="DEACEA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ADA4287"/>
    <w:multiLevelType w:val="multilevel"/>
    <w:tmpl w:val="1C0E9EAE"/>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4"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E490F3B"/>
    <w:multiLevelType w:val="hybridMultilevel"/>
    <w:tmpl w:val="D64CB604"/>
    <w:lvl w:ilvl="0" w:tplc="67AC8A1C">
      <w:start w:val="1"/>
      <w:numFmt w:val="bullet"/>
      <w:lvlText w:val=""/>
      <w:lvlJc w:val="left"/>
      <w:pPr>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655F88"/>
    <w:multiLevelType w:val="hybridMultilevel"/>
    <w:tmpl w:val="70283F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38567A6"/>
    <w:multiLevelType w:val="hybridMultilevel"/>
    <w:tmpl w:val="50E0FC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8CB210F"/>
    <w:multiLevelType w:val="multilevel"/>
    <w:tmpl w:val="D64CB604"/>
    <w:lvl w:ilvl="0">
      <w:start w:val="1"/>
      <w:numFmt w:val="bullet"/>
      <w:lvlText w:val=""/>
      <w:lvlJc w:val="left"/>
      <w:pPr>
        <w:ind w:left="357"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CD405E1"/>
    <w:multiLevelType w:val="multilevel"/>
    <w:tmpl w:val="5FCA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EF3AA7"/>
    <w:multiLevelType w:val="multilevel"/>
    <w:tmpl w:val="9092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B048D2"/>
    <w:multiLevelType w:val="hybridMultilevel"/>
    <w:tmpl w:val="D2A0FC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87747AF"/>
    <w:multiLevelType w:val="hybridMultilevel"/>
    <w:tmpl w:val="76204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651B2D"/>
    <w:multiLevelType w:val="hybridMultilevel"/>
    <w:tmpl w:val="858498FC"/>
    <w:lvl w:ilvl="0" w:tplc="B4A838D0">
      <w:start w:val="1"/>
      <w:numFmt w:val="bullet"/>
      <w:pStyle w:val="Normalodrka"/>
      <w:lvlText w:val=""/>
      <w:lvlJc w:val="left"/>
      <w:pPr>
        <w:ind w:left="363"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DA7946"/>
    <w:multiLevelType w:val="multilevel"/>
    <w:tmpl w:val="6F3E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8E301A"/>
    <w:multiLevelType w:val="hybridMultilevel"/>
    <w:tmpl w:val="1A92D7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694960533">
    <w:abstractNumId w:val="31"/>
  </w:num>
  <w:num w:numId="2" w16cid:durableId="997685702">
    <w:abstractNumId w:val="8"/>
  </w:num>
  <w:num w:numId="3" w16cid:durableId="2038313518">
    <w:abstractNumId w:val="3"/>
  </w:num>
  <w:num w:numId="4" w16cid:durableId="331031531">
    <w:abstractNumId w:val="2"/>
  </w:num>
  <w:num w:numId="5" w16cid:durableId="1757743337">
    <w:abstractNumId w:val="1"/>
  </w:num>
  <w:num w:numId="6" w16cid:durableId="409816451">
    <w:abstractNumId w:val="0"/>
  </w:num>
  <w:num w:numId="7" w16cid:durableId="1318534121">
    <w:abstractNumId w:val="9"/>
  </w:num>
  <w:num w:numId="8" w16cid:durableId="262305282">
    <w:abstractNumId w:val="7"/>
  </w:num>
  <w:num w:numId="9" w16cid:durableId="136917715">
    <w:abstractNumId w:val="6"/>
  </w:num>
  <w:num w:numId="10" w16cid:durableId="2045862263">
    <w:abstractNumId w:val="5"/>
  </w:num>
  <w:num w:numId="11" w16cid:durableId="191305307">
    <w:abstractNumId w:val="4"/>
  </w:num>
  <w:num w:numId="12" w16cid:durableId="333654438">
    <w:abstractNumId w:val="18"/>
  </w:num>
  <w:num w:numId="13" w16cid:durableId="969557016">
    <w:abstractNumId w:val="34"/>
  </w:num>
  <w:num w:numId="14" w16cid:durableId="607392429">
    <w:abstractNumId w:val="15"/>
  </w:num>
  <w:num w:numId="15" w16cid:durableId="1953782534">
    <w:abstractNumId w:val="24"/>
  </w:num>
  <w:num w:numId="16" w16cid:durableId="2048219208">
    <w:abstractNumId w:val="19"/>
  </w:num>
  <w:num w:numId="17" w16cid:durableId="684745295">
    <w:abstractNumId w:val="35"/>
  </w:num>
  <w:num w:numId="18" w16cid:durableId="1764376373">
    <w:abstractNumId w:val="25"/>
  </w:num>
  <w:num w:numId="19" w16cid:durableId="807280038">
    <w:abstractNumId w:val="38"/>
  </w:num>
  <w:num w:numId="20" w16cid:durableId="1692685976">
    <w:abstractNumId w:val="43"/>
  </w:num>
  <w:num w:numId="21" w16cid:durableId="1978029892">
    <w:abstractNumId w:val="33"/>
  </w:num>
  <w:num w:numId="22" w16cid:durableId="718896653">
    <w:abstractNumId w:val="23"/>
  </w:num>
  <w:num w:numId="23" w16cid:durableId="159078720">
    <w:abstractNumId w:val="21"/>
  </w:num>
  <w:num w:numId="24" w16cid:durableId="1135441192">
    <w:abstractNumId w:val="22"/>
  </w:num>
  <w:num w:numId="25" w16cid:durableId="1815366340">
    <w:abstractNumId w:val="41"/>
  </w:num>
  <w:num w:numId="26" w16cid:durableId="1577863405">
    <w:abstractNumId w:val="42"/>
  </w:num>
  <w:num w:numId="27" w16cid:durableId="223610688">
    <w:abstractNumId w:val="43"/>
  </w:num>
  <w:num w:numId="28" w16cid:durableId="1207061094">
    <w:abstractNumId w:val="13"/>
  </w:num>
  <w:num w:numId="29" w16cid:durableId="1693920833">
    <w:abstractNumId w:val="27"/>
  </w:num>
  <w:num w:numId="30" w16cid:durableId="1876775477">
    <w:abstractNumId w:val="26"/>
  </w:num>
  <w:num w:numId="31" w16cid:durableId="179972127">
    <w:abstractNumId w:val="10"/>
  </w:num>
  <w:num w:numId="32" w16cid:durableId="970136012">
    <w:abstractNumId w:val="28"/>
  </w:num>
  <w:num w:numId="33" w16cid:durableId="1617836376">
    <w:abstractNumId w:val="12"/>
  </w:num>
  <w:num w:numId="34" w16cid:durableId="357007340">
    <w:abstractNumId w:val="45"/>
  </w:num>
  <w:num w:numId="35" w16cid:durableId="2131776467">
    <w:abstractNumId w:val="11"/>
  </w:num>
  <w:num w:numId="36" w16cid:durableId="1776095800">
    <w:abstractNumId w:val="37"/>
  </w:num>
  <w:num w:numId="37" w16cid:durableId="862209000">
    <w:abstractNumId w:val="30"/>
  </w:num>
  <w:num w:numId="38" w16cid:durableId="322010878">
    <w:abstractNumId w:val="29"/>
  </w:num>
  <w:num w:numId="39" w16cid:durableId="1458373311">
    <w:abstractNumId w:val="39"/>
  </w:num>
  <w:num w:numId="40" w16cid:durableId="288441997">
    <w:abstractNumId w:val="44"/>
  </w:num>
  <w:num w:numId="41" w16cid:durableId="952595072">
    <w:abstractNumId w:val="40"/>
  </w:num>
  <w:num w:numId="42" w16cid:durableId="1427652868">
    <w:abstractNumId w:val="32"/>
  </w:num>
  <w:num w:numId="43" w16cid:durableId="1024401835">
    <w:abstractNumId w:val="20"/>
  </w:num>
  <w:num w:numId="44" w16cid:durableId="428089243">
    <w:abstractNumId w:val="14"/>
  </w:num>
  <w:num w:numId="45" w16cid:durableId="82647767">
    <w:abstractNumId w:val="36"/>
  </w:num>
  <w:num w:numId="46" w16cid:durableId="215163427">
    <w:abstractNumId w:val="16"/>
  </w:num>
  <w:num w:numId="47" w16cid:durableId="222064403">
    <w:abstractNumId w:val="43"/>
  </w:num>
  <w:num w:numId="48" w16cid:durableId="1639922006">
    <w:abstractNumId w:val="43"/>
    <w:lvlOverride w:ilvl="0">
      <w:startOverride w:val="1"/>
    </w:lvlOverride>
  </w:num>
  <w:num w:numId="49" w16cid:durableId="15091015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50">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062"/>
    <w:rsid w:val="00000EDA"/>
    <w:rsid w:val="00001697"/>
    <w:rsid w:val="0000209D"/>
    <w:rsid w:val="0000213A"/>
    <w:rsid w:val="00003077"/>
    <w:rsid w:val="00003202"/>
    <w:rsid w:val="00003C75"/>
    <w:rsid w:val="00004D5A"/>
    <w:rsid w:val="00004FCC"/>
    <w:rsid w:val="000056D5"/>
    <w:rsid w:val="00006ABD"/>
    <w:rsid w:val="00006D53"/>
    <w:rsid w:val="00006E79"/>
    <w:rsid w:val="0000767A"/>
    <w:rsid w:val="00007880"/>
    <w:rsid w:val="000078DF"/>
    <w:rsid w:val="00007F73"/>
    <w:rsid w:val="00010256"/>
    <w:rsid w:val="000103D1"/>
    <w:rsid w:val="00010702"/>
    <w:rsid w:val="00011031"/>
    <w:rsid w:val="00011912"/>
    <w:rsid w:val="00011959"/>
    <w:rsid w:val="00011B41"/>
    <w:rsid w:val="00011F39"/>
    <w:rsid w:val="00012FA5"/>
    <w:rsid w:val="00014E03"/>
    <w:rsid w:val="00015B3B"/>
    <w:rsid w:val="00015B45"/>
    <w:rsid w:val="000169A6"/>
    <w:rsid w:val="00017058"/>
    <w:rsid w:val="00017134"/>
    <w:rsid w:val="0001750B"/>
    <w:rsid w:val="00020C46"/>
    <w:rsid w:val="0002195D"/>
    <w:rsid w:val="00022C67"/>
    <w:rsid w:val="000234D6"/>
    <w:rsid w:val="00023D29"/>
    <w:rsid w:val="00026006"/>
    <w:rsid w:val="00026389"/>
    <w:rsid w:val="00027613"/>
    <w:rsid w:val="0003024B"/>
    <w:rsid w:val="00031A7B"/>
    <w:rsid w:val="00031AE0"/>
    <w:rsid w:val="00031BBA"/>
    <w:rsid w:val="00031DF3"/>
    <w:rsid w:val="000322EF"/>
    <w:rsid w:val="0003364D"/>
    <w:rsid w:val="00033FCD"/>
    <w:rsid w:val="000347D3"/>
    <w:rsid w:val="00034ACC"/>
    <w:rsid w:val="00034B0E"/>
    <w:rsid w:val="00034EA1"/>
    <w:rsid w:val="000352CE"/>
    <w:rsid w:val="000354CD"/>
    <w:rsid w:val="00035561"/>
    <w:rsid w:val="000358AF"/>
    <w:rsid w:val="000359B2"/>
    <w:rsid w:val="00036A9B"/>
    <w:rsid w:val="00040211"/>
    <w:rsid w:val="0004072B"/>
    <w:rsid w:val="00040D10"/>
    <w:rsid w:val="00041AA3"/>
    <w:rsid w:val="00041CEC"/>
    <w:rsid w:val="00042534"/>
    <w:rsid w:val="000436F5"/>
    <w:rsid w:val="0004427A"/>
    <w:rsid w:val="0004694F"/>
    <w:rsid w:val="00046C77"/>
    <w:rsid w:val="00047175"/>
    <w:rsid w:val="00047A93"/>
    <w:rsid w:val="00050173"/>
    <w:rsid w:val="000501B2"/>
    <w:rsid w:val="0005137A"/>
    <w:rsid w:val="0005142D"/>
    <w:rsid w:val="000522E4"/>
    <w:rsid w:val="0005235B"/>
    <w:rsid w:val="0005414D"/>
    <w:rsid w:val="00054EA4"/>
    <w:rsid w:val="000554BE"/>
    <w:rsid w:val="00055507"/>
    <w:rsid w:val="000572CC"/>
    <w:rsid w:val="000573B7"/>
    <w:rsid w:val="000578C1"/>
    <w:rsid w:val="00057D7B"/>
    <w:rsid w:val="00060AD9"/>
    <w:rsid w:val="00060D9D"/>
    <w:rsid w:val="000610D5"/>
    <w:rsid w:val="000610E1"/>
    <w:rsid w:val="00061107"/>
    <w:rsid w:val="0006166D"/>
    <w:rsid w:val="00062177"/>
    <w:rsid w:val="000626A9"/>
    <w:rsid w:val="00062EC5"/>
    <w:rsid w:val="00062F22"/>
    <w:rsid w:val="00064C17"/>
    <w:rsid w:val="00064C43"/>
    <w:rsid w:val="000673C2"/>
    <w:rsid w:val="000675C7"/>
    <w:rsid w:val="00071146"/>
    <w:rsid w:val="000712B3"/>
    <w:rsid w:val="00071381"/>
    <w:rsid w:val="00072597"/>
    <w:rsid w:val="00072C02"/>
    <w:rsid w:val="00072E8F"/>
    <w:rsid w:val="0007329F"/>
    <w:rsid w:val="00073A4E"/>
    <w:rsid w:val="00073FF8"/>
    <w:rsid w:val="0007457A"/>
    <w:rsid w:val="00074635"/>
    <w:rsid w:val="00074AC2"/>
    <w:rsid w:val="000752CE"/>
    <w:rsid w:val="000816AF"/>
    <w:rsid w:val="0008263E"/>
    <w:rsid w:val="000829B1"/>
    <w:rsid w:val="00082C19"/>
    <w:rsid w:val="00083CB1"/>
    <w:rsid w:val="0008426E"/>
    <w:rsid w:val="00084944"/>
    <w:rsid w:val="00085365"/>
    <w:rsid w:val="00085395"/>
    <w:rsid w:val="00085440"/>
    <w:rsid w:val="000864D8"/>
    <w:rsid w:val="00086848"/>
    <w:rsid w:val="00086C49"/>
    <w:rsid w:val="00087634"/>
    <w:rsid w:val="00087F2B"/>
    <w:rsid w:val="0009044A"/>
    <w:rsid w:val="00090C90"/>
    <w:rsid w:val="000912CC"/>
    <w:rsid w:val="000913C1"/>
    <w:rsid w:val="00092201"/>
    <w:rsid w:val="0009317A"/>
    <w:rsid w:val="0009372A"/>
    <w:rsid w:val="00094112"/>
    <w:rsid w:val="00095135"/>
    <w:rsid w:val="00095C4D"/>
    <w:rsid w:val="000968F4"/>
    <w:rsid w:val="000974D1"/>
    <w:rsid w:val="00097972"/>
    <w:rsid w:val="0009799E"/>
    <w:rsid w:val="000A01AA"/>
    <w:rsid w:val="000A0D06"/>
    <w:rsid w:val="000A1183"/>
    <w:rsid w:val="000A17AA"/>
    <w:rsid w:val="000A1AC6"/>
    <w:rsid w:val="000A256D"/>
    <w:rsid w:val="000A25B3"/>
    <w:rsid w:val="000A25BD"/>
    <w:rsid w:val="000A395A"/>
    <w:rsid w:val="000A3A2C"/>
    <w:rsid w:val="000A3BA8"/>
    <w:rsid w:val="000A3F17"/>
    <w:rsid w:val="000A48F6"/>
    <w:rsid w:val="000A4AFE"/>
    <w:rsid w:val="000A4C10"/>
    <w:rsid w:val="000A5017"/>
    <w:rsid w:val="000A5265"/>
    <w:rsid w:val="000A57D4"/>
    <w:rsid w:val="000A66B9"/>
    <w:rsid w:val="000A7275"/>
    <w:rsid w:val="000A7D27"/>
    <w:rsid w:val="000B1F8C"/>
    <w:rsid w:val="000B2870"/>
    <w:rsid w:val="000B2CB2"/>
    <w:rsid w:val="000B3563"/>
    <w:rsid w:val="000B3CE2"/>
    <w:rsid w:val="000B44D1"/>
    <w:rsid w:val="000B48DB"/>
    <w:rsid w:val="000B772A"/>
    <w:rsid w:val="000B7C8D"/>
    <w:rsid w:val="000C004E"/>
    <w:rsid w:val="000C28DE"/>
    <w:rsid w:val="000C2CF1"/>
    <w:rsid w:val="000C3408"/>
    <w:rsid w:val="000C5923"/>
    <w:rsid w:val="000C6AFD"/>
    <w:rsid w:val="000C7C6F"/>
    <w:rsid w:val="000D0B52"/>
    <w:rsid w:val="000D1B52"/>
    <w:rsid w:val="000D21E0"/>
    <w:rsid w:val="000D248B"/>
    <w:rsid w:val="000D3CE8"/>
    <w:rsid w:val="000D3DFB"/>
    <w:rsid w:val="000D3FEF"/>
    <w:rsid w:val="000D4139"/>
    <w:rsid w:val="000D49C6"/>
    <w:rsid w:val="000D50C8"/>
    <w:rsid w:val="000D5637"/>
    <w:rsid w:val="000E0655"/>
    <w:rsid w:val="000E0B09"/>
    <w:rsid w:val="000E15EA"/>
    <w:rsid w:val="000E1BD5"/>
    <w:rsid w:val="000E22F0"/>
    <w:rsid w:val="000E4A05"/>
    <w:rsid w:val="000E4DFB"/>
    <w:rsid w:val="000E5ADB"/>
    <w:rsid w:val="000E5E94"/>
    <w:rsid w:val="000E6FBD"/>
    <w:rsid w:val="000E722B"/>
    <w:rsid w:val="000F0563"/>
    <w:rsid w:val="000F072B"/>
    <w:rsid w:val="000F17BE"/>
    <w:rsid w:val="000F2DBC"/>
    <w:rsid w:val="000F49A9"/>
    <w:rsid w:val="000F5540"/>
    <w:rsid w:val="000F563A"/>
    <w:rsid w:val="000F63BA"/>
    <w:rsid w:val="000F7A6C"/>
    <w:rsid w:val="00100F5C"/>
    <w:rsid w:val="0010109F"/>
    <w:rsid w:val="001015F8"/>
    <w:rsid w:val="0010181E"/>
    <w:rsid w:val="00101CDA"/>
    <w:rsid w:val="00101E8C"/>
    <w:rsid w:val="00102C41"/>
    <w:rsid w:val="00102C8C"/>
    <w:rsid w:val="00104C4C"/>
    <w:rsid w:val="00105BEE"/>
    <w:rsid w:val="0010768F"/>
    <w:rsid w:val="00107F50"/>
    <w:rsid w:val="00110148"/>
    <w:rsid w:val="001102E1"/>
    <w:rsid w:val="00110840"/>
    <w:rsid w:val="00111F6C"/>
    <w:rsid w:val="00112002"/>
    <w:rsid w:val="0011216E"/>
    <w:rsid w:val="00113333"/>
    <w:rsid w:val="00113951"/>
    <w:rsid w:val="00114E34"/>
    <w:rsid w:val="00115BC3"/>
    <w:rsid w:val="00115FDB"/>
    <w:rsid w:val="001162C6"/>
    <w:rsid w:val="001172EE"/>
    <w:rsid w:val="00117365"/>
    <w:rsid w:val="00117623"/>
    <w:rsid w:val="00117774"/>
    <w:rsid w:val="00117E12"/>
    <w:rsid w:val="0012096D"/>
    <w:rsid w:val="0012192F"/>
    <w:rsid w:val="00122351"/>
    <w:rsid w:val="0012244B"/>
    <w:rsid w:val="001224E5"/>
    <w:rsid w:val="001226D4"/>
    <w:rsid w:val="0012354A"/>
    <w:rsid w:val="00124940"/>
    <w:rsid w:val="0012541F"/>
    <w:rsid w:val="001257AD"/>
    <w:rsid w:val="00125D69"/>
    <w:rsid w:val="00125DCF"/>
    <w:rsid w:val="00125E96"/>
    <w:rsid w:val="0012727F"/>
    <w:rsid w:val="00127CCE"/>
    <w:rsid w:val="00131BA6"/>
    <w:rsid w:val="00132022"/>
    <w:rsid w:val="001321B1"/>
    <w:rsid w:val="00133D19"/>
    <w:rsid w:val="00134AC4"/>
    <w:rsid w:val="001352AD"/>
    <w:rsid w:val="00136221"/>
    <w:rsid w:val="00137BBA"/>
    <w:rsid w:val="001400C5"/>
    <w:rsid w:val="001405FA"/>
    <w:rsid w:val="00141374"/>
    <w:rsid w:val="00142254"/>
    <w:rsid w:val="001425AB"/>
    <w:rsid w:val="001425C3"/>
    <w:rsid w:val="00142940"/>
    <w:rsid w:val="00143E21"/>
    <w:rsid w:val="001448C5"/>
    <w:rsid w:val="0014513A"/>
    <w:rsid w:val="00145BAE"/>
    <w:rsid w:val="001476BD"/>
    <w:rsid w:val="0014793D"/>
    <w:rsid w:val="001501ED"/>
    <w:rsid w:val="00150C2C"/>
    <w:rsid w:val="00151145"/>
    <w:rsid w:val="00151983"/>
    <w:rsid w:val="00151BE2"/>
    <w:rsid w:val="00153A07"/>
    <w:rsid w:val="00153D91"/>
    <w:rsid w:val="00153F2C"/>
    <w:rsid w:val="001543B3"/>
    <w:rsid w:val="00154F9D"/>
    <w:rsid w:val="00156585"/>
    <w:rsid w:val="00161101"/>
    <w:rsid w:val="001612F4"/>
    <w:rsid w:val="00161AB8"/>
    <w:rsid w:val="0016256B"/>
    <w:rsid w:val="001625B5"/>
    <w:rsid w:val="00163793"/>
    <w:rsid w:val="001655A3"/>
    <w:rsid w:val="00165ED3"/>
    <w:rsid w:val="0016649F"/>
    <w:rsid w:val="00170621"/>
    <w:rsid w:val="001706D6"/>
    <w:rsid w:val="001709D9"/>
    <w:rsid w:val="001714F2"/>
    <w:rsid w:val="00172E03"/>
    <w:rsid w:val="00173DC2"/>
    <w:rsid w:val="00174B88"/>
    <w:rsid w:val="00175B9F"/>
    <w:rsid w:val="00175C9E"/>
    <w:rsid w:val="001777BA"/>
    <w:rsid w:val="00180341"/>
    <w:rsid w:val="00180CF9"/>
    <w:rsid w:val="00181BBC"/>
    <w:rsid w:val="00181C33"/>
    <w:rsid w:val="00182925"/>
    <w:rsid w:val="00182C10"/>
    <w:rsid w:val="001837AD"/>
    <w:rsid w:val="0018462C"/>
    <w:rsid w:val="001846F9"/>
    <w:rsid w:val="00184B08"/>
    <w:rsid w:val="00185010"/>
    <w:rsid w:val="001858D3"/>
    <w:rsid w:val="001866B1"/>
    <w:rsid w:val="00187611"/>
    <w:rsid w:val="0019075C"/>
    <w:rsid w:val="00190A93"/>
    <w:rsid w:val="00190F19"/>
    <w:rsid w:val="0019143B"/>
    <w:rsid w:val="00192144"/>
    <w:rsid w:val="00192938"/>
    <w:rsid w:val="0019310E"/>
    <w:rsid w:val="001936A2"/>
    <w:rsid w:val="00193925"/>
    <w:rsid w:val="00193D2D"/>
    <w:rsid w:val="00193E13"/>
    <w:rsid w:val="00195AF7"/>
    <w:rsid w:val="0019688F"/>
    <w:rsid w:val="0019702D"/>
    <w:rsid w:val="001A0044"/>
    <w:rsid w:val="001A0487"/>
    <w:rsid w:val="001A108E"/>
    <w:rsid w:val="001A14D3"/>
    <w:rsid w:val="001A1C28"/>
    <w:rsid w:val="001A2B9D"/>
    <w:rsid w:val="001A2EA4"/>
    <w:rsid w:val="001A451A"/>
    <w:rsid w:val="001A4CA3"/>
    <w:rsid w:val="001A4D40"/>
    <w:rsid w:val="001A4F13"/>
    <w:rsid w:val="001A50CE"/>
    <w:rsid w:val="001A552F"/>
    <w:rsid w:val="001A5661"/>
    <w:rsid w:val="001A5B6F"/>
    <w:rsid w:val="001A6170"/>
    <w:rsid w:val="001A7280"/>
    <w:rsid w:val="001B0A39"/>
    <w:rsid w:val="001B1DB9"/>
    <w:rsid w:val="001B2C41"/>
    <w:rsid w:val="001B2CA9"/>
    <w:rsid w:val="001B3110"/>
    <w:rsid w:val="001B4218"/>
    <w:rsid w:val="001B4729"/>
    <w:rsid w:val="001B478D"/>
    <w:rsid w:val="001B4A9B"/>
    <w:rsid w:val="001B4E69"/>
    <w:rsid w:val="001B6310"/>
    <w:rsid w:val="001B66CB"/>
    <w:rsid w:val="001B6C09"/>
    <w:rsid w:val="001B73E6"/>
    <w:rsid w:val="001B7DE2"/>
    <w:rsid w:val="001C05CD"/>
    <w:rsid w:val="001C3924"/>
    <w:rsid w:val="001C598A"/>
    <w:rsid w:val="001C7433"/>
    <w:rsid w:val="001D01AD"/>
    <w:rsid w:val="001D0236"/>
    <w:rsid w:val="001D0F00"/>
    <w:rsid w:val="001D1815"/>
    <w:rsid w:val="001D1940"/>
    <w:rsid w:val="001D2CEA"/>
    <w:rsid w:val="001D2D03"/>
    <w:rsid w:val="001D40D7"/>
    <w:rsid w:val="001D48D4"/>
    <w:rsid w:val="001D4D6E"/>
    <w:rsid w:val="001D5E6D"/>
    <w:rsid w:val="001D5F9D"/>
    <w:rsid w:val="001D6600"/>
    <w:rsid w:val="001D68B2"/>
    <w:rsid w:val="001D68CA"/>
    <w:rsid w:val="001D7AC6"/>
    <w:rsid w:val="001E15C5"/>
    <w:rsid w:val="001E1BCD"/>
    <w:rsid w:val="001E1C2E"/>
    <w:rsid w:val="001E44B5"/>
    <w:rsid w:val="001E504C"/>
    <w:rsid w:val="001E57ED"/>
    <w:rsid w:val="001E5850"/>
    <w:rsid w:val="001E6062"/>
    <w:rsid w:val="001E6753"/>
    <w:rsid w:val="001E6E34"/>
    <w:rsid w:val="001E709A"/>
    <w:rsid w:val="001E7497"/>
    <w:rsid w:val="001E79C3"/>
    <w:rsid w:val="001F024D"/>
    <w:rsid w:val="001F2170"/>
    <w:rsid w:val="001F2CDE"/>
    <w:rsid w:val="001F32ED"/>
    <w:rsid w:val="001F3BFD"/>
    <w:rsid w:val="001F3E67"/>
    <w:rsid w:val="001F4041"/>
    <w:rsid w:val="001F4597"/>
    <w:rsid w:val="001F591A"/>
    <w:rsid w:val="001F5D9A"/>
    <w:rsid w:val="001F775B"/>
    <w:rsid w:val="00202226"/>
    <w:rsid w:val="00203DA4"/>
    <w:rsid w:val="002047E2"/>
    <w:rsid w:val="00205104"/>
    <w:rsid w:val="002067A6"/>
    <w:rsid w:val="0020733A"/>
    <w:rsid w:val="00207871"/>
    <w:rsid w:val="00210502"/>
    <w:rsid w:val="002118B9"/>
    <w:rsid w:val="00213515"/>
    <w:rsid w:val="002137D3"/>
    <w:rsid w:val="00213E46"/>
    <w:rsid w:val="00214ABA"/>
    <w:rsid w:val="00214CF7"/>
    <w:rsid w:val="00214D9F"/>
    <w:rsid w:val="002152E4"/>
    <w:rsid w:val="00215CD1"/>
    <w:rsid w:val="00215DC5"/>
    <w:rsid w:val="00216255"/>
    <w:rsid w:val="00216286"/>
    <w:rsid w:val="00216A01"/>
    <w:rsid w:val="002175EA"/>
    <w:rsid w:val="00217676"/>
    <w:rsid w:val="002178DF"/>
    <w:rsid w:val="00217C5B"/>
    <w:rsid w:val="00217CF4"/>
    <w:rsid w:val="002208ED"/>
    <w:rsid w:val="0022139E"/>
    <w:rsid w:val="00221F4F"/>
    <w:rsid w:val="00222729"/>
    <w:rsid w:val="00222833"/>
    <w:rsid w:val="00222EF2"/>
    <w:rsid w:val="002232AB"/>
    <w:rsid w:val="002238B5"/>
    <w:rsid w:val="00223BF5"/>
    <w:rsid w:val="00225218"/>
    <w:rsid w:val="002252E0"/>
    <w:rsid w:val="002255F6"/>
    <w:rsid w:val="00226A43"/>
    <w:rsid w:val="00227850"/>
    <w:rsid w:val="00227A53"/>
    <w:rsid w:val="00227DA6"/>
    <w:rsid w:val="0023038D"/>
    <w:rsid w:val="00230682"/>
    <w:rsid w:val="00230A96"/>
    <w:rsid w:val="00230C6E"/>
    <w:rsid w:val="00230D06"/>
    <w:rsid w:val="002317B3"/>
    <w:rsid w:val="00233052"/>
    <w:rsid w:val="00233546"/>
    <w:rsid w:val="00233CD7"/>
    <w:rsid w:val="00233D05"/>
    <w:rsid w:val="002341E2"/>
    <w:rsid w:val="00235014"/>
    <w:rsid w:val="00235BFD"/>
    <w:rsid w:val="00235CCD"/>
    <w:rsid w:val="00236443"/>
    <w:rsid w:val="0023665A"/>
    <w:rsid w:val="00237B95"/>
    <w:rsid w:val="002411EA"/>
    <w:rsid w:val="00241328"/>
    <w:rsid w:val="0024148B"/>
    <w:rsid w:val="00241B06"/>
    <w:rsid w:val="00242119"/>
    <w:rsid w:val="002421C4"/>
    <w:rsid w:val="00242C10"/>
    <w:rsid w:val="00242CF0"/>
    <w:rsid w:val="002436BA"/>
    <w:rsid w:val="00244A15"/>
    <w:rsid w:val="00245617"/>
    <w:rsid w:val="0024611B"/>
    <w:rsid w:val="0024661A"/>
    <w:rsid w:val="00247319"/>
    <w:rsid w:val="0024741D"/>
    <w:rsid w:val="0024799E"/>
    <w:rsid w:val="00247EE7"/>
    <w:rsid w:val="00251928"/>
    <w:rsid w:val="00252475"/>
    <w:rsid w:val="0025270B"/>
    <w:rsid w:val="00252D48"/>
    <w:rsid w:val="00253C0F"/>
    <w:rsid w:val="00254181"/>
    <w:rsid w:val="002543D7"/>
    <w:rsid w:val="002551A3"/>
    <w:rsid w:val="002558C1"/>
    <w:rsid w:val="00255985"/>
    <w:rsid w:val="00255B30"/>
    <w:rsid w:val="0025735B"/>
    <w:rsid w:val="00260149"/>
    <w:rsid w:val="00260303"/>
    <w:rsid w:val="0026031E"/>
    <w:rsid w:val="0026033E"/>
    <w:rsid w:val="002610E9"/>
    <w:rsid w:val="00261A17"/>
    <w:rsid w:val="00263FDC"/>
    <w:rsid w:val="00264251"/>
    <w:rsid w:val="00264E5F"/>
    <w:rsid w:val="00264F47"/>
    <w:rsid w:val="002659AC"/>
    <w:rsid w:val="00265F50"/>
    <w:rsid w:val="00267033"/>
    <w:rsid w:val="00267B71"/>
    <w:rsid w:val="00270752"/>
    <w:rsid w:val="0027099B"/>
    <w:rsid w:val="002710E9"/>
    <w:rsid w:val="00271465"/>
    <w:rsid w:val="00272844"/>
    <w:rsid w:val="0027398A"/>
    <w:rsid w:val="002740D8"/>
    <w:rsid w:val="00275385"/>
    <w:rsid w:val="00275657"/>
    <w:rsid w:val="002763D6"/>
    <w:rsid w:val="0027724A"/>
    <w:rsid w:val="00280386"/>
    <w:rsid w:val="00280B2A"/>
    <w:rsid w:val="00281666"/>
    <w:rsid w:val="00281DE0"/>
    <w:rsid w:val="00281FB2"/>
    <w:rsid w:val="0028207A"/>
    <w:rsid w:val="00282918"/>
    <w:rsid w:val="00283600"/>
    <w:rsid w:val="00283DE9"/>
    <w:rsid w:val="00283DF4"/>
    <w:rsid w:val="00284145"/>
    <w:rsid w:val="00284D28"/>
    <w:rsid w:val="00285412"/>
    <w:rsid w:val="00285868"/>
    <w:rsid w:val="002864B9"/>
    <w:rsid w:val="002866A1"/>
    <w:rsid w:val="002867D8"/>
    <w:rsid w:val="002869B8"/>
    <w:rsid w:val="00290725"/>
    <w:rsid w:val="00291407"/>
    <w:rsid w:val="00291640"/>
    <w:rsid w:val="00292339"/>
    <w:rsid w:val="00292B59"/>
    <w:rsid w:val="00292D62"/>
    <w:rsid w:val="002931F2"/>
    <w:rsid w:val="00293DCB"/>
    <w:rsid w:val="00294BE5"/>
    <w:rsid w:val="0029568F"/>
    <w:rsid w:val="00295A5D"/>
    <w:rsid w:val="0029663C"/>
    <w:rsid w:val="00296B21"/>
    <w:rsid w:val="00297ECA"/>
    <w:rsid w:val="00297F7D"/>
    <w:rsid w:val="002A02D5"/>
    <w:rsid w:val="002A1407"/>
    <w:rsid w:val="002A16D4"/>
    <w:rsid w:val="002A230C"/>
    <w:rsid w:val="002A23FD"/>
    <w:rsid w:val="002A28FC"/>
    <w:rsid w:val="002A3DA7"/>
    <w:rsid w:val="002A5287"/>
    <w:rsid w:val="002A53C9"/>
    <w:rsid w:val="002A56A6"/>
    <w:rsid w:val="002A59D2"/>
    <w:rsid w:val="002A6268"/>
    <w:rsid w:val="002A66B0"/>
    <w:rsid w:val="002A73AC"/>
    <w:rsid w:val="002B14BE"/>
    <w:rsid w:val="002B2299"/>
    <w:rsid w:val="002B333E"/>
    <w:rsid w:val="002B478A"/>
    <w:rsid w:val="002B4845"/>
    <w:rsid w:val="002B48B4"/>
    <w:rsid w:val="002B518C"/>
    <w:rsid w:val="002B5326"/>
    <w:rsid w:val="002B62BB"/>
    <w:rsid w:val="002B7440"/>
    <w:rsid w:val="002C1025"/>
    <w:rsid w:val="002C2029"/>
    <w:rsid w:val="002C2899"/>
    <w:rsid w:val="002C2FE9"/>
    <w:rsid w:val="002C3E22"/>
    <w:rsid w:val="002C43BD"/>
    <w:rsid w:val="002C4587"/>
    <w:rsid w:val="002C4700"/>
    <w:rsid w:val="002C4B4F"/>
    <w:rsid w:val="002C4DD7"/>
    <w:rsid w:val="002C5568"/>
    <w:rsid w:val="002C55E4"/>
    <w:rsid w:val="002C59FD"/>
    <w:rsid w:val="002C5B9A"/>
    <w:rsid w:val="002C6E0A"/>
    <w:rsid w:val="002D0E59"/>
    <w:rsid w:val="002E02A1"/>
    <w:rsid w:val="002E273D"/>
    <w:rsid w:val="002E30BE"/>
    <w:rsid w:val="002E3BE7"/>
    <w:rsid w:val="002E42AC"/>
    <w:rsid w:val="002E4E4C"/>
    <w:rsid w:val="002E5FE3"/>
    <w:rsid w:val="002E6A7F"/>
    <w:rsid w:val="002F0BC1"/>
    <w:rsid w:val="002F1ABE"/>
    <w:rsid w:val="002F1BA0"/>
    <w:rsid w:val="002F266A"/>
    <w:rsid w:val="002F3A5E"/>
    <w:rsid w:val="002F3E4F"/>
    <w:rsid w:val="002F47DD"/>
    <w:rsid w:val="002F48F7"/>
    <w:rsid w:val="002F564C"/>
    <w:rsid w:val="002F5C7F"/>
    <w:rsid w:val="002F6A3C"/>
    <w:rsid w:val="002F6BE3"/>
    <w:rsid w:val="002F787D"/>
    <w:rsid w:val="003000D7"/>
    <w:rsid w:val="00300927"/>
    <w:rsid w:val="00300F53"/>
    <w:rsid w:val="00302ADD"/>
    <w:rsid w:val="00304771"/>
    <w:rsid w:val="0030495D"/>
    <w:rsid w:val="003052D4"/>
    <w:rsid w:val="00306C5B"/>
    <w:rsid w:val="00307B34"/>
    <w:rsid w:val="003103E0"/>
    <w:rsid w:val="003107EA"/>
    <w:rsid w:val="00310A58"/>
    <w:rsid w:val="003113A6"/>
    <w:rsid w:val="0031173F"/>
    <w:rsid w:val="0031233C"/>
    <w:rsid w:val="0031241D"/>
    <w:rsid w:val="00313263"/>
    <w:rsid w:val="003145B3"/>
    <w:rsid w:val="00314BBE"/>
    <w:rsid w:val="00314F9F"/>
    <w:rsid w:val="00315C01"/>
    <w:rsid w:val="00315E9B"/>
    <w:rsid w:val="003162C5"/>
    <w:rsid w:val="00316DC1"/>
    <w:rsid w:val="0031748E"/>
    <w:rsid w:val="0032050F"/>
    <w:rsid w:val="003209D6"/>
    <w:rsid w:val="00320A06"/>
    <w:rsid w:val="00321205"/>
    <w:rsid w:val="00321924"/>
    <w:rsid w:val="00322F9E"/>
    <w:rsid w:val="00323353"/>
    <w:rsid w:val="00324442"/>
    <w:rsid w:val="0032656E"/>
    <w:rsid w:val="00327467"/>
    <w:rsid w:val="00327D4E"/>
    <w:rsid w:val="00331BDC"/>
    <w:rsid w:val="00331C10"/>
    <w:rsid w:val="00332190"/>
    <w:rsid w:val="003321C3"/>
    <w:rsid w:val="00332D84"/>
    <w:rsid w:val="00333289"/>
    <w:rsid w:val="00333A75"/>
    <w:rsid w:val="00334A3A"/>
    <w:rsid w:val="00334E68"/>
    <w:rsid w:val="003352EB"/>
    <w:rsid w:val="003355FA"/>
    <w:rsid w:val="00336EF5"/>
    <w:rsid w:val="00336FC2"/>
    <w:rsid w:val="00340188"/>
    <w:rsid w:val="00340586"/>
    <w:rsid w:val="00341625"/>
    <w:rsid w:val="00341824"/>
    <w:rsid w:val="003421E1"/>
    <w:rsid w:val="0034226A"/>
    <w:rsid w:val="00343182"/>
    <w:rsid w:val="0034335E"/>
    <w:rsid w:val="00343FA5"/>
    <w:rsid w:val="00344092"/>
    <w:rsid w:val="00344668"/>
    <w:rsid w:val="0034540D"/>
    <w:rsid w:val="0034571B"/>
    <w:rsid w:val="003462D9"/>
    <w:rsid w:val="0034749A"/>
    <w:rsid w:val="00347B3C"/>
    <w:rsid w:val="00347F45"/>
    <w:rsid w:val="00350895"/>
    <w:rsid w:val="00350FEA"/>
    <w:rsid w:val="0035253A"/>
    <w:rsid w:val="00352FFD"/>
    <w:rsid w:val="00353044"/>
    <w:rsid w:val="00354DEC"/>
    <w:rsid w:val="00355256"/>
    <w:rsid w:val="00356287"/>
    <w:rsid w:val="00356723"/>
    <w:rsid w:val="00360C86"/>
    <w:rsid w:val="00360FBC"/>
    <w:rsid w:val="00361951"/>
    <w:rsid w:val="003619E4"/>
    <w:rsid w:val="00362133"/>
    <w:rsid w:val="00362328"/>
    <w:rsid w:val="00362DEB"/>
    <w:rsid w:val="00362E90"/>
    <w:rsid w:val="0036408E"/>
    <w:rsid w:val="003646EA"/>
    <w:rsid w:val="00364728"/>
    <w:rsid w:val="00364875"/>
    <w:rsid w:val="00364FA0"/>
    <w:rsid w:val="00365420"/>
    <w:rsid w:val="003656AF"/>
    <w:rsid w:val="003657F3"/>
    <w:rsid w:val="0036587E"/>
    <w:rsid w:val="00366248"/>
    <w:rsid w:val="00366591"/>
    <w:rsid w:val="00366EA0"/>
    <w:rsid w:val="00370268"/>
    <w:rsid w:val="00370EDF"/>
    <w:rsid w:val="00371826"/>
    <w:rsid w:val="00373504"/>
    <w:rsid w:val="003738E1"/>
    <w:rsid w:val="00373E47"/>
    <w:rsid w:val="003740E7"/>
    <w:rsid w:val="00374FEF"/>
    <w:rsid w:val="003751D1"/>
    <w:rsid w:val="003766F8"/>
    <w:rsid w:val="00376778"/>
    <w:rsid w:val="00377162"/>
    <w:rsid w:val="00377C0F"/>
    <w:rsid w:val="0038123E"/>
    <w:rsid w:val="003818DC"/>
    <w:rsid w:val="00382C5B"/>
    <w:rsid w:val="00383708"/>
    <w:rsid w:val="00384327"/>
    <w:rsid w:val="0038561B"/>
    <w:rsid w:val="00385D98"/>
    <w:rsid w:val="003873D1"/>
    <w:rsid w:val="003877E5"/>
    <w:rsid w:val="00390517"/>
    <w:rsid w:val="00390833"/>
    <w:rsid w:val="00391ACF"/>
    <w:rsid w:val="00391B12"/>
    <w:rsid w:val="00392FB5"/>
    <w:rsid w:val="0039595A"/>
    <w:rsid w:val="003A0393"/>
    <w:rsid w:val="003A1A03"/>
    <w:rsid w:val="003A1F60"/>
    <w:rsid w:val="003A2B4D"/>
    <w:rsid w:val="003A2B5E"/>
    <w:rsid w:val="003A2D12"/>
    <w:rsid w:val="003A478C"/>
    <w:rsid w:val="003A5525"/>
    <w:rsid w:val="003A5529"/>
    <w:rsid w:val="003A6626"/>
    <w:rsid w:val="003A6B38"/>
    <w:rsid w:val="003A7362"/>
    <w:rsid w:val="003A7C49"/>
    <w:rsid w:val="003B00FF"/>
    <w:rsid w:val="003B07B3"/>
    <w:rsid w:val="003B0A0F"/>
    <w:rsid w:val="003B1C54"/>
    <w:rsid w:val="003B224C"/>
    <w:rsid w:val="003B3AFF"/>
    <w:rsid w:val="003B461F"/>
    <w:rsid w:val="003B54A6"/>
    <w:rsid w:val="003B5A32"/>
    <w:rsid w:val="003B5F52"/>
    <w:rsid w:val="003B6097"/>
    <w:rsid w:val="003B6309"/>
    <w:rsid w:val="003B6B31"/>
    <w:rsid w:val="003B7AFA"/>
    <w:rsid w:val="003C0365"/>
    <w:rsid w:val="003C0458"/>
    <w:rsid w:val="003C1099"/>
    <w:rsid w:val="003C2324"/>
    <w:rsid w:val="003C2ADC"/>
    <w:rsid w:val="003C3281"/>
    <w:rsid w:val="003C3490"/>
    <w:rsid w:val="003C3BFE"/>
    <w:rsid w:val="003C49B9"/>
    <w:rsid w:val="003C631A"/>
    <w:rsid w:val="003C6550"/>
    <w:rsid w:val="003C68ED"/>
    <w:rsid w:val="003C7549"/>
    <w:rsid w:val="003C7792"/>
    <w:rsid w:val="003C7E62"/>
    <w:rsid w:val="003D1A7F"/>
    <w:rsid w:val="003D5946"/>
    <w:rsid w:val="003D5A56"/>
    <w:rsid w:val="003D5B4E"/>
    <w:rsid w:val="003D60FE"/>
    <w:rsid w:val="003D6920"/>
    <w:rsid w:val="003D6A58"/>
    <w:rsid w:val="003D74CF"/>
    <w:rsid w:val="003D7B09"/>
    <w:rsid w:val="003E0C17"/>
    <w:rsid w:val="003E10D3"/>
    <w:rsid w:val="003E1252"/>
    <w:rsid w:val="003E1419"/>
    <w:rsid w:val="003E1D28"/>
    <w:rsid w:val="003E2301"/>
    <w:rsid w:val="003E3F1E"/>
    <w:rsid w:val="003E48F2"/>
    <w:rsid w:val="003E4C91"/>
    <w:rsid w:val="003E5DB7"/>
    <w:rsid w:val="003E62A5"/>
    <w:rsid w:val="003F0011"/>
    <w:rsid w:val="003F10C7"/>
    <w:rsid w:val="003F13A5"/>
    <w:rsid w:val="003F313C"/>
    <w:rsid w:val="003F346D"/>
    <w:rsid w:val="003F37FC"/>
    <w:rsid w:val="003F4B2C"/>
    <w:rsid w:val="003F551C"/>
    <w:rsid w:val="003F5AD6"/>
    <w:rsid w:val="003F62B0"/>
    <w:rsid w:val="003F6448"/>
    <w:rsid w:val="003F68C1"/>
    <w:rsid w:val="003F72ED"/>
    <w:rsid w:val="003F73E4"/>
    <w:rsid w:val="003F7D23"/>
    <w:rsid w:val="004005A2"/>
    <w:rsid w:val="00400A0E"/>
    <w:rsid w:val="00400DF4"/>
    <w:rsid w:val="00402489"/>
    <w:rsid w:val="00402612"/>
    <w:rsid w:val="00403226"/>
    <w:rsid w:val="00403D59"/>
    <w:rsid w:val="004043F2"/>
    <w:rsid w:val="0040550D"/>
    <w:rsid w:val="004069FF"/>
    <w:rsid w:val="00406A16"/>
    <w:rsid w:val="00406D06"/>
    <w:rsid w:val="00406F34"/>
    <w:rsid w:val="00407510"/>
    <w:rsid w:val="00407526"/>
    <w:rsid w:val="004076D8"/>
    <w:rsid w:val="00407C13"/>
    <w:rsid w:val="0041041D"/>
    <w:rsid w:val="00410638"/>
    <w:rsid w:val="00410694"/>
    <w:rsid w:val="00410C52"/>
    <w:rsid w:val="00410D1C"/>
    <w:rsid w:val="00410EB0"/>
    <w:rsid w:val="004111A5"/>
    <w:rsid w:val="0041172B"/>
    <w:rsid w:val="0041368A"/>
    <w:rsid w:val="00413788"/>
    <w:rsid w:val="0041501E"/>
    <w:rsid w:val="004159C3"/>
    <w:rsid w:val="00416EB7"/>
    <w:rsid w:val="00417505"/>
    <w:rsid w:val="00420136"/>
    <w:rsid w:val="004206B6"/>
    <w:rsid w:val="00420CFF"/>
    <w:rsid w:val="00420DC0"/>
    <w:rsid w:val="0042359B"/>
    <w:rsid w:val="00423AE9"/>
    <w:rsid w:val="00424375"/>
    <w:rsid w:val="00426C41"/>
    <w:rsid w:val="004304E9"/>
    <w:rsid w:val="004307FC"/>
    <w:rsid w:val="00432A58"/>
    <w:rsid w:val="00432D19"/>
    <w:rsid w:val="00433C0A"/>
    <w:rsid w:val="00433D92"/>
    <w:rsid w:val="00434395"/>
    <w:rsid w:val="004345F4"/>
    <w:rsid w:val="00434617"/>
    <w:rsid w:val="004349BF"/>
    <w:rsid w:val="00435361"/>
    <w:rsid w:val="00435656"/>
    <w:rsid w:val="00436477"/>
    <w:rsid w:val="00436DCF"/>
    <w:rsid w:val="00437A54"/>
    <w:rsid w:val="00437FD1"/>
    <w:rsid w:val="00440900"/>
    <w:rsid w:val="00441A23"/>
    <w:rsid w:val="00441BF6"/>
    <w:rsid w:val="00442D09"/>
    <w:rsid w:val="00442E6B"/>
    <w:rsid w:val="00443556"/>
    <w:rsid w:val="004437FE"/>
    <w:rsid w:val="004441A0"/>
    <w:rsid w:val="00444B1D"/>
    <w:rsid w:val="004455BA"/>
    <w:rsid w:val="00446D0C"/>
    <w:rsid w:val="00446D77"/>
    <w:rsid w:val="00447037"/>
    <w:rsid w:val="004501F9"/>
    <w:rsid w:val="0045021C"/>
    <w:rsid w:val="0045078A"/>
    <w:rsid w:val="0045086D"/>
    <w:rsid w:val="00450A94"/>
    <w:rsid w:val="00451305"/>
    <w:rsid w:val="00451504"/>
    <w:rsid w:val="00451878"/>
    <w:rsid w:val="00451FEF"/>
    <w:rsid w:val="00453626"/>
    <w:rsid w:val="00453F52"/>
    <w:rsid w:val="004554AD"/>
    <w:rsid w:val="004557A9"/>
    <w:rsid w:val="00456339"/>
    <w:rsid w:val="0045677C"/>
    <w:rsid w:val="004607BF"/>
    <w:rsid w:val="004609D9"/>
    <w:rsid w:val="00460FB3"/>
    <w:rsid w:val="0046255F"/>
    <w:rsid w:val="00463329"/>
    <w:rsid w:val="00463B19"/>
    <w:rsid w:val="004644C4"/>
    <w:rsid w:val="0046474F"/>
    <w:rsid w:val="0046530C"/>
    <w:rsid w:val="00465F26"/>
    <w:rsid w:val="0046627E"/>
    <w:rsid w:val="00467406"/>
    <w:rsid w:val="00467A03"/>
    <w:rsid w:val="004717BF"/>
    <w:rsid w:val="004749E3"/>
    <w:rsid w:val="00475C63"/>
    <w:rsid w:val="00475F3F"/>
    <w:rsid w:val="00476240"/>
    <w:rsid w:val="00476439"/>
    <w:rsid w:val="0047735C"/>
    <w:rsid w:val="004776BC"/>
    <w:rsid w:val="0048139F"/>
    <w:rsid w:val="00481CEB"/>
    <w:rsid w:val="00481E40"/>
    <w:rsid w:val="00481F58"/>
    <w:rsid w:val="00483465"/>
    <w:rsid w:val="004834E5"/>
    <w:rsid w:val="00483BED"/>
    <w:rsid w:val="0048429C"/>
    <w:rsid w:val="004842DB"/>
    <w:rsid w:val="00484319"/>
    <w:rsid w:val="00484915"/>
    <w:rsid w:val="00484D49"/>
    <w:rsid w:val="00484ECE"/>
    <w:rsid w:val="00484FF1"/>
    <w:rsid w:val="00485567"/>
    <w:rsid w:val="00485B0F"/>
    <w:rsid w:val="00485B76"/>
    <w:rsid w:val="00485E39"/>
    <w:rsid w:val="00487E9D"/>
    <w:rsid w:val="00490F35"/>
    <w:rsid w:val="004915CB"/>
    <w:rsid w:val="00492327"/>
    <w:rsid w:val="004924DC"/>
    <w:rsid w:val="004925F0"/>
    <w:rsid w:val="00493AE0"/>
    <w:rsid w:val="00494CB8"/>
    <w:rsid w:val="00495663"/>
    <w:rsid w:val="004962DC"/>
    <w:rsid w:val="004963C7"/>
    <w:rsid w:val="00496E81"/>
    <w:rsid w:val="004976EF"/>
    <w:rsid w:val="004A14E4"/>
    <w:rsid w:val="004A21DE"/>
    <w:rsid w:val="004A3212"/>
    <w:rsid w:val="004A3A0F"/>
    <w:rsid w:val="004A3D00"/>
    <w:rsid w:val="004A46B3"/>
    <w:rsid w:val="004A5494"/>
    <w:rsid w:val="004A6198"/>
    <w:rsid w:val="004A61C5"/>
    <w:rsid w:val="004A767E"/>
    <w:rsid w:val="004A77DF"/>
    <w:rsid w:val="004B1321"/>
    <w:rsid w:val="004B1417"/>
    <w:rsid w:val="004B3545"/>
    <w:rsid w:val="004B55B7"/>
    <w:rsid w:val="004B57B8"/>
    <w:rsid w:val="004B5893"/>
    <w:rsid w:val="004B5A60"/>
    <w:rsid w:val="004B5D8A"/>
    <w:rsid w:val="004B6468"/>
    <w:rsid w:val="004B672F"/>
    <w:rsid w:val="004B6A60"/>
    <w:rsid w:val="004B7125"/>
    <w:rsid w:val="004B7985"/>
    <w:rsid w:val="004B7D56"/>
    <w:rsid w:val="004C123D"/>
    <w:rsid w:val="004C180F"/>
    <w:rsid w:val="004C1A40"/>
    <w:rsid w:val="004C2A08"/>
    <w:rsid w:val="004C2DE9"/>
    <w:rsid w:val="004C384C"/>
    <w:rsid w:val="004C3867"/>
    <w:rsid w:val="004C456F"/>
    <w:rsid w:val="004C4CD0"/>
    <w:rsid w:val="004C5B81"/>
    <w:rsid w:val="004C5E2B"/>
    <w:rsid w:val="004C6092"/>
    <w:rsid w:val="004C63B5"/>
    <w:rsid w:val="004C64E7"/>
    <w:rsid w:val="004C68CC"/>
    <w:rsid w:val="004C70DC"/>
    <w:rsid w:val="004D0211"/>
    <w:rsid w:val="004D0794"/>
    <w:rsid w:val="004D0974"/>
    <w:rsid w:val="004D1C4E"/>
    <w:rsid w:val="004D40CC"/>
    <w:rsid w:val="004D43B0"/>
    <w:rsid w:val="004D4C36"/>
    <w:rsid w:val="004D54EE"/>
    <w:rsid w:val="004D5C93"/>
    <w:rsid w:val="004D797A"/>
    <w:rsid w:val="004D7F47"/>
    <w:rsid w:val="004E1288"/>
    <w:rsid w:val="004E1CDC"/>
    <w:rsid w:val="004E285C"/>
    <w:rsid w:val="004E32F5"/>
    <w:rsid w:val="004E350A"/>
    <w:rsid w:val="004E418F"/>
    <w:rsid w:val="004E53BA"/>
    <w:rsid w:val="004E5681"/>
    <w:rsid w:val="004E5A45"/>
    <w:rsid w:val="004E5A64"/>
    <w:rsid w:val="004E70E9"/>
    <w:rsid w:val="004E75B6"/>
    <w:rsid w:val="004E7646"/>
    <w:rsid w:val="004E7C6B"/>
    <w:rsid w:val="004F06F5"/>
    <w:rsid w:val="004F1254"/>
    <w:rsid w:val="004F16B2"/>
    <w:rsid w:val="004F16E1"/>
    <w:rsid w:val="004F1744"/>
    <w:rsid w:val="004F19AD"/>
    <w:rsid w:val="004F2652"/>
    <w:rsid w:val="004F2C1B"/>
    <w:rsid w:val="004F33A0"/>
    <w:rsid w:val="004F3A59"/>
    <w:rsid w:val="004F3A84"/>
    <w:rsid w:val="004F5E61"/>
    <w:rsid w:val="004F6154"/>
    <w:rsid w:val="005005CD"/>
    <w:rsid w:val="00500CEE"/>
    <w:rsid w:val="005015F6"/>
    <w:rsid w:val="005019AE"/>
    <w:rsid w:val="00501E5A"/>
    <w:rsid w:val="0050385E"/>
    <w:rsid w:val="00503A6E"/>
    <w:rsid w:val="00503B80"/>
    <w:rsid w:val="005040A8"/>
    <w:rsid w:val="005042BB"/>
    <w:rsid w:val="00504EE1"/>
    <w:rsid w:val="0050689D"/>
    <w:rsid w:val="0050736A"/>
    <w:rsid w:val="005075D4"/>
    <w:rsid w:val="005076A1"/>
    <w:rsid w:val="00510205"/>
    <w:rsid w:val="005108C0"/>
    <w:rsid w:val="00510A58"/>
    <w:rsid w:val="00511873"/>
    <w:rsid w:val="00511DE3"/>
    <w:rsid w:val="005124B6"/>
    <w:rsid w:val="00512A2F"/>
    <w:rsid w:val="00512F82"/>
    <w:rsid w:val="00513B7E"/>
    <w:rsid w:val="00513EE1"/>
    <w:rsid w:val="00513F7F"/>
    <w:rsid w:val="0051484B"/>
    <w:rsid w:val="00514AE7"/>
    <w:rsid w:val="00515684"/>
    <w:rsid w:val="00515737"/>
    <w:rsid w:val="00515C74"/>
    <w:rsid w:val="00515D55"/>
    <w:rsid w:val="00516086"/>
    <w:rsid w:val="00516E42"/>
    <w:rsid w:val="0051713B"/>
    <w:rsid w:val="0052007E"/>
    <w:rsid w:val="00520D1D"/>
    <w:rsid w:val="00521344"/>
    <w:rsid w:val="0052164F"/>
    <w:rsid w:val="005217F8"/>
    <w:rsid w:val="00521B64"/>
    <w:rsid w:val="00522317"/>
    <w:rsid w:val="005223DB"/>
    <w:rsid w:val="0052337A"/>
    <w:rsid w:val="005235E2"/>
    <w:rsid w:val="00523720"/>
    <w:rsid w:val="005243E8"/>
    <w:rsid w:val="00525137"/>
    <w:rsid w:val="005251DD"/>
    <w:rsid w:val="00525933"/>
    <w:rsid w:val="005259A8"/>
    <w:rsid w:val="00526DF6"/>
    <w:rsid w:val="00526FCE"/>
    <w:rsid w:val="00530D0C"/>
    <w:rsid w:val="005325DB"/>
    <w:rsid w:val="0053263A"/>
    <w:rsid w:val="00532CE7"/>
    <w:rsid w:val="00532E62"/>
    <w:rsid w:val="00532F43"/>
    <w:rsid w:val="0053324C"/>
    <w:rsid w:val="00533323"/>
    <w:rsid w:val="00533DAC"/>
    <w:rsid w:val="00533E77"/>
    <w:rsid w:val="00534644"/>
    <w:rsid w:val="00534A28"/>
    <w:rsid w:val="00534D01"/>
    <w:rsid w:val="00535403"/>
    <w:rsid w:val="00535514"/>
    <w:rsid w:val="00536E13"/>
    <w:rsid w:val="00536EE7"/>
    <w:rsid w:val="005370C0"/>
    <w:rsid w:val="00537F1F"/>
    <w:rsid w:val="00541508"/>
    <w:rsid w:val="00542F0D"/>
    <w:rsid w:val="00543409"/>
    <w:rsid w:val="00543498"/>
    <w:rsid w:val="00544315"/>
    <w:rsid w:val="00545290"/>
    <w:rsid w:val="00545512"/>
    <w:rsid w:val="00545834"/>
    <w:rsid w:val="005467BD"/>
    <w:rsid w:val="00547D28"/>
    <w:rsid w:val="005502CF"/>
    <w:rsid w:val="00550D51"/>
    <w:rsid w:val="005515C5"/>
    <w:rsid w:val="00552952"/>
    <w:rsid w:val="0055298F"/>
    <w:rsid w:val="00552F16"/>
    <w:rsid w:val="00553016"/>
    <w:rsid w:val="00554DC2"/>
    <w:rsid w:val="005552D3"/>
    <w:rsid w:val="00555943"/>
    <w:rsid w:val="0055599F"/>
    <w:rsid w:val="00556995"/>
    <w:rsid w:val="00556D68"/>
    <w:rsid w:val="00557C98"/>
    <w:rsid w:val="00560AAF"/>
    <w:rsid w:val="0056129B"/>
    <w:rsid w:val="005624E3"/>
    <w:rsid w:val="00562CFC"/>
    <w:rsid w:val="0056347F"/>
    <w:rsid w:val="00563EB8"/>
    <w:rsid w:val="005647BF"/>
    <w:rsid w:val="0056486D"/>
    <w:rsid w:val="00564AF1"/>
    <w:rsid w:val="00564F39"/>
    <w:rsid w:val="0056516B"/>
    <w:rsid w:val="0056601A"/>
    <w:rsid w:val="005675BA"/>
    <w:rsid w:val="00570868"/>
    <w:rsid w:val="00571D4F"/>
    <w:rsid w:val="005722EB"/>
    <w:rsid w:val="0057364B"/>
    <w:rsid w:val="00574773"/>
    <w:rsid w:val="005763D0"/>
    <w:rsid w:val="00576DB1"/>
    <w:rsid w:val="00577F85"/>
    <w:rsid w:val="005803F3"/>
    <w:rsid w:val="0058050D"/>
    <w:rsid w:val="005825E4"/>
    <w:rsid w:val="0058308D"/>
    <w:rsid w:val="0058383C"/>
    <w:rsid w:val="00583FFD"/>
    <w:rsid w:val="00584678"/>
    <w:rsid w:val="0058472C"/>
    <w:rsid w:val="00584F6E"/>
    <w:rsid w:val="005853F9"/>
    <w:rsid w:val="00585C37"/>
    <w:rsid w:val="005860A7"/>
    <w:rsid w:val="00586645"/>
    <w:rsid w:val="00586801"/>
    <w:rsid w:val="00586C79"/>
    <w:rsid w:val="00587873"/>
    <w:rsid w:val="00591099"/>
    <w:rsid w:val="005911BE"/>
    <w:rsid w:val="0059174C"/>
    <w:rsid w:val="00592E71"/>
    <w:rsid w:val="00593152"/>
    <w:rsid w:val="00593455"/>
    <w:rsid w:val="00593649"/>
    <w:rsid w:val="005938E3"/>
    <w:rsid w:val="00593B81"/>
    <w:rsid w:val="00593F47"/>
    <w:rsid w:val="00594294"/>
    <w:rsid w:val="00595412"/>
    <w:rsid w:val="00596010"/>
    <w:rsid w:val="005A0C11"/>
    <w:rsid w:val="005A0DA4"/>
    <w:rsid w:val="005A0EF2"/>
    <w:rsid w:val="005A10F2"/>
    <w:rsid w:val="005A117B"/>
    <w:rsid w:val="005A14E8"/>
    <w:rsid w:val="005A2052"/>
    <w:rsid w:val="005A21E0"/>
    <w:rsid w:val="005A28FF"/>
    <w:rsid w:val="005A2F33"/>
    <w:rsid w:val="005A3003"/>
    <w:rsid w:val="005A30C1"/>
    <w:rsid w:val="005A327C"/>
    <w:rsid w:val="005A3DF8"/>
    <w:rsid w:val="005A4270"/>
    <w:rsid w:val="005A5113"/>
    <w:rsid w:val="005A5549"/>
    <w:rsid w:val="005A5960"/>
    <w:rsid w:val="005A609F"/>
    <w:rsid w:val="005A6ADC"/>
    <w:rsid w:val="005A6E72"/>
    <w:rsid w:val="005A7038"/>
    <w:rsid w:val="005A70B0"/>
    <w:rsid w:val="005B0A44"/>
    <w:rsid w:val="005B1010"/>
    <w:rsid w:val="005B121D"/>
    <w:rsid w:val="005B1FC6"/>
    <w:rsid w:val="005B2C13"/>
    <w:rsid w:val="005B2E23"/>
    <w:rsid w:val="005B3361"/>
    <w:rsid w:val="005B3CE6"/>
    <w:rsid w:val="005B4276"/>
    <w:rsid w:val="005B461B"/>
    <w:rsid w:val="005B650E"/>
    <w:rsid w:val="005B684D"/>
    <w:rsid w:val="005B70DB"/>
    <w:rsid w:val="005B720C"/>
    <w:rsid w:val="005C06ED"/>
    <w:rsid w:val="005C0E54"/>
    <w:rsid w:val="005C17A3"/>
    <w:rsid w:val="005C2609"/>
    <w:rsid w:val="005C3800"/>
    <w:rsid w:val="005C415F"/>
    <w:rsid w:val="005C45E1"/>
    <w:rsid w:val="005C4A78"/>
    <w:rsid w:val="005C4E8C"/>
    <w:rsid w:val="005C51EA"/>
    <w:rsid w:val="005C572E"/>
    <w:rsid w:val="005C63DE"/>
    <w:rsid w:val="005C6589"/>
    <w:rsid w:val="005C69C1"/>
    <w:rsid w:val="005C6CF0"/>
    <w:rsid w:val="005D0D46"/>
    <w:rsid w:val="005D1C83"/>
    <w:rsid w:val="005D2579"/>
    <w:rsid w:val="005D2CDA"/>
    <w:rsid w:val="005D4DDB"/>
    <w:rsid w:val="005D5600"/>
    <w:rsid w:val="005D5802"/>
    <w:rsid w:val="005D5B5E"/>
    <w:rsid w:val="005D67FE"/>
    <w:rsid w:val="005D7119"/>
    <w:rsid w:val="005D7241"/>
    <w:rsid w:val="005D7890"/>
    <w:rsid w:val="005D78EA"/>
    <w:rsid w:val="005E1A7A"/>
    <w:rsid w:val="005E1F82"/>
    <w:rsid w:val="005E274A"/>
    <w:rsid w:val="005E57C0"/>
    <w:rsid w:val="005E5E4D"/>
    <w:rsid w:val="005E6221"/>
    <w:rsid w:val="005E705E"/>
    <w:rsid w:val="005E7C78"/>
    <w:rsid w:val="005F0465"/>
    <w:rsid w:val="005F131C"/>
    <w:rsid w:val="005F18C5"/>
    <w:rsid w:val="005F19BD"/>
    <w:rsid w:val="005F19DB"/>
    <w:rsid w:val="005F3033"/>
    <w:rsid w:val="005F3374"/>
    <w:rsid w:val="005F3491"/>
    <w:rsid w:val="005F3EB1"/>
    <w:rsid w:val="005F3F91"/>
    <w:rsid w:val="005F46D8"/>
    <w:rsid w:val="005F5469"/>
    <w:rsid w:val="005F6E1D"/>
    <w:rsid w:val="005F73E7"/>
    <w:rsid w:val="00601755"/>
    <w:rsid w:val="00602444"/>
    <w:rsid w:val="00603FF5"/>
    <w:rsid w:val="00604307"/>
    <w:rsid w:val="00604792"/>
    <w:rsid w:val="0060487F"/>
    <w:rsid w:val="00604A3B"/>
    <w:rsid w:val="00604EAD"/>
    <w:rsid w:val="006057BE"/>
    <w:rsid w:val="00605D96"/>
    <w:rsid w:val="00606957"/>
    <w:rsid w:val="006104FB"/>
    <w:rsid w:val="006105C1"/>
    <w:rsid w:val="0061096C"/>
    <w:rsid w:val="00610A25"/>
    <w:rsid w:val="0061142E"/>
    <w:rsid w:val="00611CC2"/>
    <w:rsid w:val="00612A2F"/>
    <w:rsid w:val="00613469"/>
    <w:rsid w:val="0061390C"/>
    <w:rsid w:val="00615195"/>
    <w:rsid w:val="00615DB6"/>
    <w:rsid w:val="006162DC"/>
    <w:rsid w:val="006165E5"/>
    <w:rsid w:val="006167D7"/>
    <w:rsid w:val="00616997"/>
    <w:rsid w:val="00616E05"/>
    <w:rsid w:val="006206AF"/>
    <w:rsid w:val="00622275"/>
    <w:rsid w:val="00622E4E"/>
    <w:rsid w:val="00623178"/>
    <w:rsid w:val="006234F7"/>
    <w:rsid w:val="00623D49"/>
    <w:rsid w:val="00623DAE"/>
    <w:rsid w:val="00624093"/>
    <w:rsid w:val="00625F8F"/>
    <w:rsid w:val="006266AD"/>
    <w:rsid w:val="00626BF5"/>
    <w:rsid w:val="00626EDC"/>
    <w:rsid w:val="006273B9"/>
    <w:rsid w:val="00631232"/>
    <w:rsid w:val="006313A5"/>
    <w:rsid w:val="006322E1"/>
    <w:rsid w:val="0063327C"/>
    <w:rsid w:val="006340DD"/>
    <w:rsid w:val="00634144"/>
    <w:rsid w:val="00634272"/>
    <w:rsid w:val="00634573"/>
    <w:rsid w:val="00634F8F"/>
    <w:rsid w:val="00634FA8"/>
    <w:rsid w:val="006350D5"/>
    <w:rsid w:val="0063592B"/>
    <w:rsid w:val="006369C4"/>
    <w:rsid w:val="00637719"/>
    <w:rsid w:val="006404A7"/>
    <w:rsid w:val="006413CE"/>
    <w:rsid w:val="00641A8B"/>
    <w:rsid w:val="00642EAC"/>
    <w:rsid w:val="00642FA3"/>
    <w:rsid w:val="00643D6B"/>
    <w:rsid w:val="00643D99"/>
    <w:rsid w:val="006451E4"/>
    <w:rsid w:val="00645392"/>
    <w:rsid w:val="00645B33"/>
    <w:rsid w:val="006463B9"/>
    <w:rsid w:val="00647166"/>
    <w:rsid w:val="006509D3"/>
    <w:rsid w:val="00650DD6"/>
    <w:rsid w:val="006510BC"/>
    <w:rsid w:val="006516CB"/>
    <w:rsid w:val="00652C41"/>
    <w:rsid w:val="00653662"/>
    <w:rsid w:val="006554E9"/>
    <w:rsid w:val="00656FC8"/>
    <w:rsid w:val="00657168"/>
    <w:rsid w:val="006576BA"/>
    <w:rsid w:val="00657E87"/>
    <w:rsid w:val="00660023"/>
    <w:rsid w:val="00660072"/>
    <w:rsid w:val="00661C4F"/>
    <w:rsid w:val="006625C2"/>
    <w:rsid w:val="00662BD4"/>
    <w:rsid w:val="006630A1"/>
    <w:rsid w:val="00664803"/>
    <w:rsid w:val="0066504F"/>
    <w:rsid w:val="006658AB"/>
    <w:rsid w:val="00665BA4"/>
    <w:rsid w:val="00666906"/>
    <w:rsid w:val="00666AE9"/>
    <w:rsid w:val="00666DCD"/>
    <w:rsid w:val="006674B6"/>
    <w:rsid w:val="00667AF2"/>
    <w:rsid w:val="0067086B"/>
    <w:rsid w:val="006710C9"/>
    <w:rsid w:val="006712EC"/>
    <w:rsid w:val="00671407"/>
    <w:rsid w:val="006714DC"/>
    <w:rsid w:val="0067229E"/>
    <w:rsid w:val="00673247"/>
    <w:rsid w:val="006732EA"/>
    <w:rsid w:val="006741AC"/>
    <w:rsid w:val="00674D89"/>
    <w:rsid w:val="00675596"/>
    <w:rsid w:val="0067563A"/>
    <w:rsid w:val="00675E37"/>
    <w:rsid w:val="00676CA2"/>
    <w:rsid w:val="00676F28"/>
    <w:rsid w:val="006812CF"/>
    <w:rsid w:val="0068174E"/>
    <w:rsid w:val="00681C9F"/>
    <w:rsid w:val="00681DCE"/>
    <w:rsid w:val="006825E7"/>
    <w:rsid w:val="0068260E"/>
    <w:rsid w:val="006838AC"/>
    <w:rsid w:val="006840DA"/>
    <w:rsid w:val="006843C9"/>
    <w:rsid w:val="00685695"/>
    <w:rsid w:val="0068672C"/>
    <w:rsid w:val="0068697A"/>
    <w:rsid w:val="00687E97"/>
    <w:rsid w:val="00690FBB"/>
    <w:rsid w:val="00691046"/>
    <w:rsid w:val="00693265"/>
    <w:rsid w:val="00693CAA"/>
    <w:rsid w:val="00693FEC"/>
    <w:rsid w:val="006947DD"/>
    <w:rsid w:val="006947E3"/>
    <w:rsid w:val="0069490A"/>
    <w:rsid w:val="00694CC9"/>
    <w:rsid w:val="00694D9C"/>
    <w:rsid w:val="00695158"/>
    <w:rsid w:val="00695BEF"/>
    <w:rsid w:val="0069608D"/>
    <w:rsid w:val="006969F4"/>
    <w:rsid w:val="006977F6"/>
    <w:rsid w:val="00697A13"/>
    <w:rsid w:val="006A0211"/>
    <w:rsid w:val="006A0658"/>
    <w:rsid w:val="006A109C"/>
    <w:rsid w:val="006A1507"/>
    <w:rsid w:val="006A1528"/>
    <w:rsid w:val="006A15F2"/>
    <w:rsid w:val="006A1E43"/>
    <w:rsid w:val="006A1EB8"/>
    <w:rsid w:val="006A2056"/>
    <w:rsid w:val="006A211B"/>
    <w:rsid w:val="006A31AB"/>
    <w:rsid w:val="006A363D"/>
    <w:rsid w:val="006A3D17"/>
    <w:rsid w:val="006A5477"/>
    <w:rsid w:val="006A55AA"/>
    <w:rsid w:val="006A70B1"/>
    <w:rsid w:val="006B0F92"/>
    <w:rsid w:val="006B173A"/>
    <w:rsid w:val="006B1C9A"/>
    <w:rsid w:val="006B2AFD"/>
    <w:rsid w:val="006B32C8"/>
    <w:rsid w:val="006B344A"/>
    <w:rsid w:val="006B4367"/>
    <w:rsid w:val="006B436C"/>
    <w:rsid w:val="006B6C74"/>
    <w:rsid w:val="006B759B"/>
    <w:rsid w:val="006B78D8"/>
    <w:rsid w:val="006B7F88"/>
    <w:rsid w:val="006C055D"/>
    <w:rsid w:val="006C0BAC"/>
    <w:rsid w:val="006C0BE2"/>
    <w:rsid w:val="006C0E68"/>
    <w:rsid w:val="006C113F"/>
    <w:rsid w:val="006C123E"/>
    <w:rsid w:val="006C1752"/>
    <w:rsid w:val="006C1901"/>
    <w:rsid w:val="006C1957"/>
    <w:rsid w:val="006C398B"/>
    <w:rsid w:val="006C4460"/>
    <w:rsid w:val="006C4C0E"/>
    <w:rsid w:val="006C4ED6"/>
    <w:rsid w:val="006C56D4"/>
    <w:rsid w:val="006C6071"/>
    <w:rsid w:val="006C6924"/>
    <w:rsid w:val="006C70EB"/>
    <w:rsid w:val="006C7CA6"/>
    <w:rsid w:val="006D006E"/>
    <w:rsid w:val="006D0720"/>
    <w:rsid w:val="006D146C"/>
    <w:rsid w:val="006D1917"/>
    <w:rsid w:val="006D2077"/>
    <w:rsid w:val="006D2CB3"/>
    <w:rsid w:val="006D3E8A"/>
    <w:rsid w:val="006D4017"/>
    <w:rsid w:val="006D61F6"/>
    <w:rsid w:val="006D6FE6"/>
    <w:rsid w:val="006E1465"/>
    <w:rsid w:val="006E1709"/>
    <w:rsid w:val="006E279A"/>
    <w:rsid w:val="006E313B"/>
    <w:rsid w:val="006E3ACB"/>
    <w:rsid w:val="006E3C21"/>
    <w:rsid w:val="006E41EC"/>
    <w:rsid w:val="006E4254"/>
    <w:rsid w:val="006E4448"/>
    <w:rsid w:val="006E50F8"/>
    <w:rsid w:val="006E6A58"/>
    <w:rsid w:val="006E7227"/>
    <w:rsid w:val="006E7AAF"/>
    <w:rsid w:val="006F0002"/>
    <w:rsid w:val="006F12E9"/>
    <w:rsid w:val="006F2394"/>
    <w:rsid w:val="006F31C9"/>
    <w:rsid w:val="006F438E"/>
    <w:rsid w:val="006F5416"/>
    <w:rsid w:val="006F67E5"/>
    <w:rsid w:val="006F7076"/>
    <w:rsid w:val="006F71F3"/>
    <w:rsid w:val="00702368"/>
    <w:rsid w:val="00702448"/>
    <w:rsid w:val="007038CD"/>
    <w:rsid w:val="00703F77"/>
    <w:rsid w:val="00705242"/>
    <w:rsid w:val="007057B2"/>
    <w:rsid w:val="00706755"/>
    <w:rsid w:val="00706AD4"/>
    <w:rsid w:val="00707150"/>
    <w:rsid w:val="0070732E"/>
    <w:rsid w:val="00707CCC"/>
    <w:rsid w:val="00710078"/>
    <w:rsid w:val="00710229"/>
    <w:rsid w:val="007119E0"/>
    <w:rsid w:val="0071217E"/>
    <w:rsid w:val="0071371F"/>
    <w:rsid w:val="007140BE"/>
    <w:rsid w:val="007143B4"/>
    <w:rsid w:val="007150C7"/>
    <w:rsid w:val="0071517E"/>
    <w:rsid w:val="00717F5E"/>
    <w:rsid w:val="00720155"/>
    <w:rsid w:val="007204F0"/>
    <w:rsid w:val="00720C33"/>
    <w:rsid w:val="007211F5"/>
    <w:rsid w:val="00721212"/>
    <w:rsid w:val="00721E09"/>
    <w:rsid w:val="0072213B"/>
    <w:rsid w:val="0072313F"/>
    <w:rsid w:val="00723605"/>
    <w:rsid w:val="00723946"/>
    <w:rsid w:val="007240E2"/>
    <w:rsid w:val="00725BB5"/>
    <w:rsid w:val="00730517"/>
    <w:rsid w:val="00730996"/>
    <w:rsid w:val="00730AE8"/>
    <w:rsid w:val="00730F1B"/>
    <w:rsid w:val="00731EEE"/>
    <w:rsid w:val="0073215D"/>
    <w:rsid w:val="00733628"/>
    <w:rsid w:val="007342AC"/>
    <w:rsid w:val="00734E77"/>
    <w:rsid w:val="00735104"/>
    <w:rsid w:val="007357C1"/>
    <w:rsid w:val="007358C3"/>
    <w:rsid w:val="00736B32"/>
    <w:rsid w:val="0074009D"/>
    <w:rsid w:val="00740A88"/>
    <w:rsid w:val="00740BC7"/>
    <w:rsid w:val="00740CF5"/>
    <w:rsid w:val="00741493"/>
    <w:rsid w:val="007435D2"/>
    <w:rsid w:val="00743B7C"/>
    <w:rsid w:val="00743C34"/>
    <w:rsid w:val="00743C7A"/>
    <w:rsid w:val="007457F6"/>
    <w:rsid w:val="00746155"/>
    <w:rsid w:val="0074779B"/>
    <w:rsid w:val="00751A85"/>
    <w:rsid w:val="00752180"/>
    <w:rsid w:val="00752D71"/>
    <w:rsid w:val="00753CAB"/>
    <w:rsid w:val="00753EB4"/>
    <w:rsid w:val="007551EA"/>
    <w:rsid w:val="00755202"/>
    <w:rsid w:val="00755C4F"/>
    <w:rsid w:val="00755D3A"/>
    <w:rsid w:val="00756417"/>
    <w:rsid w:val="00756C54"/>
    <w:rsid w:val="00756EAB"/>
    <w:rsid w:val="00757754"/>
    <w:rsid w:val="007578D3"/>
    <w:rsid w:val="007579AE"/>
    <w:rsid w:val="00757EBE"/>
    <w:rsid w:val="00760522"/>
    <w:rsid w:val="0076097A"/>
    <w:rsid w:val="007609C6"/>
    <w:rsid w:val="00760EA4"/>
    <w:rsid w:val="00761361"/>
    <w:rsid w:val="0076175D"/>
    <w:rsid w:val="00763B85"/>
    <w:rsid w:val="00764344"/>
    <w:rsid w:val="00764744"/>
    <w:rsid w:val="0076521E"/>
    <w:rsid w:val="007653FB"/>
    <w:rsid w:val="00765C12"/>
    <w:rsid w:val="007661E9"/>
    <w:rsid w:val="00766359"/>
    <w:rsid w:val="007679B9"/>
    <w:rsid w:val="00770784"/>
    <w:rsid w:val="00770A8A"/>
    <w:rsid w:val="00770FC8"/>
    <w:rsid w:val="00773220"/>
    <w:rsid w:val="00773598"/>
    <w:rsid w:val="00773692"/>
    <w:rsid w:val="00774215"/>
    <w:rsid w:val="007745D4"/>
    <w:rsid w:val="00774C0A"/>
    <w:rsid w:val="00774D45"/>
    <w:rsid w:val="007755ED"/>
    <w:rsid w:val="00776169"/>
    <w:rsid w:val="00776527"/>
    <w:rsid w:val="00776EAB"/>
    <w:rsid w:val="00777CAB"/>
    <w:rsid w:val="00780903"/>
    <w:rsid w:val="00780EF1"/>
    <w:rsid w:val="00781D13"/>
    <w:rsid w:val="00781F7F"/>
    <w:rsid w:val="00782952"/>
    <w:rsid w:val="00782AD8"/>
    <w:rsid w:val="00783F21"/>
    <w:rsid w:val="00785275"/>
    <w:rsid w:val="00786429"/>
    <w:rsid w:val="0078669A"/>
    <w:rsid w:val="00786880"/>
    <w:rsid w:val="00787D37"/>
    <w:rsid w:val="00787E2A"/>
    <w:rsid w:val="00790711"/>
    <w:rsid w:val="00790764"/>
    <w:rsid w:val="0079124F"/>
    <w:rsid w:val="00791254"/>
    <w:rsid w:val="00791F56"/>
    <w:rsid w:val="007928AB"/>
    <w:rsid w:val="00793DB3"/>
    <w:rsid w:val="0079453C"/>
    <w:rsid w:val="00794677"/>
    <w:rsid w:val="007946E5"/>
    <w:rsid w:val="007956AB"/>
    <w:rsid w:val="00795928"/>
    <w:rsid w:val="00797445"/>
    <w:rsid w:val="007A0265"/>
    <w:rsid w:val="007A3861"/>
    <w:rsid w:val="007A4282"/>
    <w:rsid w:val="007A4577"/>
    <w:rsid w:val="007A4DEE"/>
    <w:rsid w:val="007A516D"/>
    <w:rsid w:val="007A60A6"/>
    <w:rsid w:val="007A72C3"/>
    <w:rsid w:val="007A7985"/>
    <w:rsid w:val="007B14DE"/>
    <w:rsid w:val="007B1827"/>
    <w:rsid w:val="007B23EC"/>
    <w:rsid w:val="007B4498"/>
    <w:rsid w:val="007B5212"/>
    <w:rsid w:val="007B6689"/>
    <w:rsid w:val="007C042D"/>
    <w:rsid w:val="007C17A1"/>
    <w:rsid w:val="007C20B2"/>
    <w:rsid w:val="007C222B"/>
    <w:rsid w:val="007C2D11"/>
    <w:rsid w:val="007C398F"/>
    <w:rsid w:val="007C4222"/>
    <w:rsid w:val="007C42C1"/>
    <w:rsid w:val="007C4955"/>
    <w:rsid w:val="007C6BBD"/>
    <w:rsid w:val="007C7252"/>
    <w:rsid w:val="007C7381"/>
    <w:rsid w:val="007D0B6E"/>
    <w:rsid w:val="007D13C8"/>
    <w:rsid w:val="007D223A"/>
    <w:rsid w:val="007D293C"/>
    <w:rsid w:val="007D318F"/>
    <w:rsid w:val="007D385F"/>
    <w:rsid w:val="007D3C6C"/>
    <w:rsid w:val="007D40DF"/>
    <w:rsid w:val="007D5AE6"/>
    <w:rsid w:val="007D713E"/>
    <w:rsid w:val="007D7DF1"/>
    <w:rsid w:val="007E10B7"/>
    <w:rsid w:val="007E11DF"/>
    <w:rsid w:val="007E1327"/>
    <w:rsid w:val="007E1FE8"/>
    <w:rsid w:val="007E29B4"/>
    <w:rsid w:val="007E2E22"/>
    <w:rsid w:val="007E435A"/>
    <w:rsid w:val="007E5052"/>
    <w:rsid w:val="007E5B38"/>
    <w:rsid w:val="007E5C29"/>
    <w:rsid w:val="007E6A6D"/>
    <w:rsid w:val="007E76C3"/>
    <w:rsid w:val="007E79DF"/>
    <w:rsid w:val="007E7DD7"/>
    <w:rsid w:val="007E7E61"/>
    <w:rsid w:val="007E7FCE"/>
    <w:rsid w:val="007F0076"/>
    <w:rsid w:val="007F02BF"/>
    <w:rsid w:val="007F0845"/>
    <w:rsid w:val="007F1D19"/>
    <w:rsid w:val="007F2276"/>
    <w:rsid w:val="007F2FC9"/>
    <w:rsid w:val="007F3C5C"/>
    <w:rsid w:val="007F4FAD"/>
    <w:rsid w:val="007F6133"/>
    <w:rsid w:val="007F6CA3"/>
    <w:rsid w:val="007F6DCB"/>
    <w:rsid w:val="007F708D"/>
    <w:rsid w:val="007F74C4"/>
    <w:rsid w:val="007F7CA0"/>
    <w:rsid w:val="00800216"/>
    <w:rsid w:val="00800A3B"/>
    <w:rsid w:val="0080170D"/>
    <w:rsid w:val="00801C76"/>
    <w:rsid w:val="00801E13"/>
    <w:rsid w:val="008031D4"/>
    <w:rsid w:val="00804202"/>
    <w:rsid w:val="00804252"/>
    <w:rsid w:val="00804B15"/>
    <w:rsid w:val="00804BA6"/>
    <w:rsid w:val="008068B1"/>
    <w:rsid w:val="00806CCE"/>
    <w:rsid w:val="00807365"/>
    <w:rsid w:val="00807C82"/>
    <w:rsid w:val="00810C82"/>
    <w:rsid w:val="00811E1D"/>
    <w:rsid w:val="00811EC3"/>
    <w:rsid w:val="00812141"/>
    <w:rsid w:val="00813F1A"/>
    <w:rsid w:val="008143E9"/>
    <w:rsid w:val="008145C6"/>
    <w:rsid w:val="008147D5"/>
    <w:rsid w:val="00814B15"/>
    <w:rsid w:val="008161A3"/>
    <w:rsid w:val="00816905"/>
    <w:rsid w:val="00817E55"/>
    <w:rsid w:val="00820D37"/>
    <w:rsid w:val="00820E1C"/>
    <w:rsid w:val="0082132C"/>
    <w:rsid w:val="00821373"/>
    <w:rsid w:val="0082151E"/>
    <w:rsid w:val="0082159F"/>
    <w:rsid w:val="00821777"/>
    <w:rsid w:val="00821C44"/>
    <w:rsid w:val="00821FF6"/>
    <w:rsid w:val="00822574"/>
    <w:rsid w:val="00822BB6"/>
    <w:rsid w:val="00822EE1"/>
    <w:rsid w:val="0082342B"/>
    <w:rsid w:val="0082466B"/>
    <w:rsid w:val="0082526C"/>
    <w:rsid w:val="00825C4D"/>
    <w:rsid w:val="00825CC3"/>
    <w:rsid w:val="00826D39"/>
    <w:rsid w:val="008304D1"/>
    <w:rsid w:val="0083071E"/>
    <w:rsid w:val="0083078E"/>
    <w:rsid w:val="00830824"/>
    <w:rsid w:val="008308D5"/>
    <w:rsid w:val="00830D03"/>
    <w:rsid w:val="0083143E"/>
    <w:rsid w:val="00831631"/>
    <w:rsid w:val="00831CDE"/>
    <w:rsid w:val="00832736"/>
    <w:rsid w:val="00833097"/>
    <w:rsid w:val="00833F17"/>
    <w:rsid w:val="00834304"/>
    <w:rsid w:val="00834FAA"/>
    <w:rsid w:val="0083516C"/>
    <w:rsid w:val="00836086"/>
    <w:rsid w:val="008403BB"/>
    <w:rsid w:val="00840DD4"/>
    <w:rsid w:val="00842B6F"/>
    <w:rsid w:val="008439CC"/>
    <w:rsid w:val="00843A14"/>
    <w:rsid w:val="00843FE9"/>
    <w:rsid w:val="0084472B"/>
    <w:rsid w:val="008456E4"/>
    <w:rsid w:val="00845CD7"/>
    <w:rsid w:val="00846121"/>
    <w:rsid w:val="008462A8"/>
    <w:rsid w:val="008464C4"/>
    <w:rsid w:val="0084708F"/>
    <w:rsid w:val="008477C8"/>
    <w:rsid w:val="00847963"/>
    <w:rsid w:val="00850815"/>
    <w:rsid w:val="0085114D"/>
    <w:rsid w:val="0085194F"/>
    <w:rsid w:val="00852217"/>
    <w:rsid w:val="00852C9C"/>
    <w:rsid w:val="008534B7"/>
    <w:rsid w:val="00853B8D"/>
    <w:rsid w:val="00854B29"/>
    <w:rsid w:val="00854F24"/>
    <w:rsid w:val="00855408"/>
    <w:rsid w:val="00855712"/>
    <w:rsid w:val="00856D65"/>
    <w:rsid w:val="00856FA5"/>
    <w:rsid w:val="008575BE"/>
    <w:rsid w:val="00860454"/>
    <w:rsid w:val="008606F3"/>
    <w:rsid w:val="00860E39"/>
    <w:rsid w:val="0086148F"/>
    <w:rsid w:val="00861B41"/>
    <w:rsid w:val="00861BE3"/>
    <w:rsid w:val="00863434"/>
    <w:rsid w:val="00864382"/>
    <w:rsid w:val="00864386"/>
    <w:rsid w:val="008644C3"/>
    <w:rsid w:val="008649BC"/>
    <w:rsid w:val="00865D45"/>
    <w:rsid w:val="00865E4C"/>
    <w:rsid w:val="00867414"/>
    <w:rsid w:val="008701E4"/>
    <w:rsid w:val="0087052A"/>
    <w:rsid w:val="00871069"/>
    <w:rsid w:val="008715A3"/>
    <w:rsid w:val="00872C9A"/>
    <w:rsid w:val="008734A8"/>
    <w:rsid w:val="008734E6"/>
    <w:rsid w:val="008736BF"/>
    <w:rsid w:val="008738FC"/>
    <w:rsid w:val="00875473"/>
    <w:rsid w:val="00875A32"/>
    <w:rsid w:val="00876086"/>
    <w:rsid w:val="008766AC"/>
    <w:rsid w:val="00876995"/>
    <w:rsid w:val="008774C1"/>
    <w:rsid w:val="00877928"/>
    <w:rsid w:val="00877BEC"/>
    <w:rsid w:val="008809C2"/>
    <w:rsid w:val="008813CE"/>
    <w:rsid w:val="00881EAF"/>
    <w:rsid w:val="008825B0"/>
    <w:rsid w:val="0088317A"/>
    <w:rsid w:val="0088395C"/>
    <w:rsid w:val="00884AD6"/>
    <w:rsid w:val="00884D49"/>
    <w:rsid w:val="00884EC7"/>
    <w:rsid w:val="00884F46"/>
    <w:rsid w:val="00885509"/>
    <w:rsid w:val="008870F7"/>
    <w:rsid w:val="008871FC"/>
    <w:rsid w:val="008873D4"/>
    <w:rsid w:val="0088793E"/>
    <w:rsid w:val="00890D6D"/>
    <w:rsid w:val="0089126C"/>
    <w:rsid w:val="0089151D"/>
    <w:rsid w:val="0089296D"/>
    <w:rsid w:val="00893119"/>
    <w:rsid w:val="00893404"/>
    <w:rsid w:val="00893E85"/>
    <w:rsid w:val="00894031"/>
    <w:rsid w:val="008942C9"/>
    <w:rsid w:val="00895508"/>
    <w:rsid w:val="0089588A"/>
    <w:rsid w:val="00896167"/>
    <w:rsid w:val="008965B7"/>
    <w:rsid w:val="00896807"/>
    <w:rsid w:val="00897F41"/>
    <w:rsid w:val="008A0BBE"/>
    <w:rsid w:val="008A1483"/>
    <w:rsid w:val="008A2099"/>
    <w:rsid w:val="008A28CE"/>
    <w:rsid w:val="008A3594"/>
    <w:rsid w:val="008A3D77"/>
    <w:rsid w:val="008A473C"/>
    <w:rsid w:val="008A6493"/>
    <w:rsid w:val="008A6CB4"/>
    <w:rsid w:val="008B09A7"/>
    <w:rsid w:val="008B13FE"/>
    <w:rsid w:val="008B1FA6"/>
    <w:rsid w:val="008B258B"/>
    <w:rsid w:val="008B2877"/>
    <w:rsid w:val="008B3A79"/>
    <w:rsid w:val="008B4833"/>
    <w:rsid w:val="008B4FCF"/>
    <w:rsid w:val="008B4FD8"/>
    <w:rsid w:val="008B542E"/>
    <w:rsid w:val="008B59B2"/>
    <w:rsid w:val="008B5CF6"/>
    <w:rsid w:val="008B5E01"/>
    <w:rsid w:val="008B5F6A"/>
    <w:rsid w:val="008B7103"/>
    <w:rsid w:val="008B768D"/>
    <w:rsid w:val="008B76AB"/>
    <w:rsid w:val="008B7C02"/>
    <w:rsid w:val="008B7D2B"/>
    <w:rsid w:val="008C0049"/>
    <w:rsid w:val="008C054D"/>
    <w:rsid w:val="008C0A0B"/>
    <w:rsid w:val="008C0B3A"/>
    <w:rsid w:val="008C0E29"/>
    <w:rsid w:val="008C0E88"/>
    <w:rsid w:val="008C1968"/>
    <w:rsid w:val="008C2537"/>
    <w:rsid w:val="008C3953"/>
    <w:rsid w:val="008C3ED5"/>
    <w:rsid w:val="008C4486"/>
    <w:rsid w:val="008C53CB"/>
    <w:rsid w:val="008C6CF4"/>
    <w:rsid w:val="008C6FD4"/>
    <w:rsid w:val="008C713F"/>
    <w:rsid w:val="008C762C"/>
    <w:rsid w:val="008D07B9"/>
    <w:rsid w:val="008D1BA1"/>
    <w:rsid w:val="008D1E6A"/>
    <w:rsid w:val="008D2A16"/>
    <w:rsid w:val="008D2F53"/>
    <w:rsid w:val="008D38B6"/>
    <w:rsid w:val="008D3BDF"/>
    <w:rsid w:val="008D5398"/>
    <w:rsid w:val="008D5792"/>
    <w:rsid w:val="008D60FD"/>
    <w:rsid w:val="008D632C"/>
    <w:rsid w:val="008D6B35"/>
    <w:rsid w:val="008D6C14"/>
    <w:rsid w:val="008D75D9"/>
    <w:rsid w:val="008D792D"/>
    <w:rsid w:val="008E163D"/>
    <w:rsid w:val="008E215D"/>
    <w:rsid w:val="008E2C57"/>
    <w:rsid w:val="008E31FF"/>
    <w:rsid w:val="008E3D12"/>
    <w:rsid w:val="008E3E9D"/>
    <w:rsid w:val="008E4A7C"/>
    <w:rsid w:val="008E582C"/>
    <w:rsid w:val="008E6542"/>
    <w:rsid w:val="008E6F06"/>
    <w:rsid w:val="008E6F24"/>
    <w:rsid w:val="008E6F8B"/>
    <w:rsid w:val="008E72A6"/>
    <w:rsid w:val="008E7336"/>
    <w:rsid w:val="008E77B5"/>
    <w:rsid w:val="008E7FC9"/>
    <w:rsid w:val="008F029B"/>
    <w:rsid w:val="008F100E"/>
    <w:rsid w:val="008F16B9"/>
    <w:rsid w:val="008F1D0A"/>
    <w:rsid w:val="008F3FC9"/>
    <w:rsid w:val="008F4380"/>
    <w:rsid w:val="008F4B7F"/>
    <w:rsid w:val="008F4F78"/>
    <w:rsid w:val="008F585B"/>
    <w:rsid w:val="008F5E37"/>
    <w:rsid w:val="008F5EC9"/>
    <w:rsid w:val="008F63C8"/>
    <w:rsid w:val="008F6CE6"/>
    <w:rsid w:val="008F75BE"/>
    <w:rsid w:val="008F75C5"/>
    <w:rsid w:val="008F7E77"/>
    <w:rsid w:val="009003A8"/>
    <w:rsid w:val="0090149C"/>
    <w:rsid w:val="00901518"/>
    <w:rsid w:val="0090157D"/>
    <w:rsid w:val="00901BCC"/>
    <w:rsid w:val="0090225A"/>
    <w:rsid w:val="00902500"/>
    <w:rsid w:val="009029A4"/>
    <w:rsid w:val="00902EFF"/>
    <w:rsid w:val="00903165"/>
    <w:rsid w:val="00903C11"/>
    <w:rsid w:val="00906401"/>
    <w:rsid w:val="0090651C"/>
    <w:rsid w:val="00907C10"/>
    <w:rsid w:val="0091155E"/>
    <w:rsid w:val="00911F27"/>
    <w:rsid w:val="00912A92"/>
    <w:rsid w:val="00914878"/>
    <w:rsid w:val="00914968"/>
    <w:rsid w:val="00914A3D"/>
    <w:rsid w:val="00916567"/>
    <w:rsid w:val="009165A2"/>
    <w:rsid w:val="00916AF7"/>
    <w:rsid w:val="00916BC1"/>
    <w:rsid w:val="00917170"/>
    <w:rsid w:val="0091728D"/>
    <w:rsid w:val="0092180B"/>
    <w:rsid w:val="00921F14"/>
    <w:rsid w:val="00922EC2"/>
    <w:rsid w:val="009231A3"/>
    <w:rsid w:val="00923FAC"/>
    <w:rsid w:val="00924097"/>
    <w:rsid w:val="009246F6"/>
    <w:rsid w:val="00924751"/>
    <w:rsid w:val="00924AC8"/>
    <w:rsid w:val="0092597A"/>
    <w:rsid w:val="00925E75"/>
    <w:rsid w:val="00927E8F"/>
    <w:rsid w:val="00930992"/>
    <w:rsid w:val="00930FB1"/>
    <w:rsid w:val="0093139F"/>
    <w:rsid w:val="00932443"/>
    <w:rsid w:val="00932AC9"/>
    <w:rsid w:val="009343AD"/>
    <w:rsid w:val="00934464"/>
    <w:rsid w:val="00934B5F"/>
    <w:rsid w:val="00936F50"/>
    <w:rsid w:val="0093790E"/>
    <w:rsid w:val="00937AE2"/>
    <w:rsid w:val="00940484"/>
    <w:rsid w:val="00941E15"/>
    <w:rsid w:val="00942ACC"/>
    <w:rsid w:val="00943853"/>
    <w:rsid w:val="0094427A"/>
    <w:rsid w:val="00944A35"/>
    <w:rsid w:val="00945245"/>
    <w:rsid w:val="009452D0"/>
    <w:rsid w:val="00947CEF"/>
    <w:rsid w:val="00950CC1"/>
    <w:rsid w:val="00951CB1"/>
    <w:rsid w:val="00953E53"/>
    <w:rsid w:val="00954FD6"/>
    <w:rsid w:val="00955E5A"/>
    <w:rsid w:val="00956572"/>
    <w:rsid w:val="00957309"/>
    <w:rsid w:val="0095759C"/>
    <w:rsid w:val="009607C5"/>
    <w:rsid w:val="00961532"/>
    <w:rsid w:val="00961BD9"/>
    <w:rsid w:val="0096307C"/>
    <w:rsid w:val="00963AB3"/>
    <w:rsid w:val="0096593B"/>
    <w:rsid w:val="009659E1"/>
    <w:rsid w:val="00965EEF"/>
    <w:rsid w:val="0096666B"/>
    <w:rsid w:val="00966940"/>
    <w:rsid w:val="00966E1F"/>
    <w:rsid w:val="0096774F"/>
    <w:rsid w:val="00967E1B"/>
    <w:rsid w:val="00967E76"/>
    <w:rsid w:val="00970716"/>
    <w:rsid w:val="00970DF4"/>
    <w:rsid w:val="009714FD"/>
    <w:rsid w:val="00971519"/>
    <w:rsid w:val="00972129"/>
    <w:rsid w:val="009721DB"/>
    <w:rsid w:val="0097239B"/>
    <w:rsid w:val="00973107"/>
    <w:rsid w:val="00974071"/>
    <w:rsid w:val="009748DF"/>
    <w:rsid w:val="00974923"/>
    <w:rsid w:val="00974AEB"/>
    <w:rsid w:val="00975BF2"/>
    <w:rsid w:val="009808F7"/>
    <w:rsid w:val="00980D3D"/>
    <w:rsid w:val="00980F3E"/>
    <w:rsid w:val="00981177"/>
    <w:rsid w:val="00981FFA"/>
    <w:rsid w:val="00983035"/>
    <w:rsid w:val="0098378C"/>
    <w:rsid w:val="00985569"/>
    <w:rsid w:val="009855E1"/>
    <w:rsid w:val="00986D06"/>
    <w:rsid w:val="00987A30"/>
    <w:rsid w:val="00990102"/>
    <w:rsid w:val="00991E07"/>
    <w:rsid w:val="00992CF3"/>
    <w:rsid w:val="00993BEF"/>
    <w:rsid w:val="00993C2A"/>
    <w:rsid w:val="0099450E"/>
    <w:rsid w:val="00994868"/>
    <w:rsid w:val="0099574A"/>
    <w:rsid w:val="00995C6D"/>
    <w:rsid w:val="00995C95"/>
    <w:rsid w:val="00995D56"/>
    <w:rsid w:val="009967F2"/>
    <w:rsid w:val="009968D6"/>
    <w:rsid w:val="00996A53"/>
    <w:rsid w:val="00996DBD"/>
    <w:rsid w:val="00997F37"/>
    <w:rsid w:val="009A0AD3"/>
    <w:rsid w:val="009A1761"/>
    <w:rsid w:val="009A1CAB"/>
    <w:rsid w:val="009A1DEB"/>
    <w:rsid w:val="009A28B2"/>
    <w:rsid w:val="009A2E25"/>
    <w:rsid w:val="009A461A"/>
    <w:rsid w:val="009A4E7B"/>
    <w:rsid w:val="009A60D1"/>
    <w:rsid w:val="009A643E"/>
    <w:rsid w:val="009A795A"/>
    <w:rsid w:val="009B0AC7"/>
    <w:rsid w:val="009B0AFB"/>
    <w:rsid w:val="009B2633"/>
    <w:rsid w:val="009B263B"/>
    <w:rsid w:val="009B2896"/>
    <w:rsid w:val="009B2C7D"/>
    <w:rsid w:val="009B4034"/>
    <w:rsid w:val="009B475E"/>
    <w:rsid w:val="009B48C0"/>
    <w:rsid w:val="009B49B1"/>
    <w:rsid w:val="009B6508"/>
    <w:rsid w:val="009B6F12"/>
    <w:rsid w:val="009B6FD3"/>
    <w:rsid w:val="009B7BED"/>
    <w:rsid w:val="009B7C76"/>
    <w:rsid w:val="009B7E27"/>
    <w:rsid w:val="009C02C3"/>
    <w:rsid w:val="009C0956"/>
    <w:rsid w:val="009C1750"/>
    <w:rsid w:val="009C1C14"/>
    <w:rsid w:val="009C2ACA"/>
    <w:rsid w:val="009C2E29"/>
    <w:rsid w:val="009C3F5D"/>
    <w:rsid w:val="009C3F70"/>
    <w:rsid w:val="009C4883"/>
    <w:rsid w:val="009C4EC5"/>
    <w:rsid w:val="009C554B"/>
    <w:rsid w:val="009C58CC"/>
    <w:rsid w:val="009C59D0"/>
    <w:rsid w:val="009C61F3"/>
    <w:rsid w:val="009C6352"/>
    <w:rsid w:val="009C65DC"/>
    <w:rsid w:val="009C6EF9"/>
    <w:rsid w:val="009C719E"/>
    <w:rsid w:val="009C7240"/>
    <w:rsid w:val="009C7A10"/>
    <w:rsid w:val="009C7E11"/>
    <w:rsid w:val="009D1120"/>
    <w:rsid w:val="009D14F4"/>
    <w:rsid w:val="009D201B"/>
    <w:rsid w:val="009D24D5"/>
    <w:rsid w:val="009D29DB"/>
    <w:rsid w:val="009D3803"/>
    <w:rsid w:val="009D3ACD"/>
    <w:rsid w:val="009D3B3F"/>
    <w:rsid w:val="009D4785"/>
    <w:rsid w:val="009D5649"/>
    <w:rsid w:val="009D7FC6"/>
    <w:rsid w:val="009E0CDF"/>
    <w:rsid w:val="009E16C0"/>
    <w:rsid w:val="009E1988"/>
    <w:rsid w:val="009E33BB"/>
    <w:rsid w:val="009E3AF1"/>
    <w:rsid w:val="009E4927"/>
    <w:rsid w:val="009E5127"/>
    <w:rsid w:val="009E5273"/>
    <w:rsid w:val="009E5685"/>
    <w:rsid w:val="009E5AD5"/>
    <w:rsid w:val="009E5DDB"/>
    <w:rsid w:val="009E7F05"/>
    <w:rsid w:val="009F034E"/>
    <w:rsid w:val="009F46B7"/>
    <w:rsid w:val="009F4CA7"/>
    <w:rsid w:val="009F563F"/>
    <w:rsid w:val="009F7558"/>
    <w:rsid w:val="009F791A"/>
    <w:rsid w:val="00A00CEF"/>
    <w:rsid w:val="00A0156B"/>
    <w:rsid w:val="00A022B7"/>
    <w:rsid w:val="00A03BF3"/>
    <w:rsid w:val="00A0406E"/>
    <w:rsid w:val="00A044C1"/>
    <w:rsid w:val="00A044D8"/>
    <w:rsid w:val="00A04CEF"/>
    <w:rsid w:val="00A06374"/>
    <w:rsid w:val="00A0642E"/>
    <w:rsid w:val="00A077E2"/>
    <w:rsid w:val="00A10BE6"/>
    <w:rsid w:val="00A10D66"/>
    <w:rsid w:val="00A10D89"/>
    <w:rsid w:val="00A12306"/>
    <w:rsid w:val="00A12CAE"/>
    <w:rsid w:val="00A13BDB"/>
    <w:rsid w:val="00A14114"/>
    <w:rsid w:val="00A144BA"/>
    <w:rsid w:val="00A14995"/>
    <w:rsid w:val="00A1537C"/>
    <w:rsid w:val="00A16413"/>
    <w:rsid w:val="00A1684E"/>
    <w:rsid w:val="00A16E1D"/>
    <w:rsid w:val="00A178D0"/>
    <w:rsid w:val="00A17918"/>
    <w:rsid w:val="00A17A35"/>
    <w:rsid w:val="00A17D5B"/>
    <w:rsid w:val="00A17EB2"/>
    <w:rsid w:val="00A206E5"/>
    <w:rsid w:val="00A20CC0"/>
    <w:rsid w:val="00A2141F"/>
    <w:rsid w:val="00A21D25"/>
    <w:rsid w:val="00A220CB"/>
    <w:rsid w:val="00A22C64"/>
    <w:rsid w:val="00A22DA7"/>
    <w:rsid w:val="00A23447"/>
    <w:rsid w:val="00A23E43"/>
    <w:rsid w:val="00A24A80"/>
    <w:rsid w:val="00A25216"/>
    <w:rsid w:val="00A25477"/>
    <w:rsid w:val="00A25DB9"/>
    <w:rsid w:val="00A25DC6"/>
    <w:rsid w:val="00A267EF"/>
    <w:rsid w:val="00A30825"/>
    <w:rsid w:val="00A30D32"/>
    <w:rsid w:val="00A30D6F"/>
    <w:rsid w:val="00A30DE7"/>
    <w:rsid w:val="00A30F65"/>
    <w:rsid w:val="00A318DC"/>
    <w:rsid w:val="00A32BF2"/>
    <w:rsid w:val="00A33549"/>
    <w:rsid w:val="00A33814"/>
    <w:rsid w:val="00A33A89"/>
    <w:rsid w:val="00A33FC9"/>
    <w:rsid w:val="00A349DB"/>
    <w:rsid w:val="00A34D27"/>
    <w:rsid w:val="00A37C50"/>
    <w:rsid w:val="00A40373"/>
    <w:rsid w:val="00A40A0B"/>
    <w:rsid w:val="00A40A92"/>
    <w:rsid w:val="00A40EAC"/>
    <w:rsid w:val="00A40EDD"/>
    <w:rsid w:val="00A418BC"/>
    <w:rsid w:val="00A4206C"/>
    <w:rsid w:val="00A4279D"/>
    <w:rsid w:val="00A4346A"/>
    <w:rsid w:val="00A44D0C"/>
    <w:rsid w:val="00A4632B"/>
    <w:rsid w:val="00A46DE0"/>
    <w:rsid w:val="00A472EB"/>
    <w:rsid w:val="00A47FCA"/>
    <w:rsid w:val="00A50D73"/>
    <w:rsid w:val="00A51070"/>
    <w:rsid w:val="00A527E8"/>
    <w:rsid w:val="00A52CAD"/>
    <w:rsid w:val="00A53458"/>
    <w:rsid w:val="00A53FC7"/>
    <w:rsid w:val="00A5402E"/>
    <w:rsid w:val="00A54275"/>
    <w:rsid w:val="00A55208"/>
    <w:rsid w:val="00A563D1"/>
    <w:rsid w:val="00A57C75"/>
    <w:rsid w:val="00A601C4"/>
    <w:rsid w:val="00A6051A"/>
    <w:rsid w:val="00A60799"/>
    <w:rsid w:val="00A6118B"/>
    <w:rsid w:val="00A61B63"/>
    <w:rsid w:val="00A6238E"/>
    <w:rsid w:val="00A62CE1"/>
    <w:rsid w:val="00A63C9B"/>
    <w:rsid w:val="00A64380"/>
    <w:rsid w:val="00A64B59"/>
    <w:rsid w:val="00A668A3"/>
    <w:rsid w:val="00A66F56"/>
    <w:rsid w:val="00A6741E"/>
    <w:rsid w:val="00A73109"/>
    <w:rsid w:val="00A73C0E"/>
    <w:rsid w:val="00A74EBD"/>
    <w:rsid w:val="00A754EA"/>
    <w:rsid w:val="00A75E40"/>
    <w:rsid w:val="00A765FD"/>
    <w:rsid w:val="00A76AF7"/>
    <w:rsid w:val="00A770F4"/>
    <w:rsid w:val="00A77D1D"/>
    <w:rsid w:val="00A82A8A"/>
    <w:rsid w:val="00A8349D"/>
    <w:rsid w:val="00A83B53"/>
    <w:rsid w:val="00A8449B"/>
    <w:rsid w:val="00A84A6A"/>
    <w:rsid w:val="00A857C0"/>
    <w:rsid w:val="00A85B5F"/>
    <w:rsid w:val="00A87F87"/>
    <w:rsid w:val="00A90FED"/>
    <w:rsid w:val="00A915C7"/>
    <w:rsid w:val="00A91AAB"/>
    <w:rsid w:val="00A91C1B"/>
    <w:rsid w:val="00A91EF3"/>
    <w:rsid w:val="00A94174"/>
    <w:rsid w:val="00A941F8"/>
    <w:rsid w:val="00A94ED2"/>
    <w:rsid w:val="00A95478"/>
    <w:rsid w:val="00A958F0"/>
    <w:rsid w:val="00A96371"/>
    <w:rsid w:val="00A97E48"/>
    <w:rsid w:val="00AA0591"/>
    <w:rsid w:val="00AA0ABE"/>
    <w:rsid w:val="00AA2996"/>
    <w:rsid w:val="00AA2A70"/>
    <w:rsid w:val="00AA2DA1"/>
    <w:rsid w:val="00AA4B30"/>
    <w:rsid w:val="00AA52BF"/>
    <w:rsid w:val="00AA559A"/>
    <w:rsid w:val="00AA58D7"/>
    <w:rsid w:val="00AA6953"/>
    <w:rsid w:val="00AA765D"/>
    <w:rsid w:val="00AB235A"/>
    <w:rsid w:val="00AB2AF1"/>
    <w:rsid w:val="00AB32CC"/>
    <w:rsid w:val="00AB5242"/>
    <w:rsid w:val="00AB535B"/>
    <w:rsid w:val="00AB63D5"/>
    <w:rsid w:val="00AB7936"/>
    <w:rsid w:val="00AB7F52"/>
    <w:rsid w:val="00AB7FE4"/>
    <w:rsid w:val="00AC45BD"/>
    <w:rsid w:val="00AC5791"/>
    <w:rsid w:val="00AC633A"/>
    <w:rsid w:val="00AC634C"/>
    <w:rsid w:val="00AC6D7C"/>
    <w:rsid w:val="00AC6D9A"/>
    <w:rsid w:val="00AC73C6"/>
    <w:rsid w:val="00AD0FBF"/>
    <w:rsid w:val="00AD101F"/>
    <w:rsid w:val="00AD1543"/>
    <w:rsid w:val="00AD15BB"/>
    <w:rsid w:val="00AD168E"/>
    <w:rsid w:val="00AD1DA1"/>
    <w:rsid w:val="00AD1E15"/>
    <w:rsid w:val="00AD2A17"/>
    <w:rsid w:val="00AD2BF6"/>
    <w:rsid w:val="00AD306C"/>
    <w:rsid w:val="00AD3EB3"/>
    <w:rsid w:val="00AD4F16"/>
    <w:rsid w:val="00AD4FC5"/>
    <w:rsid w:val="00AD5152"/>
    <w:rsid w:val="00AD5323"/>
    <w:rsid w:val="00AD5B55"/>
    <w:rsid w:val="00AD5D52"/>
    <w:rsid w:val="00AD5E10"/>
    <w:rsid w:val="00AD68C4"/>
    <w:rsid w:val="00AD7A0A"/>
    <w:rsid w:val="00AE01AE"/>
    <w:rsid w:val="00AE09B3"/>
    <w:rsid w:val="00AE0ED3"/>
    <w:rsid w:val="00AE153F"/>
    <w:rsid w:val="00AE1585"/>
    <w:rsid w:val="00AE1A2E"/>
    <w:rsid w:val="00AE1A83"/>
    <w:rsid w:val="00AE31A7"/>
    <w:rsid w:val="00AE39CE"/>
    <w:rsid w:val="00AE5CB9"/>
    <w:rsid w:val="00AE63ED"/>
    <w:rsid w:val="00AE678D"/>
    <w:rsid w:val="00AF1DE9"/>
    <w:rsid w:val="00AF24F1"/>
    <w:rsid w:val="00AF2CC1"/>
    <w:rsid w:val="00AF3683"/>
    <w:rsid w:val="00AF3D9E"/>
    <w:rsid w:val="00AF4D60"/>
    <w:rsid w:val="00AF5579"/>
    <w:rsid w:val="00AF5911"/>
    <w:rsid w:val="00AF6128"/>
    <w:rsid w:val="00AF76EF"/>
    <w:rsid w:val="00B00913"/>
    <w:rsid w:val="00B01439"/>
    <w:rsid w:val="00B01593"/>
    <w:rsid w:val="00B01CF3"/>
    <w:rsid w:val="00B023F2"/>
    <w:rsid w:val="00B03033"/>
    <w:rsid w:val="00B04705"/>
    <w:rsid w:val="00B04911"/>
    <w:rsid w:val="00B04E70"/>
    <w:rsid w:val="00B04EF7"/>
    <w:rsid w:val="00B05704"/>
    <w:rsid w:val="00B06251"/>
    <w:rsid w:val="00B06547"/>
    <w:rsid w:val="00B07939"/>
    <w:rsid w:val="00B07959"/>
    <w:rsid w:val="00B07BBB"/>
    <w:rsid w:val="00B10325"/>
    <w:rsid w:val="00B104EC"/>
    <w:rsid w:val="00B10A08"/>
    <w:rsid w:val="00B10A4D"/>
    <w:rsid w:val="00B10E75"/>
    <w:rsid w:val="00B123E8"/>
    <w:rsid w:val="00B124EF"/>
    <w:rsid w:val="00B128A6"/>
    <w:rsid w:val="00B13EF3"/>
    <w:rsid w:val="00B14A5D"/>
    <w:rsid w:val="00B14BC1"/>
    <w:rsid w:val="00B15997"/>
    <w:rsid w:val="00B159F7"/>
    <w:rsid w:val="00B15A8D"/>
    <w:rsid w:val="00B175C8"/>
    <w:rsid w:val="00B17E71"/>
    <w:rsid w:val="00B17FDE"/>
    <w:rsid w:val="00B207A7"/>
    <w:rsid w:val="00B21017"/>
    <w:rsid w:val="00B2176C"/>
    <w:rsid w:val="00B21E2C"/>
    <w:rsid w:val="00B21EF9"/>
    <w:rsid w:val="00B2322A"/>
    <w:rsid w:val="00B2327B"/>
    <w:rsid w:val="00B2379C"/>
    <w:rsid w:val="00B24437"/>
    <w:rsid w:val="00B25189"/>
    <w:rsid w:val="00B2687D"/>
    <w:rsid w:val="00B26897"/>
    <w:rsid w:val="00B2724A"/>
    <w:rsid w:val="00B272BD"/>
    <w:rsid w:val="00B27A6B"/>
    <w:rsid w:val="00B30BA8"/>
    <w:rsid w:val="00B329E8"/>
    <w:rsid w:val="00B32DDB"/>
    <w:rsid w:val="00B333BC"/>
    <w:rsid w:val="00B333C7"/>
    <w:rsid w:val="00B34528"/>
    <w:rsid w:val="00B34CC9"/>
    <w:rsid w:val="00B35675"/>
    <w:rsid w:val="00B35763"/>
    <w:rsid w:val="00B35E8D"/>
    <w:rsid w:val="00B35FC1"/>
    <w:rsid w:val="00B379FE"/>
    <w:rsid w:val="00B40069"/>
    <w:rsid w:val="00B402FC"/>
    <w:rsid w:val="00B405BD"/>
    <w:rsid w:val="00B4263C"/>
    <w:rsid w:val="00B42F87"/>
    <w:rsid w:val="00B435B6"/>
    <w:rsid w:val="00B439DA"/>
    <w:rsid w:val="00B46604"/>
    <w:rsid w:val="00B46FA4"/>
    <w:rsid w:val="00B47195"/>
    <w:rsid w:val="00B47732"/>
    <w:rsid w:val="00B47C25"/>
    <w:rsid w:val="00B5060E"/>
    <w:rsid w:val="00B50624"/>
    <w:rsid w:val="00B5237E"/>
    <w:rsid w:val="00B5296C"/>
    <w:rsid w:val="00B530CD"/>
    <w:rsid w:val="00B53A26"/>
    <w:rsid w:val="00B55F5E"/>
    <w:rsid w:val="00B5752E"/>
    <w:rsid w:val="00B60423"/>
    <w:rsid w:val="00B63A11"/>
    <w:rsid w:val="00B63B6A"/>
    <w:rsid w:val="00B64C24"/>
    <w:rsid w:val="00B64CEC"/>
    <w:rsid w:val="00B64D8E"/>
    <w:rsid w:val="00B65139"/>
    <w:rsid w:val="00B6608F"/>
    <w:rsid w:val="00B66354"/>
    <w:rsid w:val="00B67472"/>
    <w:rsid w:val="00B67681"/>
    <w:rsid w:val="00B67768"/>
    <w:rsid w:val="00B679FB"/>
    <w:rsid w:val="00B702E6"/>
    <w:rsid w:val="00B704BC"/>
    <w:rsid w:val="00B71EF7"/>
    <w:rsid w:val="00B7288D"/>
    <w:rsid w:val="00B7289D"/>
    <w:rsid w:val="00B72EB1"/>
    <w:rsid w:val="00B7358C"/>
    <w:rsid w:val="00B74326"/>
    <w:rsid w:val="00B7665A"/>
    <w:rsid w:val="00B76D1E"/>
    <w:rsid w:val="00B77292"/>
    <w:rsid w:val="00B8028A"/>
    <w:rsid w:val="00B80B8B"/>
    <w:rsid w:val="00B80DE0"/>
    <w:rsid w:val="00B80EC6"/>
    <w:rsid w:val="00B82874"/>
    <w:rsid w:val="00B82905"/>
    <w:rsid w:val="00B829DF"/>
    <w:rsid w:val="00B82E21"/>
    <w:rsid w:val="00B83446"/>
    <w:rsid w:val="00B8424C"/>
    <w:rsid w:val="00B84B72"/>
    <w:rsid w:val="00B84B89"/>
    <w:rsid w:val="00B84CF6"/>
    <w:rsid w:val="00B857A1"/>
    <w:rsid w:val="00B85CC7"/>
    <w:rsid w:val="00B86A96"/>
    <w:rsid w:val="00B875A7"/>
    <w:rsid w:val="00B87623"/>
    <w:rsid w:val="00B90BAE"/>
    <w:rsid w:val="00B92D1D"/>
    <w:rsid w:val="00B938C5"/>
    <w:rsid w:val="00B94199"/>
    <w:rsid w:val="00B94C53"/>
    <w:rsid w:val="00B94D8F"/>
    <w:rsid w:val="00B95940"/>
    <w:rsid w:val="00B95957"/>
    <w:rsid w:val="00B96FAD"/>
    <w:rsid w:val="00B977D1"/>
    <w:rsid w:val="00BA2B75"/>
    <w:rsid w:val="00BA3029"/>
    <w:rsid w:val="00BA3793"/>
    <w:rsid w:val="00BA37EA"/>
    <w:rsid w:val="00BA4B77"/>
    <w:rsid w:val="00BA5256"/>
    <w:rsid w:val="00BA6AAF"/>
    <w:rsid w:val="00BA6C2B"/>
    <w:rsid w:val="00BB0637"/>
    <w:rsid w:val="00BB0E67"/>
    <w:rsid w:val="00BB22F6"/>
    <w:rsid w:val="00BB4283"/>
    <w:rsid w:val="00BB46F3"/>
    <w:rsid w:val="00BB4A29"/>
    <w:rsid w:val="00BB4CB1"/>
    <w:rsid w:val="00BB4F98"/>
    <w:rsid w:val="00BB5CCF"/>
    <w:rsid w:val="00BB73ED"/>
    <w:rsid w:val="00BB7875"/>
    <w:rsid w:val="00BC1DD9"/>
    <w:rsid w:val="00BC2788"/>
    <w:rsid w:val="00BC3208"/>
    <w:rsid w:val="00BC4F88"/>
    <w:rsid w:val="00BC5938"/>
    <w:rsid w:val="00BC5C12"/>
    <w:rsid w:val="00BC5E22"/>
    <w:rsid w:val="00BC6007"/>
    <w:rsid w:val="00BC7154"/>
    <w:rsid w:val="00BC731E"/>
    <w:rsid w:val="00BC7396"/>
    <w:rsid w:val="00BC77F6"/>
    <w:rsid w:val="00BD0046"/>
    <w:rsid w:val="00BD15F8"/>
    <w:rsid w:val="00BD1ED8"/>
    <w:rsid w:val="00BD3055"/>
    <w:rsid w:val="00BD366B"/>
    <w:rsid w:val="00BD6D50"/>
    <w:rsid w:val="00BE18B9"/>
    <w:rsid w:val="00BE19ED"/>
    <w:rsid w:val="00BE2495"/>
    <w:rsid w:val="00BE2D3D"/>
    <w:rsid w:val="00BE2D99"/>
    <w:rsid w:val="00BE35EA"/>
    <w:rsid w:val="00BE390E"/>
    <w:rsid w:val="00BE3D06"/>
    <w:rsid w:val="00BE4BED"/>
    <w:rsid w:val="00BE53A6"/>
    <w:rsid w:val="00BE5DAB"/>
    <w:rsid w:val="00BE6572"/>
    <w:rsid w:val="00BE7117"/>
    <w:rsid w:val="00BE7BCD"/>
    <w:rsid w:val="00BE7FCB"/>
    <w:rsid w:val="00BF1578"/>
    <w:rsid w:val="00BF1FA2"/>
    <w:rsid w:val="00BF2223"/>
    <w:rsid w:val="00BF3B1D"/>
    <w:rsid w:val="00BF3D6E"/>
    <w:rsid w:val="00BF4BD4"/>
    <w:rsid w:val="00BF59B6"/>
    <w:rsid w:val="00BF6D32"/>
    <w:rsid w:val="00BF71A0"/>
    <w:rsid w:val="00BF723F"/>
    <w:rsid w:val="00C0100E"/>
    <w:rsid w:val="00C02714"/>
    <w:rsid w:val="00C02943"/>
    <w:rsid w:val="00C03294"/>
    <w:rsid w:val="00C03ACD"/>
    <w:rsid w:val="00C03E33"/>
    <w:rsid w:val="00C04EA2"/>
    <w:rsid w:val="00C05360"/>
    <w:rsid w:val="00C05597"/>
    <w:rsid w:val="00C05B27"/>
    <w:rsid w:val="00C07A3D"/>
    <w:rsid w:val="00C10440"/>
    <w:rsid w:val="00C11B46"/>
    <w:rsid w:val="00C12629"/>
    <w:rsid w:val="00C12B02"/>
    <w:rsid w:val="00C12CFD"/>
    <w:rsid w:val="00C132F3"/>
    <w:rsid w:val="00C13980"/>
    <w:rsid w:val="00C13B37"/>
    <w:rsid w:val="00C144D7"/>
    <w:rsid w:val="00C1648C"/>
    <w:rsid w:val="00C16FB0"/>
    <w:rsid w:val="00C17B96"/>
    <w:rsid w:val="00C20A51"/>
    <w:rsid w:val="00C210CB"/>
    <w:rsid w:val="00C21325"/>
    <w:rsid w:val="00C21442"/>
    <w:rsid w:val="00C21721"/>
    <w:rsid w:val="00C21F94"/>
    <w:rsid w:val="00C22AA6"/>
    <w:rsid w:val="00C2307C"/>
    <w:rsid w:val="00C2330B"/>
    <w:rsid w:val="00C23319"/>
    <w:rsid w:val="00C240F3"/>
    <w:rsid w:val="00C26765"/>
    <w:rsid w:val="00C2750F"/>
    <w:rsid w:val="00C27913"/>
    <w:rsid w:val="00C27E4F"/>
    <w:rsid w:val="00C325AE"/>
    <w:rsid w:val="00C32964"/>
    <w:rsid w:val="00C32B5A"/>
    <w:rsid w:val="00C32BFF"/>
    <w:rsid w:val="00C32E5D"/>
    <w:rsid w:val="00C33B68"/>
    <w:rsid w:val="00C34756"/>
    <w:rsid w:val="00C34B09"/>
    <w:rsid w:val="00C354A2"/>
    <w:rsid w:val="00C36A79"/>
    <w:rsid w:val="00C36BCC"/>
    <w:rsid w:val="00C37C3D"/>
    <w:rsid w:val="00C401D2"/>
    <w:rsid w:val="00C405D4"/>
    <w:rsid w:val="00C4098C"/>
    <w:rsid w:val="00C41650"/>
    <w:rsid w:val="00C41D07"/>
    <w:rsid w:val="00C420B7"/>
    <w:rsid w:val="00C42869"/>
    <w:rsid w:val="00C42C3D"/>
    <w:rsid w:val="00C42CE8"/>
    <w:rsid w:val="00C4431F"/>
    <w:rsid w:val="00C44E9D"/>
    <w:rsid w:val="00C4513B"/>
    <w:rsid w:val="00C4627C"/>
    <w:rsid w:val="00C46423"/>
    <w:rsid w:val="00C473D4"/>
    <w:rsid w:val="00C4763B"/>
    <w:rsid w:val="00C52C3E"/>
    <w:rsid w:val="00C53854"/>
    <w:rsid w:val="00C5390B"/>
    <w:rsid w:val="00C53E5D"/>
    <w:rsid w:val="00C53E65"/>
    <w:rsid w:val="00C54141"/>
    <w:rsid w:val="00C5418A"/>
    <w:rsid w:val="00C54697"/>
    <w:rsid w:val="00C55400"/>
    <w:rsid w:val="00C56A5F"/>
    <w:rsid w:val="00C57BF0"/>
    <w:rsid w:val="00C6007E"/>
    <w:rsid w:val="00C60B8B"/>
    <w:rsid w:val="00C61BEF"/>
    <w:rsid w:val="00C62FEF"/>
    <w:rsid w:val="00C64A15"/>
    <w:rsid w:val="00C65535"/>
    <w:rsid w:val="00C65B6D"/>
    <w:rsid w:val="00C65C22"/>
    <w:rsid w:val="00C65F06"/>
    <w:rsid w:val="00C66222"/>
    <w:rsid w:val="00C66B0D"/>
    <w:rsid w:val="00C67599"/>
    <w:rsid w:val="00C718F3"/>
    <w:rsid w:val="00C71E85"/>
    <w:rsid w:val="00C7209C"/>
    <w:rsid w:val="00C72884"/>
    <w:rsid w:val="00C72CDE"/>
    <w:rsid w:val="00C72F3B"/>
    <w:rsid w:val="00C73885"/>
    <w:rsid w:val="00C73BA9"/>
    <w:rsid w:val="00C7466F"/>
    <w:rsid w:val="00C747B1"/>
    <w:rsid w:val="00C74B82"/>
    <w:rsid w:val="00C74CD8"/>
    <w:rsid w:val="00C7674F"/>
    <w:rsid w:val="00C76D12"/>
    <w:rsid w:val="00C77572"/>
    <w:rsid w:val="00C77AC4"/>
    <w:rsid w:val="00C77E1A"/>
    <w:rsid w:val="00C81BA9"/>
    <w:rsid w:val="00C82191"/>
    <w:rsid w:val="00C83134"/>
    <w:rsid w:val="00C843D9"/>
    <w:rsid w:val="00C845FA"/>
    <w:rsid w:val="00C85545"/>
    <w:rsid w:val="00C85845"/>
    <w:rsid w:val="00C85F8A"/>
    <w:rsid w:val="00C8788E"/>
    <w:rsid w:val="00C9003C"/>
    <w:rsid w:val="00C90847"/>
    <w:rsid w:val="00C90CF4"/>
    <w:rsid w:val="00C9288C"/>
    <w:rsid w:val="00C92EB6"/>
    <w:rsid w:val="00C93229"/>
    <w:rsid w:val="00C93389"/>
    <w:rsid w:val="00C945BC"/>
    <w:rsid w:val="00C949A2"/>
    <w:rsid w:val="00C95DB2"/>
    <w:rsid w:val="00C96040"/>
    <w:rsid w:val="00C96F2E"/>
    <w:rsid w:val="00C96F89"/>
    <w:rsid w:val="00C9769E"/>
    <w:rsid w:val="00CA0914"/>
    <w:rsid w:val="00CA1DC0"/>
    <w:rsid w:val="00CA4B7C"/>
    <w:rsid w:val="00CA591D"/>
    <w:rsid w:val="00CA6AB4"/>
    <w:rsid w:val="00CA6C88"/>
    <w:rsid w:val="00CA76F6"/>
    <w:rsid w:val="00CA78F5"/>
    <w:rsid w:val="00CA7BE7"/>
    <w:rsid w:val="00CB0A22"/>
    <w:rsid w:val="00CB1C2E"/>
    <w:rsid w:val="00CB2D0E"/>
    <w:rsid w:val="00CB2F3F"/>
    <w:rsid w:val="00CB340E"/>
    <w:rsid w:val="00CB4930"/>
    <w:rsid w:val="00CB5441"/>
    <w:rsid w:val="00CB67BF"/>
    <w:rsid w:val="00CB67F0"/>
    <w:rsid w:val="00CB6E6E"/>
    <w:rsid w:val="00CC028E"/>
    <w:rsid w:val="00CC06EE"/>
    <w:rsid w:val="00CC08A4"/>
    <w:rsid w:val="00CC0E87"/>
    <w:rsid w:val="00CC1DC5"/>
    <w:rsid w:val="00CC2E7D"/>
    <w:rsid w:val="00CC445E"/>
    <w:rsid w:val="00CC64C1"/>
    <w:rsid w:val="00CC6B42"/>
    <w:rsid w:val="00CC6BB9"/>
    <w:rsid w:val="00CD03BC"/>
    <w:rsid w:val="00CD085A"/>
    <w:rsid w:val="00CD09AC"/>
    <w:rsid w:val="00CD10A5"/>
    <w:rsid w:val="00CD12C0"/>
    <w:rsid w:val="00CD2076"/>
    <w:rsid w:val="00CD22D2"/>
    <w:rsid w:val="00CD29B5"/>
    <w:rsid w:val="00CD4DE9"/>
    <w:rsid w:val="00CD5A9D"/>
    <w:rsid w:val="00CD5D9F"/>
    <w:rsid w:val="00CD5E63"/>
    <w:rsid w:val="00CD6331"/>
    <w:rsid w:val="00CD6C83"/>
    <w:rsid w:val="00CD7494"/>
    <w:rsid w:val="00CD7704"/>
    <w:rsid w:val="00CD7AC0"/>
    <w:rsid w:val="00CD7AFB"/>
    <w:rsid w:val="00CE10DA"/>
    <w:rsid w:val="00CE173A"/>
    <w:rsid w:val="00CE233D"/>
    <w:rsid w:val="00CE27B2"/>
    <w:rsid w:val="00CE3932"/>
    <w:rsid w:val="00CE3E57"/>
    <w:rsid w:val="00CE51C5"/>
    <w:rsid w:val="00CE5794"/>
    <w:rsid w:val="00CE670B"/>
    <w:rsid w:val="00CE74E1"/>
    <w:rsid w:val="00CF11A4"/>
    <w:rsid w:val="00CF19CB"/>
    <w:rsid w:val="00CF2371"/>
    <w:rsid w:val="00CF262D"/>
    <w:rsid w:val="00CF322D"/>
    <w:rsid w:val="00CF39C9"/>
    <w:rsid w:val="00CF4908"/>
    <w:rsid w:val="00CF51EC"/>
    <w:rsid w:val="00CF59E5"/>
    <w:rsid w:val="00CF5CEA"/>
    <w:rsid w:val="00CF6459"/>
    <w:rsid w:val="00CF719E"/>
    <w:rsid w:val="00CF73AE"/>
    <w:rsid w:val="00CF7E85"/>
    <w:rsid w:val="00D00C24"/>
    <w:rsid w:val="00D0105D"/>
    <w:rsid w:val="00D012DB"/>
    <w:rsid w:val="00D0381E"/>
    <w:rsid w:val="00D040DD"/>
    <w:rsid w:val="00D043A0"/>
    <w:rsid w:val="00D04C1F"/>
    <w:rsid w:val="00D06B25"/>
    <w:rsid w:val="00D075BE"/>
    <w:rsid w:val="00D075CF"/>
    <w:rsid w:val="00D07D61"/>
    <w:rsid w:val="00D10999"/>
    <w:rsid w:val="00D11A3A"/>
    <w:rsid w:val="00D12B5B"/>
    <w:rsid w:val="00D13273"/>
    <w:rsid w:val="00D133BB"/>
    <w:rsid w:val="00D13986"/>
    <w:rsid w:val="00D147FE"/>
    <w:rsid w:val="00D15524"/>
    <w:rsid w:val="00D167DC"/>
    <w:rsid w:val="00D168EE"/>
    <w:rsid w:val="00D1753E"/>
    <w:rsid w:val="00D17AA6"/>
    <w:rsid w:val="00D17BB8"/>
    <w:rsid w:val="00D21687"/>
    <w:rsid w:val="00D21D83"/>
    <w:rsid w:val="00D2218D"/>
    <w:rsid w:val="00D2231E"/>
    <w:rsid w:val="00D2296F"/>
    <w:rsid w:val="00D22A86"/>
    <w:rsid w:val="00D235B7"/>
    <w:rsid w:val="00D237A7"/>
    <w:rsid w:val="00D23C02"/>
    <w:rsid w:val="00D23F97"/>
    <w:rsid w:val="00D23F99"/>
    <w:rsid w:val="00D24011"/>
    <w:rsid w:val="00D25F28"/>
    <w:rsid w:val="00D25FD1"/>
    <w:rsid w:val="00D26071"/>
    <w:rsid w:val="00D268CA"/>
    <w:rsid w:val="00D2738E"/>
    <w:rsid w:val="00D2760C"/>
    <w:rsid w:val="00D276BF"/>
    <w:rsid w:val="00D27973"/>
    <w:rsid w:val="00D3074E"/>
    <w:rsid w:val="00D30B3A"/>
    <w:rsid w:val="00D30D0F"/>
    <w:rsid w:val="00D31188"/>
    <w:rsid w:val="00D32468"/>
    <w:rsid w:val="00D35C3D"/>
    <w:rsid w:val="00D35E1A"/>
    <w:rsid w:val="00D36119"/>
    <w:rsid w:val="00D37C1E"/>
    <w:rsid w:val="00D40B2B"/>
    <w:rsid w:val="00D40F7C"/>
    <w:rsid w:val="00D41384"/>
    <w:rsid w:val="00D417B7"/>
    <w:rsid w:val="00D4182F"/>
    <w:rsid w:val="00D42211"/>
    <w:rsid w:val="00D42756"/>
    <w:rsid w:val="00D43F40"/>
    <w:rsid w:val="00D4446D"/>
    <w:rsid w:val="00D445AD"/>
    <w:rsid w:val="00D44F50"/>
    <w:rsid w:val="00D4551E"/>
    <w:rsid w:val="00D45569"/>
    <w:rsid w:val="00D455F5"/>
    <w:rsid w:val="00D458AD"/>
    <w:rsid w:val="00D46FF9"/>
    <w:rsid w:val="00D4758C"/>
    <w:rsid w:val="00D50F46"/>
    <w:rsid w:val="00D51744"/>
    <w:rsid w:val="00D54688"/>
    <w:rsid w:val="00D55033"/>
    <w:rsid w:val="00D567C6"/>
    <w:rsid w:val="00D575B0"/>
    <w:rsid w:val="00D57677"/>
    <w:rsid w:val="00D60773"/>
    <w:rsid w:val="00D60B90"/>
    <w:rsid w:val="00D6190C"/>
    <w:rsid w:val="00D619A8"/>
    <w:rsid w:val="00D61DF8"/>
    <w:rsid w:val="00D61FB9"/>
    <w:rsid w:val="00D62E64"/>
    <w:rsid w:val="00D6320C"/>
    <w:rsid w:val="00D638C8"/>
    <w:rsid w:val="00D6496E"/>
    <w:rsid w:val="00D650C7"/>
    <w:rsid w:val="00D65174"/>
    <w:rsid w:val="00D65537"/>
    <w:rsid w:val="00D658DF"/>
    <w:rsid w:val="00D65B26"/>
    <w:rsid w:val="00D66223"/>
    <w:rsid w:val="00D674D7"/>
    <w:rsid w:val="00D71625"/>
    <w:rsid w:val="00D71B65"/>
    <w:rsid w:val="00D71E43"/>
    <w:rsid w:val="00D7385F"/>
    <w:rsid w:val="00D751DA"/>
    <w:rsid w:val="00D756D2"/>
    <w:rsid w:val="00D76EC6"/>
    <w:rsid w:val="00D76FC3"/>
    <w:rsid w:val="00D7778F"/>
    <w:rsid w:val="00D8084C"/>
    <w:rsid w:val="00D8454D"/>
    <w:rsid w:val="00D865FF"/>
    <w:rsid w:val="00D900EA"/>
    <w:rsid w:val="00D901F4"/>
    <w:rsid w:val="00D915EA"/>
    <w:rsid w:val="00D92636"/>
    <w:rsid w:val="00D92EDA"/>
    <w:rsid w:val="00D9454B"/>
    <w:rsid w:val="00D94BF8"/>
    <w:rsid w:val="00D95195"/>
    <w:rsid w:val="00D95B04"/>
    <w:rsid w:val="00D95B68"/>
    <w:rsid w:val="00D96855"/>
    <w:rsid w:val="00D9785D"/>
    <w:rsid w:val="00DA2756"/>
    <w:rsid w:val="00DA3745"/>
    <w:rsid w:val="00DA3F50"/>
    <w:rsid w:val="00DA44DC"/>
    <w:rsid w:val="00DA47A8"/>
    <w:rsid w:val="00DA48C1"/>
    <w:rsid w:val="00DA724F"/>
    <w:rsid w:val="00DA7C0C"/>
    <w:rsid w:val="00DA7CDD"/>
    <w:rsid w:val="00DB08A9"/>
    <w:rsid w:val="00DB0DA5"/>
    <w:rsid w:val="00DB1019"/>
    <w:rsid w:val="00DB2EC8"/>
    <w:rsid w:val="00DB4AEF"/>
    <w:rsid w:val="00DB4E31"/>
    <w:rsid w:val="00DB5AF8"/>
    <w:rsid w:val="00DB5FC0"/>
    <w:rsid w:val="00DB6035"/>
    <w:rsid w:val="00DB6566"/>
    <w:rsid w:val="00DB77BB"/>
    <w:rsid w:val="00DC048E"/>
    <w:rsid w:val="00DC0DBD"/>
    <w:rsid w:val="00DC1B9B"/>
    <w:rsid w:val="00DC1E84"/>
    <w:rsid w:val="00DC36AA"/>
    <w:rsid w:val="00DC40D2"/>
    <w:rsid w:val="00DC48F1"/>
    <w:rsid w:val="00DC4DB8"/>
    <w:rsid w:val="00DC4EDE"/>
    <w:rsid w:val="00DC53F3"/>
    <w:rsid w:val="00DC5B3B"/>
    <w:rsid w:val="00DC6594"/>
    <w:rsid w:val="00DC788B"/>
    <w:rsid w:val="00DD0A61"/>
    <w:rsid w:val="00DD129F"/>
    <w:rsid w:val="00DD340B"/>
    <w:rsid w:val="00DD3E0E"/>
    <w:rsid w:val="00DD492B"/>
    <w:rsid w:val="00DD4B4B"/>
    <w:rsid w:val="00DD4C01"/>
    <w:rsid w:val="00DD4EFE"/>
    <w:rsid w:val="00DD5B19"/>
    <w:rsid w:val="00DD6243"/>
    <w:rsid w:val="00DD6956"/>
    <w:rsid w:val="00DE020E"/>
    <w:rsid w:val="00DE02BD"/>
    <w:rsid w:val="00DE05F6"/>
    <w:rsid w:val="00DE161B"/>
    <w:rsid w:val="00DE3DE3"/>
    <w:rsid w:val="00DE58BE"/>
    <w:rsid w:val="00DE5DBA"/>
    <w:rsid w:val="00DE7747"/>
    <w:rsid w:val="00DF2766"/>
    <w:rsid w:val="00DF2C89"/>
    <w:rsid w:val="00DF3DF6"/>
    <w:rsid w:val="00DF42FF"/>
    <w:rsid w:val="00DF4A1C"/>
    <w:rsid w:val="00DF5908"/>
    <w:rsid w:val="00DF6241"/>
    <w:rsid w:val="00DF768A"/>
    <w:rsid w:val="00DF7D4E"/>
    <w:rsid w:val="00E00AF8"/>
    <w:rsid w:val="00E01C0E"/>
    <w:rsid w:val="00E01F0A"/>
    <w:rsid w:val="00E0328D"/>
    <w:rsid w:val="00E03F9A"/>
    <w:rsid w:val="00E0465E"/>
    <w:rsid w:val="00E04694"/>
    <w:rsid w:val="00E049AE"/>
    <w:rsid w:val="00E0609D"/>
    <w:rsid w:val="00E06322"/>
    <w:rsid w:val="00E063CE"/>
    <w:rsid w:val="00E06D4B"/>
    <w:rsid w:val="00E0741F"/>
    <w:rsid w:val="00E114D5"/>
    <w:rsid w:val="00E12B1E"/>
    <w:rsid w:val="00E12F7C"/>
    <w:rsid w:val="00E13733"/>
    <w:rsid w:val="00E13784"/>
    <w:rsid w:val="00E13996"/>
    <w:rsid w:val="00E15B76"/>
    <w:rsid w:val="00E15F11"/>
    <w:rsid w:val="00E16208"/>
    <w:rsid w:val="00E16E65"/>
    <w:rsid w:val="00E17262"/>
    <w:rsid w:val="00E17608"/>
    <w:rsid w:val="00E207A9"/>
    <w:rsid w:val="00E20B53"/>
    <w:rsid w:val="00E239CE"/>
    <w:rsid w:val="00E24B6C"/>
    <w:rsid w:val="00E24BFC"/>
    <w:rsid w:val="00E253A2"/>
    <w:rsid w:val="00E25D3B"/>
    <w:rsid w:val="00E26274"/>
    <w:rsid w:val="00E27397"/>
    <w:rsid w:val="00E3030A"/>
    <w:rsid w:val="00E30AD3"/>
    <w:rsid w:val="00E30BB0"/>
    <w:rsid w:val="00E312D1"/>
    <w:rsid w:val="00E314B9"/>
    <w:rsid w:val="00E31932"/>
    <w:rsid w:val="00E31B27"/>
    <w:rsid w:val="00E31BA0"/>
    <w:rsid w:val="00E329EF"/>
    <w:rsid w:val="00E3309D"/>
    <w:rsid w:val="00E3442B"/>
    <w:rsid w:val="00E3680C"/>
    <w:rsid w:val="00E374F4"/>
    <w:rsid w:val="00E409C2"/>
    <w:rsid w:val="00E41A0E"/>
    <w:rsid w:val="00E42316"/>
    <w:rsid w:val="00E430FC"/>
    <w:rsid w:val="00E439D3"/>
    <w:rsid w:val="00E43C1C"/>
    <w:rsid w:val="00E43E9D"/>
    <w:rsid w:val="00E43EC0"/>
    <w:rsid w:val="00E44F51"/>
    <w:rsid w:val="00E45931"/>
    <w:rsid w:val="00E45C44"/>
    <w:rsid w:val="00E45D3D"/>
    <w:rsid w:val="00E4643F"/>
    <w:rsid w:val="00E46F7E"/>
    <w:rsid w:val="00E472EB"/>
    <w:rsid w:val="00E476F4"/>
    <w:rsid w:val="00E47774"/>
    <w:rsid w:val="00E47EBA"/>
    <w:rsid w:val="00E50156"/>
    <w:rsid w:val="00E50469"/>
    <w:rsid w:val="00E5114C"/>
    <w:rsid w:val="00E514E4"/>
    <w:rsid w:val="00E51643"/>
    <w:rsid w:val="00E519FD"/>
    <w:rsid w:val="00E524A3"/>
    <w:rsid w:val="00E53470"/>
    <w:rsid w:val="00E53874"/>
    <w:rsid w:val="00E539F6"/>
    <w:rsid w:val="00E53DAC"/>
    <w:rsid w:val="00E54E39"/>
    <w:rsid w:val="00E55091"/>
    <w:rsid w:val="00E56671"/>
    <w:rsid w:val="00E5780A"/>
    <w:rsid w:val="00E61923"/>
    <w:rsid w:val="00E62BB4"/>
    <w:rsid w:val="00E63040"/>
    <w:rsid w:val="00E64E38"/>
    <w:rsid w:val="00E6519D"/>
    <w:rsid w:val="00E66127"/>
    <w:rsid w:val="00E67696"/>
    <w:rsid w:val="00E67A9F"/>
    <w:rsid w:val="00E7058D"/>
    <w:rsid w:val="00E710BB"/>
    <w:rsid w:val="00E71654"/>
    <w:rsid w:val="00E716AC"/>
    <w:rsid w:val="00E71A58"/>
    <w:rsid w:val="00E72A7A"/>
    <w:rsid w:val="00E7388C"/>
    <w:rsid w:val="00E75C94"/>
    <w:rsid w:val="00E7629E"/>
    <w:rsid w:val="00E7677B"/>
    <w:rsid w:val="00E80858"/>
    <w:rsid w:val="00E80EBB"/>
    <w:rsid w:val="00E81532"/>
    <w:rsid w:val="00E83327"/>
    <w:rsid w:val="00E84024"/>
    <w:rsid w:val="00E849A6"/>
    <w:rsid w:val="00E84B8D"/>
    <w:rsid w:val="00E850DA"/>
    <w:rsid w:val="00E855F6"/>
    <w:rsid w:val="00E85810"/>
    <w:rsid w:val="00E868CA"/>
    <w:rsid w:val="00E87031"/>
    <w:rsid w:val="00E908FB"/>
    <w:rsid w:val="00E90DED"/>
    <w:rsid w:val="00E91024"/>
    <w:rsid w:val="00E920F4"/>
    <w:rsid w:val="00E92EA6"/>
    <w:rsid w:val="00E93125"/>
    <w:rsid w:val="00E93514"/>
    <w:rsid w:val="00E936C9"/>
    <w:rsid w:val="00E93820"/>
    <w:rsid w:val="00E93E62"/>
    <w:rsid w:val="00E944EF"/>
    <w:rsid w:val="00E94A86"/>
    <w:rsid w:val="00E94D5E"/>
    <w:rsid w:val="00E94DB2"/>
    <w:rsid w:val="00E95113"/>
    <w:rsid w:val="00E95491"/>
    <w:rsid w:val="00E9591B"/>
    <w:rsid w:val="00E96143"/>
    <w:rsid w:val="00E967F7"/>
    <w:rsid w:val="00E96CF8"/>
    <w:rsid w:val="00EA0093"/>
    <w:rsid w:val="00EA038B"/>
    <w:rsid w:val="00EA0987"/>
    <w:rsid w:val="00EA0C68"/>
    <w:rsid w:val="00EA22CB"/>
    <w:rsid w:val="00EA2F7F"/>
    <w:rsid w:val="00EA32BC"/>
    <w:rsid w:val="00EA40B7"/>
    <w:rsid w:val="00EA40F6"/>
    <w:rsid w:val="00EA4302"/>
    <w:rsid w:val="00EA4327"/>
    <w:rsid w:val="00EA4391"/>
    <w:rsid w:val="00EA58E5"/>
    <w:rsid w:val="00EA5C8C"/>
    <w:rsid w:val="00EA6058"/>
    <w:rsid w:val="00EA696B"/>
    <w:rsid w:val="00EA6C97"/>
    <w:rsid w:val="00EA7407"/>
    <w:rsid w:val="00EB0418"/>
    <w:rsid w:val="00EB12EE"/>
    <w:rsid w:val="00EB25F1"/>
    <w:rsid w:val="00EB2B67"/>
    <w:rsid w:val="00EB2C86"/>
    <w:rsid w:val="00EB2FA5"/>
    <w:rsid w:val="00EB39C7"/>
    <w:rsid w:val="00EB3D8F"/>
    <w:rsid w:val="00EB4511"/>
    <w:rsid w:val="00EB4A12"/>
    <w:rsid w:val="00EB5180"/>
    <w:rsid w:val="00EB650B"/>
    <w:rsid w:val="00EB7A12"/>
    <w:rsid w:val="00EB7F7C"/>
    <w:rsid w:val="00EC03D7"/>
    <w:rsid w:val="00EC074F"/>
    <w:rsid w:val="00EC0A8B"/>
    <w:rsid w:val="00EC14D7"/>
    <w:rsid w:val="00EC15CC"/>
    <w:rsid w:val="00EC243D"/>
    <w:rsid w:val="00EC2A23"/>
    <w:rsid w:val="00EC313D"/>
    <w:rsid w:val="00EC34CA"/>
    <w:rsid w:val="00EC3C00"/>
    <w:rsid w:val="00EC3C2A"/>
    <w:rsid w:val="00EC6962"/>
    <w:rsid w:val="00EC6FA8"/>
    <w:rsid w:val="00ED049D"/>
    <w:rsid w:val="00ED0692"/>
    <w:rsid w:val="00ED0A16"/>
    <w:rsid w:val="00ED1680"/>
    <w:rsid w:val="00ED27C9"/>
    <w:rsid w:val="00ED40FA"/>
    <w:rsid w:val="00ED5CBD"/>
    <w:rsid w:val="00ED62C6"/>
    <w:rsid w:val="00ED64C1"/>
    <w:rsid w:val="00EE0AE7"/>
    <w:rsid w:val="00EE0E68"/>
    <w:rsid w:val="00EE28A7"/>
    <w:rsid w:val="00EE3374"/>
    <w:rsid w:val="00EE3446"/>
    <w:rsid w:val="00EE3E78"/>
    <w:rsid w:val="00EE4B1B"/>
    <w:rsid w:val="00EE539F"/>
    <w:rsid w:val="00EE7410"/>
    <w:rsid w:val="00EE7684"/>
    <w:rsid w:val="00EE7F19"/>
    <w:rsid w:val="00EF00A4"/>
    <w:rsid w:val="00EF150D"/>
    <w:rsid w:val="00EF1CDA"/>
    <w:rsid w:val="00EF1F5A"/>
    <w:rsid w:val="00EF221F"/>
    <w:rsid w:val="00EF27E6"/>
    <w:rsid w:val="00EF2B3F"/>
    <w:rsid w:val="00EF2CFC"/>
    <w:rsid w:val="00EF3A22"/>
    <w:rsid w:val="00EF47BF"/>
    <w:rsid w:val="00EF64B2"/>
    <w:rsid w:val="00EF6DB3"/>
    <w:rsid w:val="00EF77C4"/>
    <w:rsid w:val="00EF7C70"/>
    <w:rsid w:val="00EF7EA6"/>
    <w:rsid w:val="00F00698"/>
    <w:rsid w:val="00F01008"/>
    <w:rsid w:val="00F02331"/>
    <w:rsid w:val="00F04811"/>
    <w:rsid w:val="00F0488C"/>
    <w:rsid w:val="00F0536E"/>
    <w:rsid w:val="00F05798"/>
    <w:rsid w:val="00F05F7E"/>
    <w:rsid w:val="00F066CF"/>
    <w:rsid w:val="00F06ED4"/>
    <w:rsid w:val="00F07A88"/>
    <w:rsid w:val="00F101CF"/>
    <w:rsid w:val="00F10823"/>
    <w:rsid w:val="00F10941"/>
    <w:rsid w:val="00F10C15"/>
    <w:rsid w:val="00F10F11"/>
    <w:rsid w:val="00F11063"/>
    <w:rsid w:val="00F12D59"/>
    <w:rsid w:val="00F130CC"/>
    <w:rsid w:val="00F132B8"/>
    <w:rsid w:val="00F13B3B"/>
    <w:rsid w:val="00F15AAA"/>
    <w:rsid w:val="00F15BEF"/>
    <w:rsid w:val="00F15D9A"/>
    <w:rsid w:val="00F15FB2"/>
    <w:rsid w:val="00F160D4"/>
    <w:rsid w:val="00F16122"/>
    <w:rsid w:val="00F17E83"/>
    <w:rsid w:val="00F2180B"/>
    <w:rsid w:val="00F21C12"/>
    <w:rsid w:val="00F23D4A"/>
    <w:rsid w:val="00F241FB"/>
    <w:rsid w:val="00F24407"/>
    <w:rsid w:val="00F24931"/>
    <w:rsid w:val="00F24A89"/>
    <w:rsid w:val="00F24FAA"/>
    <w:rsid w:val="00F252A0"/>
    <w:rsid w:val="00F25837"/>
    <w:rsid w:val="00F25B4A"/>
    <w:rsid w:val="00F25DEE"/>
    <w:rsid w:val="00F26464"/>
    <w:rsid w:val="00F27A58"/>
    <w:rsid w:val="00F3012E"/>
    <w:rsid w:val="00F30195"/>
    <w:rsid w:val="00F304B2"/>
    <w:rsid w:val="00F307AF"/>
    <w:rsid w:val="00F319DC"/>
    <w:rsid w:val="00F32A18"/>
    <w:rsid w:val="00F33623"/>
    <w:rsid w:val="00F3364D"/>
    <w:rsid w:val="00F34609"/>
    <w:rsid w:val="00F36977"/>
    <w:rsid w:val="00F41B46"/>
    <w:rsid w:val="00F42B24"/>
    <w:rsid w:val="00F42CA5"/>
    <w:rsid w:val="00F437CC"/>
    <w:rsid w:val="00F43E29"/>
    <w:rsid w:val="00F44537"/>
    <w:rsid w:val="00F44B6A"/>
    <w:rsid w:val="00F4607E"/>
    <w:rsid w:val="00F46325"/>
    <w:rsid w:val="00F468D9"/>
    <w:rsid w:val="00F47067"/>
    <w:rsid w:val="00F472FC"/>
    <w:rsid w:val="00F501F1"/>
    <w:rsid w:val="00F503E4"/>
    <w:rsid w:val="00F50FC3"/>
    <w:rsid w:val="00F51087"/>
    <w:rsid w:val="00F5188A"/>
    <w:rsid w:val="00F52106"/>
    <w:rsid w:val="00F525EB"/>
    <w:rsid w:val="00F52BD7"/>
    <w:rsid w:val="00F5317B"/>
    <w:rsid w:val="00F54D07"/>
    <w:rsid w:val="00F5657D"/>
    <w:rsid w:val="00F61027"/>
    <w:rsid w:val="00F61D00"/>
    <w:rsid w:val="00F624A2"/>
    <w:rsid w:val="00F62AAB"/>
    <w:rsid w:val="00F63A05"/>
    <w:rsid w:val="00F63DDE"/>
    <w:rsid w:val="00F63EF8"/>
    <w:rsid w:val="00F63FB7"/>
    <w:rsid w:val="00F6421B"/>
    <w:rsid w:val="00F643E2"/>
    <w:rsid w:val="00F646E8"/>
    <w:rsid w:val="00F649D2"/>
    <w:rsid w:val="00F65951"/>
    <w:rsid w:val="00F6602B"/>
    <w:rsid w:val="00F6657C"/>
    <w:rsid w:val="00F66643"/>
    <w:rsid w:val="00F66E76"/>
    <w:rsid w:val="00F66FD9"/>
    <w:rsid w:val="00F67C4E"/>
    <w:rsid w:val="00F708C6"/>
    <w:rsid w:val="00F70D20"/>
    <w:rsid w:val="00F71F53"/>
    <w:rsid w:val="00F72275"/>
    <w:rsid w:val="00F72904"/>
    <w:rsid w:val="00F73990"/>
    <w:rsid w:val="00F73A0C"/>
    <w:rsid w:val="00F73F9D"/>
    <w:rsid w:val="00F742A4"/>
    <w:rsid w:val="00F750CF"/>
    <w:rsid w:val="00F756DB"/>
    <w:rsid w:val="00F7728A"/>
    <w:rsid w:val="00F804B9"/>
    <w:rsid w:val="00F8210F"/>
    <w:rsid w:val="00F823E2"/>
    <w:rsid w:val="00F84E7D"/>
    <w:rsid w:val="00F85066"/>
    <w:rsid w:val="00F853CC"/>
    <w:rsid w:val="00F868C6"/>
    <w:rsid w:val="00F87484"/>
    <w:rsid w:val="00F87A4D"/>
    <w:rsid w:val="00F90035"/>
    <w:rsid w:val="00F906CD"/>
    <w:rsid w:val="00F91FCF"/>
    <w:rsid w:val="00F92283"/>
    <w:rsid w:val="00F923AC"/>
    <w:rsid w:val="00F934FE"/>
    <w:rsid w:val="00F93F05"/>
    <w:rsid w:val="00F95FAC"/>
    <w:rsid w:val="00F96D69"/>
    <w:rsid w:val="00F9785E"/>
    <w:rsid w:val="00FA11B5"/>
    <w:rsid w:val="00FA2CD4"/>
    <w:rsid w:val="00FA319D"/>
    <w:rsid w:val="00FA3FF4"/>
    <w:rsid w:val="00FA5D4D"/>
    <w:rsid w:val="00FA60AD"/>
    <w:rsid w:val="00FA6DCA"/>
    <w:rsid w:val="00FA7115"/>
    <w:rsid w:val="00FA76DA"/>
    <w:rsid w:val="00FA7F0A"/>
    <w:rsid w:val="00FA7F4A"/>
    <w:rsid w:val="00FB01E6"/>
    <w:rsid w:val="00FB0EE2"/>
    <w:rsid w:val="00FB18F0"/>
    <w:rsid w:val="00FB28F9"/>
    <w:rsid w:val="00FB2A62"/>
    <w:rsid w:val="00FB4423"/>
    <w:rsid w:val="00FB52BA"/>
    <w:rsid w:val="00FB52DF"/>
    <w:rsid w:val="00FB542E"/>
    <w:rsid w:val="00FB6631"/>
    <w:rsid w:val="00FB6778"/>
    <w:rsid w:val="00FB6BEB"/>
    <w:rsid w:val="00FC08F7"/>
    <w:rsid w:val="00FC0C9E"/>
    <w:rsid w:val="00FC0CF0"/>
    <w:rsid w:val="00FC0D05"/>
    <w:rsid w:val="00FC0E5F"/>
    <w:rsid w:val="00FC1A95"/>
    <w:rsid w:val="00FC227C"/>
    <w:rsid w:val="00FC2455"/>
    <w:rsid w:val="00FC56DE"/>
    <w:rsid w:val="00FC5D41"/>
    <w:rsid w:val="00FC6700"/>
    <w:rsid w:val="00FC684B"/>
    <w:rsid w:val="00FC7F05"/>
    <w:rsid w:val="00FD109B"/>
    <w:rsid w:val="00FD1A5F"/>
    <w:rsid w:val="00FD1BAB"/>
    <w:rsid w:val="00FD1E33"/>
    <w:rsid w:val="00FD1FC5"/>
    <w:rsid w:val="00FD2055"/>
    <w:rsid w:val="00FD3265"/>
    <w:rsid w:val="00FD3B95"/>
    <w:rsid w:val="00FD3F24"/>
    <w:rsid w:val="00FD4A5D"/>
    <w:rsid w:val="00FD4CF6"/>
    <w:rsid w:val="00FD4EAC"/>
    <w:rsid w:val="00FD5F03"/>
    <w:rsid w:val="00FD5F92"/>
    <w:rsid w:val="00FD66F9"/>
    <w:rsid w:val="00FD78F8"/>
    <w:rsid w:val="00FD7E05"/>
    <w:rsid w:val="00FE0953"/>
    <w:rsid w:val="00FE2315"/>
    <w:rsid w:val="00FE2F78"/>
    <w:rsid w:val="00FE470B"/>
    <w:rsid w:val="00FF0650"/>
    <w:rsid w:val="00FF153C"/>
    <w:rsid w:val="00FF17D1"/>
    <w:rsid w:val="00FF1EA9"/>
    <w:rsid w:val="00FF21D9"/>
    <w:rsid w:val="00FF2D5D"/>
    <w:rsid w:val="00FF2E47"/>
    <w:rsid w:val="00FF35C4"/>
    <w:rsid w:val="00FF4082"/>
    <w:rsid w:val="00FF4206"/>
    <w:rsid w:val="00FF5A31"/>
    <w:rsid w:val="00FF61F3"/>
    <w:rsid w:val="00FF6DDE"/>
    <w:rsid w:val="00FF7090"/>
    <w:rsid w:val="00FF78AF"/>
    <w:rsid w:val="00FF7B96"/>
    <w:rsid w:val="010E6CF6"/>
    <w:rsid w:val="0274CEEB"/>
    <w:rsid w:val="11D0C0D9"/>
    <w:rsid w:val="1C7F89FF"/>
    <w:rsid w:val="304DB734"/>
    <w:rsid w:val="30D0B3BE"/>
    <w:rsid w:val="52CC52E2"/>
    <w:rsid w:val="55C2456F"/>
    <w:rsid w:val="614CA75B"/>
    <w:rsid w:val="6B2670A5"/>
    <w:rsid w:val="6E1EAC99"/>
    <w:rsid w:val="7BDB84E4"/>
    <w:rsid w:val="7DB22EB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ecf4dd,#eaecee,#fcec0a,#fcecdb,#f1daf5"/>
    </o:shapedefaults>
    <o:shapelayout v:ext="edit">
      <o:idmap v:ext="edit" data="2"/>
    </o:shapelayout>
  </w:shapeDefaults>
  <w:decimalSymbol w:val=","/>
  <w:listSeparator w:val=";"/>
  <w14:docId w14:val="21432897"/>
  <w15:docId w15:val="{3A7C6927-7F52-4209-ABA9-A0ACA8657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4FA0"/>
    <w:pPr>
      <w:spacing w:after="240" w:line="276" w:lineRule="auto"/>
      <w:jc w:val="both"/>
    </w:pPr>
    <w:rPr>
      <w:rFonts w:ascii="Arial" w:eastAsia="Times New Roman" w:hAnsi="Arial"/>
      <w:szCs w:val="24"/>
      <w:lang w:val="en-GB" w:eastAsia="cs-CZ"/>
    </w:rPr>
  </w:style>
  <w:style w:type="paragraph" w:styleId="Nadpis1">
    <w:name w:val="heading 1"/>
    <w:next w:val="Normln"/>
    <w:link w:val="Nadpis1Char"/>
    <w:uiPriority w:val="9"/>
    <w:qFormat/>
    <w:rsid w:val="00EA0987"/>
    <w:pPr>
      <w:keepNext/>
      <w:keepLines/>
      <w:spacing w:after="100" w:line="276" w:lineRule="auto"/>
      <w:contextualSpacing/>
      <w:outlineLvl w:val="0"/>
    </w:pPr>
    <w:rPr>
      <w:rFonts w:ascii="Arial" w:eastAsia="MS Gothic" w:hAnsi="Arial"/>
      <w:b/>
      <w:bCs/>
      <w:color w:val="86BF5E"/>
      <w:sz w:val="32"/>
      <w:szCs w:val="28"/>
      <w:lang w:eastAsia="cs-CZ"/>
    </w:rPr>
  </w:style>
  <w:style w:type="paragraph" w:styleId="Nadpis2">
    <w:name w:val="heading 2"/>
    <w:next w:val="Normln"/>
    <w:link w:val="Nadpis2Char"/>
    <w:uiPriority w:val="9"/>
    <w:qFormat/>
    <w:rsid w:val="00EA0987"/>
    <w:pPr>
      <w:keepNext/>
      <w:keepLines/>
      <w:spacing w:line="276" w:lineRule="auto"/>
      <w:outlineLvl w:val="1"/>
    </w:pPr>
    <w:rPr>
      <w:rFonts w:ascii="Arial" w:eastAsia="MS Gothic" w:hAnsi="Arial"/>
      <w:b/>
      <w:bCs/>
      <w:color w:val="86BF5E"/>
      <w:sz w:val="28"/>
      <w:szCs w:val="26"/>
      <w:lang w:eastAsia="cs-CZ"/>
    </w:rPr>
  </w:style>
  <w:style w:type="paragraph" w:styleId="Nadpis3">
    <w:name w:val="heading 3"/>
    <w:next w:val="Normln"/>
    <w:link w:val="Nadpis3Char"/>
    <w:uiPriority w:val="9"/>
    <w:qFormat/>
    <w:rsid w:val="00EA0987"/>
    <w:pPr>
      <w:keepNext/>
      <w:keepLines/>
      <w:spacing w:line="276" w:lineRule="auto"/>
      <w:outlineLvl w:val="2"/>
    </w:pPr>
    <w:rPr>
      <w:rFonts w:ascii="Arial" w:eastAsia="MS Gothic" w:hAnsi="Arial"/>
      <w:b/>
      <w:bCs/>
      <w:color w:val="86BF5E"/>
      <w:sz w:val="24"/>
      <w:szCs w:val="24"/>
      <w:lang w:eastAsia="cs-CZ"/>
    </w:rPr>
  </w:style>
  <w:style w:type="paragraph" w:styleId="Nadpis4">
    <w:name w:val="heading 4"/>
    <w:next w:val="Normln"/>
    <w:link w:val="Nadpis4Char"/>
    <w:uiPriority w:val="9"/>
    <w:qFormat/>
    <w:rsid w:val="0041041D"/>
    <w:pPr>
      <w:keepNext/>
      <w:keepLines/>
      <w:spacing w:line="276" w:lineRule="auto"/>
      <w:outlineLvl w:val="3"/>
    </w:pPr>
    <w:rPr>
      <w:rFonts w:ascii="Arial" w:eastAsia="MS Gothic" w:hAnsi="Arial"/>
      <w:b/>
      <w:bCs/>
      <w:iCs/>
      <w:color w:val="86BF5E"/>
      <w:szCs w:val="24"/>
      <w:lang w:eastAsia="cs-CZ"/>
    </w:rPr>
  </w:style>
  <w:style w:type="paragraph" w:styleId="Nadpis5">
    <w:name w:val="heading 5"/>
    <w:basedOn w:val="Normln"/>
    <w:next w:val="Normln"/>
    <w:link w:val="Nadpis5Char"/>
    <w:uiPriority w:val="9"/>
    <w:semiHidden/>
    <w:unhideWhenUsed/>
    <w:rsid w:val="007A516D"/>
    <w:pPr>
      <w:keepNext/>
      <w:keepLines/>
      <w:numPr>
        <w:ilvl w:val="4"/>
        <w:numId w:val="14"/>
      </w:numPr>
      <w:tabs>
        <w:tab w:val="num" w:pos="360"/>
      </w:tabs>
      <w:spacing w:before="200" w:after="0"/>
      <w:ind w:left="0" w:firstLine="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7A516D"/>
    <w:pPr>
      <w:keepNext/>
      <w:keepLines/>
      <w:numPr>
        <w:ilvl w:val="5"/>
        <w:numId w:val="14"/>
      </w:numPr>
      <w:tabs>
        <w:tab w:val="num" w:pos="360"/>
      </w:tabs>
      <w:spacing w:before="200" w:after="0"/>
      <w:ind w:left="0" w:firstLine="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7A516D"/>
    <w:pPr>
      <w:keepNext/>
      <w:keepLines/>
      <w:numPr>
        <w:ilvl w:val="6"/>
        <w:numId w:val="14"/>
      </w:numPr>
      <w:tabs>
        <w:tab w:val="num" w:pos="360"/>
      </w:tabs>
      <w:spacing w:before="200" w:after="0"/>
      <w:ind w:left="0" w:firstLine="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7A516D"/>
    <w:pPr>
      <w:keepNext/>
      <w:keepLines/>
      <w:numPr>
        <w:ilvl w:val="7"/>
        <w:numId w:val="14"/>
      </w:numPr>
      <w:tabs>
        <w:tab w:val="num" w:pos="360"/>
      </w:tabs>
      <w:spacing w:before="200" w:after="0"/>
      <w:ind w:left="0" w:firstLine="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7A516D"/>
    <w:pPr>
      <w:numPr>
        <w:ilvl w:val="8"/>
        <w:numId w:val="14"/>
      </w:numPr>
      <w:tabs>
        <w:tab w:val="num" w:pos="360"/>
      </w:tabs>
      <w:spacing w:before="240" w:after="60"/>
      <w:ind w:left="0" w:firstLine="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qFormat/>
    <w:rsid w:val="00EA0987"/>
    <w:rPr>
      <w:rFonts w:ascii="Arial" w:eastAsia="MS Gothic" w:hAnsi="Arial"/>
      <w:b/>
      <w:bCs/>
      <w:color w:val="86BF5E"/>
      <w:sz w:val="32"/>
      <w:szCs w:val="28"/>
      <w:lang w:eastAsia="cs-CZ"/>
    </w:rPr>
  </w:style>
  <w:style w:type="character" w:customStyle="1" w:styleId="Nadpis2Char">
    <w:name w:val="Nadpis 2 Char"/>
    <w:link w:val="Nadpis2"/>
    <w:uiPriority w:val="9"/>
    <w:rsid w:val="00EA0987"/>
    <w:rPr>
      <w:rFonts w:ascii="Arial" w:eastAsia="MS Gothic" w:hAnsi="Arial"/>
      <w:b/>
      <w:bCs/>
      <w:color w:val="86BF5E"/>
      <w:sz w:val="28"/>
      <w:szCs w:val="26"/>
      <w:lang w:eastAsia="cs-CZ"/>
    </w:rPr>
  </w:style>
  <w:style w:type="character" w:customStyle="1" w:styleId="Nadpis3Char">
    <w:name w:val="Nadpis 3 Char"/>
    <w:link w:val="Nadpis3"/>
    <w:uiPriority w:val="9"/>
    <w:rsid w:val="00EA0987"/>
    <w:rPr>
      <w:rFonts w:ascii="Arial" w:eastAsia="MS Gothic" w:hAnsi="Arial"/>
      <w:b/>
      <w:bCs/>
      <w:color w:val="86BF5E"/>
      <w:sz w:val="24"/>
      <w:szCs w:val="24"/>
      <w:lang w:eastAsia="cs-CZ"/>
    </w:rPr>
  </w:style>
  <w:style w:type="character" w:customStyle="1" w:styleId="Nadpis4Char">
    <w:name w:val="Nadpis 4 Char"/>
    <w:link w:val="Nadpis4"/>
    <w:uiPriority w:val="9"/>
    <w:rsid w:val="0041041D"/>
    <w:rPr>
      <w:rFonts w:ascii="Arial" w:eastAsia="MS Gothic" w:hAnsi="Arial"/>
      <w:b/>
      <w:bCs/>
      <w:iCs/>
      <w:color w:val="86BF5E"/>
      <w:szCs w:val="24"/>
      <w:lang w:eastAsia="cs-CZ"/>
    </w:rPr>
  </w:style>
  <w:style w:type="character" w:customStyle="1" w:styleId="Nadpis9Char">
    <w:name w:val="Nadpis 9 Char"/>
    <w:link w:val="Nadpis9"/>
    <w:uiPriority w:val="9"/>
    <w:semiHidden/>
    <w:rsid w:val="007A516D"/>
    <w:rPr>
      <w:rFonts w:ascii="Cambria" w:eastAsia="Times New Roman" w:hAnsi="Cambria"/>
      <w:sz w:val="22"/>
      <w:szCs w:val="22"/>
      <w:lang w:eastAsia="cs-CZ"/>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0A57D4"/>
    <w:pPr>
      <w:spacing w:after="80" w:line="288" w:lineRule="auto"/>
    </w:pPr>
    <w:rPr>
      <w:rFonts w:ascii="Arial" w:eastAsia="Times New Roman" w:hAnsi="Arial"/>
      <w:b/>
      <w:color w:val="86BF5E"/>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A-Box1">
    <w:name w:val="A-Box 1"/>
    <w:next w:val="Normln"/>
    <w:qFormat/>
    <w:rsid w:val="00EA0987"/>
    <w:pPr>
      <w:shd w:val="clear" w:color="auto" w:fill="F0F6E9"/>
      <w:spacing w:before="240" w:after="240" w:line="276" w:lineRule="auto"/>
      <w:contextualSpacing/>
      <w:jc w:val="both"/>
    </w:pPr>
    <w:rPr>
      <w:rFonts w:ascii="Arial" w:hAnsi="Arial" w:cs="Arial"/>
      <w:lang w:eastAsia="cs-CZ"/>
    </w:rPr>
  </w:style>
  <w:style w:type="paragraph" w:customStyle="1" w:styleId="A-Box2">
    <w:name w:val="A-Box 2"/>
    <w:next w:val="Normln"/>
    <w:qFormat/>
    <w:rsid w:val="00EA0987"/>
    <w:pPr>
      <w:spacing w:before="240" w:after="240" w:line="276" w:lineRule="auto"/>
      <w:contextualSpacing/>
      <w:jc w:val="both"/>
    </w:pPr>
    <w:rPr>
      <w:rFonts w:ascii="Arial" w:hAnsi="Arial" w:cs="Arial"/>
      <w:color w:val="86BF5E"/>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0A57D4"/>
    <w:pPr>
      <w:spacing w:after="40"/>
      <w:contextualSpacing/>
    </w:pPr>
    <w:rPr>
      <w:b/>
      <w:caps/>
      <w:sz w:val="24"/>
    </w:rPr>
  </w:style>
  <w:style w:type="paragraph" w:customStyle="1" w:styleId="TLKontakty">
    <w:name w:val="TL Kontakty"/>
    <w:qFormat/>
    <w:rsid w:val="000A57D4"/>
    <w:pPr>
      <w:spacing w:after="160" w:line="259" w:lineRule="auto"/>
      <w:contextualSpacing/>
    </w:pPr>
    <w:rPr>
      <w:rFonts w:ascii="Arial" w:eastAsia="Times New Roman" w:hAnsi="Arial"/>
      <w:b/>
      <w:color w:val="86BF5E"/>
      <w:lang w:eastAsia="cs-CZ"/>
    </w:rPr>
  </w:style>
  <w:style w:type="paragraph" w:styleId="Nzev">
    <w:name w:val="Title"/>
    <w:link w:val="NzevChar"/>
    <w:uiPriority w:val="10"/>
    <w:qFormat/>
    <w:rsid w:val="001E6062"/>
    <w:pPr>
      <w:spacing w:line="288" w:lineRule="auto"/>
    </w:pPr>
    <w:rPr>
      <w:rFonts w:ascii="Arial" w:eastAsia="Times New Roman" w:hAnsi="Arial"/>
      <w:b/>
      <w:bCs/>
      <w:caps/>
      <w:color w:val="000000" w:themeColor="text1"/>
      <w:kern w:val="28"/>
      <w:sz w:val="56"/>
      <w:szCs w:val="32"/>
      <w:lang w:eastAsia="cs-CZ"/>
    </w:rPr>
  </w:style>
  <w:style w:type="character" w:customStyle="1" w:styleId="NzevChar">
    <w:name w:val="Název Char"/>
    <w:link w:val="Nzev"/>
    <w:uiPriority w:val="10"/>
    <w:rsid w:val="001E6062"/>
    <w:rPr>
      <w:rFonts w:ascii="Arial" w:eastAsia="Times New Roman" w:hAnsi="Arial"/>
      <w:b/>
      <w:bCs/>
      <w:caps/>
      <w:color w:val="000000" w:themeColor="text1"/>
      <w:kern w:val="28"/>
      <w:sz w:val="56"/>
      <w:szCs w:val="32"/>
      <w:lang w:eastAsia="cs-CZ"/>
    </w:rPr>
  </w:style>
  <w:style w:type="paragraph" w:styleId="Podnadpis">
    <w:name w:val="Subtitle"/>
    <w:link w:val="PodnadpisChar"/>
    <w:uiPriority w:val="11"/>
    <w:qFormat/>
    <w:rsid w:val="001E6062"/>
    <w:pPr>
      <w:spacing w:line="288" w:lineRule="auto"/>
    </w:pPr>
    <w:rPr>
      <w:rFonts w:ascii="Arial" w:eastAsia="Times New Roman" w:hAnsi="Arial" w:cs="Arial"/>
      <w:b/>
      <w:color w:val="000000" w:themeColor="text1"/>
      <w:sz w:val="28"/>
      <w:szCs w:val="24"/>
      <w:lang w:eastAsia="cs-CZ"/>
    </w:rPr>
  </w:style>
  <w:style w:type="character" w:customStyle="1" w:styleId="PodnadpisChar">
    <w:name w:val="Podnadpis Char"/>
    <w:link w:val="Podnadpis"/>
    <w:uiPriority w:val="11"/>
    <w:rsid w:val="001E6062"/>
    <w:rPr>
      <w:rFonts w:ascii="Arial" w:eastAsia="Times New Roman" w:hAnsi="Arial" w:cs="Arial"/>
      <w:b/>
      <w:color w:val="000000" w:themeColor="text1"/>
      <w:sz w:val="28"/>
      <w:szCs w:val="24"/>
      <w:lang w:eastAsia="cs-CZ"/>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customStyle="1" w:styleId="Nadpis5Char">
    <w:name w:val="Nadpis 5 Char"/>
    <w:basedOn w:val="Standardnpsmoodstavce"/>
    <w:link w:val="Nadpis5"/>
    <w:uiPriority w:val="9"/>
    <w:semiHidden/>
    <w:rsid w:val="007A516D"/>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7A516D"/>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7A516D"/>
    <w:rPr>
      <w:rFonts w:asciiTheme="majorHAnsi" w:eastAsiaTheme="majorEastAsia" w:hAnsiTheme="majorHAnsi" w:cstheme="majorBidi"/>
      <w:i/>
      <w:iCs/>
      <w:color w:val="404040" w:themeColor="text1" w:themeTint="BF"/>
      <w:szCs w:val="24"/>
      <w:lang w:eastAsia="cs-CZ"/>
    </w:rPr>
  </w:style>
  <w:style w:type="character" w:customStyle="1" w:styleId="Nadpis8Char">
    <w:name w:val="Nadpis 8 Char"/>
    <w:basedOn w:val="Standardnpsmoodstavce"/>
    <w:link w:val="Nadpis8"/>
    <w:uiPriority w:val="9"/>
    <w:semiHidden/>
    <w:rsid w:val="007A516D"/>
    <w:rPr>
      <w:rFonts w:asciiTheme="majorHAnsi" w:eastAsiaTheme="majorEastAsia" w:hAnsiTheme="majorHAnsi" w:cstheme="majorBidi"/>
      <w:color w:val="404040" w:themeColor="text1" w:themeTint="BF"/>
      <w:lang w:eastAsia="cs-CZ"/>
    </w:rPr>
  </w:style>
  <w:style w:type="paragraph" w:styleId="Textpoznpodarou">
    <w:name w:val="footnote text"/>
    <w:aliases w:val="Text pozn. pod čarou_martin_ang"/>
    <w:basedOn w:val="Normln"/>
    <w:link w:val="TextpoznpodarouChar"/>
    <w:qFormat/>
    <w:rsid w:val="008E7FC9"/>
    <w:pPr>
      <w:spacing w:after="0" w:line="240" w:lineRule="auto"/>
      <w:jc w:val="left"/>
    </w:pPr>
    <w:rPr>
      <w:rFonts w:eastAsia="Calibri"/>
      <w:szCs w:val="20"/>
    </w:rPr>
  </w:style>
  <w:style w:type="character" w:customStyle="1" w:styleId="TextpoznpodarouChar">
    <w:name w:val="Text pozn. pod čarou Char"/>
    <w:aliases w:val="Text pozn. pod čarou_martin_ang Char"/>
    <w:basedOn w:val="Standardnpsmoodstavce"/>
    <w:link w:val="Textpoznpodarou"/>
    <w:qFormat/>
    <w:rsid w:val="008E7FC9"/>
    <w:rPr>
      <w:rFonts w:ascii="Arial" w:hAnsi="Arial"/>
      <w:lang w:eastAsia="cs-CZ"/>
    </w:rPr>
  </w:style>
  <w:style w:type="paragraph" w:styleId="Bezmezer">
    <w:name w:val="No Spacing"/>
    <w:uiPriority w:val="1"/>
    <w:qFormat/>
    <w:rsid w:val="00AD68C4"/>
    <w:pPr>
      <w:jc w:val="both"/>
    </w:pPr>
    <w:rPr>
      <w:rFonts w:ascii="Arial" w:eastAsia="Times New Roman" w:hAnsi="Arial"/>
      <w:szCs w:val="24"/>
      <w:lang w:eastAsia="cs-CZ"/>
    </w:rPr>
  </w:style>
  <w:style w:type="paragraph" w:customStyle="1" w:styleId="Marginlie">
    <w:name w:val="Marginálie"/>
    <w:basedOn w:val="Normln"/>
    <w:qFormat/>
    <w:rsid w:val="0089296D"/>
    <w:pPr>
      <w:spacing w:after="0"/>
      <w:jc w:val="left"/>
    </w:pPr>
    <w:rPr>
      <w:spacing w:val="-2"/>
      <w:sz w:val="16"/>
      <w:szCs w:val="16"/>
    </w:rPr>
  </w:style>
  <w:style w:type="paragraph" w:styleId="Odstavecseseznamem">
    <w:name w:val="List Paragraph"/>
    <w:basedOn w:val="Normln"/>
    <w:link w:val="OdstavecseseznamemChar"/>
    <w:uiPriority w:val="34"/>
    <w:qFormat/>
    <w:rsid w:val="006B0F92"/>
    <w:pPr>
      <w:ind w:left="720"/>
      <w:contextualSpacing/>
    </w:pPr>
  </w:style>
  <w:style w:type="paragraph" w:customStyle="1" w:styleId="Normalodrka">
    <w:name w:val="Normal odrážka"/>
    <w:qFormat/>
    <w:rsid w:val="006B0F92"/>
    <w:pPr>
      <w:numPr>
        <w:numId w:val="20"/>
      </w:numPr>
      <w:spacing w:after="240" w:line="276" w:lineRule="auto"/>
      <w:jc w:val="both"/>
    </w:pPr>
    <w:rPr>
      <w:rFonts w:ascii="Arial" w:eastAsia="Times New Roman" w:hAnsi="Arial"/>
      <w:szCs w:val="24"/>
      <w:lang w:eastAsia="cs-CZ"/>
    </w:rPr>
  </w:style>
  <w:style w:type="paragraph" w:customStyle="1" w:styleId="Box1">
    <w:name w:val="Box 1"/>
    <w:next w:val="Normln"/>
    <w:qFormat/>
    <w:rsid w:val="00EA0987"/>
    <w:pPr>
      <w:shd w:val="clear" w:color="auto" w:fill="F0F6E9"/>
      <w:spacing w:before="240" w:after="240" w:line="276" w:lineRule="auto"/>
      <w:ind w:left="709"/>
      <w:contextualSpacing/>
      <w:jc w:val="both"/>
    </w:pPr>
    <w:rPr>
      <w:rFonts w:ascii="Arial" w:hAnsi="Arial" w:cs="Arial"/>
      <w:lang w:eastAsia="cs-CZ"/>
    </w:rPr>
  </w:style>
  <w:style w:type="paragraph" w:customStyle="1" w:styleId="Box2">
    <w:name w:val="Box 2"/>
    <w:next w:val="Normln"/>
    <w:qFormat/>
    <w:rsid w:val="00EA0987"/>
    <w:pPr>
      <w:spacing w:before="240" w:after="240" w:line="276" w:lineRule="auto"/>
      <w:ind w:left="709"/>
      <w:contextualSpacing/>
      <w:jc w:val="both"/>
    </w:pPr>
    <w:rPr>
      <w:rFonts w:ascii="Arial" w:hAnsi="Arial" w:cs="Arial"/>
      <w:b/>
      <w:color w:val="86BF5E"/>
      <w:lang w:eastAsia="cs-CZ"/>
    </w:rPr>
  </w:style>
  <w:style w:type="character" w:styleId="Zdraznnintenzivn">
    <w:name w:val="Intense Emphasis"/>
    <w:basedOn w:val="Standardnpsmoodstavce"/>
    <w:uiPriority w:val="21"/>
    <w:qFormat/>
    <w:rsid w:val="001E6062"/>
    <w:rPr>
      <w:i/>
      <w:iCs/>
      <w:color w:val="000000" w:themeColor="text1"/>
    </w:rPr>
  </w:style>
  <w:style w:type="character" w:styleId="Odkazintenzivn">
    <w:name w:val="Intense Reference"/>
    <w:basedOn w:val="Standardnpsmoodstavce"/>
    <w:uiPriority w:val="32"/>
    <w:qFormat/>
    <w:rsid w:val="001E6062"/>
    <w:rPr>
      <w:b/>
      <w:bCs/>
      <w:smallCaps/>
      <w:color w:val="000000" w:themeColor="text1"/>
      <w:spacing w:val="5"/>
    </w:rPr>
  </w:style>
  <w:style w:type="character" w:styleId="Znakapoznpodarou">
    <w:name w:val="footnote reference"/>
    <w:basedOn w:val="Standardnpsmoodstavce"/>
    <w:rsid w:val="00E063CE"/>
    <w:rPr>
      <w:rFonts w:cs="Times New Roman"/>
      <w:vertAlign w:val="superscript"/>
    </w:rPr>
  </w:style>
  <w:style w:type="paragraph" w:customStyle="1" w:styleId="Nadpis11">
    <w:name w:val="Nadpis 11"/>
    <w:basedOn w:val="Normln"/>
    <w:uiPriority w:val="9"/>
    <w:qFormat/>
    <w:rsid w:val="008A6CB4"/>
    <w:pPr>
      <w:keepNext/>
      <w:keepLines/>
      <w:spacing w:after="100"/>
      <w:contextualSpacing/>
      <w:jc w:val="left"/>
      <w:outlineLvl w:val="0"/>
    </w:pPr>
    <w:rPr>
      <w:rFonts w:eastAsia="MS Gothic"/>
      <w:b/>
      <w:bCs/>
      <w:color w:val="71818C"/>
      <w:sz w:val="32"/>
      <w:szCs w:val="28"/>
    </w:rPr>
  </w:style>
  <w:style w:type="paragraph" w:customStyle="1" w:styleId="Textpoznpodarou1">
    <w:name w:val="Text pozn. pod čarou1"/>
    <w:basedOn w:val="Normln"/>
    <w:qFormat/>
    <w:rsid w:val="008A6CB4"/>
    <w:pPr>
      <w:spacing w:after="0" w:line="240" w:lineRule="auto"/>
      <w:jc w:val="left"/>
    </w:pPr>
    <w:rPr>
      <w:rFonts w:eastAsia="Calibri"/>
      <w:szCs w:val="20"/>
    </w:rPr>
  </w:style>
  <w:style w:type="character" w:styleId="Zdraznn">
    <w:name w:val="Emphasis"/>
    <w:basedOn w:val="Standardnpsmoodstavce"/>
    <w:uiPriority w:val="20"/>
    <w:qFormat/>
    <w:rsid w:val="00C4431F"/>
    <w:rPr>
      <w:i/>
      <w:iCs/>
    </w:rPr>
  </w:style>
  <w:style w:type="character" w:customStyle="1" w:styleId="normaltextrun">
    <w:name w:val="normaltextrun"/>
    <w:basedOn w:val="Standardnpsmoodstavce"/>
    <w:rsid w:val="00C4431F"/>
  </w:style>
  <w:style w:type="paragraph" w:customStyle="1" w:styleId="paragraph">
    <w:name w:val="paragraph"/>
    <w:basedOn w:val="Normln"/>
    <w:rsid w:val="00C4431F"/>
    <w:pPr>
      <w:spacing w:before="100" w:beforeAutospacing="1" w:after="100" w:afterAutospacing="1" w:line="240" w:lineRule="auto"/>
      <w:jc w:val="left"/>
    </w:pPr>
    <w:rPr>
      <w:rFonts w:ascii="Times New Roman" w:hAnsi="Times New Roman"/>
      <w:sz w:val="24"/>
    </w:rPr>
  </w:style>
  <w:style w:type="character" w:customStyle="1" w:styleId="eop">
    <w:name w:val="eop"/>
    <w:basedOn w:val="Standardnpsmoodstavce"/>
    <w:rsid w:val="00C4431F"/>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adpisobsahu">
    <w:name w:val="TOC Heading"/>
    <w:basedOn w:val="Nadpis1"/>
    <w:next w:val="Normln"/>
    <w:uiPriority w:val="39"/>
    <w:unhideWhenUsed/>
    <w:qFormat/>
    <w:rsid w:val="00603FF5"/>
    <w:pPr>
      <w:spacing w:before="240" w:after="0" w:line="259" w:lineRule="auto"/>
      <w:contextualSpacing w:val="0"/>
      <w:outlineLvl w:val="9"/>
    </w:pPr>
    <w:rPr>
      <w:rFonts w:asciiTheme="majorHAnsi" w:eastAsiaTheme="majorEastAsia" w:hAnsiTheme="majorHAnsi" w:cstheme="majorBidi"/>
      <w:b w:val="0"/>
      <w:bCs w:val="0"/>
      <w:color w:val="365F91" w:themeColor="accent1" w:themeShade="BF"/>
      <w:szCs w:val="32"/>
    </w:rPr>
  </w:style>
  <w:style w:type="character" w:styleId="Odkaznakoment">
    <w:name w:val="annotation reference"/>
    <w:basedOn w:val="Standardnpsmoodstavce"/>
    <w:uiPriority w:val="99"/>
    <w:semiHidden/>
    <w:unhideWhenUsed/>
    <w:rsid w:val="00545512"/>
    <w:rPr>
      <w:sz w:val="16"/>
      <w:szCs w:val="16"/>
    </w:rPr>
  </w:style>
  <w:style w:type="paragraph" w:styleId="Textkomente">
    <w:name w:val="annotation text"/>
    <w:basedOn w:val="Normln"/>
    <w:link w:val="TextkomenteChar"/>
    <w:uiPriority w:val="99"/>
    <w:unhideWhenUsed/>
    <w:rsid w:val="00545512"/>
    <w:pPr>
      <w:spacing w:line="240" w:lineRule="auto"/>
    </w:pPr>
    <w:rPr>
      <w:szCs w:val="20"/>
    </w:rPr>
  </w:style>
  <w:style w:type="character" w:customStyle="1" w:styleId="TextkomenteChar">
    <w:name w:val="Text komentáře Char"/>
    <w:basedOn w:val="Standardnpsmoodstavce"/>
    <w:link w:val="Textkomente"/>
    <w:uiPriority w:val="99"/>
    <w:rsid w:val="00545512"/>
    <w:rPr>
      <w:rFonts w:ascii="Arial" w:eastAsia="Times New Roman" w:hAnsi="Arial"/>
      <w:lang w:eastAsia="cs-CZ"/>
    </w:rPr>
  </w:style>
  <w:style w:type="paragraph" w:styleId="Pedmtkomente">
    <w:name w:val="annotation subject"/>
    <w:basedOn w:val="Textkomente"/>
    <w:next w:val="Textkomente"/>
    <w:link w:val="PedmtkomenteChar"/>
    <w:uiPriority w:val="99"/>
    <w:semiHidden/>
    <w:unhideWhenUsed/>
    <w:rsid w:val="00545512"/>
    <w:rPr>
      <w:b/>
      <w:bCs/>
    </w:rPr>
  </w:style>
  <w:style w:type="character" w:customStyle="1" w:styleId="PedmtkomenteChar">
    <w:name w:val="Předmět komentáře Char"/>
    <w:basedOn w:val="TextkomenteChar"/>
    <w:link w:val="Pedmtkomente"/>
    <w:uiPriority w:val="99"/>
    <w:semiHidden/>
    <w:rsid w:val="00545512"/>
    <w:rPr>
      <w:rFonts w:ascii="Arial" w:eastAsia="Times New Roman" w:hAnsi="Arial"/>
      <w:b/>
      <w:bCs/>
      <w:lang w:eastAsia="cs-CZ"/>
    </w:rPr>
  </w:style>
  <w:style w:type="paragraph" w:styleId="Rozloendokumentu">
    <w:name w:val="Document Map"/>
    <w:basedOn w:val="Normln"/>
    <w:link w:val="RozloendokumentuChar"/>
    <w:uiPriority w:val="99"/>
    <w:semiHidden/>
    <w:rsid w:val="00545512"/>
    <w:pPr>
      <w:spacing w:after="0" w:line="288" w:lineRule="auto"/>
      <w:jc w:val="left"/>
    </w:pPr>
    <w:rPr>
      <w:rFonts w:ascii="Tahoma" w:eastAsia="Calibri" w:hAnsi="Tahoma" w:cs="Tahoma"/>
      <w:sz w:val="16"/>
      <w:szCs w:val="16"/>
    </w:rPr>
  </w:style>
  <w:style w:type="character" w:customStyle="1" w:styleId="RozloendokumentuChar">
    <w:name w:val="Rozložení dokumentu Char"/>
    <w:basedOn w:val="Standardnpsmoodstavce"/>
    <w:link w:val="Rozloendokumentu"/>
    <w:uiPriority w:val="99"/>
    <w:semiHidden/>
    <w:rsid w:val="00545512"/>
    <w:rPr>
      <w:rFonts w:ascii="Tahoma" w:hAnsi="Tahoma" w:cs="Tahoma"/>
      <w:sz w:val="16"/>
      <w:szCs w:val="16"/>
      <w:lang w:eastAsia="cs-CZ"/>
    </w:rPr>
  </w:style>
  <w:style w:type="paragraph" w:customStyle="1" w:styleId="Nadpis12">
    <w:name w:val="Nadpis 12"/>
    <w:basedOn w:val="Normln"/>
    <w:uiPriority w:val="9"/>
    <w:qFormat/>
    <w:rsid w:val="00545512"/>
    <w:pPr>
      <w:keepNext/>
      <w:keepLines/>
      <w:spacing w:after="100"/>
      <w:contextualSpacing/>
      <w:jc w:val="left"/>
      <w:outlineLvl w:val="0"/>
    </w:pPr>
    <w:rPr>
      <w:rFonts w:eastAsia="MS Gothic"/>
      <w:b/>
      <w:bCs/>
      <w:color w:val="71818C"/>
      <w:sz w:val="32"/>
      <w:szCs w:val="28"/>
    </w:rPr>
  </w:style>
  <w:style w:type="character" w:customStyle="1" w:styleId="spelle">
    <w:name w:val="spelle"/>
    <w:basedOn w:val="Standardnpsmoodstavce"/>
    <w:rsid w:val="00545512"/>
  </w:style>
  <w:style w:type="paragraph" w:styleId="Revize">
    <w:name w:val="Revision"/>
    <w:hidden/>
    <w:uiPriority w:val="99"/>
    <w:semiHidden/>
    <w:rsid w:val="00545512"/>
    <w:rPr>
      <w:rFonts w:ascii="Arial" w:eastAsia="Times New Roman" w:hAnsi="Arial"/>
      <w:szCs w:val="24"/>
      <w:lang w:eastAsia="cs-CZ"/>
    </w:rPr>
  </w:style>
  <w:style w:type="character" w:customStyle="1" w:styleId="odkaz-style-wrapper">
    <w:name w:val="odkaz-style-wrapper"/>
    <w:basedOn w:val="Standardnpsmoodstavce"/>
    <w:rsid w:val="00545512"/>
  </w:style>
  <w:style w:type="character" w:customStyle="1" w:styleId="tabulka">
    <w:name w:val="tabulka"/>
    <w:basedOn w:val="Standardnpsmoodstavce"/>
    <w:rsid w:val="00545512"/>
  </w:style>
  <w:style w:type="paragraph" w:customStyle="1" w:styleId="Default">
    <w:name w:val="Default"/>
    <w:rsid w:val="00545512"/>
    <w:pPr>
      <w:autoSpaceDE w:val="0"/>
      <w:autoSpaceDN w:val="0"/>
      <w:adjustRightInd w:val="0"/>
    </w:pPr>
    <w:rPr>
      <w:rFonts w:cs="Calibri"/>
      <w:color w:val="000000"/>
      <w:sz w:val="24"/>
      <w:szCs w:val="24"/>
    </w:rPr>
  </w:style>
  <w:style w:type="paragraph" w:styleId="Normlnweb">
    <w:name w:val="Normal (Web)"/>
    <w:basedOn w:val="Normln"/>
    <w:uiPriority w:val="99"/>
    <w:semiHidden/>
    <w:unhideWhenUsed/>
    <w:rsid w:val="00545512"/>
    <w:pPr>
      <w:spacing w:before="100" w:beforeAutospacing="1" w:after="100" w:afterAutospacing="1" w:line="240" w:lineRule="auto"/>
      <w:jc w:val="left"/>
    </w:pPr>
    <w:rPr>
      <w:rFonts w:ascii="Times New Roman" w:hAnsi="Times New Roman"/>
      <w:sz w:val="24"/>
    </w:rPr>
  </w:style>
  <w:style w:type="paragraph" w:styleId="FormtovanvHTML">
    <w:name w:val="HTML Preformatted"/>
    <w:basedOn w:val="Normln"/>
    <w:link w:val="FormtovanvHTMLChar"/>
    <w:uiPriority w:val="99"/>
    <w:semiHidden/>
    <w:unhideWhenUsed/>
    <w:rsid w:val="00545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Cs w:val="20"/>
    </w:rPr>
  </w:style>
  <w:style w:type="character" w:customStyle="1" w:styleId="FormtovanvHTMLChar">
    <w:name w:val="Formátovaný v HTML Char"/>
    <w:basedOn w:val="Standardnpsmoodstavce"/>
    <w:link w:val="FormtovanvHTML"/>
    <w:uiPriority w:val="99"/>
    <w:semiHidden/>
    <w:rsid w:val="00545512"/>
    <w:rPr>
      <w:rFonts w:ascii="Courier New" w:eastAsia="Times New Roman" w:hAnsi="Courier New" w:cs="Courier New"/>
      <w:lang w:eastAsia="cs-CZ"/>
    </w:rPr>
  </w:style>
  <w:style w:type="paragraph" w:customStyle="1" w:styleId="cay">
    <w:name w:val="c_ay"/>
    <w:basedOn w:val="Normln"/>
    <w:rsid w:val="00545512"/>
    <w:pPr>
      <w:spacing w:before="100" w:beforeAutospacing="1" w:after="100" w:afterAutospacing="1" w:line="240" w:lineRule="auto"/>
      <w:jc w:val="left"/>
    </w:pPr>
    <w:rPr>
      <w:rFonts w:ascii="Times New Roman" w:hAnsi="Times New Roman"/>
      <w:sz w:val="24"/>
    </w:rPr>
  </w:style>
  <w:style w:type="character" w:customStyle="1" w:styleId="cew">
    <w:name w:val="c_ew"/>
    <w:basedOn w:val="Standardnpsmoodstavce"/>
    <w:rsid w:val="00545512"/>
  </w:style>
  <w:style w:type="character" w:styleId="Sledovanodkaz">
    <w:name w:val="FollowedHyperlink"/>
    <w:basedOn w:val="Standardnpsmoodstavce"/>
    <w:uiPriority w:val="99"/>
    <w:semiHidden/>
    <w:unhideWhenUsed/>
    <w:rsid w:val="00545512"/>
    <w:rPr>
      <w:color w:val="800080" w:themeColor="followedHyperlink"/>
      <w:u w:val="single"/>
    </w:rPr>
  </w:style>
  <w:style w:type="character" w:customStyle="1" w:styleId="cfu">
    <w:name w:val="c_fu"/>
    <w:basedOn w:val="Standardnpsmoodstavce"/>
    <w:rsid w:val="00BF3B1D"/>
  </w:style>
  <w:style w:type="character" w:customStyle="1" w:styleId="OdstavecseseznamemChar">
    <w:name w:val="Odstavec se seznamem Char"/>
    <w:basedOn w:val="Standardnpsmoodstavce"/>
    <w:link w:val="Odstavecseseznamem"/>
    <w:uiPriority w:val="34"/>
    <w:rsid w:val="00CF59E5"/>
    <w:rPr>
      <w:rFonts w:ascii="Arial" w:eastAsia="Times New Roman" w:hAnsi="Arial"/>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66344914">
      <w:bodyDiv w:val="1"/>
      <w:marLeft w:val="0"/>
      <w:marRight w:val="0"/>
      <w:marTop w:val="0"/>
      <w:marBottom w:val="0"/>
      <w:divBdr>
        <w:top w:val="none" w:sz="0" w:space="0" w:color="auto"/>
        <w:left w:val="none" w:sz="0" w:space="0" w:color="auto"/>
        <w:bottom w:val="none" w:sz="0" w:space="0" w:color="auto"/>
        <w:right w:val="none" w:sz="0" w:space="0" w:color="auto"/>
      </w:divBdr>
    </w:div>
    <w:div w:id="110517919">
      <w:bodyDiv w:val="1"/>
      <w:marLeft w:val="0"/>
      <w:marRight w:val="0"/>
      <w:marTop w:val="0"/>
      <w:marBottom w:val="0"/>
      <w:divBdr>
        <w:top w:val="none" w:sz="0" w:space="0" w:color="auto"/>
        <w:left w:val="none" w:sz="0" w:space="0" w:color="auto"/>
        <w:bottom w:val="none" w:sz="0" w:space="0" w:color="auto"/>
        <w:right w:val="none" w:sz="0" w:space="0" w:color="auto"/>
      </w:divBdr>
    </w:div>
    <w:div w:id="112676334">
      <w:bodyDiv w:val="1"/>
      <w:marLeft w:val="0"/>
      <w:marRight w:val="0"/>
      <w:marTop w:val="0"/>
      <w:marBottom w:val="0"/>
      <w:divBdr>
        <w:top w:val="none" w:sz="0" w:space="0" w:color="auto"/>
        <w:left w:val="none" w:sz="0" w:space="0" w:color="auto"/>
        <w:bottom w:val="none" w:sz="0" w:space="0" w:color="auto"/>
        <w:right w:val="none" w:sz="0" w:space="0" w:color="auto"/>
      </w:divBdr>
    </w:div>
    <w:div w:id="243729605">
      <w:bodyDiv w:val="1"/>
      <w:marLeft w:val="0"/>
      <w:marRight w:val="0"/>
      <w:marTop w:val="0"/>
      <w:marBottom w:val="0"/>
      <w:divBdr>
        <w:top w:val="none" w:sz="0" w:space="0" w:color="auto"/>
        <w:left w:val="none" w:sz="0" w:space="0" w:color="auto"/>
        <w:bottom w:val="none" w:sz="0" w:space="0" w:color="auto"/>
        <w:right w:val="none" w:sz="0" w:space="0" w:color="auto"/>
      </w:divBdr>
    </w:div>
    <w:div w:id="255015632">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387458773">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733701289">
      <w:bodyDiv w:val="1"/>
      <w:marLeft w:val="0"/>
      <w:marRight w:val="0"/>
      <w:marTop w:val="0"/>
      <w:marBottom w:val="0"/>
      <w:divBdr>
        <w:top w:val="none" w:sz="0" w:space="0" w:color="auto"/>
        <w:left w:val="none" w:sz="0" w:space="0" w:color="auto"/>
        <w:bottom w:val="none" w:sz="0" w:space="0" w:color="auto"/>
        <w:right w:val="none" w:sz="0" w:space="0" w:color="auto"/>
      </w:divBdr>
    </w:div>
    <w:div w:id="883518353">
      <w:bodyDiv w:val="1"/>
      <w:marLeft w:val="0"/>
      <w:marRight w:val="0"/>
      <w:marTop w:val="0"/>
      <w:marBottom w:val="0"/>
      <w:divBdr>
        <w:top w:val="none" w:sz="0" w:space="0" w:color="auto"/>
        <w:left w:val="none" w:sz="0" w:space="0" w:color="auto"/>
        <w:bottom w:val="none" w:sz="0" w:space="0" w:color="auto"/>
        <w:right w:val="none" w:sz="0" w:space="0" w:color="auto"/>
      </w:divBdr>
    </w:div>
    <w:div w:id="932319695">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276136441">
      <w:bodyDiv w:val="1"/>
      <w:marLeft w:val="0"/>
      <w:marRight w:val="0"/>
      <w:marTop w:val="0"/>
      <w:marBottom w:val="0"/>
      <w:divBdr>
        <w:top w:val="none" w:sz="0" w:space="0" w:color="auto"/>
        <w:left w:val="none" w:sz="0" w:space="0" w:color="auto"/>
        <w:bottom w:val="none" w:sz="0" w:space="0" w:color="auto"/>
        <w:right w:val="none" w:sz="0" w:space="0" w:color="auto"/>
      </w:divBdr>
    </w:div>
    <w:div w:id="128300063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566721734">
      <w:bodyDiv w:val="1"/>
      <w:marLeft w:val="0"/>
      <w:marRight w:val="0"/>
      <w:marTop w:val="0"/>
      <w:marBottom w:val="0"/>
      <w:divBdr>
        <w:top w:val="none" w:sz="0" w:space="0" w:color="auto"/>
        <w:left w:val="none" w:sz="0" w:space="0" w:color="auto"/>
        <w:bottom w:val="none" w:sz="0" w:space="0" w:color="auto"/>
        <w:right w:val="none" w:sz="0" w:space="0" w:color="auto"/>
      </w:divBdr>
    </w:div>
    <w:div w:id="1639457441">
      <w:bodyDiv w:val="1"/>
      <w:marLeft w:val="0"/>
      <w:marRight w:val="0"/>
      <w:marTop w:val="0"/>
      <w:marBottom w:val="0"/>
      <w:divBdr>
        <w:top w:val="none" w:sz="0" w:space="0" w:color="auto"/>
        <w:left w:val="none" w:sz="0" w:space="0" w:color="auto"/>
        <w:bottom w:val="none" w:sz="0" w:space="0" w:color="auto"/>
        <w:right w:val="none" w:sz="0" w:space="0" w:color="auto"/>
      </w:divBdr>
    </w:div>
    <w:div w:id="1716924412">
      <w:bodyDiv w:val="1"/>
      <w:marLeft w:val="0"/>
      <w:marRight w:val="0"/>
      <w:marTop w:val="0"/>
      <w:marBottom w:val="0"/>
      <w:divBdr>
        <w:top w:val="none" w:sz="0" w:space="0" w:color="auto"/>
        <w:left w:val="none" w:sz="0" w:space="0" w:color="auto"/>
        <w:bottom w:val="none" w:sz="0" w:space="0" w:color="auto"/>
        <w:right w:val="none" w:sz="0" w:space="0" w:color="auto"/>
      </w:divBdr>
    </w:div>
    <w:div w:id="1856962653">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06206753">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chart" Target="charts/chart3.xml"/><Relationship Id="rId26" Type="http://schemas.openxmlformats.org/officeDocument/2006/relationships/chart" Target="charts/chart11.xml"/><Relationship Id="rId39" Type="http://schemas.openxmlformats.org/officeDocument/2006/relationships/footer" Target="footer4.xml"/><Relationship Id="rId21" Type="http://schemas.openxmlformats.org/officeDocument/2006/relationships/chart" Target="charts/chart6.xml"/><Relationship Id="rId34" Type="http://schemas.openxmlformats.org/officeDocument/2006/relationships/chart" Target="charts/chart19.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chart" Target="charts/chart14.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chart" Target="charts/chart9.xml"/><Relationship Id="rId32" Type="http://schemas.openxmlformats.org/officeDocument/2006/relationships/chart" Target="charts/chart17.xml"/><Relationship Id="rId37" Type="http://schemas.openxmlformats.org/officeDocument/2006/relationships/header" Target="header4.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chart" Target="charts/chart8.xml"/><Relationship Id="rId28" Type="http://schemas.openxmlformats.org/officeDocument/2006/relationships/chart" Target="charts/chart13.xm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hart" Target="charts/chart4.xml"/><Relationship Id="rId31" Type="http://schemas.openxmlformats.org/officeDocument/2006/relationships/chart" Target="charts/chart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hart" Target="charts/chart7.xml"/><Relationship Id="rId27" Type="http://schemas.openxmlformats.org/officeDocument/2006/relationships/chart" Target="charts/chart12.xml"/><Relationship Id="rId30" Type="http://schemas.openxmlformats.org/officeDocument/2006/relationships/chart" Target="charts/chart15.xml"/><Relationship Id="rId35" Type="http://schemas.openxmlformats.org/officeDocument/2006/relationships/chart" Target="charts/chart20.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chart" Target="charts/chart2.xml"/><Relationship Id="rId25" Type="http://schemas.openxmlformats.org/officeDocument/2006/relationships/chart" Target="charts/chart10.xml"/><Relationship Id="rId33" Type="http://schemas.openxmlformats.org/officeDocument/2006/relationships/chart" Target="charts/chart18.xml"/><Relationship Id="rId38"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csu.gov.cz/produkty/analyza-ctvrtletnich-sektorovych-uctu-3-ctvrtleti-2025" TargetMode="External"/><Relationship Id="rId2" Type="http://schemas.openxmlformats.org/officeDocument/2006/relationships/hyperlink" Target="https://csu.gov.cz/metodicka-poznamka-k-indexu-spotrebitelskych-cen-imputovane-najemne" TargetMode="External"/><Relationship Id="rId1" Type="http://schemas.openxmlformats.org/officeDocument/2006/relationships/hyperlink" Target="https://www.czso.cz/csu/czso/aktualizace-metody-propoctu-zahranicni-obchod-se-zbozi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https://czsocz-my.sharepoint.com/personal/karolina_zabojnikova_czso_cz/Documents/Dokumenty/Anal&#253;za/Q/2025Q4/eng/Makroanal&#253;za%20grafy_eng.xlsx" TargetMode="External"/></Relationships>
</file>

<file path=word/charts/_rels/chart10.xml.rels><?xml version="1.0" encoding="UTF-8" standalone="yes"?>
<Relationships xmlns="http://schemas.openxmlformats.org/package/2006/relationships"><Relationship Id="rId3" Type="http://schemas.openxmlformats.org/officeDocument/2006/relationships/oleObject" Target="https://czsocz-my.sharepoint.com/personal/karolina_zabojnikova_czso_cz/Documents/Dokumenty/Anal&#253;za/Q/2025Q4/eng/Makroanal&#253;za%20grafy_eng.xlsx" TargetMode="External"/><Relationship Id="rId2" Type="http://schemas.microsoft.com/office/2011/relationships/chartColorStyle" Target="colors2.xml"/><Relationship Id="rId1" Type="http://schemas.microsoft.com/office/2011/relationships/chartStyle" Target="style2.xml"/></Relationships>
</file>

<file path=word/charts/_rels/chart11.xml.rels><?xml version="1.0" encoding="UTF-8" standalone="yes"?>
<Relationships xmlns="http://schemas.openxmlformats.org/package/2006/relationships"><Relationship Id="rId1" Type="http://schemas.openxmlformats.org/officeDocument/2006/relationships/oleObject" Target="https://czsocz-my.sharepoint.com/personal/karolina_zabojnikova_czso_cz/Documents/Dokumenty/Anal&#253;za/Q/2025Q4/eng/Makroanal&#253;za%20grafy_eng.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czsocz-my.sharepoint.com/personal/karolina_zabojnikova_czso_cz/Documents/Dokumenty/Anal&#253;za/Q/2025Q4/eng/Makroanal&#253;za%20grafy_eng.xlsx" TargetMode="External"/></Relationships>
</file>

<file path=word/charts/_rels/chart13.xml.rels><?xml version="1.0" encoding="UTF-8" standalone="yes"?>
<Relationships xmlns="http://schemas.openxmlformats.org/package/2006/relationships"><Relationship Id="rId3" Type="http://schemas.openxmlformats.org/officeDocument/2006/relationships/oleObject" Target="https://czsocz-my.sharepoint.com/personal/karolina_zabojnikova_czso_cz/Documents/Dokumenty/Anal&#253;za/Q/2025Q4/eng/Makroanal&#253;za%20grafy_eng.xlsx" TargetMode="External"/><Relationship Id="rId2" Type="http://schemas.microsoft.com/office/2011/relationships/chartColorStyle" Target="colors3.xml"/><Relationship Id="rId1" Type="http://schemas.microsoft.com/office/2011/relationships/chartStyle" Target="style3.xml"/></Relationships>
</file>

<file path=word/charts/_rels/chart14.xml.rels><?xml version="1.0" encoding="UTF-8" standalone="yes"?>
<Relationships xmlns="http://schemas.openxmlformats.org/package/2006/relationships"><Relationship Id="rId1" Type="http://schemas.openxmlformats.org/officeDocument/2006/relationships/oleObject" Target="file:///E:\Qmakro-2025\cekorok%202025\ENGL\Grafy-TRH%20PR&#193;CE%20celorok-2025-ENG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E:\Qmakro-2025\cekorok%202025\ENGL\Grafy-TRH%20PR&#193;CE%20celorok-2025-ENG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E:\Qmakro-2025\cekorok%202025\ENGL\Grafy-TRH%20PR&#193;CE%20celorok-2025-ENG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czsocz-my.sharepoint.com/personal/karolina_zabojnikova_czso_cz/Documents/Dokumenty/Anal&#253;za/Q/2025Q4/eng/Makroanal&#253;za%20grafy_eng.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F:\Qmakro-2025\cekorok%202025\ENGL\Grafy-st&#225;tn&#237;%20rozpo&#269;et-rok-2025--ENG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F:\Qmakro-2025\cekorok%202025\ENGL\Grafy-st&#225;tn&#237;%20rozpo&#269;et-rok-2025--ENG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czsocz-my.sharepoint.com/personal/karolina_zabojnikova_czso_cz/Documents/Dokumenty/Anal&#253;za/Q/2025Q4/eng/Makroanal&#253;za%20grafy_eng.xlsx" TargetMode="External"/></Relationships>
</file>

<file path=word/charts/_rels/chart20.xml.rels><?xml version="1.0" encoding="UTF-8" standalone="yes"?>
<Relationships xmlns="http://schemas.openxmlformats.org/package/2006/relationships"><Relationship Id="rId3" Type="http://schemas.openxmlformats.org/officeDocument/2006/relationships/oleObject" Target="file:///E:\Qmakro-2025\cekorok%202025\ENGL\Grafy-st&#225;tn&#237;%20rozpo&#269;et-rok-2025--ENGL.xlsx" TargetMode="External"/><Relationship Id="rId2" Type="http://schemas.microsoft.com/office/2011/relationships/chartColorStyle" Target="colors4.xml"/><Relationship Id="rId1" Type="http://schemas.microsoft.com/office/2011/relationships/chartStyle" Target="style4.xml"/></Relationships>
</file>

<file path=word/charts/_rels/chart3.xml.rels><?xml version="1.0" encoding="UTF-8" standalone="yes"?>
<Relationships xmlns="http://schemas.openxmlformats.org/package/2006/relationships"><Relationship Id="rId1" Type="http://schemas.openxmlformats.org/officeDocument/2006/relationships/oleObject" Target="https://czsocz-my.sharepoint.com/personal/karolina_zabojnikova_czso_cz/Documents/Dokumenty/Anal&#253;za/Q/2025Q4/eng/Makroanal&#253;za%20grafy_eng.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Qmakro-2025\cekorok%202025\ENGL\ODV&#282;TV&#205;_grafy_celorok-2025-ENG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Qmakro-2025\cekorok%202025\ENGL\ODV&#282;TV&#205;_grafy_celorok-2025-ENG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Qmakro-2025\cekorok%202025\ENGL\ODV&#282;TV&#205;_grafy_celorok-2025-ENG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Qmakro-2025\cekorok%202025\ENGL\ODV&#282;TV&#205;_grafy_celorok-2025-ENG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E:\Qmakro-2025\cekorok%202025\ENGL\ODV&#282;TV&#205;_grafy_celorok-2025-ENGL.xlsx" TargetMode="External"/></Relationships>
</file>

<file path=word/charts/_rels/chart9.xml.rels><?xml version="1.0" encoding="UTF-8" standalone="yes"?>
<Relationships xmlns="http://schemas.openxmlformats.org/package/2006/relationships"><Relationship Id="rId3" Type="http://schemas.openxmlformats.org/officeDocument/2006/relationships/oleObject" Target="https://czsocz-my.sharepoint.com/personal/karolina_zabojnikova_czso_cz/Documents/Dokumenty/Anal&#253;za/Q/2025Q4/eng/Makroanal&#253;za%20grafy_eng.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2240163796014418E-2"/>
          <c:y val="2.3046636085626952E-2"/>
          <c:w val="0.93617042384329663"/>
          <c:h val="0.74192840256670856"/>
        </c:manualLayout>
      </c:layout>
      <c:barChart>
        <c:barDir val="col"/>
        <c:grouping val="clustered"/>
        <c:varyColors val="0"/>
        <c:ser>
          <c:idx val="0"/>
          <c:order val="0"/>
          <c:tx>
            <c:strRef>
              <c:f>'souhrnná výkonnost 1'!$C$4</c:f>
              <c:strCache>
                <c:ptCount val="1"/>
                <c:pt idx="0">
                  <c:v>CR year-on-year change</c:v>
                </c:pt>
              </c:strCache>
            </c:strRef>
          </c:tx>
          <c:spPr>
            <a:solidFill>
              <a:srgbClr val="85898E"/>
            </a:solidFill>
            <a:ln>
              <a:noFill/>
            </a:ln>
          </c:spPr>
          <c:invertIfNegative val="0"/>
          <c:cat>
            <c:multiLvlStrRef>
              <c:f>'souhrnná výkonnost 1'!$A$13:$B$36</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'souhrnná výkonnost 1'!$C$13:$C$36</c:f>
              <c:numCache>
                <c:formatCode>0.0</c:formatCode>
                <c:ptCount val="24"/>
                <c:pt idx="0">
                  <c:v>-1.5351861916054617</c:v>
                </c:pt>
                <c:pt idx="1">
                  <c:v>-10.559587702388853</c:v>
                </c:pt>
                <c:pt idx="2">
                  <c:v>-4.6694083752601188</c:v>
                </c:pt>
                <c:pt idx="3">
                  <c:v>-4.5192273145153194</c:v>
                </c:pt>
                <c:pt idx="4">
                  <c:v>-1.2664124847114806</c:v>
                </c:pt>
                <c:pt idx="5">
                  <c:v>9.7297062446547216</c:v>
                </c:pt>
                <c:pt idx="6">
                  <c:v>3.9961916951869227</c:v>
                </c:pt>
                <c:pt idx="7">
                  <c:v>3.9239124588274592</c:v>
                </c:pt>
                <c:pt idx="8">
                  <c:v>4.8491281313959291</c:v>
                </c:pt>
                <c:pt idx="9">
                  <c:v>3.6598190972935782</c:v>
                </c:pt>
                <c:pt idx="10">
                  <c:v>2.0291799214766684</c:v>
                </c:pt>
                <c:pt idx="11">
                  <c:v>0.95170963681438536</c:v>
                </c:pt>
                <c:pt idx="12">
                  <c:v>0.26248598087539676</c:v>
                </c:pt>
                <c:pt idx="13">
                  <c:v>0.21777400207922426</c:v>
                </c:pt>
                <c:pt idx="14">
                  <c:v>-0.2818883582691285</c:v>
                </c:pt>
                <c:pt idx="15">
                  <c:v>0.48633188147042006</c:v>
                </c:pt>
                <c:pt idx="16">
                  <c:v>0.50112217790925229</c:v>
                </c:pt>
                <c:pt idx="17">
                  <c:v>0.53795436954789011</c:v>
                </c:pt>
                <c:pt idx="18">
                  <c:v>1.5167845788735406</c:v>
                </c:pt>
                <c:pt idx="19">
                  <c:v>1.9540450586190872</c:v>
                </c:pt>
                <c:pt idx="20">
                  <c:v>2.4336347581521522</c:v>
                </c:pt>
                <c:pt idx="21">
                  <c:v>2.5962890487377024</c:v>
                </c:pt>
                <c:pt idx="22">
                  <c:v>2.7833123155343031</c:v>
                </c:pt>
                <c:pt idx="23">
                  <c:v>2.5574982004102083</c:v>
                </c:pt>
              </c:numCache>
            </c:numRef>
          </c:val>
          <c:extLst>
            <c:ext xmlns:c16="http://schemas.microsoft.com/office/drawing/2014/chart" uri="{C3380CC4-5D6E-409C-BE32-E72D297353CC}">
              <c16:uniqueId val="{00000000-1374-4F50-A9C2-FD72F7E04A72}"/>
            </c:ext>
          </c:extLst>
        </c:ser>
        <c:ser>
          <c:idx val="1"/>
          <c:order val="1"/>
          <c:tx>
            <c:strRef>
              <c:f>'souhrnná výkonnost 1'!$D$4</c:f>
              <c:strCache>
                <c:ptCount val="1"/>
                <c:pt idx="0">
                  <c:v>EU28 year-on-year change</c:v>
                </c:pt>
              </c:strCache>
            </c:strRef>
          </c:tx>
          <c:spPr>
            <a:solidFill>
              <a:srgbClr val="B8BBC0"/>
            </a:solidFill>
            <a:ln>
              <a:noFill/>
            </a:ln>
          </c:spPr>
          <c:invertIfNegative val="0"/>
          <c:cat>
            <c:multiLvlStrRef>
              <c:f>'souhrnná výkonnost 1'!$A$13:$B$36</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'souhrnná výkonnost 1'!$D$13:$D$36</c:f>
              <c:numCache>
                <c:formatCode>#\ ##0.##########</c:formatCode>
                <c:ptCount val="24"/>
                <c:pt idx="0">
                  <c:v>-2.2000000000000002</c:v>
                </c:pt>
                <c:pt idx="1">
                  <c:v>-13.1</c:v>
                </c:pt>
                <c:pt idx="2">
                  <c:v>-3.9</c:v>
                </c:pt>
                <c:pt idx="3">
                  <c:v>-3.5</c:v>
                </c:pt>
                <c:pt idx="4">
                  <c:v>0.3</c:v>
                </c:pt>
                <c:pt idx="5">
                  <c:v>14.7</c:v>
                </c:pt>
                <c:pt idx="6">
                  <c:v>5.3</c:v>
                </c:pt>
                <c:pt idx="7">
                  <c:v>5.8</c:v>
                </c:pt>
                <c:pt idx="8">
                  <c:v>5.6</c:v>
                </c:pt>
                <c:pt idx="9">
                  <c:v>4.2</c:v>
                </c:pt>
                <c:pt idx="10">
                  <c:v>2.9</c:v>
                </c:pt>
                <c:pt idx="11">
                  <c:v>1.8</c:v>
                </c:pt>
                <c:pt idx="12">
                  <c:v>1.2</c:v>
                </c:pt>
                <c:pt idx="13">
                  <c:v>0.4</c:v>
                </c:pt>
                <c:pt idx="14">
                  <c:v>0.1</c:v>
                </c:pt>
                <c:pt idx="15">
                  <c:v>0.4</c:v>
                </c:pt>
                <c:pt idx="16">
                  <c:v>0.6</c:v>
                </c:pt>
                <c:pt idx="17">
                  <c:v>0.8</c:v>
                </c:pt>
                <c:pt idx="18">
                  <c:v>1.1000000000000001</c:v>
                </c:pt>
                <c:pt idx="19">
                  <c:v>1.5</c:v>
                </c:pt>
                <c:pt idx="20">
                  <c:v>1.7</c:v>
                </c:pt>
                <c:pt idx="21">
                  <c:v>1.7</c:v>
                </c:pt>
                <c:pt idx="22">
                  <c:v>1.7</c:v>
                </c:pt>
                <c:pt idx="23">
                  <c:v>1.4</c:v>
                </c:pt>
              </c:numCache>
            </c:numRef>
          </c:val>
          <c:extLst>
            <c:ext xmlns:c16="http://schemas.microsoft.com/office/drawing/2014/chart" uri="{C3380CC4-5D6E-409C-BE32-E72D297353CC}">
              <c16:uniqueId val="{00000001-1374-4F50-A9C2-FD72F7E04A72}"/>
            </c:ext>
          </c:extLst>
        </c:ser>
        <c:dLbls>
          <c:showLegendKey val="0"/>
          <c:showVal val="0"/>
          <c:showCatName val="0"/>
          <c:showSerName val="0"/>
          <c:showPercent val="0"/>
          <c:showBubbleSize val="0"/>
        </c:dLbls>
        <c:gapWidth val="100"/>
        <c:axId val="115054080"/>
        <c:axId val="115056000"/>
      </c:barChart>
      <c:lineChart>
        <c:grouping val="standard"/>
        <c:varyColors val="0"/>
        <c:ser>
          <c:idx val="2"/>
          <c:order val="2"/>
          <c:tx>
            <c:strRef>
              <c:f>'souhrnná výkonnost 1'!$E$4</c:f>
              <c:strCache>
                <c:ptCount val="1"/>
                <c:pt idx="0">
                  <c:v>ČR quarter-on-quarter change</c:v>
                </c:pt>
              </c:strCache>
            </c:strRef>
          </c:tx>
          <c:spPr>
            <a:ln w="19050">
              <a:noFill/>
            </a:ln>
          </c:spPr>
          <c:marker>
            <c:symbol val="dash"/>
            <c:size val="8"/>
            <c:spPr>
              <a:solidFill>
                <a:srgbClr val="009CB5"/>
              </a:solidFill>
              <a:ln>
                <a:noFill/>
              </a:ln>
            </c:spPr>
          </c:marker>
          <c:cat>
            <c:multiLvlStrRef>
              <c:f>'souhrnná výkonnost 1'!$A$13:$B$36</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'souhrnná výkonnost 1'!$E$13:$E$36</c:f>
              <c:numCache>
                <c:formatCode>0.0</c:formatCode>
                <c:ptCount val="24"/>
                <c:pt idx="0">
                  <c:v>-3.2943412602672453</c:v>
                </c:pt>
                <c:pt idx="1">
                  <c:v>-8.7133959463388635</c:v>
                </c:pt>
                <c:pt idx="2">
                  <c:v>7.3327293273359544</c:v>
                </c:pt>
                <c:pt idx="3">
                  <c:v>0.76850445129137768</c:v>
                </c:pt>
                <c:pt idx="4">
                  <c:v>2.0267802636908527E-4</c:v>
                </c:pt>
                <c:pt idx="5">
                  <c:v>1.4533402357052267</c:v>
                </c:pt>
                <c:pt idx="6">
                  <c:v>1.724459823175593</c:v>
                </c:pt>
                <c:pt idx="7">
                  <c:v>0.69846851601238313</c:v>
                </c:pt>
                <c:pt idx="8">
                  <c:v>0.89048627675430225</c:v>
                </c:pt>
                <c:pt idx="9">
                  <c:v>0.30254979774397839</c:v>
                </c:pt>
                <c:pt idx="10">
                  <c:v>0.12426515979501573</c:v>
                </c:pt>
                <c:pt idx="11">
                  <c:v>-0.36494890653776224</c:v>
                </c:pt>
                <c:pt idx="12">
                  <c:v>0.20168060866517123</c:v>
                </c:pt>
                <c:pt idx="13">
                  <c:v>0.25781995251938383</c:v>
                </c:pt>
                <c:pt idx="14">
                  <c:v>-0.37493098735598096</c:v>
                </c:pt>
                <c:pt idx="15">
                  <c:v>0.4026314414784764</c:v>
                </c:pt>
                <c:pt idx="16">
                  <c:v>0.21642900809541743</c:v>
                </c:pt>
                <c:pt idx="17">
                  <c:v>0.29456297745026916</c:v>
                </c:pt>
                <c:pt idx="18">
                  <c:v>0.59501143654981092</c:v>
                </c:pt>
                <c:pt idx="19">
                  <c:v>0.83509295977751208</c:v>
                </c:pt>
                <c:pt idx="20">
                  <c:v>0.68784499800180754</c:v>
                </c:pt>
                <c:pt idx="21">
                  <c:v>0.45382063758503932</c:v>
                </c:pt>
                <c:pt idx="22">
                  <c:v>0.77838656480000168</c:v>
                </c:pt>
                <c:pt idx="23">
                  <c:v>0.61355906699667173</c:v>
                </c:pt>
              </c:numCache>
            </c:numRef>
          </c:val>
          <c:smooth val="0"/>
          <c:extLst>
            <c:ext xmlns:c16="http://schemas.microsoft.com/office/drawing/2014/chart" uri="{C3380CC4-5D6E-409C-BE32-E72D297353CC}">
              <c16:uniqueId val="{00000002-1374-4F50-A9C2-FD72F7E04A72}"/>
            </c:ext>
          </c:extLst>
        </c:ser>
        <c:ser>
          <c:idx val="3"/>
          <c:order val="3"/>
          <c:tx>
            <c:strRef>
              <c:f>'souhrnná výkonnost 1'!$F$4</c:f>
              <c:strCache>
                <c:ptCount val="1"/>
                <c:pt idx="0">
                  <c:v>EU28 quarter-on-quarter change</c:v>
                </c:pt>
              </c:strCache>
            </c:strRef>
          </c:tx>
          <c:spPr>
            <a:ln w="19050">
              <a:noFill/>
            </a:ln>
          </c:spPr>
          <c:marker>
            <c:symbol val="dash"/>
            <c:size val="8"/>
            <c:spPr>
              <a:solidFill>
                <a:srgbClr val="BC5B80"/>
              </a:solidFill>
              <a:ln>
                <a:noFill/>
              </a:ln>
            </c:spPr>
          </c:marker>
          <c:cat>
            <c:multiLvlStrRef>
              <c:f>'souhrnná výkonnost 1'!$A$13:$B$36</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'souhrnná výkonnost 1'!$F$13:$F$36</c:f>
              <c:numCache>
                <c:formatCode>#\ ##0.##########</c:formatCode>
                <c:ptCount val="24"/>
                <c:pt idx="0">
                  <c:v>-2.9</c:v>
                </c:pt>
                <c:pt idx="1">
                  <c:v>-10.8</c:v>
                </c:pt>
                <c:pt idx="2">
                  <c:v>10.8</c:v>
                </c:pt>
                <c:pt idx="3">
                  <c:v>0.5</c:v>
                </c:pt>
                <c:pt idx="4">
                  <c:v>0.9</c:v>
                </c:pt>
                <c:pt idx="5">
                  <c:v>2.1</c:v>
                </c:pt>
                <c:pt idx="6">
                  <c:v>1.7</c:v>
                </c:pt>
                <c:pt idx="7" formatCode="#\ ##0.0">
                  <c:v>1</c:v>
                </c:pt>
                <c:pt idx="8">
                  <c:v>0.7</c:v>
                </c:pt>
                <c:pt idx="9">
                  <c:v>0.8</c:v>
                </c:pt>
                <c:pt idx="10">
                  <c:v>0.4</c:v>
                </c:pt>
                <c:pt idx="11">
                  <c:v>-0.2</c:v>
                </c:pt>
                <c:pt idx="12">
                  <c:v>0.1</c:v>
                </c:pt>
                <c:pt idx="13">
                  <c:v>0.1</c:v>
                </c:pt>
                <c:pt idx="14">
                  <c:v>0.1</c:v>
                </c:pt>
                <c:pt idx="15">
                  <c:v>0.1</c:v>
                </c:pt>
                <c:pt idx="16">
                  <c:v>0.4</c:v>
                </c:pt>
                <c:pt idx="17">
                  <c:v>0.3</c:v>
                </c:pt>
                <c:pt idx="18">
                  <c:v>0.4</c:v>
                </c:pt>
                <c:pt idx="19">
                  <c:v>0.5</c:v>
                </c:pt>
                <c:pt idx="20">
                  <c:v>0.5</c:v>
                </c:pt>
                <c:pt idx="21">
                  <c:v>0.3</c:v>
                </c:pt>
                <c:pt idx="22">
                  <c:v>0.4</c:v>
                </c:pt>
                <c:pt idx="23">
                  <c:v>0.2</c:v>
                </c:pt>
              </c:numCache>
            </c:numRef>
          </c:val>
          <c:smooth val="0"/>
          <c:extLst>
            <c:ext xmlns:c16="http://schemas.microsoft.com/office/drawing/2014/chart" uri="{C3380CC4-5D6E-409C-BE32-E72D297353CC}">
              <c16:uniqueId val="{00000003-1374-4F50-A9C2-FD72F7E04A72}"/>
            </c:ext>
          </c:extLst>
        </c:ser>
        <c:dLbls>
          <c:showLegendKey val="0"/>
          <c:showVal val="0"/>
          <c:showCatName val="0"/>
          <c:showSerName val="0"/>
          <c:showPercent val="0"/>
          <c:showBubbleSize val="0"/>
        </c:dLbls>
        <c:marker val="1"/>
        <c:smooth val="0"/>
        <c:axId val="115054080"/>
        <c:axId val="115056000"/>
      </c:lineChart>
      <c:catAx>
        <c:axId val="115054080"/>
        <c:scaling>
          <c:orientation val="minMax"/>
        </c:scaling>
        <c:delete val="0"/>
        <c:axPos val="b"/>
        <c:numFmt formatCode="General" sourceLinked="0"/>
        <c:majorTickMark val="out"/>
        <c:minorTickMark val="none"/>
        <c:tickLblPos val="low"/>
        <c:spPr>
          <a:ln>
            <a:solidFill>
              <a:schemeClr val="tx1"/>
            </a:solidFill>
          </a:ln>
        </c:spPr>
        <c:txPr>
          <a:bodyPr rot="0" vert="horz"/>
          <a:lstStyle/>
          <a:p>
            <a:pPr>
              <a:defRPr/>
            </a:pPr>
            <a:endParaRPr lang="cs-CZ"/>
          </a:p>
        </c:txPr>
        <c:crossAx val="115056000"/>
        <c:crosses val="autoZero"/>
        <c:auto val="1"/>
        <c:lblAlgn val="ctr"/>
        <c:lblOffset val="100"/>
        <c:noMultiLvlLbl val="0"/>
      </c:catAx>
      <c:valAx>
        <c:axId val="115056000"/>
        <c:scaling>
          <c:orientation val="minMax"/>
          <c:max val="15"/>
          <c:min val="-15"/>
        </c:scaling>
        <c:delete val="0"/>
        <c:axPos val="l"/>
        <c:majorGridlines>
          <c:spPr>
            <a:ln w="6350">
              <a:solidFill>
                <a:schemeClr val="bg1">
                  <a:lumMod val="75000"/>
                </a:schemeClr>
              </a:solidFill>
            </a:ln>
          </c:spPr>
        </c:majorGridlines>
        <c:numFmt formatCode="0" sourceLinked="0"/>
        <c:majorTickMark val="out"/>
        <c:minorTickMark val="none"/>
        <c:tickLblPos val="nextTo"/>
        <c:spPr>
          <a:ln>
            <a:solidFill>
              <a:schemeClr val="tx1"/>
            </a:solidFill>
          </a:ln>
        </c:spPr>
        <c:crossAx val="115054080"/>
        <c:crosses val="autoZero"/>
        <c:crossBetween val="between"/>
        <c:majorUnit val="3"/>
      </c:valAx>
      <c:spPr>
        <a:ln>
          <a:solidFill>
            <a:schemeClr val="tx1"/>
          </a:solidFill>
        </a:ln>
      </c:spPr>
    </c:plotArea>
    <c:legend>
      <c:legendPos val="b"/>
      <c:layout>
        <c:manualLayout>
          <c:xMode val="edge"/>
          <c:yMode val="edge"/>
          <c:x val="5.0375530939407026E-2"/>
          <c:y val="0.89437255125717996"/>
          <c:w val="0.92644083516900477"/>
          <c:h val="9.0301755758791014E-2"/>
        </c:manualLayout>
      </c:layout>
      <c:overlay val="0"/>
      <c:spPr>
        <a:ln w="6350">
          <a:solidFill>
            <a:schemeClr val="tx1"/>
          </a:solidFill>
        </a:ln>
      </c:spPr>
    </c:legend>
    <c:plotVisOnly val="1"/>
    <c:dispBlanksAs val="gap"/>
    <c:showDLblsOverMax val="0"/>
  </c:chart>
  <c:spPr>
    <a:ln>
      <a:noFill/>
    </a:ln>
  </c:spPr>
  <c:txPr>
    <a:bodyPr/>
    <a:lstStyle/>
    <a:p>
      <a:pPr>
        <a:defRPr sz="800" baseline="0">
          <a:latin typeface="Arial" pitchFamily="34" charset="0"/>
        </a:defRPr>
      </a:pPr>
      <a:endParaRPr lang="cs-CZ"/>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1324074074074073E-2"/>
          <c:y val="4.0005727376861394E-2"/>
          <c:w val="0.88059911616161612"/>
          <c:h val="0.76044243986254301"/>
        </c:manualLayout>
      </c:layout>
      <c:barChart>
        <c:barDir val="col"/>
        <c:grouping val="clustered"/>
        <c:varyColors val="0"/>
        <c:ser>
          <c:idx val="2"/>
          <c:order val="2"/>
          <c:tx>
            <c:strRef>
              <c:f>'Vnější vztahy'!$E$6</c:f>
              <c:strCache>
                <c:ptCount val="1"/>
                <c:pt idx="0">
                  <c:v>Balance</c:v>
                </c:pt>
              </c:strCache>
            </c:strRef>
          </c:tx>
          <c:spPr>
            <a:solidFill>
              <a:srgbClr val="85898E"/>
            </a:solidFill>
            <a:ln>
              <a:noFill/>
            </a:ln>
            <a:effectLst/>
          </c:spPr>
          <c:invertIfNegative val="0"/>
          <c:cat>
            <c:multiLvlStrRef>
              <c:f>'Vnější vztahy'!$A$11:$B$34</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'Vnější vztahy'!$E$11:$E$34</c:f>
              <c:numCache>
                <c:formatCode>0.0</c:formatCode>
                <c:ptCount val="24"/>
                <c:pt idx="0">
                  <c:v>36.182428658999996</c:v>
                </c:pt>
                <c:pt idx="1">
                  <c:v>9.2911503559999993</c:v>
                </c:pt>
                <c:pt idx="2">
                  <c:v>55.286836668000007</c:v>
                </c:pt>
                <c:pt idx="3">
                  <c:v>78.879761297999991</c:v>
                </c:pt>
                <c:pt idx="4">
                  <c:v>60.916821217999995</c:v>
                </c:pt>
                <c:pt idx="5">
                  <c:v>13.848192235000001</c:v>
                </c:pt>
                <c:pt idx="6">
                  <c:v>-54.700282055000002</c:v>
                </c:pt>
                <c:pt idx="7">
                  <c:v>-29.269374235000001</c:v>
                </c:pt>
                <c:pt idx="8">
                  <c:v>-12.635912592</c:v>
                </c:pt>
                <c:pt idx="9">
                  <c:v>-73.225200095999995</c:v>
                </c:pt>
                <c:pt idx="10">
                  <c:v>-64.314002961</c:v>
                </c:pt>
                <c:pt idx="11">
                  <c:v>-54.639469009000003</c:v>
                </c:pt>
                <c:pt idx="12">
                  <c:v>40.885161205999999</c:v>
                </c:pt>
                <c:pt idx="13">
                  <c:v>36.180839551999995</c:v>
                </c:pt>
                <c:pt idx="14">
                  <c:v>-1.2235418870000001</c:v>
                </c:pt>
                <c:pt idx="15">
                  <c:v>46.660049057999998</c:v>
                </c:pt>
                <c:pt idx="16">
                  <c:v>82.282917839000007</c:v>
                </c:pt>
                <c:pt idx="17">
                  <c:v>70.988541018000006</c:v>
                </c:pt>
                <c:pt idx="18">
                  <c:v>27.293198606000001</c:v>
                </c:pt>
                <c:pt idx="19">
                  <c:v>39.924275514999998</c:v>
                </c:pt>
                <c:pt idx="20">
                  <c:v>76.079699594999994</c:v>
                </c:pt>
                <c:pt idx="21">
                  <c:v>56.132810357000004</c:v>
                </c:pt>
                <c:pt idx="22">
                  <c:v>28.243833686999999</c:v>
                </c:pt>
                <c:pt idx="23">
                  <c:v>52.393365281999998</c:v>
                </c:pt>
              </c:numCache>
            </c:numRef>
          </c:val>
          <c:extLst>
            <c:ext xmlns:c16="http://schemas.microsoft.com/office/drawing/2014/chart" uri="{C3380CC4-5D6E-409C-BE32-E72D297353CC}">
              <c16:uniqueId val="{00000000-2B1B-4D20-8DCE-3E30D85C7BA0}"/>
            </c:ext>
          </c:extLst>
        </c:ser>
        <c:dLbls>
          <c:showLegendKey val="0"/>
          <c:showVal val="0"/>
          <c:showCatName val="0"/>
          <c:showSerName val="0"/>
          <c:showPercent val="0"/>
          <c:showBubbleSize val="0"/>
        </c:dLbls>
        <c:gapWidth val="90"/>
        <c:axId val="1842150016"/>
        <c:axId val="1842137120"/>
      </c:barChart>
      <c:lineChart>
        <c:grouping val="standard"/>
        <c:varyColors val="0"/>
        <c:ser>
          <c:idx val="0"/>
          <c:order val="0"/>
          <c:tx>
            <c:strRef>
              <c:f>'Vnější vztahy'!$C$6</c:f>
              <c:strCache>
                <c:ptCount val="1"/>
                <c:pt idx="0">
                  <c:v>Export</c:v>
                </c:pt>
              </c:strCache>
            </c:strRef>
          </c:tx>
          <c:spPr>
            <a:ln w="28575" cap="rnd">
              <a:noFill/>
              <a:round/>
            </a:ln>
            <a:effectLst/>
          </c:spPr>
          <c:marker>
            <c:symbol val="dash"/>
            <c:size val="9"/>
            <c:spPr>
              <a:solidFill>
                <a:srgbClr val="174F70"/>
              </a:solidFill>
              <a:ln w="9525">
                <a:noFill/>
              </a:ln>
              <a:effectLst/>
            </c:spPr>
          </c:marker>
          <c:cat>
            <c:multiLvlStrRef>
              <c:f>'Vnější vztahy'!$A$11:$B$34</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'Vnější vztahy'!$C$11:$C$34</c:f>
              <c:numCache>
                <c:formatCode>#\ ##0.0</c:formatCode>
                <c:ptCount val="24"/>
                <c:pt idx="0">
                  <c:v>-6.4135636115999972</c:v>
                </c:pt>
                <c:pt idx="1">
                  <c:v>-25.037497579399997</c:v>
                </c:pt>
                <c:pt idx="2">
                  <c:v>-3.5785611728999953</c:v>
                </c:pt>
                <c:pt idx="3">
                  <c:v>7.411852265899995</c:v>
                </c:pt>
                <c:pt idx="4">
                  <c:v>10.962313304399999</c:v>
                </c:pt>
                <c:pt idx="5">
                  <c:v>41.981094956100009</c:v>
                </c:pt>
                <c:pt idx="6">
                  <c:v>3.4515742189000065</c:v>
                </c:pt>
                <c:pt idx="7">
                  <c:v>2.749198525500006</c:v>
                </c:pt>
                <c:pt idx="8">
                  <c:v>8.0064988441999958</c:v>
                </c:pt>
                <c:pt idx="9">
                  <c:v>11.287163968300007</c:v>
                </c:pt>
                <c:pt idx="10">
                  <c:v>22.470879917399998</c:v>
                </c:pt>
                <c:pt idx="11">
                  <c:v>13.234980039600003</c:v>
                </c:pt>
                <c:pt idx="12">
                  <c:v>10.691327997000002</c:v>
                </c:pt>
                <c:pt idx="13">
                  <c:v>0.90534101039999371</c:v>
                </c:pt>
                <c:pt idx="14">
                  <c:v>-6.7264620790000009</c:v>
                </c:pt>
                <c:pt idx="15">
                  <c:v>-1.1504207308999952</c:v>
                </c:pt>
                <c:pt idx="16">
                  <c:v>-8.6901433099995984E-2</c:v>
                </c:pt>
                <c:pt idx="17">
                  <c:v>4.7005744015000062</c:v>
                </c:pt>
                <c:pt idx="18">
                  <c:v>10.984825847799996</c:v>
                </c:pt>
                <c:pt idx="19">
                  <c:v>4.9824641242999945</c:v>
                </c:pt>
                <c:pt idx="20">
                  <c:v>6.3007884744999956</c:v>
                </c:pt>
                <c:pt idx="21">
                  <c:v>3.1311916589999953</c:v>
                </c:pt>
                <c:pt idx="22">
                  <c:v>1.3007654241999944</c:v>
                </c:pt>
                <c:pt idx="23">
                  <c:v>0.14150779739999564</c:v>
                </c:pt>
              </c:numCache>
            </c:numRef>
          </c:val>
          <c:smooth val="0"/>
          <c:extLst>
            <c:ext xmlns:c16="http://schemas.microsoft.com/office/drawing/2014/chart" uri="{C3380CC4-5D6E-409C-BE32-E72D297353CC}">
              <c16:uniqueId val="{00000001-2B1B-4D20-8DCE-3E30D85C7BA0}"/>
            </c:ext>
          </c:extLst>
        </c:ser>
        <c:ser>
          <c:idx val="1"/>
          <c:order val="1"/>
          <c:tx>
            <c:strRef>
              <c:f>'Vnější vztahy'!$D$6</c:f>
              <c:strCache>
                <c:ptCount val="1"/>
                <c:pt idx="0">
                  <c:v>Import</c:v>
                </c:pt>
              </c:strCache>
            </c:strRef>
          </c:tx>
          <c:spPr>
            <a:ln w="28575" cap="rnd">
              <a:noFill/>
              <a:round/>
            </a:ln>
            <a:effectLst/>
          </c:spPr>
          <c:marker>
            <c:symbol val="dash"/>
            <c:size val="9"/>
            <c:spPr>
              <a:solidFill>
                <a:srgbClr val="BC5B80"/>
              </a:solidFill>
              <a:ln w="9525">
                <a:noFill/>
              </a:ln>
              <a:effectLst/>
            </c:spPr>
          </c:marker>
          <c:cat>
            <c:multiLvlStrRef>
              <c:f>'Vnější vztahy'!$A$11:$B$34</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'Vnější vztahy'!$D$11:$D$34</c:f>
              <c:numCache>
                <c:formatCode>#\ ##0.0</c:formatCode>
                <c:ptCount val="24"/>
                <c:pt idx="0">
                  <c:v>-5.3981676209999989</c:v>
                </c:pt>
                <c:pt idx="1">
                  <c:v>-21.285728278400001</c:v>
                </c:pt>
                <c:pt idx="2">
                  <c:v>-6.8912364523999941</c:v>
                </c:pt>
                <c:pt idx="3">
                  <c:v>0.22314936540000474</c:v>
                </c:pt>
                <c:pt idx="4">
                  <c:v>8.4767312925000056</c:v>
                </c:pt>
                <c:pt idx="5">
                  <c:v>41.887499316600014</c:v>
                </c:pt>
                <c:pt idx="6">
                  <c:v>17.303793961099998</c:v>
                </c:pt>
                <c:pt idx="7">
                  <c:v>14.923030300799994</c:v>
                </c:pt>
                <c:pt idx="8">
                  <c:v>16.659765110899997</c:v>
                </c:pt>
                <c:pt idx="9">
                  <c:v>20.193090002000005</c:v>
                </c:pt>
                <c:pt idx="10">
                  <c:v>22.188267180799997</c:v>
                </c:pt>
                <c:pt idx="11">
                  <c:v>15.2991180633</c:v>
                </c:pt>
                <c:pt idx="12">
                  <c:v>5.5018043466999984</c:v>
                </c:pt>
                <c:pt idx="13">
                  <c:v>-8.2960208406999953</c:v>
                </c:pt>
                <c:pt idx="14">
                  <c:v>-11.801975368499996</c:v>
                </c:pt>
                <c:pt idx="15">
                  <c:v>-9.5344571271999996</c:v>
                </c:pt>
                <c:pt idx="16">
                  <c:v>-3.8011078601000037</c:v>
                </c:pt>
                <c:pt idx="17">
                  <c:v>1.682577773999995</c:v>
                </c:pt>
                <c:pt idx="18">
                  <c:v>8.1790772874000055</c:v>
                </c:pt>
                <c:pt idx="19">
                  <c:v>5.8165725733999949</c:v>
                </c:pt>
                <c:pt idx="20">
                  <c:v>7.3619518505999935</c:v>
                </c:pt>
                <c:pt idx="21">
                  <c:v>4.6622883934000043</c:v>
                </c:pt>
                <c:pt idx="22">
                  <c:v>1.2468480380999978</c:v>
                </c:pt>
                <c:pt idx="23">
                  <c:v>-0.93837025649999362</c:v>
                </c:pt>
              </c:numCache>
            </c:numRef>
          </c:val>
          <c:smooth val="0"/>
          <c:extLst>
            <c:ext xmlns:c16="http://schemas.microsoft.com/office/drawing/2014/chart" uri="{C3380CC4-5D6E-409C-BE32-E72D297353CC}">
              <c16:uniqueId val="{00000002-2B1B-4D20-8DCE-3E30D85C7BA0}"/>
            </c:ext>
          </c:extLst>
        </c:ser>
        <c:dLbls>
          <c:showLegendKey val="0"/>
          <c:showVal val="0"/>
          <c:showCatName val="0"/>
          <c:showSerName val="0"/>
          <c:showPercent val="0"/>
          <c:showBubbleSize val="0"/>
        </c:dLbls>
        <c:marker val="1"/>
        <c:smooth val="0"/>
        <c:axId val="1621653648"/>
        <c:axId val="1621653232"/>
      </c:lineChart>
      <c:catAx>
        <c:axId val="1621653648"/>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mn-cs"/>
              </a:defRPr>
            </a:pPr>
            <a:endParaRPr lang="cs-CZ"/>
          </a:p>
        </c:txPr>
        <c:crossAx val="1621653232"/>
        <c:crosses val="autoZero"/>
        <c:auto val="1"/>
        <c:lblAlgn val="ctr"/>
        <c:lblOffset val="100"/>
        <c:noMultiLvlLbl val="0"/>
      </c:catAx>
      <c:valAx>
        <c:axId val="1621653232"/>
        <c:scaling>
          <c:orientation val="minMax"/>
          <c:min val="-4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mn-cs"/>
              </a:defRPr>
            </a:pPr>
            <a:endParaRPr lang="cs-CZ"/>
          </a:p>
        </c:txPr>
        <c:crossAx val="1621653648"/>
        <c:crosses val="autoZero"/>
        <c:crossBetween val="between"/>
      </c:valAx>
      <c:valAx>
        <c:axId val="1842137120"/>
        <c:scaling>
          <c:orientation val="minMax"/>
          <c:min val="-80"/>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mn-cs"/>
              </a:defRPr>
            </a:pPr>
            <a:endParaRPr lang="cs-CZ"/>
          </a:p>
        </c:txPr>
        <c:crossAx val="1842150016"/>
        <c:crosses val="max"/>
        <c:crossBetween val="between"/>
      </c:valAx>
      <c:catAx>
        <c:axId val="1842150016"/>
        <c:scaling>
          <c:orientation val="minMax"/>
        </c:scaling>
        <c:delete val="1"/>
        <c:axPos val="b"/>
        <c:numFmt formatCode="General" sourceLinked="1"/>
        <c:majorTickMark val="out"/>
        <c:minorTickMark val="none"/>
        <c:tickLblPos val="nextTo"/>
        <c:crossAx val="1842137120"/>
        <c:crosses val="autoZero"/>
        <c:auto val="1"/>
        <c:lblAlgn val="ctr"/>
        <c:lblOffset val="100"/>
        <c:noMultiLvlLbl val="0"/>
      </c:catAx>
      <c:spPr>
        <a:noFill/>
        <a:ln>
          <a:noFill/>
        </a:ln>
        <a:effectLst/>
      </c:spPr>
    </c:plotArea>
    <c:legend>
      <c:legendPos val="b"/>
      <c:layout>
        <c:manualLayout>
          <c:xMode val="edge"/>
          <c:yMode val="edge"/>
          <c:x val="6.7334595959595941E-2"/>
          <c:y val="0.9241869988545246"/>
          <c:w val="0.85464057239057234"/>
          <c:h val="5.3991695303550975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mn-cs"/>
            </a:defRPr>
          </a:pPr>
          <a:endParaRPr lang="cs-CZ"/>
        </a:p>
      </c:txPr>
    </c:legend>
    <c:plotVisOnly val="1"/>
    <c:dispBlanksAs val="gap"/>
    <c:showDLblsOverMax val="0"/>
  </c:chart>
  <c:spPr>
    <a:solidFill>
      <a:schemeClr val="bg1"/>
    </a:solidFill>
    <a:ln w="9525" cap="flat" cmpd="sng" algn="ctr">
      <a:noFill/>
      <a:round/>
    </a:ln>
    <a:effectLst/>
  </c:spPr>
  <c:txPr>
    <a:bodyPr/>
    <a:lstStyle/>
    <a:p>
      <a:pPr>
        <a:defRPr sz="800" baseline="0">
          <a:solidFill>
            <a:sysClr val="windowText" lastClr="000000"/>
          </a:solidFill>
          <a:latin typeface="Arial" panose="020B0604020202020204" pitchFamily="34" charset="0"/>
        </a:defRPr>
      </a:pPr>
      <a:endParaRPr lang="cs-CZ"/>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1249577845322527E-2"/>
          <c:y val="2.1811335019919161E-2"/>
          <c:w val="0.92237743255066085"/>
          <c:h val="0.73318107621299466"/>
        </c:manualLayout>
      </c:layout>
      <c:barChart>
        <c:barDir val="col"/>
        <c:grouping val="clustered"/>
        <c:varyColors val="0"/>
        <c:ser>
          <c:idx val="0"/>
          <c:order val="0"/>
          <c:tx>
            <c:strRef>
              <c:f>'Ceny 2'!$C$5</c:f>
              <c:strCache>
                <c:ptCount val="1"/>
                <c:pt idx="0">
                  <c:v>Total</c:v>
                </c:pt>
              </c:strCache>
            </c:strRef>
          </c:tx>
          <c:spPr>
            <a:solidFill>
              <a:srgbClr val="85898E"/>
            </a:solidFill>
            <a:ln w="19050">
              <a:noFill/>
            </a:ln>
          </c:spPr>
          <c:invertIfNegative val="0"/>
          <c:cat>
            <c:multiLvlStrRef>
              <c:f>'Ceny 2'!$A$14:$B$37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'Ceny 2'!$C$14:$C$37</c:f>
              <c:numCache>
                <c:formatCode>0.0</c:formatCode>
                <c:ptCount val="24"/>
                <c:pt idx="0">
                  <c:v>3.6</c:v>
                </c:pt>
                <c:pt idx="1">
                  <c:v>3.1</c:v>
                </c:pt>
                <c:pt idx="2">
                  <c:v>3.3</c:v>
                </c:pt>
                <c:pt idx="3">
                  <c:v>2.6</c:v>
                </c:pt>
                <c:pt idx="4">
                  <c:v>2.2000000000000002</c:v>
                </c:pt>
                <c:pt idx="5">
                  <c:v>2.9</c:v>
                </c:pt>
                <c:pt idx="6">
                  <c:v>4.0999999999999996</c:v>
                </c:pt>
                <c:pt idx="7">
                  <c:v>6.1</c:v>
                </c:pt>
                <c:pt idx="8">
                  <c:v>11.2</c:v>
                </c:pt>
                <c:pt idx="9">
                  <c:v>15.8</c:v>
                </c:pt>
                <c:pt idx="10">
                  <c:v>17.600000000000001</c:v>
                </c:pt>
                <c:pt idx="11">
                  <c:v>15.7</c:v>
                </c:pt>
                <c:pt idx="12">
                  <c:v>16.399999999999999</c:v>
                </c:pt>
                <c:pt idx="13">
                  <c:v>11.1</c:v>
                </c:pt>
                <c:pt idx="14">
                  <c:v>8</c:v>
                </c:pt>
                <c:pt idx="15">
                  <c:v>7.6</c:v>
                </c:pt>
                <c:pt idx="16">
                  <c:v>2.1</c:v>
                </c:pt>
                <c:pt idx="17">
                  <c:v>2.5</c:v>
                </c:pt>
                <c:pt idx="18">
                  <c:v>2.2999999999999998</c:v>
                </c:pt>
                <c:pt idx="19">
                  <c:v>2.9</c:v>
                </c:pt>
                <c:pt idx="20">
                  <c:v>2.7</c:v>
                </c:pt>
                <c:pt idx="21">
                  <c:v>2.4</c:v>
                </c:pt>
                <c:pt idx="22">
                  <c:v>2.5</c:v>
                </c:pt>
                <c:pt idx="23">
                  <c:v>2.2000000000000002</c:v>
                </c:pt>
              </c:numCache>
            </c:numRef>
          </c:val>
          <c:extLst>
            <c:ext xmlns:c16="http://schemas.microsoft.com/office/drawing/2014/chart" uri="{C3380CC4-5D6E-409C-BE32-E72D297353CC}">
              <c16:uniqueId val="{00000000-AB23-43CE-85B4-44275915D8AC}"/>
            </c:ext>
          </c:extLst>
        </c:ser>
        <c:dLbls>
          <c:showLegendKey val="0"/>
          <c:showVal val="0"/>
          <c:showCatName val="0"/>
          <c:showSerName val="0"/>
          <c:showPercent val="0"/>
          <c:showBubbleSize val="0"/>
        </c:dLbls>
        <c:gapWidth val="95"/>
        <c:axId val="130513536"/>
        <c:axId val="130531712"/>
      </c:barChart>
      <c:lineChart>
        <c:grouping val="standard"/>
        <c:varyColors val="0"/>
        <c:ser>
          <c:idx val="1"/>
          <c:order val="1"/>
          <c:tx>
            <c:strRef>
              <c:f>'Ceny 2'!$D$5</c:f>
              <c:strCache>
                <c:ptCount val="1"/>
                <c:pt idx="0">
                  <c:v>Food</c:v>
                </c:pt>
              </c:strCache>
            </c:strRef>
          </c:tx>
          <c:spPr>
            <a:ln w="19050">
              <a:solidFill>
                <a:srgbClr val="009CB5"/>
              </a:solidFill>
            </a:ln>
          </c:spPr>
          <c:marker>
            <c:symbol val="none"/>
          </c:marker>
          <c:cat>
            <c:multiLvlStrRef>
              <c:f>'Ceny 2'!$A$14:$B$37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'Ceny 2'!$D$14:$D$37</c:f>
              <c:numCache>
                <c:formatCode>0.0</c:formatCode>
                <c:ptCount val="24"/>
                <c:pt idx="0">
                  <c:v>6.1</c:v>
                </c:pt>
                <c:pt idx="1">
                  <c:v>6.5</c:v>
                </c:pt>
                <c:pt idx="2">
                  <c:v>4</c:v>
                </c:pt>
                <c:pt idx="3">
                  <c:v>1.7</c:v>
                </c:pt>
                <c:pt idx="4">
                  <c:v>0.3</c:v>
                </c:pt>
                <c:pt idx="5">
                  <c:v>-0.8</c:v>
                </c:pt>
                <c:pt idx="6">
                  <c:v>1.4</c:v>
                </c:pt>
                <c:pt idx="7">
                  <c:v>2.2999999999999998</c:v>
                </c:pt>
                <c:pt idx="8">
                  <c:v>6.7</c:v>
                </c:pt>
                <c:pt idx="9">
                  <c:v>14.6</c:v>
                </c:pt>
                <c:pt idx="10">
                  <c:v>20</c:v>
                </c:pt>
                <c:pt idx="11">
                  <c:v>25.5</c:v>
                </c:pt>
                <c:pt idx="12">
                  <c:v>24.1</c:v>
                </c:pt>
                <c:pt idx="13">
                  <c:v>14.6</c:v>
                </c:pt>
                <c:pt idx="14">
                  <c:v>7.8</c:v>
                </c:pt>
                <c:pt idx="15">
                  <c:v>1.6</c:v>
                </c:pt>
                <c:pt idx="16">
                  <c:v>-4.9000000000000004</c:v>
                </c:pt>
                <c:pt idx="17">
                  <c:v>-3.6</c:v>
                </c:pt>
                <c:pt idx="18">
                  <c:v>-1.4</c:v>
                </c:pt>
                <c:pt idx="19">
                  <c:v>0.9</c:v>
                </c:pt>
                <c:pt idx="20">
                  <c:v>5.0999999999999996</c:v>
                </c:pt>
                <c:pt idx="21">
                  <c:v>5.2</c:v>
                </c:pt>
                <c:pt idx="22">
                  <c:v>4.2</c:v>
                </c:pt>
                <c:pt idx="23">
                  <c:v>2.5</c:v>
                </c:pt>
              </c:numCache>
            </c:numRef>
          </c:val>
          <c:smooth val="0"/>
          <c:extLst>
            <c:ext xmlns:c16="http://schemas.microsoft.com/office/drawing/2014/chart" uri="{C3380CC4-5D6E-409C-BE32-E72D297353CC}">
              <c16:uniqueId val="{00000001-AB23-43CE-85B4-44275915D8AC}"/>
            </c:ext>
          </c:extLst>
        </c:ser>
        <c:ser>
          <c:idx val="3"/>
          <c:order val="2"/>
          <c:tx>
            <c:strRef>
              <c:f>'Ceny 2'!$F$5</c:f>
              <c:strCache>
                <c:ptCount val="1"/>
                <c:pt idx="0">
                  <c:v>Housing and energy</c:v>
                </c:pt>
              </c:strCache>
            </c:strRef>
          </c:tx>
          <c:spPr>
            <a:ln w="19050">
              <a:solidFill>
                <a:srgbClr val="BC5B80"/>
              </a:solidFill>
            </a:ln>
          </c:spPr>
          <c:marker>
            <c:symbol val="none"/>
          </c:marker>
          <c:cat>
            <c:multiLvlStrRef>
              <c:f>'Ceny 2'!$A$14:$B$37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'Ceny 2'!$F$14:$F$37</c:f>
              <c:numCache>
                <c:formatCode>0.0</c:formatCode>
                <c:ptCount val="24"/>
                <c:pt idx="0">
                  <c:v>4.2</c:v>
                </c:pt>
                <c:pt idx="1">
                  <c:v>3.2</c:v>
                </c:pt>
                <c:pt idx="2">
                  <c:v>2.7</c:v>
                </c:pt>
                <c:pt idx="3">
                  <c:v>1.4</c:v>
                </c:pt>
                <c:pt idx="4">
                  <c:v>0.6</c:v>
                </c:pt>
                <c:pt idx="5">
                  <c:v>1.3</c:v>
                </c:pt>
                <c:pt idx="6">
                  <c:v>3.6</c:v>
                </c:pt>
                <c:pt idx="7">
                  <c:v>5.6</c:v>
                </c:pt>
                <c:pt idx="8">
                  <c:v>16</c:v>
                </c:pt>
                <c:pt idx="9">
                  <c:v>21.4</c:v>
                </c:pt>
                <c:pt idx="10">
                  <c:v>23.6</c:v>
                </c:pt>
                <c:pt idx="11">
                  <c:v>14.9</c:v>
                </c:pt>
                <c:pt idx="12">
                  <c:v>22.2</c:v>
                </c:pt>
                <c:pt idx="13">
                  <c:v>16</c:v>
                </c:pt>
                <c:pt idx="14">
                  <c:v>11.6</c:v>
                </c:pt>
                <c:pt idx="15">
                  <c:v>17.8</c:v>
                </c:pt>
                <c:pt idx="16">
                  <c:v>3.4</c:v>
                </c:pt>
                <c:pt idx="17">
                  <c:v>3.1</c:v>
                </c:pt>
                <c:pt idx="18">
                  <c:v>3.2</c:v>
                </c:pt>
                <c:pt idx="19">
                  <c:v>4.2</c:v>
                </c:pt>
                <c:pt idx="20">
                  <c:v>1.4</c:v>
                </c:pt>
                <c:pt idx="21">
                  <c:v>1.9</c:v>
                </c:pt>
                <c:pt idx="22">
                  <c:v>2</c:v>
                </c:pt>
                <c:pt idx="23">
                  <c:v>1.9</c:v>
                </c:pt>
              </c:numCache>
            </c:numRef>
          </c:val>
          <c:smooth val="0"/>
          <c:extLst>
            <c:ext xmlns:c16="http://schemas.microsoft.com/office/drawing/2014/chart" uri="{C3380CC4-5D6E-409C-BE32-E72D297353CC}">
              <c16:uniqueId val="{00000002-AB23-43CE-85B4-44275915D8AC}"/>
            </c:ext>
          </c:extLst>
        </c:ser>
        <c:ser>
          <c:idx val="4"/>
          <c:order val="3"/>
          <c:tx>
            <c:strRef>
              <c:f>'Ceny 2'!$G$5</c:f>
              <c:strCache>
                <c:ptCount val="1"/>
                <c:pt idx="0">
                  <c:v>Transportation</c:v>
                </c:pt>
              </c:strCache>
            </c:strRef>
          </c:tx>
          <c:spPr>
            <a:ln w="19050">
              <a:solidFill>
                <a:srgbClr val="174F70"/>
              </a:solidFill>
            </a:ln>
          </c:spPr>
          <c:marker>
            <c:symbol val="none"/>
          </c:marker>
          <c:cat>
            <c:multiLvlStrRef>
              <c:f>'Ceny 2'!$A$14:$B$37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'Ceny 2'!$G$14:$G$37</c:f>
              <c:numCache>
                <c:formatCode>0.0</c:formatCode>
                <c:ptCount val="24"/>
                <c:pt idx="0" formatCode="General">
                  <c:v>1.7</c:v>
                </c:pt>
                <c:pt idx="1">
                  <c:v>-3.4</c:v>
                </c:pt>
                <c:pt idx="2">
                  <c:v>-0.2</c:v>
                </c:pt>
                <c:pt idx="3">
                  <c:v>0.6</c:v>
                </c:pt>
                <c:pt idx="4">
                  <c:v>2.4</c:v>
                </c:pt>
                <c:pt idx="5">
                  <c:v>9.1</c:v>
                </c:pt>
                <c:pt idx="6">
                  <c:v>8.8000000000000007</c:v>
                </c:pt>
                <c:pt idx="7">
                  <c:v>13.1</c:v>
                </c:pt>
                <c:pt idx="8">
                  <c:v>17.2</c:v>
                </c:pt>
                <c:pt idx="9">
                  <c:v>22.7</c:v>
                </c:pt>
                <c:pt idx="10">
                  <c:v>19.7</c:v>
                </c:pt>
                <c:pt idx="11">
                  <c:v>13.1</c:v>
                </c:pt>
                <c:pt idx="12">
                  <c:v>4.5</c:v>
                </c:pt>
                <c:pt idx="13">
                  <c:v>-4</c:v>
                </c:pt>
                <c:pt idx="14">
                  <c:v>-2.4</c:v>
                </c:pt>
                <c:pt idx="15">
                  <c:v>-1.6</c:v>
                </c:pt>
                <c:pt idx="16">
                  <c:v>1.7</c:v>
                </c:pt>
                <c:pt idx="17">
                  <c:v>4.5999999999999996</c:v>
                </c:pt>
                <c:pt idx="18">
                  <c:v>0.9</c:v>
                </c:pt>
                <c:pt idx="19">
                  <c:v>0.1</c:v>
                </c:pt>
                <c:pt idx="20">
                  <c:v>0.3</c:v>
                </c:pt>
                <c:pt idx="21">
                  <c:v>-2.7</c:v>
                </c:pt>
                <c:pt idx="22">
                  <c:v>-0.9</c:v>
                </c:pt>
                <c:pt idx="23">
                  <c:v>0.1</c:v>
                </c:pt>
              </c:numCache>
            </c:numRef>
          </c:val>
          <c:smooth val="0"/>
          <c:extLst>
            <c:ext xmlns:c16="http://schemas.microsoft.com/office/drawing/2014/chart" uri="{C3380CC4-5D6E-409C-BE32-E72D297353CC}">
              <c16:uniqueId val="{00000003-AB23-43CE-85B4-44275915D8AC}"/>
            </c:ext>
          </c:extLst>
        </c:ser>
        <c:ser>
          <c:idx val="5"/>
          <c:order val="4"/>
          <c:tx>
            <c:strRef>
              <c:f>'Ceny 2'!$E$5</c:f>
              <c:strCache>
                <c:ptCount val="1"/>
                <c:pt idx="0">
                  <c:v>Alcoholic beverages and tobacco</c:v>
                </c:pt>
              </c:strCache>
              <c:extLst xmlns:c15="http://schemas.microsoft.com/office/drawing/2012/chart"/>
            </c:strRef>
          </c:tx>
          <c:spPr>
            <a:ln w="22225">
              <a:solidFill>
                <a:srgbClr val="CC9610"/>
              </a:solidFill>
            </a:ln>
          </c:spPr>
          <c:marker>
            <c:symbol val="none"/>
          </c:marker>
          <c:cat>
            <c:multiLvlStrRef>
              <c:f>'Ceny 2'!$A$14:$B$37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'Ceny 2'!$E$14:$E$37</c:f>
              <c:numCache>
                <c:formatCode>0.0</c:formatCode>
                <c:ptCount val="24"/>
                <c:pt idx="0" formatCode="General">
                  <c:v>3.5</c:v>
                </c:pt>
                <c:pt idx="1">
                  <c:v>6.6</c:v>
                </c:pt>
                <c:pt idx="2">
                  <c:v>10.3</c:v>
                </c:pt>
                <c:pt idx="3">
                  <c:v>9.9</c:v>
                </c:pt>
                <c:pt idx="4">
                  <c:v>9.9</c:v>
                </c:pt>
                <c:pt idx="5">
                  <c:v>9.8000000000000007</c:v>
                </c:pt>
                <c:pt idx="6">
                  <c:v>6.5</c:v>
                </c:pt>
                <c:pt idx="7">
                  <c:v>7.7</c:v>
                </c:pt>
                <c:pt idx="8">
                  <c:v>7.1</c:v>
                </c:pt>
                <c:pt idx="9">
                  <c:v>5.6</c:v>
                </c:pt>
                <c:pt idx="10">
                  <c:v>6.3</c:v>
                </c:pt>
                <c:pt idx="11">
                  <c:v>6</c:v>
                </c:pt>
                <c:pt idx="12">
                  <c:v>6.8</c:v>
                </c:pt>
                <c:pt idx="13">
                  <c:v>6.5</c:v>
                </c:pt>
                <c:pt idx="14">
                  <c:v>7.2</c:v>
                </c:pt>
                <c:pt idx="15">
                  <c:v>5.9</c:v>
                </c:pt>
                <c:pt idx="16">
                  <c:v>4.7</c:v>
                </c:pt>
                <c:pt idx="17">
                  <c:v>6.2</c:v>
                </c:pt>
                <c:pt idx="18">
                  <c:v>4.5999999999999996</c:v>
                </c:pt>
                <c:pt idx="19">
                  <c:v>4.8</c:v>
                </c:pt>
                <c:pt idx="20">
                  <c:v>5.0999999999999996</c:v>
                </c:pt>
                <c:pt idx="21">
                  <c:v>3.3</c:v>
                </c:pt>
                <c:pt idx="22">
                  <c:v>3.5</c:v>
                </c:pt>
                <c:pt idx="23">
                  <c:v>4.0999999999999996</c:v>
                </c:pt>
              </c:numCache>
            </c:numRef>
          </c:val>
          <c:smooth val="0"/>
          <c:extLst xmlns:c15="http://schemas.microsoft.com/office/drawing/2012/chart">
            <c:ext xmlns:c16="http://schemas.microsoft.com/office/drawing/2014/chart" uri="{C3380CC4-5D6E-409C-BE32-E72D297353CC}">
              <c16:uniqueId val="{00000004-AB23-43CE-85B4-44275915D8AC}"/>
            </c:ext>
          </c:extLst>
        </c:ser>
        <c:ser>
          <c:idx val="2"/>
          <c:order val="5"/>
          <c:tx>
            <c:strRef>
              <c:f>'Ceny 2'!$H$5</c:f>
              <c:strCache>
                <c:ptCount val="1"/>
                <c:pt idx="0">
                  <c:v>Restaurants and hotels</c:v>
                </c:pt>
              </c:strCache>
              <c:extLst xmlns:c15="http://schemas.microsoft.com/office/drawing/2012/chart"/>
            </c:strRef>
          </c:tx>
          <c:spPr>
            <a:ln w="19050">
              <a:solidFill>
                <a:srgbClr val="86BF5E"/>
              </a:solidFill>
            </a:ln>
          </c:spPr>
          <c:marker>
            <c:symbol val="none"/>
          </c:marker>
          <c:cat>
            <c:multiLvlStrRef>
              <c:f>'Ceny 2'!$A$14:$B$37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'Ceny 2'!$H$14:$H$37</c:f>
              <c:numCache>
                <c:formatCode>0.0</c:formatCode>
                <c:ptCount val="24"/>
                <c:pt idx="0">
                  <c:v>5.5</c:v>
                </c:pt>
                <c:pt idx="1">
                  <c:v>5.0999999999999996</c:v>
                </c:pt>
                <c:pt idx="2">
                  <c:v>4.9000000000000004</c:v>
                </c:pt>
                <c:pt idx="3">
                  <c:v>4.3</c:v>
                </c:pt>
                <c:pt idx="4">
                  <c:v>3</c:v>
                </c:pt>
                <c:pt idx="5">
                  <c:v>2.9</c:v>
                </c:pt>
                <c:pt idx="6">
                  <c:v>4.5999999999999996</c:v>
                </c:pt>
                <c:pt idx="7">
                  <c:v>6.8</c:v>
                </c:pt>
                <c:pt idx="8">
                  <c:v>12.3</c:v>
                </c:pt>
                <c:pt idx="9">
                  <c:v>21.4</c:v>
                </c:pt>
                <c:pt idx="10">
                  <c:v>24.3</c:v>
                </c:pt>
                <c:pt idx="11">
                  <c:v>25.6</c:v>
                </c:pt>
                <c:pt idx="12">
                  <c:v>22.4</c:v>
                </c:pt>
                <c:pt idx="13">
                  <c:v>15.4</c:v>
                </c:pt>
                <c:pt idx="14">
                  <c:v>11.6</c:v>
                </c:pt>
                <c:pt idx="15">
                  <c:v>8.8000000000000007</c:v>
                </c:pt>
                <c:pt idx="16">
                  <c:v>8.6</c:v>
                </c:pt>
                <c:pt idx="17">
                  <c:v>7.8</c:v>
                </c:pt>
                <c:pt idx="18">
                  <c:v>7.2</c:v>
                </c:pt>
                <c:pt idx="19">
                  <c:v>7</c:v>
                </c:pt>
                <c:pt idx="20">
                  <c:v>5.3</c:v>
                </c:pt>
                <c:pt idx="21">
                  <c:v>4.9000000000000004</c:v>
                </c:pt>
                <c:pt idx="22">
                  <c:v>4.8</c:v>
                </c:pt>
                <c:pt idx="23">
                  <c:v>4.7</c:v>
                </c:pt>
              </c:numCache>
            </c:numRef>
          </c:val>
          <c:smooth val="0"/>
          <c:extLst xmlns:c15="http://schemas.microsoft.com/office/drawing/2012/chart">
            <c:ext xmlns:c16="http://schemas.microsoft.com/office/drawing/2014/chart" uri="{C3380CC4-5D6E-409C-BE32-E72D297353CC}">
              <c16:uniqueId val="{00000005-AB23-43CE-85B4-44275915D8AC}"/>
            </c:ext>
          </c:extLst>
        </c:ser>
        <c:dLbls>
          <c:showLegendKey val="0"/>
          <c:showVal val="0"/>
          <c:showCatName val="0"/>
          <c:showSerName val="0"/>
          <c:showPercent val="0"/>
          <c:showBubbleSize val="0"/>
        </c:dLbls>
        <c:marker val="1"/>
        <c:smooth val="0"/>
        <c:axId val="130513536"/>
        <c:axId val="130531712"/>
        <c:extLst/>
      </c:lineChart>
      <c:catAx>
        <c:axId val="130513536"/>
        <c:scaling>
          <c:orientation val="minMax"/>
        </c:scaling>
        <c:delete val="0"/>
        <c:axPos val="b"/>
        <c:numFmt formatCode="General" sourceLinked="0"/>
        <c:majorTickMark val="out"/>
        <c:minorTickMark val="none"/>
        <c:tickLblPos val="low"/>
        <c:spPr>
          <a:ln>
            <a:solidFill>
              <a:schemeClr val="tx1"/>
            </a:solidFill>
          </a:ln>
        </c:spPr>
        <c:txPr>
          <a:bodyPr rot="0" vert="horz"/>
          <a:lstStyle/>
          <a:p>
            <a:pPr>
              <a:defRPr/>
            </a:pPr>
            <a:endParaRPr lang="cs-CZ"/>
          </a:p>
        </c:txPr>
        <c:crossAx val="130531712"/>
        <c:crosses val="autoZero"/>
        <c:auto val="1"/>
        <c:lblAlgn val="ctr"/>
        <c:lblOffset val="100"/>
        <c:noMultiLvlLbl val="0"/>
      </c:catAx>
      <c:valAx>
        <c:axId val="130531712"/>
        <c:scaling>
          <c:orientation val="minMax"/>
          <c:max val="27"/>
          <c:min val="-6"/>
        </c:scaling>
        <c:delete val="0"/>
        <c:axPos val="l"/>
        <c:majorGridlines>
          <c:spPr>
            <a:ln w="6350">
              <a:solidFill>
                <a:schemeClr val="bg1">
                  <a:lumMod val="75000"/>
                </a:schemeClr>
              </a:solidFill>
            </a:ln>
          </c:spPr>
        </c:majorGridlines>
        <c:numFmt formatCode="0" sourceLinked="0"/>
        <c:majorTickMark val="out"/>
        <c:minorTickMark val="none"/>
        <c:tickLblPos val="nextTo"/>
        <c:spPr>
          <a:ln>
            <a:solidFill>
              <a:schemeClr val="tx1"/>
            </a:solidFill>
          </a:ln>
        </c:spPr>
        <c:crossAx val="130513536"/>
        <c:crosses val="autoZero"/>
        <c:crossBetween val="between"/>
        <c:majorUnit val="3"/>
      </c:valAx>
      <c:spPr>
        <a:ln>
          <a:solidFill>
            <a:schemeClr val="tx1"/>
          </a:solidFill>
        </a:ln>
      </c:spPr>
    </c:plotArea>
    <c:legend>
      <c:legendPos val="b"/>
      <c:layout>
        <c:manualLayout>
          <c:xMode val="edge"/>
          <c:yMode val="edge"/>
          <c:x val="5.6562816616008108E-2"/>
          <c:y val="0.87970674321738151"/>
          <c:w val="0.9271700861195542"/>
          <c:h val="0.10577132432771774"/>
        </c:manualLayout>
      </c:layout>
      <c:overlay val="0"/>
      <c:spPr>
        <a:ln w="6350">
          <a:solidFill>
            <a:schemeClr val="tx1"/>
          </a:solidFill>
        </a:ln>
      </c:spPr>
    </c:legend>
    <c:plotVisOnly val="1"/>
    <c:dispBlanksAs val="gap"/>
    <c:showDLblsOverMax val="0"/>
  </c:chart>
  <c:spPr>
    <a:ln>
      <a:noFill/>
    </a:ln>
  </c:spPr>
  <c:txPr>
    <a:bodyPr/>
    <a:lstStyle/>
    <a:p>
      <a:pPr>
        <a:defRPr sz="800" baseline="0">
          <a:latin typeface="Arial" pitchFamily="34" charset="0"/>
        </a:defRPr>
      </a:pPr>
      <a:endParaRPr lang="cs-CZ"/>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9258203189717562E-2"/>
          <c:y val="2.9569886214146503E-2"/>
          <c:w val="0.92637856314472322"/>
          <c:h val="0.73556653157716956"/>
        </c:manualLayout>
      </c:layout>
      <c:barChart>
        <c:barDir val="col"/>
        <c:grouping val="clustered"/>
        <c:varyColors val="0"/>
        <c:ser>
          <c:idx val="0"/>
          <c:order val="0"/>
          <c:tx>
            <c:strRef>
              <c:f>'Ceny 1'!$C$5</c:f>
              <c:strCache>
                <c:ptCount val="1"/>
                <c:pt idx="0">
                  <c:v>Realised prices of older flats, the CR</c:v>
                </c:pt>
              </c:strCache>
            </c:strRef>
          </c:tx>
          <c:spPr>
            <a:solidFill>
              <a:srgbClr val="B8BBC0"/>
            </a:solidFill>
            <a:ln w="19050">
              <a:noFill/>
            </a:ln>
          </c:spPr>
          <c:invertIfNegative val="0"/>
          <c:cat>
            <c:multiLvlStrRef>
              <c:f>'Ceny 1'!$A$14:$B$37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'Ceny 1'!$C$14:$C$37</c:f>
              <c:numCache>
                <c:formatCode>0.0</c:formatCode>
                <c:ptCount val="24"/>
                <c:pt idx="0">
                  <c:v>10.599999999999994</c:v>
                </c:pt>
                <c:pt idx="1">
                  <c:v>10.200000000000003</c:v>
                </c:pt>
                <c:pt idx="2">
                  <c:v>11.200000000000003</c:v>
                </c:pt>
                <c:pt idx="3">
                  <c:v>13.299999999999997</c:v>
                </c:pt>
                <c:pt idx="4">
                  <c:v>15.200000000000003</c:v>
                </c:pt>
                <c:pt idx="5">
                  <c:v>17.900000000000006</c:v>
                </c:pt>
                <c:pt idx="6">
                  <c:v>21.299999999999997</c:v>
                </c:pt>
                <c:pt idx="7">
                  <c:v>25.200000000000003</c:v>
                </c:pt>
                <c:pt idx="8">
                  <c:v>27.299999999999997</c:v>
                </c:pt>
                <c:pt idx="9">
                  <c:v>27.599999999999994</c:v>
                </c:pt>
                <c:pt idx="10">
                  <c:v>23.400000000000006</c:v>
                </c:pt>
                <c:pt idx="11">
                  <c:v>13.799999999999997</c:v>
                </c:pt>
                <c:pt idx="12">
                  <c:v>3.7000000000000028</c:v>
                </c:pt>
                <c:pt idx="13">
                  <c:v>-4.0999999999999943</c:v>
                </c:pt>
                <c:pt idx="14">
                  <c:v>-7</c:v>
                </c:pt>
                <c:pt idx="15">
                  <c:v>-5.5</c:v>
                </c:pt>
                <c:pt idx="16">
                  <c:v>9.9999999999994316E-2</c:v>
                </c:pt>
                <c:pt idx="17">
                  <c:v>6.0999999999999943</c:v>
                </c:pt>
                <c:pt idx="18">
                  <c:v>10.700000000000003</c:v>
                </c:pt>
                <c:pt idx="19">
                  <c:v>14.200000000000003</c:v>
                </c:pt>
                <c:pt idx="20">
                  <c:v>15.799999999999997</c:v>
                </c:pt>
                <c:pt idx="21">
                  <c:v>16.299999999999997</c:v>
                </c:pt>
                <c:pt idx="22">
                  <c:v>15.900000000000006</c:v>
                </c:pt>
                <c:pt idx="23">
                  <c:v>16</c:v>
                </c:pt>
              </c:numCache>
            </c:numRef>
          </c:val>
          <c:extLst>
            <c:ext xmlns:c16="http://schemas.microsoft.com/office/drawing/2014/chart" uri="{C3380CC4-5D6E-409C-BE32-E72D297353CC}">
              <c16:uniqueId val="{00000000-C161-4ED4-B60B-525FC79D9940}"/>
            </c:ext>
          </c:extLst>
        </c:ser>
        <c:ser>
          <c:idx val="1"/>
          <c:order val="1"/>
          <c:tx>
            <c:strRef>
              <c:f>'Ceny 1'!$D$5</c:f>
              <c:strCache>
                <c:ptCount val="1"/>
                <c:pt idx="0">
                  <c:v>Realised prices of older flats, Prague</c:v>
                </c:pt>
              </c:strCache>
            </c:strRef>
          </c:tx>
          <c:spPr>
            <a:solidFill>
              <a:srgbClr val="85898E"/>
            </a:solidFill>
            <a:ln w="19050">
              <a:noFill/>
            </a:ln>
          </c:spPr>
          <c:invertIfNegative val="0"/>
          <c:cat>
            <c:multiLvlStrRef>
              <c:f>'Ceny 1'!$A$14:$B$37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'Ceny 1'!$D$14:$D$37</c:f>
              <c:numCache>
                <c:formatCode>0.0</c:formatCode>
                <c:ptCount val="24"/>
                <c:pt idx="0">
                  <c:v>6.2000000000000028</c:v>
                </c:pt>
                <c:pt idx="1">
                  <c:v>8</c:v>
                </c:pt>
                <c:pt idx="2">
                  <c:v>9.4000000000000057</c:v>
                </c:pt>
                <c:pt idx="3">
                  <c:v>10.599999999999994</c:v>
                </c:pt>
                <c:pt idx="4">
                  <c:v>14.299999999999997</c:v>
                </c:pt>
                <c:pt idx="5">
                  <c:v>15.799999999999997</c:v>
                </c:pt>
                <c:pt idx="6">
                  <c:v>16.599999999999994</c:v>
                </c:pt>
                <c:pt idx="7">
                  <c:v>20</c:v>
                </c:pt>
                <c:pt idx="8">
                  <c:v>19</c:v>
                </c:pt>
                <c:pt idx="9">
                  <c:v>16.700000000000003</c:v>
                </c:pt>
                <c:pt idx="10">
                  <c:v>15.599999999999994</c:v>
                </c:pt>
                <c:pt idx="11">
                  <c:v>8.4000000000000057</c:v>
                </c:pt>
                <c:pt idx="12">
                  <c:v>1.2000000000000028</c:v>
                </c:pt>
                <c:pt idx="13">
                  <c:v>-3.5999999999999943</c:v>
                </c:pt>
                <c:pt idx="14">
                  <c:v>-5.2999999999999972</c:v>
                </c:pt>
                <c:pt idx="15">
                  <c:v>-2.5999999999999943</c:v>
                </c:pt>
                <c:pt idx="16">
                  <c:v>1</c:v>
                </c:pt>
                <c:pt idx="17">
                  <c:v>8.5999999999999943</c:v>
                </c:pt>
                <c:pt idx="18">
                  <c:v>11.799999999999997</c:v>
                </c:pt>
                <c:pt idx="19">
                  <c:v>12.099999999999994</c:v>
                </c:pt>
                <c:pt idx="20">
                  <c:v>15.799999999999997</c:v>
                </c:pt>
                <c:pt idx="21">
                  <c:v>13.599999999999994</c:v>
                </c:pt>
                <c:pt idx="22">
                  <c:v>13.400000000000006</c:v>
                </c:pt>
                <c:pt idx="23">
                  <c:v>13.700000000000003</c:v>
                </c:pt>
              </c:numCache>
            </c:numRef>
          </c:val>
          <c:extLst>
            <c:ext xmlns:c16="http://schemas.microsoft.com/office/drawing/2014/chart" uri="{C3380CC4-5D6E-409C-BE32-E72D297353CC}">
              <c16:uniqueId val="{00000001-C161-4ED4-B60B-525FC79D9940}"/>
            </c:ext>
          </c:extLst>
        </c:ser>
        <c:dLbls>
          <c:showLegendKey val="0"/>
          <c:showVal val="0"/>
          <c:showCatName val="0"/>
          <c:showSerName val="0"/>
          <c:showPercent val="0"/>
          <c:showBubbleSize val="0"/>
        </c:dLbls>
        <c:gapWidth val="95"/>
        <c:axId val="130418560"/>
        <c:axId val="130420096"/>
      </c:barChart>
      <c:lineChart>
        <c:grouping val="standard"/>
        <c:varyColors val="0"/>
        <c:ser>
          <c:idx val="2"/>
          <c:order val="2"/>
          <c:tx>
            <c:strRef>
              <c:f>'Ceny 1'!$E$5</c:f>
              <c:strCache>
                <c:ptCount val="1"/>
                <c:pt idx="0">
                  <c:v>Catalogue prices of flats, the CR</c:v>
                </c:pt>
              </c:strCache>
            </c:strRef>
          </c:tx>
          <c:spPr>
            <a:ln w="19050">
              <a:solidFill>
                <a:srgbClr val="BC5B80"/>
              </a:solidFill>
            </a:ln>
          </c:spPr>
          <c:marker>
            <c:symbol val="none"/>
          </c:marker>
          <c:cat>
            <c:multiLvlStrRef>
              <c:f>'Ceny 1'!$A$14:$B$37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'Ceny 1'!$E$14:$E$37</c:f>
              <c:numCache>
                <c:formatCode>0.0</c:formatCode>
                <c:ptCount val="24"/>
                <c:pt idx="0">
                  <c:v>6.0465116279069662</c:v>
                </c:pt>
                <c:pt idx="1">
                  <c:v>7.1334214002641829</c:v>
                </c:pt>
                <c:pt idx="2">
                  <c:v>7.9870129870129887</c:v>
                </c:pt>
                <c:pt idx="3">
                  <c:v>7.6481835564053569</c:v>
                </c:pt>
                <c:pt idx="4">
                  <c:v>7.6441102756892292</c:v>
                </c:pt>
                <c:pt idx="5">
                  <c:v>7.9531442663378584</c:v>
                </c:pt>
                <c:pt idx="6">
                  <c:v>9.3205051112447421</c:v>
                </c:pt>
                <c:pt idx="7">
                  <c:v>12.433392539964473</c:v>
                </c:pt>
                <c:pt idx="8">
                  <c:v>16.880093131548307</c:v>
                </c:pt>
                <c:pt idx="9">
                  <c:v>24.671616219303274</c:v>
                </c:pt>
                <c:pt idx="10">
                  <c:v>22.937293729372925</c:v>
                </c:pt>
                <c:pt idx="11">
                  <c:v>18.325434439178508</c:v>
                </c:pt>
                <c:pt idx="12">
                  <c:v>9.8107569721115624</c:v>
                </c:pt>
                <c:pt idx="13">
                  <c:v>-0.73293632615667548</c:v>
                </c:pt>
                <c:pt idx="14">
                  <c:v>-3.3109619686800897</c:v>
                </c:pt>
                <c:pt idx="15">
                  <c:v>-4.1833555852247315</c:v>
                </c:pt>
                <c:pt idx="16">
                  <c:v>-0.68027210884353906</c:v>
                </c:pt>
                <c:pt idx="17">
                  <c:v>3.3687125057683573</c:v>
                </c:pt>
                <c:pt idx="18">
                  <c:v>6.9412309116150084</c:v>
                </c:pt>
                <c:pt idx="19">
                  <c:v>10.682768230376212</c:v>
                </c:pt>
                <c:pt idx="20">
                  <c:v>15.662100456621019</c:v>
                </c:pt>
                <c:pt idx="21">
                  <c:v>17.008928571428569</c:v>
                </c:pt>
                <c:pt idx="22">
                  <c:v>17.654694937256593</c:v>
                </c:pt>
                <c:pt idx="23">
                  <c:v>16.869492236676436</c:v>
                </c:pt>
              </c:numCache>
            </c:numRef>
          </c:val>
          <c:smooth val="0"/>
          <c:extLst>
            <c:ext xmlns:c16="http://schemas.microsoft.com/office/drawing/2014/chart" uri="{C3380CC4-5D6E-409C-BE32-E72D297353CC}">
              <c16:uniqueId val="{00000002-C161-4ED4-B60B-525FC79D9940}"/>
            </c:ext>
          </c:extLst>
        </c:ser>
        <c:ser>
          <c:idx val="3"/>
          <c:order val="3"/>
          <c:tx>
            <c:strRef>
              <c:f>'Ceny 1'!$F$5</c:f>
              <c:strCache>
                <c:ptCount val="1"/>
                <c:pt idx="0">
                  <c:v>Catalogue prices of flats, Prague</c:v>
                </c:pt>
              </c:strCache>
            </c:strRef>
          </c:tx>
          <c:spPr>
            <a:ln>
              <a:solidFill>
                <a:srgbClr val="009CB5"/>
              </a:solidFill>
            </a:ln>
          </c:spPr>
          <c:marker>
            <c:symbol val="none"/>
          </c:marker>
          <c:cat>
            <c:multiLvlStrRef>
              <c:f>'Ceny 1'!$A$14:$B$37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'Ceny 1'!$F$14:$F$37</c:f>
              <c:numCache>
                <c:formatCode>0.0</c:formatCode>
                <c:ptCount val="24"/>
                <c:pt idx="0">
                  <c:v>3.5530085959885298</c:v>
                </c:pt>
                <c:pt idx="1">
                  <c:v>5.2812858783008068</c:v>
                </c:pt>
                <c:pt idx="2">
                  <c:v>6.2356979405034281</c:v>
                </c:pt>
                <c:pt idx="3">
                  <c:v>5.1743532058492718</c:v>
                </c:pt>
                <c:pt idx="4">
                  <c:v>4.759269507470961</c:v>
                </c:pt>
                <c:pt idx="5">
                  <c:v>4.5256270447110012</c:v>
                </c:pt>
                <c:pt idx="6">
                  <c:v>6.2466343564889826</c:v>
                </c:pt>
                <c:pt idx="7">
                  <c:v>9.1443850267379503</c:v>
                </c:pt>
                <c:pt idx="8">
                  <c:v>12.255678816693077</c:v>
                </c:pt>
                <c:pt idx="9">
                  <c:v>19.718309859154942</c:v>
                </c:pt>
                <c:pt idx="10">
                  <c:v>18.499746578813998</c:v>
                </c:pt>
                <c:pt idx="11">
                  <c:v>16.903478686918177</c:v>
                </c:pt>
                <c:pt idx="12">
                  <c:v>10.305882352941182</c:v>
                </c:pt>
                <c:pt idx="13">
                  <c:v>0.30501089324617681</c:v>
                </c:pt>
                <c:pt idx="14">
                  <c:v>-1.5825491873396089</c:v>
                </c:pt>
                <c:pt idx="15">
                  <c:v>-3.5624476110645418</c:v>
                </c:pt>
                <c:pt idx="16">
                  <c:v>0.3412969283276226</c:v>
                </c:pt>
                <c:pt idx="17">
                  <c:v>3.9965247610773247</c:v>
                </c:pt>
                <c:pt idx="18">
                  <c:v>6.7796610169491629</c:v>
                </c:pt>
                <c:pt idx="19">
                  <c:v>10.386788352890036</c:v>
                </c:pt>
                <c:pt idx="20">
                  <c:v>16.496598639455783</c:v>
                </c:pt>
                <c:pt idx="21">
                  <c:v>16.207184628237243</c:v>
                </c:pt>
                <c:pt idx="22">
                  <c:v>16.076516076516072</c:v>
                </c:pt>
                <c:pt idx="23">
                  <c:v>14.763779527559052</c:v>
                </c:pt>
              </c:numCache>
            </c:numRef>
          </c:val>
          <c:smooth val="0"/>
          <c:extLst>
            <c:ext xmlns:c16="http://schemas.microsoft.com/office/drawing/2014/chart" uri="{C3380CC4-5D6E-409C-BE32-E72D297353CC}">
              <c16:uniqueId val="{00000003-C161-4ED4-B60B-525FC79D9940}"/>
            </c:ext>
          </c:extLst>
        </c:ser>
        <c:dLbls>
          <c:showLegendKey val="0"/>
          <c:showVal val="0"/>
          <c:showCatName val="0"/>
          <c:showSerName val="0"/>
          <c:showPercent val="0"/>
          <c:showBubbleSize val="0"/>
        </c:dLbls>
        <c:marker val="1"/>
        <c:smooth val="0"/>
        <c:axId val="130418560"/>
        <c:axId val="130420096"/>
      </c:lineChart>
      <c:catAx>
        <c:axId val="130418560"/>
        <c:scaling>
          <c:orientation val="minMax"/>
        </c:scaling>
        <c:delete val="0"/>
        <c:axPos val="b"/>
        <c:numFmt formatCode="General" sourceLinked="0"/>
        <c:majorTickMark val="out"/>
        <c:minorTickMark val="none"/>
        <c:tickLblPos val="low"/>
        <c:spPr>
          <a:ln>
            <a:solidFill>
              <a:schemeClr val="tx1"/>
            </a:solidFill>
          </a:ln>
        </c:spPr>
        <c:txPr>
          <a:bodyPr rot="0" vert="horz"/>
          <a:lstStyle/>
          <a:p>
            <a:pPr>
              <a:defRPr/>
            </a:pPr>
            <a:endParaRPr lang="cs-CZ"/>
          </a:p>
        </c:txPr>
        <c:crossAx val="130420096"/>
        <c:crosses val="autoZero"/>
        <c:auto val="1"/>
        <c:lblAlgn val="ctr"/>
        <c:lblOffset val="100"/>
        <c:noMultiLvlLbl val="0"/>
      </c:catAx>
      <c:valAx>
        <c:axId val="130420096"/>
        <c:scaling>
          <c:orientation val="minMax"/>
          <c:max val="28"/>
          <c:min val="-8"/>
        </c:scaling>
        <c:delete val="0"/>
        <c:axPos val="l"/>
        <c:majorGridlines>
          <c:spPr>
            <a:ln w="6350">
              <a:solidFill>
                <a:schemeClr val="bg1">
                  <a:lumMod val="75000"/>
                </a:schemeClr>
              </a:solidFill>
            </a:ln>
          </c:spPr>
        </c:majorGridlines>
        <c:numFmt formatCode="0" sourceLinked="0"/>
        <c:majorTickMark val="out"/>
        <c:minorTickMark val="none"/>
        <c:tickLblPos val="nextTo"/>
        <c:spPr>
          <a:ln>
            <a:solidFill>
              <a:schemeClr val="tx1"/>
            </a:solidFill>
          </a:ln>
        </c:spPr>
        <c:crossAx val="130418560"/>
        <c:crosses val="autoZero"/>
        <c:crossBetween val="between"/>
        <c:majorUnit val="4"/>
      </c:valAx>
      <c:spPr>
        <a:ln>
          <a:solidFill>
            <a:schemeClr val="tx1"/>
          </a:solidFill>
        </a:ln>
      </c:spPr>
    </c:plotArea>
    <c:legend>
      <c:legendPos val="b"/>
      <c:layout>
        <c:manualLayout>
          <c:xMode val="edge"/>
          <c:yMode val="edge"/>
          <c:x val="4.6528021206651497E-2"/>
          <c:y val="0.88817854328492629"/>
          <c:w val="0.9267997314289258"/>
          <c:h val="9.8380614657210319E-2"/>
        </c:manualLayout>
      </c:layout>
      <c:overlay val="0"/>
      <c:spPr>
        <a:ln w="6350">
          <a:solidFill>
            <a:schemeClr val="tx1"/>
          </a:solidFill>
        </a:ln>
      </c:spPr>
    </c:legend>
    <c:plotVisOnly val="1"/>
    <c:dispBlanksAs val="gap"/>
    <c:showDLblsOverMax val="0"/>
  </c:chart>
  <c:spPr>
    <a:ln>
      <a:noFill/>
    </a:ln>
  </c:spPr>
  <c:txPr>
    <a:bodyPr/>
    <a:lstStyle/>
    <a:p>
      <a:pPr>
        <a:defRPr sz="800" baseline="0">
          <a:latin typeface="Arial" pitchFamily="34" charset="0"/>
        </a:defRPr>
      </a:pPr>
      <a:endParaRPr lang="cs-CZ"/>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536533717322946E-2"/>
          <c:y val="2.0784574468085106E-2"/>
          <c:w val="0.93242262856416824"/>
          <c:h val="0.66772044917257678"/>
        </c:manualLayout>
      </c:layout>
      <c:barChart>
        <c:barDir val="col"/>
        <c:grouping val="clustered"/>
        <c:varyColors val="0"/>
        <c:ser>
          <c:idx val="0"/>
          <c:order val="0"/>
          <c:tx>
            <c:strRef>
              <c:f>'Ceny 4'!$C$5</c:f>
              <c:strCache>
                <c:ptCount val="1"/>
                <c:pt idx="0">
                  <c:v>Total</c:v>
                </c:pt>
              </c:strCache>
            </c:strRef>
          </c:tx>
          <c:spPr>
            <a:solidFill>
              <a:srgbClr val="85898E"/>
            </a:solidFill>
            <a:ln>
              <a:noFill/>
            </a:ln>
            <a:effectLst/>
          </c:spPr>
          <c:invertIfNegative val="0"/>
          <c:cat>
            <c:multiLvlStrRef>
              <c:f>'Ceny 4'!$A$14:$B$37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'Ceny 4'!$C$14:$C$37</c:f>
              <c:numCache>
                <c:formatCode>General</c:formatCode>
                <c:ptCount val="24"/>
                <c:pt idx="0">
                  <c:v>1.4000000000000057</c:v>
                </c:pt>
                <c:pt idx="1">
                  <c:v>-0.59999999999999432</c:v>
                </c:pt>
                <c:pt idx="2">
                  <c:v>-0.29999999999999716</c:v>
                </c:pt>
                <c:pt idx="3">
                  <c:v>9.9999999999994316E-2</c:v>
                </c:pt>
                <c:pt idx="4">
                  <c:v>1.5</c:v>
                </c:pt>
                <c:pt idx="5">
                  <c:v>5.2999999999999972</c:v>
                </c:pt>
                <c:pt idx="6">
                  <c:v>9</c:v>
                </c:pt>
                <c:pt idx="7">
                  <c:v>12.799999999999997</c:v>
                </c:pt>
                <c:pt idx="8">
                  <c:v>21.799999999999997</c:v>
                </c:pt>
                <c:pt idx="9">
                  <c:v>27.700000000000003</c:v>
                </c:pt>
                <c:pt idx="10">
                  <c:v>25.900000000000006</c:v>
                </c:pt>
                <c:pt idx="11">
                  <c:v>21.799999999999997</c:v>
                </c:pt>
                <c:pt idx="12">
                  <c:v>15</c:v>
                </c:pt>
                <c:pt idx="13">
                  <c:v>3.9000000000000057</c:v>
                </c:pt>
                <c:pt idx="14">
                  <c:v>1.3</c:v>
                </c:pt>
                <c:pt idx="15">
                  <c:v>0.8</c:v>
                </c:pt>
                <c:pt idx="16">
                  <c:v>-0.9</c:v>
                </c:pt>
                <c:pt idx="17">
                  <c:v>1.1000000000000001</c:v>
                </c:pt>
                <c:pt idx="18">
                  <c:v>1.2</c:v>
                </c:pt>
                <c:pt idx="19">
                  <c:v>1.8</c:v>
                </c:pt>
                <c:pt idx="20">
                  <c:v>0</c:v>
                </c:pt>
                <c:pt idx="21">
                  <c:v>-0.9</c:v>
                </c:pt>
                <c:pt idx="22">
                  <c:v>-1</c:v>
                </c:pt>
                <c:pt idx="23">
                  <c:v>-1.5</c:v>
                </c:pt>
              </c:numCache>
            </c:numRef>
          </c:val>
          <c:extLst>
            <c:ext xmlns:c16="http://schemas.microsoft.com/office/drawing/2014/chart" uri="{C3380CC4-5D6E-409C-BE32-E72D297353CC}">
              <c16:uniqueId val="{00000000-7FEB-430A-8969-8A6C7034FCAA}"/>
            </c:ext>
          </c:extLst>
        </c:ser>
        <c:dLbls>
          <c:showLegendKey val="0"/>
          <c:showVal val="0"/>
          <c:showCatName val="0"/>
          <c:showSerName val="0"/>
          <c:showPercent val="0"/>
          <c:showBubbleSize val="0"/>
        </c:dLbls>
        <c:gapWidth val="90"/>
        <c:axId val="1717494240"/>
        <c:axId val="1718275936"/>
      </c:barChart>
      <c:lineChart>
        <c:grouping val="standard"/>
        <c:varyColors val="0"/>
        <c:ser>
          <c:idx val="1"/>
          <c:order val="1"/>
          <c:tx>
            <c:strRef>
              <c:f>'Ceny 4'!$D$5</c:f>
              <c:strCache>
                <c:ptCount val="1"/>
                <c:pt idx="0">
                  <c:v>Mining and quarrying</c:v>
                </c:pt>
              </c:strCache>
            </c:strRef>
          </c:tx>
          <c:spPr>
            <a:ln w="22225" cap="rnd">
              <a:solidFill>
                <a:srgbClr val="86BF5E"/>
              </a:solidFill>
              <a:round/>
            </a:ln>
            <a:effectLst/>
          </c:spPr>
          <c:marker>
            <c:symbol val="none"/>
          </c:marker>
          <c:cat>
            <c:multiLvlStrRef>
              <c:f>'Ceny 4'!$A$14:$B$37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'Ceny 4'!$D$14:$D$37</c:f>
              <c:numCache>
                <c:formatCode>General</c:formatCode>
                <c:ptCount val="24"/>
                <c:pt idx="0">
                  <c:v>-2.0999999999999943</c:v>
                </c:pt>
                <c:pt idx="1">
                  <c:v>-3.5</c:v>
                </c:pt>
                <c:pt idx="2">
                  <c:v>-3.5999999999999943</c:v>
                </c:pt>
                <c:pt idx="3">
                  <c:v>-2</c:v>
                </c:pt>
                <c:pt idx="4">
                  <c:v>-0.5</c:v>
                </c:pt>
                <c:pt idx="5">
                  <c:v>0.79999999999999716</c:v>
                </c:pt>
                <c:pt idx="6">
                  <c:v>3.2999999999999972</c:v>
                </c:pt>
                <c:pt idx="7">
                  <c:v>13.799999999999997</c:v>
                </c:pt>
                <c:pt idx="8">
                  <c:v>25.200000000000003</c:v>
                </c:pt>
                <c:pt idx="9">
                  <c:v>31.900000000000006</c:v>
                </c:pt>
                <c:pt idx="10">
                  <c:v>30.199999999999989</c:v>
                </c:pt>
                <c:pt idx="11">
                  <c:v>23.299999999999997</c:v>
                </c:pt>
                <c:pt idx="12">
                  <c:v>54</c:v>
                </c:pt>
                <c:pt idx="13">
                  <c:v>47.599999999999994</c:v>
                </c:pt>
                <c:pt idx="14">
                  <c:v>44.5</c:v>
                </c:pt>
                <c:pt idx="15">
                  <c:v>40.200000000000003</c:v>
                </c:pt>
                <c:pt idx="16">
                  <c:v>-1.2</c:v>
                </c:pt>
                <c:pt idx="17">
                  <c:v>-1.7</c:v>
                </c:pt>
                <c:pt idx="18">
                  <c:v>-0.5</c:v>
                </c:pt>
                <c:pt idx="19">
                  <c:v>-1.8</c:v>
                </c:pt>
                <c:pt idx="20">
                  <c:v>-2.6</c:v>
                </c:pt>
                <c:pt idx="21">
                  <c:v>-4.2</c:v>
                </c:pt>
                <c:pt idx="22">
                  <c:v>-4.3</c:v>
                </c:pt>
                <c:pt idx="23">
                  <c:v>-4.2</c:v>
                </c:pt>
              </c:numCache>
            </c:numRef>
          </c:val>
          <c:smooth val="0"/>
          <c:extLst>
            <c:ext xmlns:c16="http://schemas.microsoft.com/office/drawing/2014/chart" uri="{C3380CC4-5D6E-409C-BE32-E72D297353CC}">
              <c16:uniqueId val="{00000001-7FEB-430A-8969-8A6C7034FCAA}"/>
            </c:ext>
          </c:extLst>
        </c:ser>
        <c:ser>
          <c:idx val="2"/>
          <c:order val="2"/>
          <c:tx>
            <c:strRef>
              <c:f>'Ceny 4'!$E$5</c:f>
              <c:strCache>
                <c:ptCount val="1"/>
                <c:pt idx="0">
                  <c:v>Manufacturing</c:v>
                </c:pt>
              </c:strCache>
            </c:strRef>
          </c:tx>
          <c:spPr>
            <a:ln w="22225" cap="rnd">
              <a:solidFill>
                <a:srgbClr val="BC5B80"/>
              </a:solidFill>
              <a:round/>
            </a:ln>
            <a:effectLst/>
          </c:spPr>
          <c:marker>
            <c:symbol val="none"/>
          </c:marker>
          <c:cat>
            <c:multiLvlStrRef>
              <c:f>'Ceny 4'!$A$14:$B$37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'Ceny 4'!$E$14:$E$37</c:f>
              <c:numCache>
                <c:formatCode>General</c:formatCode>
                <c:ptCount val="24"/>
                <c:pt idx="0">
                  <c:v>0</c:v>
                </c:pt>
                <c:pt idx="1">
                  <c:v>-2.2999999999999972</c:v>
                </c:pt>
                <c:pt idx="2">
                  <c:v>-1.7999999999999972</c:v>
                </c:pt>
                <c:pt idx="3">
                  <c:v>-1.2000000000000028</c:v>
                </c:pt>
                <c:pt idx="4">
                  <c:v>1.7999999999999972</c:v>
                </c:pt>
                <c:pt idx="5">
                  <c:v>6.5</c:v>
                </c:pt>
                <c:pt idx="6">
                  <c:v>11</c:v>
                </c:pt>
                <c:pt idx="7">
                  <c:v>14.5</c:v>
                </c:pt>
                <c:pt idx="8">
                  <c:v>17.5</c:v>
                </c:pt>
                <c:pt idx="9">
                  <c:v>24.200000000000003</c:v>
                </c:pt>
                <c:pt idx="10">
                  <c:v>20.5</c:v>
                </c:pt>
                <c:pt idx="11">
                  <c:v>16</c:v>
                </c:pt>
                <c:pt idx="12">
                  <c:v>10.299999999999997</c:v>
                </c:pt>
                <c:pt idx="13">
                  <c:v>-0.90000000000000568</c:v>
                </c:pt>
                <c:pt idx="14">
                  <c:v>-2.4</c:v>
                </c:pt>
                <c:pt idx="15">
                  <c:v>-2.2999999999999998</c:v>
                </c:pt>
                <c:pt idx="16">
                  <c:v>-1.7</c:v>
                </c:pt>
                <c:pt idx="17">
                  <c:v>0.1</c:v>
                </c:pt>
                <c:pt idx="18">
                  <c:v>0.2</c:v>
                </c:pt>
                <c:pt idx="19">
                  <c:v>0.4</c:v>
                </c:pt>
                <c:pt idx="20">
                  <c:v>0.4</c:v>
                </c:pt>
                <c:pt idx="21">
                  <c:v>-0.2</c:v>
                </c:pt>
                <c:pt idx="22">
                  <c:v>-0.3</c:v>
                </c:pt>
                <c:pt idx="23">
                  <c:v>-0.9</c:v>
                </c:pt>
              </c:numCache>
            </c:numRef>
          </c:val>
          <c:smooth val="0"/>
          <c:extLst>
            <c:ext xmlns:c16="http://schemas.microsoft.com/office/drawing/2014/chart" uri="{C3380CC4-5D6E-409C-BE32-E72D297353CC}">
              <c16:uniqueId val="{00000002-7FEB-430A-8969-8A6C7034FCAA}"/>
            </c:ext>
          </c:extLst>
        </c:ser>
        <c:ser>
          <c:idx val="3"/>
          <c:order val="3"/>
          <c:tx>
            <c:strRef>
              <c:f>'Ceny 4'!$F$5</c:f>
              <c:strCache>
                <c:ptCount val="1"/>
                <c:pt idx="0">
                  <c:v>Electricity, gas, steam and air conditioning supply</c:v>
                </c:pt>
              </c:strCache>
            </c:strRef>
          </c:tx>
          <c:spPr>
            <a:ln w="22225" cap="rnd">
              <a:solidFill>
                <a:srgbClr val="CC9610"/>
              </a:solidFill>
              <a:round/>
            </a:ln>
            <a:effectLst/>
          </c:spPr>
          <c:marker>
            <c:symbol val="none"/>
          </c:marker>
          <c:cat>
            <c:multiLvlStrRef>
              <c:f>'Ceny 4'!$A$14:$B$37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'Ceny 4'!$F$14:$F$37</c:f>
              <c:numCache>
                <c:formatCode>General</c:formatCode>
                <c:ptCount val="24"/>
                <c:pt idx="0">
                  <c:v>8.9000000000000057</c:v>
                </c:pt>
                <c:pt idx="1">
                  <c:v>8.2000000000000028</c:v>
                </c:pt>
                <c:pt idx="2">
                  <c:v>7.7999999999999972</c:v>
                </c:pt>
                <c:pt idx="3">
                  <c:v>6.0999999999999943</c:v>
                </c:pt>
                <c:pt idx="4">
                  <c:v>0.29999999999999716</c:v>
                </c:pt>
                <c:pt idx="5">
                  <c:v>9.9999999999994316E-2</c:v>
                </c:pt>
                <c:pt idx="6">
                  <c:v>0.79999999999999716</c:v>
                </c:pt>
                <c:pt idx="7">
                  <c:v>5.5</c:v>
                </c:pt>
                <c:pt idx="8">
                  <c:v>45</c:v>
                </c:pt>
                <c:pt idx="9">
                  <c:v>47.199999999999989</c:v>
                </c:pt>
                <c:pt idx="10">
                  <c:v>56</c:v>
                </c:pt>
                <c:pt idx="11">
                  <c:v>54.300000000000011</c:v>
                </c:pt>
                <c:pt idx="12">
                  <c:v>28.400000000000006</c:v>
                </c:pt>
                <c:pt idx="13">
                  <c:v>18.400000000000006</c:v>
                </c:pt>
                <c:pt idx="14">
                  <c:v>10.5</c:v>
                </c:pt>
                <c:pt idx="15">
                  <c:v>7.1</c:v>
                </c:pt>
                <c:pt idx="16">
                  <c:v>0.8</c:v>
                </c:pt>
                <c:pt idx="17">
                  <c:v>4.5</c:v>
                </c:pt>
                <c:pt idx="18">
                  <c:v>4.2</c:v>
                </c:pt>
                <c:pt idx="19">
                  <c:v>6.7</c:v>
                </c:pt>
                <c:pt idx="20">
                  <c:v>-1.2</c:v>
                </c:pt>
                <c:pt idx="21">
                  <c:v>-3.4</c:v>
                </c:pt>
                <c:pt idx="22">
                  <c:v>-3.2</c:v>
                </c:pt>
                <c:pt idx="23">
                  <c:v>-3.8</c:v>
                </c:pt>
              </c:numCache>
            </c:numRef>
          </c:val>
          <c:smooth val="0"/>
          <c:extLst>
            <c:ext xmlns:c16="http://schemas.microsoft.com/office/drawing/2014/chart" uri="{C3380CC4-5D6E-409C-BE32-E72D297353CC}">
              <c16:uniqueId val="{00000003-7FEB-430A-8969-8A6C7034FCAA}"/>
            </c:ext>
          </c:extLst>
        </c:ser>
        <c:ser>
          <c:idx val="4"/>
          <c:order val="4"/>
          <c:tx>
            <c:strRef>
              <c:f>'Ceny 4'!$G$5</c:f>
              <c:strCache>
                <c:ptCount val="1"/>
                <c:pt idx="0">
                  <c:v>Water supply, sewerage</c:v>
                </c:pt>
              </c:strCache>
            </c:strRef>
          </c:tx>
          <c:spPr>
            <a:ln w="22225" cap="rnd">
              <a:solidFill>
                <a:srgbClr val="009CB5"/>
              </a:solidFill>
              <a:round/>
            </a:ln>
            <a:effectLst/>
          </c:spPr>
          <c:marker>
            <c:symbol val="none"/>
          </c:marker>
          <c:cat>
            <c:multiLvlStrRef>
              <c:f>'Ceny 4'!$A$14:$B$37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'Ceny 4'!$G$14:$G$37</c:f>
              <c:numCache>
                <c:formatCode>General</c:formatCode>
                <c:ptCount val="24"/>
                <c:pt idx="0">
                  <c:v>5.4000000000000057</c:v>
                </c:pt>
                <c:pt idx="1">
                  <c:v>6.0999999999999943</c:v>
                </c:pt>
                <c:pt idx="2">
                  <c:v>6.4000000000000057</c:v>
                </c:pt>
                <c:pt idx="3">
                  <c:v>6.4000000000000057</c:v>
                </c:pt>
                <c:pt idx="4">
                  <c:v>6.9000000000000057</c:v>
                </c:pt>
                <c:pt idx="5">
                  <c:v>6.2000000000000028</c:v>
                </c:pt>
                <c:pt idx="6">
                  <c:v>5.9000000000000057</c:v>
                </c:pt>
                <c:pt idx="7">
                  <c:v>5.9000000000000057</c:v>
                </c:pt>
                <c:pt idx="8">
                  <c:v>5.2999999999999972</c:v>
                </c:pt>
                <c:pt idx="9">
                  <c:v>5.2999999999999972</c:v>
                </c:pt>
                <c:pt idx="10">
                  <c:v>5.2999999999999972</c:v>
                </c:pt>
                <c:pt idx="11">
                  <c:v>5.2999999999999972</c:v>
                </c:pt>
                <c:pt idx="12">
                  <c:v>16.299999999999997</c:v>
                </c:pt>
                <c:pt idx="13">
                  <c:v>16.299999999999997</c:v>
                </c:pt>
                <c:pt idx="14">
                  <c:v>16.3</c:v>
                </c:pt>
                <c:pt idx="15">
                  <c:v>16.3</c:v>
                </c:pt>
                <c:pt idx="16">
                  <c:v>9.1999999999999993</c:v>
                </c:pt>
                <c:pt idx="17">
                  <c:v>9.1999999999999993</c:v>
                </c:pt>
                <c:pt idx="18">
                  <c:v>9.1999999999999993</c:v>
                </c:pt>
                <c:pt idx="19">
                  <c:v>9.1999999999999993</c:v>
                </c:pt>
                <c:pt idx="20">
                  <c:v>4.0999999999999996</c:v>
                </c:pt>
                <c:pt idx="21">
                  <c:v>4.0999999999999996</c:v>
                </c:pt>
                <c:pt idx="22">
                  <c:v>4.0999999999999996</c:v>
                </c:pt>
                <c:pt idx="23">
                  <c:v>4.0999999999999996</c:v>
                </c:pt>
              </c:numCache>
            </c:numRef>
          </c:val>
          <c:smooth val="0"/>
          <c:extLst>
            <c:ext xmlns:c16="http://schemas.microsoft.com/office/drawing/2014/chart" uri="{C3380CC4-5D6E-409C-BE32-E72D297353CC}">
              <c16:uniqueId val="{00000004-7FEB-430A-8969-8A6C7034FCAA}"/>
            </c:ext>
          </c:extLst>
        </c:ser>
        <c:dLbls>
          <c:showLegendKey val="0"/>
          <c:showVal val="0"/>
          <c:showCatName val="0"/>
          <c:showSerName val="0"/>
          <c:showPercent val="0"/>
          <c:showBubbleSize val="0"/>
        </c:dLbls>
        <c:marker val="1"/>
        <c:smooth val="0"/>
        <c:axId val="1717494240"/>
        <c:axId val="1718275936"/>
      </c:lineChart>
      <c:catAx>
        <c:axId val="1717494240"/>
        <c:scaling>
          <c:orientation val="minMax"/>
        </c:scaling>
        <c:delete val="0"/>
        <c:axPos val="b"/>
        <c:numFmt formatCode="General" sourceLinked="1"/>
        <c:majorTickMark val="none"/>
        <c:minorTickMark val="none"/>
        <c:tickLblPos val="low"/>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mn-cs"/>
              </a:defRPr>
            </a:pPr>
            <a:endParaRPr lang="cs-CZ"/>
          </a:p>
        </c:txPr>
        <c:crossAx val="1718275936"/>
        <c:crosses val="autoZero"/>
        <c:auto val="1"/>
        <c:lblAlgn val="ctr"/>
        <c:lblOffset val="100"/>
        <c:noMultiLvlLbl val="0"/>
      </c:catAx>
      <c:valAx>
        <c:axId val="1718275936"/>
        <c:scaling>
          <c:orientation val="minMax"/>
          <c:max val="60"/>
          <c:min val="-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mn-cs"/>
              </a:defRPr>
            </a:pPr>
            <a:endParaRPr lang="cs-CZ"/>
          </a:p>
        </c:txPr>
        <c:crossAx val="1717494240"/>
        <c:crosses val="autoZero"/>
        <c:crossBetween val="between"/>
        <c:majorUnit val="5"/>
      </c:valAx>
      <c:spPr>
        <a:noFill/>
        <a:ln>
          <a:solidFill>
            <a:schemeClr val="tx1"/>
          </a:solidFill>
        </a:ln>
        <a:effectLst/>
      </c:spPr>
    </c:plotArea>
    <c:legend>
      <c:legendPos val="b"/>
      <c:layout>
        <c:manualLayout>
          <c:xMode val="edge"/>
          <c:yMode val="edge"/>
          <c:x val="5.4913125880123238E-2"/>
          <c:y val="0.80408628841607566"/>
          <c:w val="0.93175198788738656"/>
          <c:h val="0.18321187943262413"/>
        </c:manualLayout>
      </c:layout>
      <c:overlay val="0"/>
      <c:spPr>
        <a:noFill/>
        <a:ln>
          <a:solidFill>
            <a:schemeClr val="tx1"/>
          </a:solid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baseline="0">
          <a:solidFill>
            <a:sysClr val="windowText" lastClr="000000"/>
          </a:solidFill>
          <a:latin typeface="Arial" panose="020B0604020202020204" pitchFamily="34" charset="0"/>
        </a:defRPr>
      </a:pPr>
      <a:endParaRPr lang="cs-CZ"/>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3488731014312048E-2"/>
          <c:y val="1.4522051060224651E-2"/>
          <c:w val="0.84495121574960907"/>
          <c:h val="0.67903185372898445"/>
        </c:manualLayout>
      </c:layout>
      <c:barChart>
        <c:barDir val="col"/>
        <c:grouping val="stacked"/>
        <c:varyColors val="0"/>
        <c:ser>
          <c:idx val="0"/>
          <c:order val="0"/>
          <c:tx>
            <c:strRef>
              <c:f>'Trh práce 1-SNÚ'!$AC$7</c:f>
              <c:strCache>
                <c:ptCount val="1"/>
                <c:pt idx="0">
                  <c:v>Agriculture, forestry and fishing</c:v>
                </c:pt>
              </c:strCache>
            </c:strRef>
          </c:tx>
          <c:spPr>
            <a:solidFill>
              <a:srgbClr val="85BF5E"/>
            </a:solidFill>
            <a:ln>
              <a:noFill/>
            </a:ln>
          </c:spPr>
          <c:invertIfNegative val="0"/>
          <c:cat>
            <c:multiLvlStrRef>
              <c:f>'Trh práce 1-SNÚ'!$AA$36:$AB$72</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'Trh práce 1-SNÚ'!$AC$36:$AC$72</c:f>
              <c:numCache>
                <c:formatCode>#\ ##0.0</c:formatCode>
                <c:ptCount val="37"/>
                <c:pt idx="0">
                  <c:v>0.11233090567681299</c:v>
                </c:pt>
                <c:pt idx="1">
                  <c:v>5.0729616313726009E-2</c:v>
                </c:pt>
                <c:pt idx="2">
                  <c:v>4.2943740830219922E-2</c:v>
                </c:pt>
                <c:pt idx="3">
                  <c:v>-6.9425529421968724E-2</c:v>
                </c:pt>
                <c:pt idx="4">
                  <c:v>6.9696535208619856E-3</c:v>
                </c:pt>
                <c:pt idx="5">
                  <c:v>9.479406509684412E-3</c:v>
                </c:pt>
                <c:pt idx="6">
                  <c:v>-3.0827114025735328E-3</c:v>
                </c:pt>
                <c:pt idx="7">
                  <c:v>6.4491191371409462E-2</c:v>
                </c:pt>
                <c:pt idx="8">
                  <c:v>-7.7187206717196741E-2</c:v>
                </c:pt>
                <c:pt idx="9">
                  <c:v>-0.12718590883712605</c:v>
                </c:pt>
                <c:pt idx="10">
                  <c:v>-0.15865097587800736</c:v>
                </c:pt>
                <c:pt idx="11">
                  <c:v>-0.17609829358037335</c:v>
                </c:pt>
                <c:pt idx="12">
                  <c:v>-0.2250948926699913</c:v>
                </c:pt>
                <c:pt idx="13">
                  <c:v>-0.16640126097373187</c:v>
                </c:pt>
                <c:pt idx="14">
                  <c:v>-7.0549043823175311E-2</c:v>
                </c:pt>
                <c:pt idx="15">
                  <c:v>-7.5093576708931548E-2</c:v>
                </c:pt>
                <c:pt idx="16">
                  <c:v>2.5997211931659263E-2</c:v>
                </c:pt>
                <c:pt idx="17">
                  <c:v>-4.2507410945245912E-2</c:v>
                </c:pt>
                <c:pt idx="18">
                  <c:v>-5.8046329677072947E-2</c:v>
                </c:pt>
                <c:pt idx="19">
                  <c:v>-8.5212682410797293E-3</c:v>
                </c:pt>
                <c:pt idx="20">
                  <c:v>0.10306235339118135</c:v>
                </c:pt>
                <c:pt idx="21">
                  <c:v>0.19517688868299057</c:v>
                </c:pt>
                <c:pt idx="22">
                  <c:v>0.16543408341936516</c:v>
                </c:pt>
                <c:pt idx="23">
                  <c:v>7.650834296747365E-2</c:v>
                </c:pt>
                <c:pt idx="24">
                  <c:v>1.021676732039499E-2</c:v>
                </c:pt>
                <c:pt idx="25">
                  <c:v>-1.5016960166060134E-2</c:v>
                </c:pt>
                <c:pt idx="26">
                  <c:v>-1.6656098487454283E-2</c:v>
                </c:pt>
                <c:pt idx="27">
                  <c:v>1.7912694758528712E-2</c:v>
                </c:pt>
                <c:pt idx="28">
                  <c:v>3.8532804198889358E-3</c:v>
                </c:pt>
                <c:pt idx="29">
                  <c:v>-1.8453058003866385E-4</c:v>
                </c:pt>
                <c:pt idx="30">
                  <c:v>-6.1260581645534037E-2</c:v>
                </c:pt>
                <c:pt idx="31">
                  <c:v>-2.1629374863206263E-2</c:v>
                </c:pt>
                <c:pt idx="32">
                  <c:v>4.8474884296165572E-3</c:v>
                </c:pt>
                <c:pt idx="33">
                  <c:v>-1.6224647384330118E-2</c:v>
                </c:pt>
                <c:pt idx="34">
                  <c:v>1.1246514999902025E-2</c:v>
                </c:pt>
                <c:pt idx="35">
                  <c:v>-3.3859448149563256E-3</c:v>
                </c:pt>
              </c:numCache>
            </c:numRef>
          </c:val>
          <c:extLst>
            <c:ext xmlns:c16="http://schemas.microsoft.com/office/drawing/2014/chart" uri="{C3380CC4-5D6E-409C-BE32-E72D297353CC}">
              <c16:uniqueId val="{00000000-8FBF-4F0F-B3D1-05AB35877070}"/>
            </c:ext>
          </c:extLst>
        </c:ser>
        <c:ser>
          <c:idx val="1"/>
          <c:order val="1"/>
          <c:tx>
            <c:strRef>
              <c:f>'Trh práce 1-SNÚ'!$AD$7</c:f>
              <c:strCache>
                <c:ptCount val="1"/>
                <c:pt idx="0">
                  <c:v>Manufacturing</c:v>
                </c:pt>
              </c:strCache>
            </c:strRef>
          </c:tx>
          <c:spPr>
            <a:solidFill>
              <a:srgbClr val="9FC9D7"/>
            </a:solidFill>
            <a:ln>
              <a:noFill/>
            </a:ln>
          </c:spPr>
          <c:invertIfNegative val="0"/>
          <c:cat>
            <c:multiLvlStrRef>
              <c:f>'Trh práce 1-SNÚ'!$AA$36:$AB$72</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'Trh práce 1-SNÚ'!$AD$36:$AD$72</c:f>
              <c:numCache>
                <c:formatCode>#\ ##0.0</c:formatCode>
                <c:ptCount val="37"/>
                <c:pt idx="0">
                  <c:v>0.3412385063505306</c:v>
                </c:pt>
                <c:pt idx="1">
                  <c:v>0.52262990754001282</c:v>
                </c:pt>
                <c:pt idx="2">
                  <c:v>0.60052374148058973</c:v>
                </c:pt>
                <c:pt idx="3">
                  <c:v>0.58608461317236227</c:v>
                </c:pt>
                <c:pt idx="4">
                  <c:v>0.1196805353909325</c:v>
                </c:pt>
                <c:pt idx="5">
                  <c:v>7.6175829556865152E-2</c:v>
                </c:pt>
                <c:pt idx="6">
                  <c:v>-0.12295131270874073</c:v>
                </c:pt>
                <c:pt idx="7">
                  <c:v>-0.10359555303921339</c:v>
                </c:pt>
                <c:pt idx="8">
                  <c:v>-4.3860627420650888E-2</c:v>
                </c:pt>
                <c:pt idx="9">
                  <c:v>-0.13093050641677487</c:v>
                </c:pt>
                <c:pt idx="10">
                  <c:v>-0.22271976780709798</c:v>
                </c:pt>
                <c:pt idx="11">
                  <c:v>-0.58749039840145689</c:v>
                </c:pt>
                <c:pt idx="12">
                  <c:v>-1.0289411191473512</c:v>
                </c:pt>
                <c:pt idx="13">
                  <c:v>-1.36021427307888</c:v>
                </c:pt>
                <c:pt idx="14">
                  <c:v>-1.3451400845056487</c:v>
                </c:pt>
                <c:pt idx="15">
                  <c:v>-1.0778269079948288</c:v>
                </c:pt>
                <c:pt idx="16">
                  <c:v>-0.3488211912900257</c:v>
                </c:pt>
                <c:pt idx="17">
                  <c:v>2.4010060407391501E-3</c:v>
                </c:pt>
                <c:pt idx="18">
                  <c:v>0.30789292015034142</c:v>
                </c:pt>
                <c:pt idx="19">
                  <c:v>0.30237067823921421</c:v>
                </c:pt>
                <c:pt idx="20">
                  <c:v>-2.6580743871842144E-2</c:v>
                </c:pt>
                <c:pt idx="21">
                  <c:v>0.16853333211620991</c:v>
                </c:pt>
                <c:pt idx="22">
                  <c:v>-2.6403068489182765E-2</c:v>
                </c:pt>
                <c:pt idx="23">
                  <c:v>-9.2811547940365419E-2</c:v>
                </c:pt>
                <c:pt idx="24">
                  <c:v>-5.2764598693500184E-2</c:v>
                </c:pt>
                <c:pt idx="25">
                  <c:v>-0.31110042071860405</c:v>
                </c:pt>
                <c:pt idx="26">
                  <c:v>-0.50542192458507462</c:v>
                </c:pt>
                <c:pt idx="27">
                  <c:v>-0.46124722040365801</c:v>
                </c:pt>
                <c:pt idx="28">
                  <c:v>-0.54429438469594627</c:v>
                </c:pt>
                <c:pt idx="29">
                  <c:v>-0.56112058778156904</c:v>
                </c:pt>
                <c:pt idx="30">
                  <c:v>-0.35445597451058775</c:v>
                </c:pt>
                <c:pt idx="31">
                  <c:v>-0.3121256852600216</c:v>
                </c:pt>
                <c:pt idx="32">
                  <c:v>-0.1298500227629226</c:v>
                </c:pt>
                <c:pt idx="33">
                  <c:v>-0.10165612400690451</c:v>
                </c:pt>
                <c:pt idx="34">
                  <c:v>-7.4128088281113183E-2</c:v>
                </c:pt>
                <c:pt idx="35">
                  <c:v>6.5101652469187282E-2</c:v>
                </c:pt>
              </c:numCache>
            </c:numRef>
          </c:val>
          <c:extLst>
            <c:ext xmlns:c16="http://schemas.microsoft.com/office/drawing/2014/chart" uri="{C3380CC4-5D6E-409C-BE32-E72D297353CC}">
              <c16:uniqueId val="{00000001-8FBF-4F0F-B3D1-05AB35877070}"/>
            </c:ext>
          </c:extLst>
        </c:ser>
        <c:ser>
          <c:idx val="2"/>
          <c:order val="2"/>
          <c:tx>
            <c:strRef>
              <c:f>'Trh práce 1-SNÚ'!$AE$7</c:f>
              <c:strCache>
                <c:ptCount val="1"/>
                <c:pt idx="0">
                  <c:v>Construction</c:v>
                </c:pt>
              </c:strCache>
            </c:strRef>
          </c:tx>
          <c:spPr>
            <a:solidFill>
              <a:srgbClr val="009CB5"/>
            </a:solidFill>
            <a:ln w="19050">
              <a:noFill/>
            </a:ln>
          </c:spPr>
          <c:invertIfNegative val="0"/>
          <c:cat>
            <c:multiLvlStrRef>
              <c:f>'Trh práce 1-SNÚ'!$AA$36:$AB$72</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'Trh práce 1-SNÚ'!$AE$36:$AE$72</c:f>
              <c:numCache>
                <c:formatCode>#\ ##0.0</c:formatCode>
                <c:ptCount val="37"/>
                <c:pt idx="0">
                  <c:v>-2.4917596145515041E-2</c:v>
                </c:pt>
                <c:pt idx="1">
                  <c:v>-5.0729616313726017E-3</c:v>
                </c:pt>
                <c:pt idx="2">
                  <c:v>4.3708885432985532E-2</c:v>
                </c:pt>
                <c:pt idx="3">
                  <c:v>-9.7823424059502784E-2</c:v>
                </c:pt>
                <c:pt idx="4">
                  <c:v>5.1256389244704353E-2</c:v>
                </c:pt>
                <c:pt idx="5">
                  <c:v>8.9117773773679798E-3</c:v>
                </c:pt>
                <c:pt idx="6">
                  <c:v>-5.6391062242198758E-3</c:v>
                </c:pt>
                <c:pt idx="7">
                  <c:v>5.0923988524626936E-2</c:v>
                </c:pt>
                <c:pt idx="8">
                  <c:v>-4.7272009553368181E-2</c:v>
                </c:pt>
                <c:pt idx="9">
                  <c:v>2.6435741121998226E-2</c:v>
                </c:pt>
                <c:pt idx="10">
                  <c:v>4.1039112569784514E-2</c:v>
                </c:pt>
                <c:pt idx="11">
                  <c:v>5.3949403273091355E-2</c:v>
                </c:pt>
                <c:pt idx="12">
                  <c:v>-5.1099289115963641E-2</c:v>
                </c:pt>
                <c:pt idx="13">
                  <c:v>-0.28554955941039528</c:v>
                </c:pt>
                <c:pt idx="14">
                  <c:v>-0.16527458730397476</c:v>
                </c:pt>
                <c:pt idx="15">
                  <c:v>-8.3857615087929036E-2</c:v>
                </c:pt>
                <c:pt idx="16">
                  <c:v>0.10143081302490671</c:v>
                </c:pt>
                <c:pt idx="17">
                  <c:v>0.31378267745211802</c:v>
                </c:pt>
                <c:pt idx="18">
                  <c:v>0.1716844366035131</c:v>
                </c:pt>
                <c:pt idx="19">
                  <c:v>0.23602377664143806</c:v>
                </c:pt>
                <c:pt idx="20">
                  <c:v>0.12253074614093086</c:v>
                </c:pt>
                <c:pt idx="21">
                  <c:v>0.14594050898891842</c:v>
                </c:pt>
                <c:pt idx="22">
                  <c:v>0.14253885117231668</c:v>
                </c:pt>
                <c:pt idx="23">
                  <c:v>0.12602038578353064</c:v>
                </c:pt>
                <c:pt idx="24">
                  <c:v>0.42623371242387226</c:v>
                </c:pt>
                <c:pt idx="25">
                  <c:v>0.38361677767530888</c:v>
                </c:pt>
                <c:pt idx="26">
                  <c:v>0.35275036864002512</c:v>
                </c:pt>
                <c:pt idx="27">
                  <c:v>0.24898458929216655</c:v>
                </c:pt>
                <c:pt idx="28">
                  <c:v>-0.12919604638608381</c:v>
                </c:pt>
                <c:pt idx="29">
                  <c:v>-7.741057832621949E-2</c:v>
                </c:pt>
                <c:pt idx="30">
                  <c:v>-3.0049578116828311E-3</c:v>
                </c:pt>
                <c:pt idx="31">
                  <c:v>5.8095580483641676E-2</c:v>
                </c:pt>
                <c:pt idx="32">
                  <c:v>0.17192917137438493</c:v>
                </c:pt>
                <c:pt idx="33">
                  <c:v>8.7246437177431663E-2</c:v>
                </c:pt>
                <c:pt idx="34">
                  <c:v>0.22841049193612095</c:v>
                </c:pt>
                <c:pt idx="35">
                  <c:v>0.27508513820969493</c:v>
                </c:pt>
              </c:numCache>
            </c:numRef>
          </c:val>
          <c:extLst>
            <c:ext xmlns:c16="http://schemas.microsoft.com/office/drawing/2014/chart" uri="{C3380CC4-5D6E-409C-BE32-E72D297353CC}">
              <c16:uniqueId val="{00000002-8FBF-4F0F-B3D1-05AB35877070}"/>
            </c:ext>
          </c:extLst>
        </c:ser>
        <c:ser>
          <c:idx val="3"/>
          <c:order val="3"/>
          <c:tx>
            <c:strRef>
              <c:f>'Trh práce 1-SNÚ'!$AF$7</c:f>
              <c:strCache>
                <c:ptCount val="1"/>
                <c:pt idx="0">
                  <c:v>Trade, transport., accommod.,food service</c:v>
                </c:pt>
              </c:strCache>
            </c:strRef>
          </c:tx>
          <c:spPr>
            <a:solidFill>
              <a:srgbClr val="E6C483"/>
            </a:solidFill>
            <a:ln w="19050">
              <a:noFill/>
            </a:ln>
          </c:spPr>
          <c:invertIfNegative val="0"/>
          <c:cat>
            <c:multiLvlStrRef>
              <c:f>'Trh práce 1-SNÚ'!$AA$36:$AB$72</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'Trh práce 1-SNÚ'!$AF$36:$AF$72</c:f>
              <c:numCache>
                <c:formatCode>#\ ##0.0</c:formatCode>
                <c:ptCount val="37"/>
                <c:pt idx="0">
                  <c:v>0.16879414011911728</c:v>
                </c:pt>
                <c:pt idx="1">
                  <c:v>-1.9200681193459315E-2</c:v>
                </c:pt>
                <c:pt idx="2">
                  <c:v>0.34341602633627533</c:v>
                </c:pt>
                <c:pt idx="3">
                  <c:v>0.17810976918008636</c:v>
                </c:pt>
                <c:pt idx="4">
                  <c:v>0.13394268741863646</c:v>
                </c:pt>
                <c:pt idx="5">
                  <c:v>0.36277177846343162</c:v>
                </c:pt>
                <c:pt idx="6">
                  <c:v>0.13140997204507052</c:v>
                </c:pt>
                <c:pt idx="7">
                  <c:v>0.13129369292308796</c:v>
                </c:pt>
                <c:pt idx="8">
                  <c:v>5.4732064986453249E-2</c:v>
                </c:pt>
                <c:pt idx="9">
                  <c:v>-0.15364027979782902</c:v>
                </c:pt>
                <c:pt idx="10">
                  <c:v>-0.32178098177727366</c:v>
                </c:pt>
                <c:pt idx="11">
                  <c:v>-0.33729538991186869</c:v>
                </c:pt>
                <c:pt idx="12">
                  <c:v>-0.17031226657786785</c:v>
                </c:pt>
                <c:pt idx="13">
                  <c:v>-0.74764066051253641</c:v>
                </c:pt>
                <c:pt idx="14">
                  <c:v>-0.58389796545600492</c:v>
                </c:pt>
                <c:pt idx="15">
                  <c:v>-0.96116032871885804</c:v>
                </c:pt>
                <c:pt idx="16">
                  <c:v>-0.80036168715842226</c:v>
                </c:pt>
                <c:pt idx="17">
                  <c:v>-0.32784296882668651</c:v>
                </c:pt>
                <c:pt idx="18">
                  <c:v>0.14896065045639337</c:v>
                </c:pt>
                <c:pt idx="19">
                  <c:v>0.62556472594142731</c:v>
                </c:pt>
                <c:pt idx="20">
                  <c:v>0.11242472443929792</c:v>
                </c:pt>
                <c:pt idx="21">
                  <c:v>0.33360547415736347</c:v>
                </c:pt>
                <c:pt idx="22">
                  <c:v>-3.4097677020316033E-2</c:v>
                </c:pt>
                <c:pt idx="23">
                  <c:v>-0.17029883624108427</c:v>
                </c:pt>
                <c:pt idx="24">
                  <c:v>0.23343708104880306</c:v>
                </c:pt>
                <c:pt idx="25">
                  <c:v>0.20303830037257334</c:v>
                </c:pt>
                <c:pt idx="26">
                  <c:v>0.31586767243828845</c:v>
                </c:pt>
                <c:pt idx="27">
                  <c:v>0.401289191024224</c:v>
                </c:pt>
                <c:pt idx="28">
                  <c:v>0.42760297428786742</c:v>
                </c:pt>
                <c:pt idx="29">
                  <c:v>0.52906762602885304</c:v>
                </c:pt>
                <c:pt idx="30">
                  <c:v>0.28331405920209662</c:v>
                </c:pt>
                <c:pt idx="31">
                  <c:v>8.1713017036402213E-2</c:v>
                </c:pt>
                <c:pt idx="32">
                  <c:v>0.21828443145227713</c:v>
                </c:pt>
                <c:pt idx="33">
                  <c:v>0.31789309112348496</c:v>
                </c:pt>
                <c:pt idx="34">
                  <c:v>0.29264750839321607</c:v>
                </c:pt>
                <c:pt idx="35">
                  <c:v>4.5188636476363064E-2</c:v>
                </c:pt>
              </c:numCache>
            </c:numRef>
          </c:val>
          <c:extLst>
            <c:ext xmlns:c16="http://schemas.microsoft.com/office/drawing/2014/chart" uri="{C3380CC4-5D6E-409C-BE32-E72D297353CC}">
              <c16:uniqueId val="{00000003-8FBF-4F0F-B3D1-05AB35877070}"/>
            </c:ext>
          </c:extLst>
        </c:ser>
        <c:ser>
          <c:idx val="4"/>
          <c:order val="4"/>
          <c:tx>
            <c:strRef>
              <c:f>'Trh práce 1-SNÚ'!$AG$7</c:f>
              <c:strCache>
                <c:ptCount val="1"/>
                <c:pt idx="0">
                  <c:v>Information and communication</c:v>
                </c:pt>
              </c:strCache>
            </c:strRef>
          </c:tx>
          <c:spPr>
            <a:solidFill>
              <a:srgbClr val="CC9610"/>
            </a:solidFill>
            <a:ln w="19050">
              <a:noFill/>
            </a:ln>
          </c:spPr>
          <c:invertIfNegative val="0"/>
          <c:cat>
            <c:multiLvlStrRef>
              <c:f>'Trh práce 1-SNÚ'!$AA$36:$AB$72</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'Trh práce 1-SNÚ'!$AG$36:$AG$72</c:f>
              <c:numCache>
                <c:formatCode>#\ ##0.0</c:formatCode>
                <c:ptCount val="37"/>
                <c:pt idx="0">
                  <c:v>0.10297479979950704</c:v>
                </c:pt>
                <c:pt idx="1">
                  <c:v>0.11307918625101115</c:v>
                </c:pt>
                <c:pt idx="2">
                  <c:v>0.14195345242808999</c:v>
                </c:pt>
                <c:pt idx="3">
                  <c:v>0.14010642458143058</c:v>
                </c:pt>
                <c:pt idx="4">
                  <c:v>0.13192965397664363</c:v>
                </c:pt>
                <c:pt idx="5">
                  <c:v>0.14949459248107094</c:v>
                </c:pt>
                <c:pt idx="6">
                  <c:v>0.10537609830992209</c:v>
                </c:pt>
                <c:pt idx="7">
                  <c:v>0.12451009149969672</c:v>
                </c:pt>
                <c:pt idx="8">
                  <c:v>0.12599621261607491</c:v>
                </c:pt>
                <c:pt idx="9">
                  <c:v>7.6289189495829968E-2</c:v>
                </c:pt>
                <c:pt idx="10">
                  <c:v>0.11559629979865636</c:v>
                </c:pt>
                <c:pt idx="11">
                  <c:v>0.11960024608369116</c:v>
                </c:pt>
                <c:pt idx="12">
                  <c:v>9.8159995557559124E-2</c:v>
                </c:pt>
                <c:pt idx="13">
                  <c:v>5.3460156432470374E-2</c:v>
                </c:pt>
                <c:pt idx="14">
                  <c:v>7.6826712976932429E-2</c:v>
                </c:pt>
                <c:pt idx="15">
                  <c:v>6.039321318860455E-2</c:v>
                </c:pt>
                <c:pt idx="16">
                  <c:v>2.7532032752697451E-2</c:v>
                </c:pt>
                <c:pt idx="17">
                  <c:v>8.0385682243946738E-2</c:v>
                </c:pt>
                <c:pt idx="18">
                  <c:v>6.3128020250057523E-2</c:v>
                </c:pt>
                <c:pt idx="19">
                  <c:v>-1.7675873986564034E-2</c:v>
                </c:pt>
                <c:pt idx="20">
                  <c:v>0.18492112917440828</c:v>
                </c:pt>
                <c:pt idx="21">
                  <c:v>0.17372511722879458</c:v>
                </c:pt>
                <c:pt idx="22">
                  <c:v>0.17938999104936179</c:v>
                </c:pt>
                <c:pt idx="23">
                  <c:v>0.26610369779656495</c:v>
                </c:pt>
                <c:pt idx="24">
                  <c:v>0.27430415033038302</c:v>
                </c:pt>
                <c:pt idx="25">
                  <c:v>0.19353318326371879</c:v>
                </c:pt>
                <c:pt idx="26">
                  <c:v>0.15713935340689195</c:v>
                </c:pt>
                <c:pt idx="27">
                  <c:v>0.13924832056812467</c:v>
                </c:pt>
                <c:pt idx="28">
                  <c:v>0.11028162663268672</c:v>
                </c:pt>
                <c:pt idx="29">
                  <c:v>7.960649222867959E-2</c:v>
                </c:pt>
                <c:pt idx="30">
                  <c:v>4.973850414675017E-2</c:v>
                </c:pt>
                <c:pt idx="31">
                  <c:v>-9.1414021762282818E-2</c:v>
                </c:pt>
                <c:pt idx="32">
                  <c:v>-4.5525841905524316E-3</c:v>
                </c:pt>
                <c:pt idx="33">
                  <c:v>-4.0717448407454448E-2</c:v>
                </c:pt>
                <c:pt idx="34">
                  <c:v>6.0976626115103988E-2</c:v>
                </c:pt>
                <c:pt idx="35">
                  <c:v>5.3937185782034006E-2</c:v>
                </c:pt>
              </c:numCache>
            </c:numRef>
          </c:val>
          <c:extLst>
            <c:ext xmlns:c16="http://schemas.microsoft.com/office/drawing/2014/chart" uri="{C3380CC4-5D6E-409C-BE32-E72D297353CC}">
              <c16:uniqueId val="{00000004-8FBF-4F0F-B3D1-05AB35877070}"/>
            </c:ext>
          </c:extLst>
        </c:ser>
        <c:ser>
          <c:idx val="5"/>
          <c:order val="5"/>
          <c:tx>
            <c:strRef>
              <c:f>'Trh práce 1-SNÚ'!$AH$7</c:f>
              <c:strCache>
                <c:ptCount val="1"/>
                <c:pt idx="0">
                  <c:v>Professional, scientific, technic. admin. act.</c:v>
                </c:pt>
              </c:strCache>
            </c:strRef>
          </c:tx>
          <c:spPr>
            <a:solidFill>
              <a:srgbClr val="D8A7B7"/>
            </a:solidFill>
            <a:ln w="19050">
              <a:noFill/>
            </a:ln>
          </c:spPr>
          <c:invertIfNegative val="0"/>
          <c:cat>
            <c:multiLvlStrRef>
              <c:f>'Trh práce 1-SNÚ'!$AA$36:$AB$72</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'Trh práce 1-SNÚ'!$AH$36:$AH$72</c:f>
              <c:numCache>
                <c:formatCode>#\ ##0.0</c:formatCode>
                <c:ptCount val="37"/>
                <c:pt idx="0">
                  <c:v>0.30218108694896378</c:v>
                </c:pt>
                <c:pt idx="1">
                  <c:v>0.24690965706205212</c:v>
                </c:pt>
                <c:pt idx="2">
                  <c:v>0.20140518806297794</c:v>
                </c:pt>
                <c:pt idx="3">
                  <c:v>4.4888835461875665E-2</c:v>
                </c:pt>
                <c:pt idx="4">
                  <c:v>0.11405923445857516</c:v>
                </c:pt>
                <c:pt idx="5">
                  <c:v>0.12026169216677469</c:v>
                </c:pt>
                <c:pt idx="6">
                  <c:v>8.2368544915104994E-2</c:v>
                </c:pt>
                <c:pt idx="7">
                  <c:v>0.21654909363756486</c:v>
                </c:pt>
                <c:pt idx="8">
                  <c:v>4.1892522344083222E-2</c:v>
                </c:pt>
                <c:pt idx="9">
                  <c:v>2.5895475799561337E-3</c:v>
                </c:pt>
                <c:pt idx="10">
                  <c:v>1.655374845356929E-2</c:v>
                </c:pt>
                <c:pt idx="11">
                  <c:v>-0.16305742058229164</c:v>
                </c:pt>
                <c:pt idx="12">
                  <c:v>-0.17106015225830634</c:v>
                </c:pt>
                <c:pt idx="13">
                  <c:v>-0.35509622734956792</c:v>
                </c:pt>
                <c:pt idx="14">
                  <c:v>-0.52248517227624403</c:v>
                </c:pt>
                <c:pt idx="15">
                  <c:v>-0.259700179999866</c:v>
                </c:pt>
                <c:pt idx="16">
                  <c:v>-0.13767911216868525</c:v>
                </c:pt>
                <c:pt idx="17">
                  <c:v>0.17127816692216799</c:v>
                </c:pt>
                <c:pt idx="18">
                  <c:v>0.30499731533328217</c:v>
                </c:pt>
                <c:pt idx="19">
                  <c:v>0.11023910985757197</c:v>
                </c:pt>
                <c:pt idx="20">
                  <c:v>0.14110294451336577</c:v>
                </c:pt>
                <c:pt idx="21">
                  <c:v>0.11855526883462565</c:v>
                </c:pt>
                <c:pt idx="22">
                  <c:v>0.16494374071885179</c:v>
                </c:pt>
                <c:pt idx="23">
                  <c:v>0.23562461136341045</c:v>
                </c:pt>
                <c:pt idx="24">
                  <c:v>0.45505217255496794</c:v>
                </c:pt>
                <c:pt idx="25">
                  <c:v>0.46143875226871167</c:v>
                </c:pt>
                <c:pt idx="26">
                  <c:v>0.51807756844142316</c:v>
                </c:pt>
                <c:pt idx="27">
                  <c:v>0.51726408336593921</c:v>
                </c:pt>
                <c:pt idx="28">
                  <c:v>0.23145618060621329</c:v>
                </c:pt>
                <c:pt idx="29">
                  <c:v>0.17142890885591872</c:v>
                </c:pt>
                <c:pt idx="30">
                  <c:v>0.14532565907666109</c:v>
                </c:pt>
                <c:pt idx="31">
                  <c:v>0.10479662220956021</c:v>
                </c:pt>
                <c:pt idx="32">
                  <c:v>0.16424322964377619</c:v>
                </c:pt>
                <c:pt idx="33">
                  <c:v>8.8548075555157577E-2</c:v>
                </c:pt>
                <c:pt idx="34">
                  <c:v>7.3871653085675684E-2</c:v>
                </c:pt>
                <c:pt idx="35">
                  <c:v>0.15921261592056798</c:v>
                </c:pt>
              </c:numCache>
            </c:numRef>
          </c:val>
          <c:extLst>
            <c:ext xmlns:c16="http://schemas.microsoft.com/office/drawing/2014/chart" uri="{C3380CC4-5D6E-409C-BE32-E72D297353CC}">
              <c16:uniqueId val="{00000005-8FBF-4F0F-B3D1-05AB35877070}"/>
            </c:ext>
          </c:extLst>
        </c:ser>
        <c:ser>
          <c:idx val="6"/>
          <c:order val="6"/>
          <c:tx>
            <c:strRef>
              <c:f>'Trh práce 1-SNÚ'!$AI$7</c:f>
              <c:strCache>
                <c:ptCount val="1"/>
                <c:pt idx="0">
                  <c:v>Public admin, education, health, soc.work</c:v>
                </c:pt>
              </c:strCache>
            </c:strRef>
          </c:tx>
          <c:spPr>
            <a:solidFill>
              <a:srgbClr val="BC5B80"/>
            </a:solidFill>
            <a:ln>
              <a:noFill/>
            </a:ln>
          </c:spPr>
          <c:invertIfNegative val="0"/>
          <c:cat>
            <c:multiLvlStrRef>
              <c:f>'Trh práce 1-SNÚ'!$AA$36:$AB$72</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'Trh práce 1-SNÚ'!$AI$36:$AI$72</c:f>
              <c:numCache>
                <c:formatCode>#\ ##0.0</c:formatCode>
                <c:ptCount val="37"/>
                <c:pt idx="0">
                  <c:v>0.25372913823733012</c:v>
                </c:pt>
                <c:pt idx="1">
                  <c:v>0.32300408153264115</c:v>
                </c:pt>
                <c:pt idx="2">
                  <c:v>0.40403460749038084</c:v>
                </c:pt>
                <c:pt idx="3">
                  <c:v>0.45280661737517469</c:v>
                </c:pt>
                <c:pt idx="4">
                  <c:v>0.60960729705632077</c:v>
                </c:pt>
                <c:pt idx="5">
                  <c:v>0.68223345413111947</c:v>
                </c:pt>
                <c:pt idx="6">
                  <c:v>0.5434782608695643</c:v>
                </c:pt>
                <c:pt idx="7">
                  <c:v>0.5340066073405344</c:v>
                </c:pt>
                <c:pt idx="8">
                  <c:v>0.30745550067561389</c:v>
                </c:pt>
                <c:pt idx="9">
                  <c:v>0.28160864186055334</c:v>
                </c:pt>
                <c:pt idx="10">
                  <c:v>0.3282382500579219</c:v>
                </c:pt>
                <c:pt idx="11">
                  <c:v>0.35876353176605752</c:v>
                </c:pt>
                <c:pt idx="12">
                  <c:v>0.41133712424120017</c:v>
                </c:pt>
                <c:pt idx="13">
                  <c:v>0.31561623734818278</c:v>
                </c:pt>
                <c:pt idx="14">
                  <c:v>0.43203815926035638</c:v>
                </c:pt>
                <c:pt idx="15">
                  <c:v>0.41513077518294128</c:v>
                </c:pt>
                <c:pt idx="16">
                  <c:v>0.48992996479954942</c:v>
                </c:pt>
                <c:pt idx="17">
                  <c:v>0.61125772187553584</c:v>
                </c:pt>
                <c:pt idx="18">
                  <c:v>0.59327299225281893</c:v>
                </c:pt>
                <c:pt idx="19">
                  <c:v>0.46696166120205151</c:v>
                </c:pt>
                <c:pt idx="20">
                  <c:v>0.25751287373689258</c:v>
                </c:pt>
                <c:pt idx="21">
                  <c:v>0.20481877532064779</c:v>
                </c:pt>
                <c:pt idx="22">
                  <c:v>0.21446835347070459</c:v>
                </c:pt>
                <c:pt idx="23">
                  <c:v>0.25725553805377149</c:v>
                </c:pt>
                <c:pt idx="24">
                  <c:v>0.3121685098080022</c:v>
                </c:pt>
                <c:pt idx="25">
                  <c:v>0.29209018650089497</c:v>
                </c:pt>
                <c:pt idx="26">
                  <c:v>0.13623978201634884</c:v>
                </c:pt>
                <c:pt idx="27">
                  <c:v>0.10560831716863539</c:v>
                </c:pt>
                <c:pt idx="28">
                  <c:v>8.9514668215881429E-2</c:v>
                </c:pt>
                <c:pt idx="29">
                  <c:v>0.10296806366157443</c:v>
                </c:pt>
                <c:pt idx="30">
                  <c:v>0.18542248877242892</c:v>
                </c:pt>
                <c:pt idx="31">
                  <c:v>0.29456447366895883</c:v>
                </c:pt>
                <c:pt idx="32">
                  <c:v>0.3390661488639779</c:v>
                </c:pt>
                <c:pt idx="33">
                  <c:v>0.45427179382634569</c:v>
                </c:pt>
                <c:pt idx="34">
                  <c:v>0.41273244705666512</c:v>
                </c:pt>
                <c:pt idx="35">
                  <c:v>0.28361405866250389</c:v>
                </c:pt>
              </c:numCache>
            </c:numRef>
          </c:val>
          <c:extLst>
            <c:ext xmlns:c16="http://schemas.microsoft.com/office/drawing/2014/chart" uri="{C3380CC4-5D6E-409C-BE32-E72D297353CC}">
              <c16:uniqueId val="{00000006-8FBF-4F0F-B3D1-05AB35877070}"/>
            </c:ext>
          </c:extLst>
        </c:ser>
        <c:ser>
          <c:idx val="7"/>
          <c:order val="7"/>
          <c:tx>
            <c:strRef>
              <c:f>'Trh práce 1-SNÚ'!$AJ$7</c:f>
              <c:strCache>
                <c:ptCount val="1"/>
                <c:pt idx="0">
                  <c:v>Other branches*</c:v>
                </c:pt>
              </c:strCache>
            </c:strRef>
          </c:tx>
          <c:spPr>
            <a:solidFill>
              <a:srgbClr val="BBBBC0"/>
            </a:solidFill>
            <a:ln>
              <a:noFill/>
            </a:ln>
          </c:spPr>
          <c:invertIfNegative val="0"/>
          <c:cat>
            <c:multiLvlStrRef>
              <c:f>'Trh práce 1-SNÚ'!$AA$36:$AB$72</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'Trh práce 1-SNÚ'!$AJ$36:$AJ$72</c:f>
              <c:numCache>
                <c:formatCode>#\ ##0.0</c:formatCode>
                <c:ptCount val="37"/>
                <c:pt idx="0">
                  <c:v>-9.3484211907537543E-2</c:v>
                </c:pt>
                <c:pt idx="1">
                  <c:v>-5.7295751557351692E-2</c:v>
                </c:pt>
                <c:pt idx="2">
                  <c:v>-1.3906503155264979E-2</c:v>
                </c:pt>
                <c:pt idx="3">
                  <c:v>-1.3143298857693261E-2</c:v>
                </c:pt>
                <c:pt idx="4">
                  <c:v>0.15044576346667207</c:v>
                </c:pt>
                <c:pt idx="5">
                  <c:v>0.15339231252297711</c:v>
                </c:pt>
                <c:pt idx="6">
                  <c:v>-1.0827083950502157E-2</c:v>
                </c:pt>
                <c:pt idx="7">
                  <c:v>-8.1553546198111036E-3</c:v>
                </c:pt>
                <c:pt idx="8">
                  <c:v>-0.11190083149627598</c:v>
                </c:pt>
                <c:pt idx="9">
                  <c:v>-3.0869642733721676E-2</c:v>
                </c:pt>
                <c:pt idx="10">
                  <c:v>8.9785889301152055E-2</c:v>
                </c:pt>
                <c:pt idx="11">
                  <c:v>7.3017726843752948E-2</c:v>
                </c:pt>
                <c:pt idx="12">
                  <c:v>-0.18902810573084244</c:v>
                </c:pt>
                <c:pt idx="13">
                  <c:v>-0.41036448530712522</c:v>
                </c:pt>
                <c:pt idx="14">
                  <c:v>-0.39059806942990016</c:v>
                </c:pt>
                <c:pt idx="15">
                  <c:v>-0.44320191520455926</c:v>
                </c:pt>
                <c:pt idx="16">
                  <c:v>1.4950291701223861E-2</c:v>
                </c:pt>
                <c:pt idx="17">
                  <c:v>0.1930600937237536</c:v>
                </c:pt>
                <c:pt idx="18">
                  <c:v>0.14821277901357677</c:v>
                </c:pt>
                <c:pt idx="19">
                  <c:v>0.23009343455474068</c:v>
                </c:pt>
                <c:pt idx="20">
                  <c:v>7.4040909938567476E-2</c:v>
                </c:pt>
                <c:pt idx="21">
                  <c:v>9.8548829499684021E-2</c:v>
                </c:pt>
                <c:pt idx="22">
                  <c:v>7.9699548168061685E-2</c:v>
                </c:pt>
                <c:pt idx="23">
                  <c:v>9.0514791581597767E-2</c:v>
                </c:pt>
                <c:pt idx="24">
                  <c:v>0.28236803137624006</c:v>
                </c:pt>
                <c:pt idx="25">
                  <c:v>0.38946608051152709</c:v>
                </c:pt>
                <c:pt idx="26">
                  <c:v>0.44360181493523027</c:v>
                </c:pt>
                <c:pt idx="27">
                  <c:v>0.50060284903371011</c:v>
                </c:pt>
                <c:pt idx="28">
                  <c:v>0.32008163026365882</c:v>
                </c:pt>
                <c:pt idx="29">
                  <c:v>0.41087578951408893</c:v>
                </c:pt>
                <c:pt idx="30">
                  <c:v>0.40200067510156945</c:v>
                </c:pt>
                <c:pt idx="31">
                  <c:v>0.46283180611540009</c:v>
                </c:pt>
                <c:pt idx="32">
                  <c:v>0.31385183642399517</c:v>
                </c:pt>
                <c:pt idx="33">
                  <c:v>0.21660362581453141</c:v>
                </c:pt>
                <c:pt idx="34">
                  <c:v>0.11303297078891761</c:v>
                </c:pt>
                <c:pt idx="35">
                  <c:v>0.16236062947825708</c:v>
                </c:pt>
              </c:numCache>
            </c:numRef>
          </c:val>
          <c:extLst>
            <c:ext xmlns:c16="http://schemas.microsoft.com/office/drawing/2014/chart" uri="{C3380CC4-5D6E-409C-BE32-E72D297353CC}">
              <c16:uniqueId val="{00000007-8FBF-4F0F-B3D1-05AB35877070}"/>
            </c:ext>
          </c:extLst>
        </c:ser>
        <c:dLbls>
          <c:showLegendKey val="0"/>
          <c:showVal val="0"/>
          <c:showCatName val="0"/>
          <c:showSerName val="0"/>
          <c:showPercent val="0"/>
          <c:showBubbleSize val="0"/>
        </c:dLbls>
        <c:gapWidth val="47"/>
        <c:overlap val="100"/>
        <c:axId val="101898496"/>
        <c:axId val="101781504"/>
      </c:barChart>
      <c:lineChart>
        <c:grouping val="standard"/>
        <c:varyColors val="0"/>
        <c:ser>
          <c:idx val="8"/>
          <c:order val="8"/>
          <c:tx>
            <c:strRef>
              <c:f>'Trh práce 1-SNÚ'!$AK$7</c:f>
              <c:strCache>
                <c:ptCount val="1"/>
                <c:pt idx="0">
                  <c:v>Total employment</c:v>
                </c:pt>
              </c:strCache>
            </c:strRef>
          </c:tx>
          <c:spPr>
            <a:ln w="19050">
              <a:solidFill>
                <a:schemeClr val="tx1">
                  <a:lumMod val="95000"/>
                  <a:lumOff val="5000"/>
                </a:schemeClr>
              </a:solidFill>
            </a:ln>
          </c:spPr>
          <c:marker>
            <c:symbol val="none"/>
          </c:marker>
          <c:cat>
            <c:multiLvlStrRef>
              <c:f>'Trh práce 1-SNÚ'!$AA$36:$AB$72</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'Trh práce 1-SNÚ'!$AK$36:$AK$72</c:f>
              <c:numCache>
                <c:formatCode>#\ ##0.0</c:formatCode>
                <c:ptCount val="37"/>
                <c:pt idx="0">
                  <c:v>1.1628467690792093</c:v>
                </c:pt>
                <c:pt idx="1">
                  <c:v>1.1747830543172597</c:v>
                </c:pt>
                <c:pt idx="2">
                  <c:v>1.7640791389062542</c:v>
                </c:pt>
                <c:pt idx="3">
                  <c:v>1.2216040074317647</c:v>
                </c:pt>
                <c:pt idx="4">
                  <c:v>1.317891214533347</c:v>
                </c:pt>
                <c:pt idx="5">
                  <c:v>1.5627208432092914</c:v>
                </c:pt>
                <c:pt idx="6">
                  <c:v>0.72013266185362568</c:v>
                </c:pt>
                <c:pt idx="7">
                  <c:v>1.0100237576378959</c:v>
                </c:pt>
                <c:pt idx="8">
                  <c:v>0.2498556254347335</c:v>
                </c:pt>
                <c:pt idx="9">
                  <c:v>-5.5703217727113952E-2</c:v>
                </c:pt>
                <c:pt idx="10">
                  <c:v>-0.11193842528129494</c:v>
                </c:pt>
                <c:pt idx="11">
                  <c:v>-0.65861059450939763</c:v>
                </c:pt>
                <c:pt idx="12">
                  <c:v>-1.3260387057015635</c:v>
                </c:pt>
                <c:pt idx="13">
                  <c:v>-2.9561900728515837</c:v>
                </c:pt>
                <c:pt idx="14">
                  <c:v>-2.569080050557659</c:v>
                </c:pt>
                <c:pt idx="15">
                  <c:v>-2.4253165353434269</c:v>
                </c:pt>
                <c:pt idx="16">
                  <c:v>-0.62702167640709661</c:v>
                </c:pt>
                <c:pt idx="17">
                  <c:v>1.0018149684863289</c:v>
                </c:pt>
                <c:pt idx="18">
                  <c:v>1.6801027843829104</c:v>
                </c:pt>
                <c:pt idx="19">
                  <c:v>1.9450562442088</c:v>
                </c:pt>
                <c:pt idx="20">
                  <c:v>0.9690149374628021</c:v>
                </c:pt>
                <c:pt idx="21">
                  <c:v>1.4389041948292345</c:v>
                </c:pt>
                <c:pt idx="22">
                  <c:v>0.8859738224891629</c:v>
                </c:pt>
                <c:pt idx="23">
                  <c:v>0.78891698336489924</c:v>
                </c:pt>
                <c:pt idx="24">
                  <c:v>1.9410158261691635</c:v>
                </c:pt>
                <c:pt idx="25">
                  <c:v>1.5970658997080704</c:v>
                </c:pt>
                <c:pt idx="26">
                  <c:v>1.4015985368056789</c:v>
                </c:pt>
                <c:pt idx="27">
                  <c:v>1.4696628248076706</c:v>
                </c:pt>
                <c:pt idx="28">
                  <c:v>0.50929992934416646</c:v>
                </c:pt>
                <c:pt idx="29">
                  <c:v>0.65523118360128763</c:v>
                </c:pt>
                <c:pt idx="30">
                  <c:v>0.64707987233170172</c:v>
                </c:pt>
                <c:pt idx="31">
                  <c:v>0.57683241762845228</c:v>
                </c:pt>
                <c:pt idx="32">
                  <c:v>1.0778196992345528</c:v>
                </c:pt>
                <c:pt idx="33">
                  <c:v>1.0059648036982622</c:v>
                </c:pt>
                <c:pt idx="34">
                  <c:v>1.1187901240944882</c:v>
                </c:pt>
                <c:pt idx="35">
                  <c:v>1.041113972183652</c:v>
                </c:pt>
              </c:numCache>
            </c:numRef>
          </c:val>
          <c:smooth val="0"/>
          <c:extLst>
            <c:ext xmlns:c16="http://schemas.microsoft.com/office/drawing/2014/chart" uri="{C3380CC4-5D6E-409C-BE32-E72D297353CC}">
              <c16:uniqueId val="{00000008-8FBF-4F0F-B3D1-05AB35877070}"/>
            </c:ext>
          </c:extLst>
        </c:ser>
        <c:dLbls>
          <c:showLegendKey val="0"/>
          <c:showVal val="0"/>
          <c:showCatName val="0"/>
          <c:showSerName val="0"/>
          <c:showPercent val="0"/>
          <c:showBubbleSize val="0"/>
        </c:dLbls>
        <c:marker val="1"/>
        <c:smooth val="0"/>
        <c:axId val="101898496"/>
        <c:axId val="101781504"/>
      </c:lineChart>
      <c:lineChart>
        <c:grouping val="standard"/>
        <c:varyColors val="0"/>
        <c:ser>
          <c:idx val="9"/>
          <c:order val="9"/>
          <c:tx>
            <c:strRef>
              <c:f>'Trh práce 1-SNÚ'!$AL$7</c:f>
              <c:strCache>
                <c:ptCount val="1"/>
              </c:strCache>
            </c:strRef>
          </c:tx>
          <c:spPr>
            <a:ln>
              <a:noFill/>
            </a:ln>
          </c:spPr>
          <c:marker>
            <c:symbol val="none"/>
          </c:marker>
          <c:cat>
            <c:multiLvlStrRef>
              <c:f>'Trh práce 1-SNÚ'!$AA$36:$AB$72</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'Trh práce 1-SNÚ'!$AL$36:$AL$72</c:f>
              <c:numCache>
                <c:formatCode>General</c:formatCode>
                <c:ptCount val="37"/>
              </c:numCache>
            </c:numRef>
          </c:val>
          <c:smooth val="0"/>
          <c:extLst>
            <c:ext xmlns:c16="http://schemas.microsoft.com/office/drawing/2014/chart" uri="{C3380CC4-5D6E-409C-BE32-E72D297353CC}">
              <c16:uniqueId val="{00000009-8FBF-4F0F-B3D1-05AB35877070}"/>
            </c:ext>
          </c:extLst>
        </c:ser>
        <c:ser>
          <c:idx val="10"/>
          <c:order val="10"/>
          <c:tx>
            <c:strRef>
              <c:f>'Trh práce 1-SNÚ'!$AM$7</c:f>
              <c:strCache>
                <c:ptCount val="1"/>
                <c:pt idx="0">
                  <c:v>Employment expectations (industry)</c:v>
                </c:pt>
              </c:strCache>
            </c:strRef>
          </c:tx>
          <c:spPr>
            <a:ln w="15875">
              <a:solidFill>
                <a:schemeClr val="tx1">
                  <a:lumMod val="95000"/>
                  <a:lumOff val="5000"/>
                </a:schemeClr>
              </a:solidFill>
              <a:prstDash val="sysDot"/>
            </a:ln>
          </c:spPr>
          <c:marker>
            <c:symbol val="none"/>
          </c:marker>
          <c:cat>
            <c:multiLvlStrRef>
              <c:f>'Trh práce 1-SNÚ'!$AA$36:$AB$72</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'Trh práce 1-SNÚ'!$AM$36:$AM$72</c:f>
              <c:numCache>
                <c:formatCode>#\ ##0.0</c:formatCode>
                <c:ptCount val="37"/>
                <c:pt idx="0">
                  <c:v>11.1</c:v>
                </c:pt>
                <c:pt idx="1">
                  <c:v>5.7</c:v>
                </c:pt>
                <c:pt idx="2">
                  <c:v>8.1999999999999993</c:v>
                </c:pt>
                <c:pt idx="3">
                  <c:v>7.3</c:v>
                </c:pt>
                <c:pt idx="4">
                  <c:v>9.8000000000000007</c:v>
                </c:pt>
                <c:pt idx="5">
                  <c:v>9.4</c:v>
                </c:pt>
                <c:pt idx="6">
                  <c:v>6.2</c:v>
                </c:pt>
                <c:pt idx="7">
                  <c:v>6.3</c:v>
                </c:pt>
                <c:pt idx="8">
                  <c:v>2.5</c:v>
                </c:pt>
                <c:pt idx="9">
                  <c:v>2.6</c:v>
                </c:pt>
                <c:pt idx="10">
                  <c:v>0.5</c:v>
                </c:pt>
                <c:pt idx="11">
                  <c:v>-2.8</c:v>
                </c:pt>
                <c:pt idx="12">
                  <c:v>2.9</c:v>
                </c:pt>
                <c:pt idx="13">
                  <c:v>-19</c:v>
                </c:pt>
                <c:pt idx="14">
                  <c:v>-10.9</c:v>
                </c:pt>
                <c:pt idx="15">
                  <c:v>-3.5</c:v>
                </c:pt>
                <c:pt idx="16">
                  <c:v>4.4000000000000004</c:v>
                </c:pt>
                <c:pt idx="17">
                  <c:v>8.6</c:v>
                </c:pt>
                <c:pt idx="18">
                  <c:v>4.7</c:v>
                </c:pt>
                <c:pt idx="19">
                  <c:v>1.8</c:v>
                </c:pt>
                <c:pt idx="20">
                  <c:v>11.2</c:v>
                </c:pt>
                <c:pt idx="21">
                  <c:v>2.2999999999999998</c:v>
                </c:pt>
                <c:pt idx="22">
                  <c:v>2.1</c:v>
                </c:pt>
                <c:pt idx="23">
                  <c:v>-9.9</c:v>
                </c:pt>
                <c:pt idx="24">
                  <c:v>-13.6</c:v>
                </c:pt>
                <c:pt idx="25">
                  <c:v>-5.8</c:v>
                </c:pt>
                <c:pt idx="26">
                  <c:v>-4.3</c:v>
                </c:pt>
                <c:pt idx="27">
                  <c:v>-8.3000000000000007</c:v>
                </c:pt>
                <c:pt idx="28">
                  <c:v>-6</c:v>
                </c:pt>
                <c:pt idx="29">
                  <c:v>-9.6</c:v>
                </c:pt>
                <c:pt idx="30">
                  <c:v>-10.7</c:v>
                </c:pt>
                <c:pt idx="31">
                  <c:v>-13.2</c:v>
                </c:pt>
                <c:pt idx="32">
                  <c:v>-13</c:v>
                </c:pt>
                <c:pt idx="33">
                  <c:v>-11.9</c:v>
                </c:pt>
                <c:pt idx="34">
                  <c:v>-9.5</c:v>
                </c:pt>
                <c:pt idx="35">
                  <c:v>-9.8000000000000007</c:v>
                </c:pt>
                <c:pt idx="36">
                  <c:v>-1.6</c:v>
                </c:pt>
              </c:numCache>
            </c:numRef>
          </c:val>
          <c:smooth val="0"/>
          <c:extLst>
            <c:ext xmlns:c16="http://schemas.microsoft.com/office/drawing/2014/chart" uri="{C3380CC4-5D6E-409C-BE32-E72D297353CC}">
              <c16:uniqueId val="{0000000A-8FBF-4F0F-B3D1-05AB35877070}"/>
            </c:ext>
          </c:extLst>
        </c:ser>
        <c:ser>
          <c:idx val="11"/>
          <c:order val="11"/>
          <c:tx>
            <c:strRef>
              <c:f>'Trh práce 1-SNÚ'!$AN$7</c:f>
              <c:strCache>
                <c:ptCount val="1"/>
                <c:pt idx="0">
                  <c:v>Employment expectations (construction)</c:v>
                </c:pt>
              </c:strCache>
            </c:strRef>
          </c:tx>
          <c:spPr>
            <a:ln w="15875">
              <a:solidFill>
                <a:srgbClr val="009CB5"/>
              </a:solidFill>
              <a:prstDash val="sysDot"/>
            </a:ln>
          </c:spPr>
          <c:marker>
            <c:symbol val="none"/>
          </c:marker>
          <c:cat>
            <c:multiLvlStrRef>
              <c:f>'Trh práce 1-SNÚ'!$AA$36:$AB$72</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'Trh práce 1-SNÚ'!$AN$36:$AN$72</c:f>
              <c:numCache>
                <c:formatCode>#\ ##0.0</c:formatCode>
                <c:ptCount val="37"/>
                <c:pt idx="0">
                  <c:v>-7.4</c:v>
                </c:pt>
                <c:pt idx="1">
                  <c:v>-11.8</c:v>
                </c:pt>
                <c:pt idx="2">
                  <c:v>-6</c:v>
                </c:pt>
                <c:pt idx="3">
                  <c:v>-3.6</c:v>
                </c:pt>
                <c:pt idx="4">
                  <c:v>4.4000000000000004</c:v>
                </c:pt>
                <c:pt idx="5">
                  <c:v>6</c:v>
                </c:pt>
                <c:pt idx="6">
                  <c:v>9.1999999999999993</c:v>
                </c:pt>
                <c:pt idx="7">
                  <c:v>8.4</c:v>
                </c:pt>
                <c:pt idx="8">
                  <c:v>6.5</c:v>
                </c:pt>
                <c:pt idx="9">
                  <c:v>10.4</c:v>
                </c:pt>
                <c:pt idx="10">
                  <c:v>4.3</c:v>
                </c:pt>
                <c:pt idx="11">
                  <c:v>9.1</c:v>
                </c:pt>
                <c:pt idx="12">
                  <c:v>5.6</c:v>
                </c:pt>
                <c:pt idx="13">
                  <c:v>-3.1</c:v>
                </c:pt>
                <c:pt idx="14">
                  <c:v>1.9</c:v>
                </c:pt>
                <c:pt idx="15">
                  <c:v>-3.6</c:v>
                </c:pt>
                <c:pt idx="16">
                  <c:v>3.4</c:v>
                </c:pt>
                <c:pt idx="17">
                  <c:v>5.6</c:v>
                </c:pt>
                <c:pt idx="18">
                  <c:v>4.8</c:v>
                </c:pt>
                <c:pt idx="19">
                  <c:v>6</c:v>
                </c:pt>
                <c:pt idx="20">
                  <c:v>9.3000000000000007</c:v>
                </c:pt>
                <c:pt idx="21">
                  <c:v>9.1</c:v>
                </c:pt>
                <c:pt idx="22">
                  <c:v>2.2000000000000002</c:v>
                </c:pt>
                <c:pt idx="23">
                  <c:v>-3.4</c:v>
                </c:pt>
                <c:pt idx="24">
                  <c:v>-12.7</c:v>
                </c:pt>
                <c:pt idx="25">
                  <c:v>-11.8</c:v>
                </c:pt>
                <c:pt idx="26">
                  <c:v>-7.3</c:v>
                </c:pt>
                <c:pt idx="27">
                  <c:v>-2.5</c:v>
                </c:pt>
                <c:pt idx="28">
                  <c:v>0.3</c:v>
                </c:pt>
                <c:pt idx="29">
                  <c:v>-7.8</c:v>
                </c:pt>
                <c:pt idx="30">
                  <c:v>-7</c:v>
                </c:pt>
                <c:pt idx="31">
                  <c:v>8.6999999999999993</c:v>
                </c:pt>
                <c:pt idx="32">
                  <c:v>2.9</c:v>
                </c:pt>
                <c:pt idx="33">
                  <c:v>7.2</c:v>
                </c:pt>
                <c:pt idx="34">
                  <c:v>11.4</c:v>
                </c:pt>
                <c:pt idx="35">
                  <c:v>0.7</c:v>
                </c:pt>
                <c:pt idx="36">
                  <c:v>5</c:v>
                </c:pt>
              </c:numCache>
            </c:numRef>
          </c:val>
          <c:smooth val="0"/>
          <c:extLst>
            <c:ext xmlns:c16="http://schemas.microsoft.com/office/drawing/2014/chart" uri="{C3380CC4-5D6E-409C-BE32-E72D297353CC}">
              <c16:uniqueId val="{0000000B-8FBF-4F0F-B3D1-05AB35877070}"/>
            </c:ext>
          </c:extLst>
        </c:ser>
        <c:ser>
          <c:idx val="12"/>
          <c:order val="12"/>
          <c:tx>
            <c:strRef>
              <c:f>'Trh práce 1-SNÚ'!$AO$7</c:f>
              <c:strCache>
                <c:ptCount val="1"/>
                <c:pt idx="0">
                  <c:v>Employment expectations (trade)</c:v>
                </c:pt>
              </c:strCache>
            </c:strRef>
          </c:tx>
          <c:spPr>
            <a:ln w="15875">
              <a:solidFill>
                <a:srgbClr val="CC9610"/>
              </a:solidFill>
              <a:prstDash val="sysDot"/>
            </a:ln>
          </c:spPr>
          <c:marker>
            <c:symbol val="none"/>
          </c:marker>
          <c:cat>
            <c:multiLvlStrRef>
              <c:f>'Trh práce 1-SNÚ'!$AA$36:$AB$72</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'Trh práce 1-SNÚ'!$AO$36:$AO$72</c:f>
              <c:numCache>
                <c:formatCode>#\ ##0.0</c:formatCode>
                <c:ptCount val="37"/>
                <c:pt idx="0">
                  <c:v>14.7</c:v>
                </c:pt>
                <c:pt idx="1">
                  <c:v>17</c:v>
                </c:pt>
                <c:pt idx="2">
                  <c:v>19</c:v>
                </c:pt>
                <c:pt idx="3">
                  <c:v>14.9</c:v>
                </c:pt>
                <c:pt idx="4">
                  <c:v>30.1</c:v>
                </c:pt>
                <c:pt idx="5">
                  <c:v>32.5</c:v>
                </c:pt>
                <c:pt idx="6">
                  <c:v>27.5</c:v>
                </c:pt>
                <c:pt idx="7">
                  <c:v>14.7</c:v>
                </c:pt>
                <c:pt idx="8">
                  <c:v>12.2</c:v>
                </c:pt>
                <c:pt idx="9">
                  <c:v>15.8</c:v>
                </c:pt>
                <c:pt idx="10">
                  <c:v>14.1</c:v>
                </c:pt>
                <c:pt idx="11">
                  <c:v>12.3</c:v>
                </c:pt>
                <c:pt idx="12">
                  <c:v>11.7</c:v>
                </c:pt>
                <c:pt idx="13">
                  <c:v>-5.9</c:v>
                </c:pt>
                <c:pt idx="14">
                  <c:v>-3.1</c:v>
                </c:pt>
                <c:pt idx="15">
                  <c:v>-0.2</c:v>
                </c:pt>
                <c:pt idx="16">
                  <c:v>6</c:v>
                </c:pt>
                <c:pt idx="17">
                  <c:v>13.2</c:v>
                </c:pt>
                <c:pt idx="18">
                  <c:v>11.4</c:v>
                </c:pt>
                <c:pt idx="19">
                  <c:v>8.5</c:v>
                </c:pt>
                <c:pt idx="20">
                  <c:v>10.5</c:v>
                </c:pt>
                <c:pt idx="21">
                  <c:v>3.2</c:v>
                </c:pt>
                <c:pt idx="22">
                  <c:v>5.9</c:v>
                </c:pt>
                <c:pt idx="23">
                  <c:v>12.5</c:v>
                </c:pt>
                <c:pt idx="24">
                  <c:v>11.3</c:v>
                </c:pt>
                <c:pt idx="25">
                  <c:v>9.1999999999999993</c:v>
                </c:pt>
                <c:pt idx="26">
                  <c:v>11.7</c:v>
                </c:pt>
                <c:pt idx="27">
                  <c:v>10.4</c:v>
                </c:pt>
                <c:pt idx="28">
                  <c:v>6.5</c:v>
                </c:pt>
                <c:pt idx="29">
                  <c:v>9.5</c:v>
                </c:pt>
                <c:pt idx="30">
                  <c:v>2.5</c:v>
                </c:pt>
                <c:pt idx="31">
                  <c:v>7.3</c:v>
                </c:pt>
                <c:pt idx="32">
                  <c:v>4.2</c:v>
                </c:pt>
                <c:pt idx="33">
                  <c:v>7.6</c:v>
                </c:pt>
                <c:pt idx="34">
                  <c:v>13.4</c:v>
                </c:pt>
                <c:pt idx="35">
                  <c:v>6.8</c:v>
                </c:pt>
                <c:pt idx="36">
                  <c:v>15.2</c:v>
                </c:pt>
              </c:numCache>
            </c:numRef>
          </c:val>
          <c:smooth val="0"/>
          <c:extLst>
            <c:ext xmlns:c16="http://schemas.microsoft.com/office/drawing/2014/chart" uri="{C3380CC4-5D6E-409C-BE32-E72D297353CC}">
              <c16:uniqueId val="{0000000C-8FBF-4F0F-B3D1-05AB35877070}"/>
            </c:ext>
          </c:extLst>
        </c:ser>
        <c:ser>
          <c:idx val="13"/>
          <c:order val="13"/>
          <c:tx>
            <c:strRef>
              <c:f>'Trh práce 1-SNÚ'!$AP$7</c:f>
              <c:strCache>
                <c:ptCount val="1"/>
                <c:pt idx="0">
                  <c:v>Employment expectations (other services)</c:v>
                </c:pt>
              </c:strCache>
            </c:strRef>
          </c:tx>
          <c:spPr>
            <a:ln w="15875">
              <a:solidFill>
                <a:srgbClr val="BC5B80"/>
              </a:solidFill>
              <a:prstDash val="sysDot"/>
            </a:ln>
          </c:spPr>
          <c:marker>
            <c:symbol val="none"/>
          </c:marker>
          <c:cat>
            <c:multiLvlStrRef>
              <c:f>'Trh práce 1-SNÚ'!$AA$36:$AB$72</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'Trh práce 1-SNÚ'!$AP$36:$AP$72</c:f>
              <c:numCache>
                <c:formatCode>#\ ##0.0</c:formatCode>
                <c:ptCount val="37"/>
                <c:pt idx="0">
                  <c:v>11.1</c:v>
                </c:pt>
                <c:pt idx="1">
                  <c:v>11</c:v>
                </c:pt>
                <c:pt idx="2">
                  <c:v>19.7</c:v>
                </c:pt>
                <c:pt idx="3">
                  <c:v>3.1</c:v>
                </c:pt>
                <c:pt idx="4">
                  <c:v>15.7</c:v>
                </c:pt>
                <c:pt idx="5">
                  <c:v>10.5</c:v>
                </c:pt>
                <c:pt idx="6">
                  <c:v>9.5</c:v>
                </c:pt>
                <c:pt idx="7">
                  <c:v>-7.6</c:v>
                </c:pt>
                <c:pt idx="8">
                  <c:v>-6.5</c:v>
                </c:pt>
                <c:pt idx="9">
                  <c:v>-1.1000000000000001</c:v>
                </c:pt>
                <c:pt idx="10">
                  <c:v>-4.5999999999999996</c:v>
                </c:pt>
                <c:pt idx="11">
                  <c:v>-15.4</c:v>
                </c:pt>
                <c:pt idx="12">
                  <c:v>-20.5</c:v>
                </c:pt>
                <c:pt idx="13">
                  <c:v>-32.299999999999997</c:v>
                </c:pt>
                <c:pt idx="14">
                  <c:v>-28.6</c:v>
                </c:pt>
                <c:pt idx="15">
                  <c:v>-30.1</c:v>
                </c:pt>
                <c:pt idx="16">
                  <c:v>-27</c:v>
                </c:pt>
                <c:pt idx="17">
                  <c:v>-27.7</c:v>
                </c:pt>
                <c:pt idx="18">
                  <c:v>-12.1</c:v>
                </c:pt>
                <c:pt idx="19">
                  <c:v>-15.8</c:v>
                </c:pt>
                <c:pt idx="20">
                  <c:v>-6.8</c:v>
                </c:pt>
                <c:pt idx="21">
                  <c:v>-3.5</c:v>
                </c:pt>
                <c:pt idx="22">
                  <c:v>-6.1</c:v>
                </c:pt>
                <c:pt idx="23">
                  <c:v>-6.4</c:v>
                </c:pt>
                <c:pt idx="24">
                  <c:v>-10.7</c:v>
                </c:pt>
                <c:pt idx="25">
                  <c:v>-16.7</c:v>
                </c:pt>
                <c:pt idx="26">
                  <c:v>-14.5</c:v>
                </c:pt>
                <c:pt idx="27">
                  <c:v>-15.2</c:v>
                </c:pt>
                <c:pt idx="28">
                  <c:v>-23.7</c:v>
                </c:pt>
                <c:pt idx="29">
                  <c:v>-16</c:v>
                </c:pt>
                <c:pt idx="30">
                  <c:v>-15.7</c:v>
                </c:pt>
                <c:pt idx="31">
                  <c:v>-6.6</c:v>
                </c:pt>
                <c:pt idx="32">
                  <c:v>-14.3</c:v>
                </c:pt>
                <c:pt idx="33">
                  <c:v>-4.5999999999999996</c:v>
                </c:pt>
                <c:pt idx="34">
                  <c:v>-12.7</c:v>
                </c:pt>
                <c:pt idx="35">
                  <c:v>-8.4</c:v>
                </c:pt>
                <c:pt idx="36">
                  <c:v>-16.2</c:v>
                </c:pt>
              </c:numCache>
            </c:numRef>
          </c:val>
          <c:smooth val="0"/>
          <c:extLst>
            <c:ext xmlns:c16="http://schemas.microsoft.com/office/drawing/2014/chart" uri="{C3380CC4-5D6E-409C-BE32-E72D297353CC}">
              <c16:uniqueId val="{0000000D-8FBF-4F0F-B3D1-05AB35877070}"/>
            </c:ext>
          </c:extLst>
        </c:ser>
        <c:dLbls>
          <c:showLegendKey val="0"/>
          <c:showVal val="0"/>
          <c:showCatName val="0"/>
          <c:showSerName val="0"/>
          <c:showPercent val="0"/>
          <c:showBubbleSize val="0"/>
        </c:dLbls>
        <c:marker val="1"/>
        <c:smooth val="0"/>
        <c:axId val="332941824"/>
        <c:axId val="332936832"/>
      </c:lineChart>
      <c:catAx>
        <c:axId val="101898496"/>
        <c:scaling>
          <c:orientation val="minMax"/>
        </c:scaling>
        <c:delete val="0"/>
        <c:axPos val="b"/>
        <c:numFmt formatCode="General" sourceLinked="1"/>
        <c:majorTickMark val="out"/>
        <c:minorTickMark val="none"/>
        <c:tickLblPos val="low"/>
        <c:spPr>
          <a:ln>
            <a:solidFill>
              <a:schemeClr val="tx1"/>
            </a:solidFill>
          </a:ln>
        </c:spPr>
        <c:crossAx val="101781504"/>
        <c:crosses val="autoZero"/>
        <c:auto val="1"/>
        <c:lblAlgn val="ctr"/>
        <c:lblOffset val="10"/>
        <c:noMultiLvlLbl val="0"/>
      </c:catAx>
      <c:valAx>
        <c:axId val="101781504"/>
        <c:scaling>
          <c:orientation val="minMax"/>
          <c:max val="2.5"/>
          <c:min val="-4.5"/>
        </c:scaling>
        <c:delete val="0"/>
        <c:axPos val="l"/>
        <c:majorGridlines>
          <c:spPr>
            <a:ln w="6350">
              <a:solidFill>
                <a:schemeClr val="bg1">
                  <a:lumMod val="75000"/>
                </a:schemeClr>
              </a:solidFill>
            </a:ln>
          </c:spPr>
        </c:majorGridlines>
        <c:title>
          <c:tx>
            <c:rich>
              <a:bodyPr/>
              <a:lstStyle/>
              <a:p>
                <a:pPr>
                  <a:defRPr sz="700" b="0" i="1"/>
                </a:pPr>
                <a:r>
                  <a:rPr lang="cs-CZ" sz="700" b="0" i="1"/>
                  <a:t>Contribution to the employment growth</a:t>
                </a:r>
              </a:p>
            </c:rich>
          </c:tx>
          <c:overlay val="0"/>
        </c:title>
        <c:numFmt formatCode="0.0" sourceLinked="0"/>
        <c:majorTickMark val="out"/>
        <c:minorTickMark val="none"/>
        <c:tickLblPos val="nextTo"/>
        <c:spPr>
          <a:ln>
            <a:solidFill>
              <a:schemeClr val="tx1"/>
            </a:solidFill>
          </a:ln>
        </c:spPr>
        <c:crossAx val="101898496"/>
        <c:crosses val="autoZero"/>
        <c:crossBetween val="between"/>
        <c:majorUnit val="0.5"/>
      </c:valAx>
      <c:valAx>
        <c:axId val="332936832"/>
        <c:scaling>
          <c:orientation val="minMax"/>
          <c:max val="100"/>
          <c:min val="-40"/>
        </c:scaling>
        <c:delete val="0"/>
        <c:axPos val="r"/>
        <c:title>
          <c:tx>
            <c:rich>
              <a:bodyPr/>
              <a:lstStyle/>
              <a:p>
                <a:pPr>
                  <a:defRPr sz="700" b="0" i="1"/>
                </a:pPr>
                <a:r>
                  <a:rPr lang="cs-CZ" sz="700" b="0" i="1"/>
                  <a:t>Expectations of the employment</a:t>
                </a:r>
              </a:p>
            </c:rich>
          </c:tx>
          <c:overlay val="0"/>
        </c:title>
        <c:numFmt formatCode="#,##0" sourceLinked="0"/>
        <c:majorTickMark val="out"/>
        <c:minorTickMark val="none"/>
        <c:tickLblPos val="nextTo"/>
        <c:crossAx val="332941824"/>
        <c:crosses val="max"/>
        <c:crossBetween val="between"/>
        <c:majorUnit val="10"/>
      </c:valAx>
      <c:catAx>
        <c:axId val="332941824"/>
        <c:scaling>
          <c:orientation val="minMax"/>
        </c:scaling>
        <c:delete val="1"/>
        <c:axPos val="b"/>
        <c:numFmt formatCode="General" sourceLinked="1"/>
        <c:majorTickMark val="out"/>
        <c:minorTickMark val="none"/>
        <c:tickLblPos val="nextTo"/>
        <c:crossAx val="332936832"/>
        <c:crosses val="autoZero"/>
        <c:auto val="1"/>
        <c:lblAlgn val="ctr"/>
        <c:lblOffset val="100"/>
        <c:noMultiLvlLbl val="0"/>
      </c:catAx>
      <c:spPr>
        <a:ln>
          <a:solidFill>
            <a:schemeClr val="tx1"/>
          </a:solidFill>
        </a:ln>
      </c:spPr>
    </c:plotArea>
    <c:legend>
      <c:legendPos val="b"/>
      <c:layout>
        <c:manualLayout>
          <c:xMode val="edge"/>
          <c:yMode val="edge"/>
          <c:x val="4.725686601713624E-3"/>
          <c:y val="0.78637265568334891"/>
          <c:w val="0.9816493912883808"/>
          <c:h val="0.20550176147549476"/>
        </c:manualLayout>
      </c:layout>
      <c:overlay val="0"/>
      <c:spPr>
        <a:ln w="6350">
          <a:solidFill>
            <a:schemeClr val="tx1"/>
          </a:solidFill>
        </a:ln>
      </c:spPr>
      <c:txPr>
        <a:bodyPr/>
        <a:lstStyle/>
        <a:p>
          <a:pPr>
            <a:defRPr sz="780"/>
          </a:pPr>
          <a:endParaRPr lang="cs-CZ"/>
        </a:p>
      </c:txPr>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6036417007492182E-2"/>
          <c:y val="1.6081916099773243E-2"/>
          <c:w val="0.84389226838289211"/>
          <c:h val="0.76494082349138992"/>
        </c:manualLayout>
      </c:layout>
      <c:barChart>
        <c:barDir val="col"/>
        <c:grouping val="clustered"/>
        <c:varyColors val="0"/>
        <c:ser>
          <c:idx val="0"/>
          <c:order val="0"/>
          <c:tx>
            <c:strRef>
              <c:f>'Trh práce-2b'!$A$32</c:f>
              <c:strCache>
                <c:ptCount val="1"/>
                <c:pt idx="0">
                  <c:v>Male unemployment rate</c:v>
                </c:pt>
              </c:strCache>
            </c:strRef>
          </c:tx>
          <c:spPr>
            <a:solidFill>
              <a:srgbClr val="BBBBC0"/>
            </a:solidFill>
          </c:spPr>
          <c:invertIfNegative val="0"/>
          <c:cat>
            <c:multiLvlStrRef>
              <c:f>'Trh práce-2b'!$J$30:$AT$31</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'Trh práce-2b'!$J$32:$AT$32</c:f>
              <c:numCache>
                <c:formatCode>0.0</c:formatCode>
                <c:ptCount val="37"/>
                <c:pt idx="0">
                  <c:v>2.7679910387144155</c:v>
                </c:pt>
                <c:pt idx="1">
                  <c:v>2.4578029922804361</c:v>
                </c:pt>
                <c:pt idx="2">
                  <c:v>2.2510936987420913</c:v>
                </c:pt>
                <c:pt idx="3">
                  <c:v>2.0530822638424651</c:v>
                </c:pt>
                <c:pt idx="4">
                  <c:v>1.9130313115947393</c:v>
                </c:pt>
                <c:pt idx="5">
                  <c:v>1.8538879773017622</c:v>
                </c:pt>
                <c:pt idx="6">
                  <c:v>1.8413808902266993</c:v>
                </c:pt>
                <c:pt idx="7">
                  <c:v>1.7033424760941875</c:v>
                </c:pt>
                <c:pt idx="8">
                  <c:v>1.7895029518842369</c:v>
                </c:pt>
                <c:pt idx="9">
                  <c:v>1.7124490046175884</c:v>
                </c:pt>
                <c:pt idx="10">
                  <c:v>1.7262983600121713</c:v>
                </c:pt>
                <c:pt idx="11">
                  <c:v>1.8491042750135207</c:v>
                </c:pt>
                <c:pt idx="12">
                  <c:v>1.866101396128105</c:v>
                </c:pt>
                <c:pt idx="13">
                  <c:v>2.2480886538789031</c:v>
                </c:pt>
                <c:pt idx="14">
                  <c:v>2.4914652985436323</c:v>
                </c:pt>
                <c:pt idx="15">
                  <c:v>2.5345680969356681</c:v>
                </c:pt>
                <c:pt idx="16">
                  <c:v>2.6779749402525774</c:v>
                </c:pt>
                <c:pt idx="17">
                  <c:v>2.5500895280486926</c:v>
                </c:pt>
                <c:pt idx="18">
                  <c:v>2.2581910660831994</c:v>
                </c:pt>
                <c:pt idx="19">
                  <c:v>1.9980873113936755</c:v>
                </c:pt>
                <c:pt idx="20">
                  <c:v>1.9738333667341592</c:v>
                </c:pt>
                <c:pt idx="21">
                  <c:v>1.9049508327926505</c:v>
                </c:pt>
                <c:pt idx="22">
                  <c:v>1.9333623889389173</c:v>
                </c:pt>
                <c:pt idx="23">
                  <c:v>2.0813141893885816</c:v>
                </c:pt>
                <c:pt idx="24">
                  <c:v>2.193717223660169</c:v>
                </c:pt>
                <c:pt idx="25">
                  <c:v>2.2368579422679411</c:v>
                </c:pt>
                <c:pt idx="26">
                  <c:v>2.3185683625699167</c:v>
                </c:pt>
                <c:pt idx="27">
                  <c:v>2.4189787946132504</c:v>
                </c:pt>
                <c:pt idx="28">
                  <c:v>2.4004908007060854</c:v>
                </c:pt>
                <c:pt idx="29">
                  <c:v>2.3872886332786272</c:v>
                </c:pt>
                <c:pt idx="30">
                  <c:v>2.3333751722921026</c:v>
                </c:pt>
                <c:pt idx="31">
                  <c:v>2.3073720242948834</c:v>
                </c:pt>
                <c:pt idx="32">
                  <c:v>2.3086910002563257</c:v>
                </c:pt>
                <c:pt idx="33">
                  <c:v>2.5533375334164208</c:v>
                </c:pt>
                <c:pt idx="34">
                  <c:v>2.773217466399986</c:v>
                </c:pt>
                <c:pt idx="35">
                  <c:v>2.8501162245490228</c:v>
                </c:pt>
              </c:numCache>
            </c:numRef>
          </c:val>
          <c:extLst>
            <c:ext xmlns:c16="http://schemas.microsoft.com/office/drawing/2014/chart" uri="{C3380CC4-5D6E-409C-BE32-E72D297353CC}">
              <c16:uniqueId val="{00000000-159A-4B67-B947-4CC448E87FF7}"/>
            </c:ext>
          </c:extLst>
        </c:ser>
        <c:ser>
          <c:idx val="1"/>
          <c:order val="1"/>
          <c:tx>
            <c:strRef>
              <c:f>'Trh práce-2b'!$A$33</c:f>
              <c:strCache>
                <c:ptCount val="1"/>
                <c:pt idx="0">
                  <c:v>Female unemployment rate</c:v>
                </c:pt>
              </c:strCache>
            </c:strRef>
          </c:tx>
          <c:spPr>
            <a:solidFill>
              <a:schemeClr val="bg1">
                <a:lumMod val="95000"/>
              </a:schemeClr>
            </a:solidFill>
            <a:ln>
              <a:solidFill>
                <a:srgbClr val="BBBBC0"/>
              </a:solidFill>
            </a:ln>
          </c:spPr>
          <c:invertIfNegative val="0"/>
          <c:cat>
            <c:multiLvlStrRef>
              <c:f>'Trh práce-2b'!$J$30:$AT$31</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'Trh práce-2b'!$J$33:$AT$33</c:f>
              <c:numCache>
                <c:formatCode>0.0</c:formatCode>
                <c:ptCount val="37"/>
                <c:pt idx="0">
                  <c:v>4.2621952922357274</c:v>
                </c:pt>
                <c:pt idx="1">
                  <c:v>3.8661909944232513</c:v>
                </c:pt>
                <c:pt idx="2">
                  <c:v>3.402390121691198</c:v>
                </c:pt>
                <c:pt idx="3">
                  <c:v>3.1265993349206975</c:v>
                </c:pt>
                <c:pt idx="4">
                  <c:v>2.9285268103916202</c:v>
                </c:pt>
                <c:pt idx="5">
                  <c:v>2.8174645567915362</c:v>
                </c:pt>
                <c:pt idx="6">
                  <c:v>2.8263160238865779</c:v>
                </c:pt>
                <c:pt idx="7">
                  <c:v>2.6564968560904751</c:v>
                </c:pt>
                <c:pt idx="8">
                  <c:v>2.365720763413679</c:v>
                </c:pt>
                <c:pt idx="9">
                  <c:v>2.4267620177819631</c:v>
                </c:pt>
                <c:pt idx="10">
                  <c:v>2.5399458189503594</c:v>
                </c:pt>
                <c:pt idx="11">
                  <c:v>2.3986349647556207</c:v>
                </c:pt>
                <c:pt idx="12">
                  <c:v>2.1571963246105295</c:v>
                </c:pt>
                <c:pt idx="13">
                  <c:v>2.8483238732298886</c:v>
                </c:pt>
                <c:pt idx="14">
                  <c:v>3.3835240635579225</c:v>
                </c:pt>
                <c:pt idx="15">
                  <c:v>3.8564454566041242</c:v>
                </c:pt>
                <c:pt idx="16">
                  <c:v>4.0897500819108661</c:v>
                </c:pt>
                <c:pt idx="17">
                  <c:v>3.7966742834608129</c:v>
                </c:pt>
                <c:pt idx="18">
                  <c:v>3.2557790724519271</c:v>
                </c:pt>
                <c:pt idx="19">
                  <c:v>2.8667571573126556</c:v>
                </c:pt>
                <c:pt idx="20">
                  <c:v>2.9756087695013633</c:v>
                </c:pt>
                <c:pt idx="21">
                  <c:v>3.1089655074389539</c:v>
                </c:pt>
                <c:pt idx="22">
                  <c:v>2.9277067493598246</c:v>
                </c:pt>
                <c:pt idx="23">
                  <c:v>2.8396666888898827</c:v>
                </c:pt>
                <c:pt idx="24">
                  <c:v>3.0276937836836537</c:v>
                </c:pt>
                <c:pt idx="25">
                  <c:v>3.1680319237565957</c:v>
                </c:pt>
                <c:pt idx="26">
                  <c:v>3.2205417075280898</c:v>
                </c:pt>
                <c:pt idx="27">
                  <c:v>3.3072846519145496</c:v>
                </c:pt>
                <c:pt idx="28">
                  <c:v>3.4355177630898495</c:v>
                </c:pt>
                <c:pt idx="29">
                  <c:v>3.2713993704847248</c:v>
                </c:pt>
                <c:pt idx="30">
                  <c:v>3.2570181459339209</c:v>
                </c:pt>
                <c:pt idx="31">
                  <c:v>3.2803774765112674</c:v>
                </c:pt>
                <c:pt idx="32">
                  <c:v>3.2097723326331931</c:v>
                </c:pt>
                <c:pt idx="33">
                  <c:v>3.2796965407045828</c:v>
                </c:pt>
                <c:pt idx="34">
                  <c:v>3.4429696959275655</c:v>
                </c:pt>
                <c:pt idx="35">
                  <c:v>3.6757318602739431</c:v>
                </c:pt>
              </c:numCache>
            </c:numRef>
          </c:val>
          <c:extLst>
            <c:ext xmlns:c16="http://schemas.microsoft.com/office/drawing/2014/chart" uri="{C3380CC4-5D6E-409C-BE32-E72D297353CC}">
              <c16:uniqueId val="{00000001-159A-4B67-B947-4CC448E87FF7}"/>
            </c:ext>
          </c:extLst>
        </c:ser>
        <c:dLbls>
          <c:showLegendKey val="0"/>
          <c:showVal val="0"/>
          <c:showCatName val="0"/>
          <c:showSerName val="0"/>
          <c:showPercent val="0"/>
          <c:showBubbleSize val="0"/>
        </c:dLbls>
        <c:gapWidth val="68"/>
        <c:axId val="100654464"/>
        <c:axId val="101647488"/>
      </c:barChart>
      <c:lineChart>
        <c:grouping val="standard"/>
        <c:varyColors val="0"/>
        <c:ser>
          <c:idx val="4"/>
          <c:order val="2"/>
          <c:tx>
            <c:strRef>
              <c:f>'Trh práce-2b'!$A$34</c:f>
              <c:strCache>
                <c:ptCount val="1"/>
                <c:pt idx="0">
                  <c:v>Vacancies for lower qualifications</c:v>
                </c:pt>
              </c:strCache>
            </c:strRef>
          </c:tx>
          <c:spPr>
            <a:ln w="15875">
              <a:solidFill>
                <a:srgbClr val="BC5B80"/>
              </a:solidFill>
              <a:prstDash val="solid"/>
            </a:ln>
          </c:spPr>
          <c:marker>
            <c:symbol val="none"/>
          </c:marker>
          <c:cat>
            <c:multiLvlStrRef>
              <c:f>'Trh práce-2b'!$J$30:$AT$31</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'Trh práce-2b'!$J$34:$AT$34</c:f>
              <c:numCache>
                <c:formatCode>0.0</c:formatCode>
                <c:ptCount val="37"/>
                <c:pt idx="0">
                  <c:v>31.84</c:v>
                </c:pt>
                <c:pt idx="1">
                  <c:v>38.021999999999998</c:v>
                </c:pt>
                <c:pt idx="2">
                  <c:v>36.262</c:v>
                </c:pt>
                <c:pt idx="3">
                  <c:v>29.895</c:v>
                </c:pt>
                <c:pt idx="4">
                  <c:v>32.848999999999997</c:v>
                </c:pt>
                <c:pt idx="5">
                  <c:v>39.597999999999999</c:v>
                </c:pt>
                <c:pt idx="6">
                  <c:v>36.892000000000003</c:v>
                </c:pt>
                <c:pt idx="7">
                  <c:v>30.317</c:v>
                </c:pt>
                <c:pt idx="8">
                  <c:v>31.245000000000001</c:v>
                </c:pt>
                <c:pt idx="9">
                  <c:v>30.555</c:v>
                </c:pt>
                <c:pt idx="10">
                  <c:v>27.914999999999999</c:v>
                </c:pt>
                <c:pt idx="11">
                  <c:v>22.228000000000002</c:v>
                </c:pt>
                <c:pt idx="12">
                  <c:v>22.292000000000002</c:v>
                </c:pt>
                <c:pt idx="13">
                  <c:v>21.922000000000001</c:v>
                </c:pt>
                <c:pt idx="14">
                  <c:v>23.152999999999999</c:v>
                </c:pt>
                <c:pt idx="15">
                  <c:v>20.832999999999998</c:v>
                </c:pt>
                <c:pt idx="16">
                  <c:v>21.22</c:v>
                </c:pt>
                <c:pt idx="17">
                  <c:v>28</c:v>
                </c:pt>
                <c:pt idx="18">
                  <c:v>28.465</c:v>
                </c:pt>
                <c:pt idx="19">
                  <c:v>22.591000000000001</c:v>
                </c:pt>
                <c:pt idx="20">
                  <c:v>26.402999999999999</c:v>
                </c:pt>
                <c:pt idx="21">
                  <c:v>24.98</c:v>
                </c:pt>
                <c:pt idx="22">
                  <c:v>20.081</c:v>
                </c:pt>
                <c:pt idx="23">
                  <c:v>16.219000000000001</c:v>
                </c:pt>
                <c:pt idx="24">
                  <c:v>18.276</c:v>
                </c:pt>
                <c:pt idx="25">
                  <c:v>19.419</c:v>
                </c:pt>
                <c:pt idx="26">
                  <c:v>17.792000000000002</c:v>
                </c:pt>
                <c:pt idx="27">
                  <c:v>14.455</c:v>
                </c:pt>
                <c:pt idx="28">
                  <c:v>14.478</c:v>
                </c:pt>
                <c:pt idx="29">
                  <c:v>15.478</c:v>
                </c:pt>
                <c:pt idx="30">
                  <c:v>15.435</c:v>
                </c:pt>
                <c:pt idx="31">
                  <c:v>14.093</c:v>
                </c:pt>
                <c:pt idx="32">
                  <c:v>12.814</c:v>
                </c:pt>
                <c:pt idx="33">
                  <c:v>14.827999999999999</c:v>
                </c:pt>
                <c:pt idx="34">
                  <c:v>13.662000000000001</c:v>
                </c:pt>
                <c:pt idx="35">
                  <c:v>11.477</c:v>
                </c:pt>
              </c:numCache>
            </c:numRef>
          </c:val>
          <c:smooth val="0"/>
          <c:extLst>
            <c:ext xmlns:c16="http://schemas.microsoft.com/office/drawing/2014/chart" uri="{C3380CC4-5D6E-409C-BE32-E72D297353CC}">
              <c16:uniqueId val="{00000002-159A-4B67-B947-4CC448E87FF7}"/>
            </c:ext>
          </c:extLst>
        </c:ser>
        <c:ser>
          <c:idx val="5"/>
          <c:order val="3"/>
          <c:tx>
            <c:strRef>
              <c:f>'Trh práce-2b'!$A$35</c:f>
              <c:strCache>
                <c:ptCount val="1"/>
                <c:pt idx="0">
                  <c:v>Vacancies for higher qualifications</c:v>
                </c:pt>
              </c:strCache>
            </c:strRef>
          </c:tx>
          <c:spPr>
            <a:ln w="15875">
              <a:solidFill>
                <a:srgbClr val="009CB5"/>
              </a:solidFill>
              <a:prstDash val="solid"/>
            </a:ln>
          </c:spPr>
          <c:marker>
            <c:symbol val="none"/>
          </c:marker>
          <c:cat>
            <c:multiLvlStrRef>
              <c:f>'Trh práce-2b'!$J$30:$AT$31</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'Trh práce-2b'!$J$35:$AT$35</c:f>
              <c:numCache>
                <c:formatCode>0.0</c:formatCode>
                <c:ptCount val="37"/>
                <c:pt idx="0">
                  <c:v>15.456</c:v>
                </c:pt>
                <c:pt idx="1">
                  <c:v>18.981000000000002</c:v>
                </c:pt>
                <c:pt idx="2">
                  <c:v>17.684999999999999</c:v>
                </c:pt>
                <c:pt idx="3">
                  <c:v>16.105</c:v>
                </c:pt>
                <c:pt idx="4">
                  <c:v>18.106999999999999</c:v>
                </c:pt>
                <c:pt idx="5">
                  <c:v>20.411000000000001</c:v>
                </c:pt>
                <c:pt idx="6">
                  <c:v>18.263000000000002</c:v>
                </c:pt>
                <c:pt idx="7">
                  <c:v>16.600000000000001</c:v>
                </c:pt>
                <c:pt idx="8">
                  <c:v>17.779</c:v>
                </c:pt>
                <c:pt idx="9">
                  <c:v>19.105</c:v>
                </c:pt>
                <c:pt idx="10">
                  <c:v>18.321000000000002</c:v>
                </c:pt>
                <c:pt idx="11">
                  <c:v>16.137</c:v>
                </c:pt>
                <c:pt idx="12">
                  <c:v>17.05</c:v>
                </c:pt>
                <c:pt idx="13">
                  <c:v>17.387</c:v>
                </c:pt>
                <c:pt idx="14">
                  <c:v>15.683</c:v>
                </c:pt>
                <c:pt idx="15">
                  <c:v>14.997</c:v>
                </c:pt>
                <c:pt idx="16">
                  <c:v>16.512</c:v>
                </c:pt>
                <c:pt idx="17">
                  <c:v>19.815999999999999</c:v>
                </c:pt>
                <c:pt idx="18">
                  <c:v>19.486999999999998</c:v>
                </c:pt>
                <c:pt idx="19">
                  <c:v>18.061</c:v>
                </c:pt>
                <c:pt idx="20">
                  <c:v>21.087</c:v>
                </c:pt>
                <c:pt idx="21">
                  <c:v>21.347999999999999</c:v>
                </c:pt>
                <c:pt idx="22">
                  <c:v>18.567</c:v>
                </c:pt>
                <c:pt idx="23">
                  <c:v>16.672999999999998</c:v>
                </c:pt>
                <c:pt idx="24">
                  <c:v>18.158000000000001</c:v>
                </c:pt>
                <c:pt idx="25">
                  <c:v>18.765000000000001</c:v>
                </c:pt>
                <c:pt idx="26">
                  <c:v>17.125</c:v>
                </c:pt>
                <c:pt idx="27">
                  <c:v>15.332000000000001</c:v>
                </c:pt>
                <c:pt idx="28">
                  <c:v>16.600000000000001</c:v>
                </c:pt>
                <c:pt idx="29">
                  <c:v>15.853999999999999</c:v>
                </c:pt>
                <c:pt idx="30">
                  <c:v>14.837999999999999</c:v>
                </c:pt>
                <c:pt idx="31">
                  <c:v>13.59</c:v>
                </c:pt>
                <c:pt idx="32">
                  <c:v>10.319000000000001</c:v>
                </c:pt>
                <c:pt idx="33">
                  <c:v>11.635</c:v>
                </c:pt>
                <c:pt idx="34">
                  <c:v>11.321999999999999</c:v>
                </c:pt>
                <c:pt idx="35">
                  <c:v>9.5069999999999997</c:v>
                </c:pt>
              </c:numCache>
            </c:numRef>
          </c:val>
          <c:smooth val="0"/>
          <c:extLst>
            <c:ext xmlns:c16="http://schemas.microsoft.com/office/drawing/2014/chart" uri="{C3380CC4-5D6E-409C-BE32-E72D297353CC}">
              <c16:uniqueId val="{00000003-159A-4B67-B947-4CC448E87FF7}"/>
            </c:ext>
          </c:extLst>
        </c:ser>
        <c:ser>
          <c:idx val="6"/>
          <c:order val="4"/>
          <c:tx>
            <c:strRef>
              <c:f>'Trh práce-2b'!$A$36</c:f>
              <c:strCache>
                <c:ptCount val="1"/>
                <c:pt idx="0">
                  <c:v>Working foreigners (Ukrainians)</c:v>
                </c:pt>
              </c:strCache>
            </c:strRef>
          </c:tx>
          <c:spPr>
            <a:ln w="15875">
              <a:solidFill>
                <a:srgbClr val="174F70"/>
              </a:solidFill>
              <a:prstDash val="sysDash"/>
            </a:ln>
          </c:spPr>
          <c:marker>
            <c:symbol val="none"/>
          </c:marker>
          <c:cat>
            <c:multiLvlStrRef>
              <c:f>'Trh práce-2b'!$J$30:$AT$31</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'Trh práce-2b'!$J$36:$AT$36</c:f>
              <c:numCache>
                <c:formatCode>#,##0</c:formatCode>
                <c:ptCount val="37"/>
                <c:pt idx="0">
                  <c:v>59.363</c:v>
                </c:pt>
                <c:pt idx="1">
                  <c:v>69.864000000000004</c:v>
                </c:pt>
                <c:pt idx="2">
                  <c:v>76.724000000000004</c:v>
                </c:pt>
                <c:pt idx="3">
                  <c:v>81.688999999999993</c:v>
                </c:pt>
                <c:pt idx="4">
                  <c:v>97.317999999999998</c:v>
                </c:pt>
                <c:pt idx="5">
                  <c:v>115.39100000000001</c:v>
                </c:pt>
                <c:pt idx="6">
                  <c:v>134.202</c:v>
                </c:pt>
                <c:pt idx="7">
                  <c:v>121.08499999999999</c:v>
                </c:pt>
                <c:pt idx="8">
                  <c:v>146.08500000000001</c:v>
                </c:pt>
                <c:pt idx="9">
                  <c:v>152.69800000000001</c:v>
                </c:pt>
                <c:pt idx="10">
                  <c:v>164.92400000000001</c:v>
                </c:pt>
                <c:pt idx="11">
                  <c:v>144.114</c:v>
                </c:pt>
                <c:pt idx="12">
                  <c:v>169.14699999999999</c:v>
                </c:pt>
                <c:pt idx="13">
                  <c:v>133.08600000000001</c:v>
                </c:pt>
                <c:pt idx="14">
                  <c:v>173.584</c:v>
                </c:pt>
                <c:pt idx="15">
                  <c:v>159.46799999999999</c:v>
                </c:pt>
                <c:pt idx="16">
                  <c:v>186.35599999999999</c:v>
                </c:pt>
                <c:pt idx="17">
                  <c:v>191.58500000000001</c:v>
                </c:pt>
                <c:pt idx="18">
                  <c:v>214.10599999999999</c:v>
                </c:pt>
                <c:pt idx="19">
                  <c:v>195.11600000000001</c:v>
                </c:pt>
                <c:pt idx="20">
                  <c:v>238.024</c:v>
                </c:pt>
                <c:pt idx="21">
                  <c:v>248.58799999999999</c:v>
                </c:pt>
                <c:pt idx="22">
                  <c:v>262.17899999999997</c:v>
                </c:pt>
                <c:pt idx="23">
                  <c:v>269.911</c:v>
                </c:pt>
                <c:pt idx="24">
                  <c:v>261.31299999999999</c:v>
                </c:pt>
                <c:pt idx="25">
                  <c:v>269.04500000000002</c:v>
                </c:pt>
                <c:pt idx="26">
                  <c:v>282.22300000000001</c:v>
                </c:pt>
                <c:pt idx="27">
                  <c:v>285.54500000000002</c:v>
                </c:pt>
                <c:pt idx="28">
                  <c:v>283.649</c:v>
                </c:pt>
                <c:pt idx="29" formatCode="#\ ##0.000">
                  <c:v>286.25599999999997</c:v>
                </c:pt>
                <c:pt idx="30" formatCode="#\ ##0.000">
                  <c:v>291.79199999999997</c:v>
                </c:pt>
                <c:pt idx="31" formatCode="#\ ##0.000">
                  <c:v>304.68200000000002</c:v>
                </c:pt>
                <c:pt idx="32" formatCode="#\ ##0.000">
                  <c:v>312.71899999999999</c:v>
                </c:pt>
                <c:pt idx="33" formatCode="#\ ##0.000">
                  <c:v>320.50299999999999</c:v>
                </c:pt>
                <c:pt idx="34" formatCode="#\ ##0.000">
                  <c:v>337.762</c:v>
                </c:pt>
                <c:pt idx="35" formatCode="#\ ##0.000">
                  <c:v>357.81099999999998</c:v>
                </c:pt>
              </c:numCache>
            </c:numRef>
          </c:val>
          <c:smooth val="0"/>
          <c:extLst>
            <c:ext xmlns:c16="http://schemas.microsoft.com/office/drawing/2014/chart" uri="{C3380CC4-5D6E-409C-BE32-E72D297353CC}">
              <c16:uniqueId val="{00000004-159A-4B67-B947-4CC448E87FF7}"/>
            </c:ext>
          </c:extLst>
        </c:ser>
        <c:ser>
          <c:idx val="7"/>
          <c:order val="5"/>
          <c:tx>
            <c:strRef>
              <c:f>'Trh práce-2b'!$A$37</c:f>
              <c:strCache>
                <c:ptCount val="1"/>
                <c:pt idx="0">
                  <c:v>Working foreigners (Slovakians) </c:v>
                </c:pt>
              </c:strCache>
            </c:strRef>
          </c:tx>
          <c:spPr>
            <a:ln w="15875">
              <a:solidFill>
                <a:srgbClr val="009CB5"/>
              </a:solidFill>
              <a:prstDash val="sysDash"/>
            </a:ln>
          </c:spPr>
          <c:marker>
            <c:symbol val="none"/>
          </c:marker>
          <c:cat>
            <c:multiLvlStrRef>
              <c:f>'Trh práce-2b'!$J$30:$AT$31</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'Trh práce-2b'!$J$37:$AT$37</c:f>
              <c:numCache>
                <c:formatCode>#,##0</c:formatCode>
                <c:ptCount val="37"/>
                <c:pt idx="0">
                  <c:v>159.88200000000001</c:v>
                </c:pt>
                <c:pt idx="1">
                  <c:v>165.69800000000001</c:v>
                </c:pt>
                <c:pt idx="2">
                  <c:v>170.643</c:v>
                </c:pt>
                <c:pt idx="3">
                  <c:v>177.059</c:v>
                </c:pt>
                <c:pt idx="4">
                  <c:v>180.01900000000001</c:v>
                </c:pt>
                <c:pt idx="5">
                  <c:v>187.33799999999999</c:v>
                </c:pt>
                <c:pt idx="6">
                  <c:v>192.66499999999999</c:v>
                </c:pt>
                <c:pt idx="7">
                  <c:v>191.81800000000001</c:v>
                </c:pt>
                <c:pt idx="8">
                  <c:v>187.18299999999999</c:v>
                </c:pt>
                <c:pt idx="9">
                  <c:v>191.41800000000001</c:v>
                </c:pt>
                <c:pt idx="10">
                  <c:v>199.02799999999999</c:v>
                </c:pt>
                <c:pt idx="11">
                  <c:v>201.952</c:v>
                </c:pt>
                <c:pt idx="12">
                  <c:v>198.05799999999999</c:v>
                </c:pt>
                <c:pt idx="13">
                  <c:v>199.249</c:v>
                </c:pt>
                <c:pt idx="14">
                  <c:v>202.91</c:v>
                </c:pt>
                <c:pt idx="15">
                  <c:v>204.29400000000001</c:v>
                </c:pt>
                <c:pt idx="16">
                  <c:v>201.91800000000001</c:v>
                </c:pt>
                <c:pt idx="17">
                  <c:v>204.476</c:v>
                </c:pt>
                <c:pt idx="18">
                  <c:v>208.249</c:v>
                </c:pt>
                <c:pt idx="19">
                  <c:v>209.273</c:v>
                </c:pt>
                <c:pt idx="20">
                  <c:v>207.86</c:v>
                </c:pt>
                <c:pt idx="21">
                  <c:v>211.31700000000001</c:v>
                </c:pt>
                <c:pt idx="22">
                  <c:v>212.55099999999999</c:v>
                </c:pt>
                <c:pt idx="23">
                  <c:v>213.447</c:v>
                </c:pt>
                <c:pt idx="24">
                  <c:v>209.79599999999999</c:v>
                </c:pt>
                <c:pt idx="25">
                  <c:v>212.12299999999999</c:v>
                </c:pt>
                <c:pt idx="26">
                  <c:v>215.20599999999999</c:v>
                </c:pt>
                <c:pt idx="27">
                  <c:v>216.239</c:v>
                </c:pt>
                <c:pt idx="28">
                  <c:v>213.9</c:v>
                </c:pt>
                <c:pt idx="29" formatCode="#\ ##0.000">
                  <c:v>216.68</c:v>
                </c:pt>
                <c:pt idx="30" formatCode="#\ ##0.000">
                  <c:v>212.44300000000001</c:v>
                </c:pt>
                <c:pt idx="31" formatCode="#\ ##0.000">
                  <c:v>215.61099999999999</c:v>
                </c:pt>
                <c:pt idx="32" formatCode="#\ ##0.000">
                  <c:v>216.32300000000001</c:v>
                </c:pt>
                <c:pt idx="33" formatCode="#\ ##0.000">
                  <c:v>220.511</c:v>
                </c:pt>
                <c:pt idx="34" formatCode="#\ ##0.000">
                  <c:v>225.22300000000001</c:v>
                </c:pt>
                <c:pt idx="35" formatCode="#\ ##0.000">
                  <c:v>229.01400000000001</c:v>
                </c:pt>
              </c:numCache>
            </c:numRef>
          </c:val>
          <c:smooth val="0"/>
          <c:extLst>
            <c:ext xmlns:c16="http://schemas.microsoft.com/office/drawing/2014/chart" uri="{C3380CC4-5D6E-409C-BE32-E72D297353CC}">
              <c16:uniqueId val="{00000005-159A-4B67-B947-4CC448E87FF7}"/>
            </c:ext>
          </c:extLst>
        </c:ser>
        <c:ser>
          <c:idx val="2"/>
          <c:order val="6"/>
          <c:tx>
            <c:strRef>
              <c:f>'Trh práce-2b'!$A$38</c:f>
              <c:strCache>
                <c:ptCount val="1"/>
                <c:pt idx="0">
                  <c:v>Working foreigners (other countries)</c:v>
                </c:pt>
              </c:strCache>
            </c:strRef>
          </c:tx>
          <c:spPr>
            <a:ln w="15875">
              <a:solidFill>
                <a:srgbClr val="85BF5E"/>
              </a:solidFill>
              <a:prstDash val="sysDash"/>
            </a:ln>
          </c:spPr>
          <c:marker>
            <c:symbol val="none"/>
          </c:marker>
          <c:cat>
            <c:multiLvlStrRef>
              <c:f>'Trh práce-2b'!$J$30:$AT$31</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'Trh práce-2b'!$J$38:$AT$38</c:f>
              <c:numCache>
                <c:formatCode>#,##0</c:formatCode>
                <c:ptCount val="37"/>
                <c:pt idx="0">
                  <c:v>173.614</c:v>
                </c:pt>
                <c:pt idx="1">
                  <c:v>187.52799999999999</c:v>
                </c:pt>
                <c:pt idx="2">
                  <c:v>199.11799999999999</c:v>
                </c:pt>
                <c:pt idx="3">
                  <c:v>213.59899999999999</c:v>
                </c:pt>
                <c:pt idx="4">
                  <c:v>228.61600000000001</c:v>
                </c:pt>
                <c:pt idx="5">
                  <c:v>244.029</c:v>
                </c:pt>
                <c:pt idx="6">
                  <c:v>258.82100000000003</c:v>
                </c:pt>
                <c:pt idx="7">
                  <c:v>255.77199999999999</c:v>
                </c:pt>
                <c:pt idx="8">
                  <c:v>255.12200000000001</c:v>
                </c:pt>
                <c:pt idx="9">
                  <c:v>262.36599999999999</c:v>
                </c:pt>
                <c:pt idx="10">
                  <c:v>277.37400000000002</c:v>
                </c:pt>
                <c:pt idx="11">
                  <c:v>275.80399999999997</c:v>
                </c:pt>
                <c:pt idx="12">
                  <c:v>277.709</c:v>
                </c:pt>
                <c:pt idx="13">
                  <c:v>270.178</c:v>
                </c:pt>
                <c:pt idx="14">
                  <c:v>278.71699999999998</c:v>
                </c:pt>
                <c:pt idx="15">
                  <c:v>280.40199999999999</c:v>
                </c:pt>
                <c:pt idx="16">
                  <c:v>281.459</c:v>
                </c:pt>
                <c:pt idx="17">
                  <c:v>285.55</c:v>
                </c:pt>
                <c:pt idx="18">
                  <c:v>297.53500000000003</c:v>
                </c:pt>
                <c:pt idx="19">
                  <c:v>297.44099999999997</c:v>
                </c:pt>
                <c:pt idx="20">
                  <c:v>300.39299999999997</c:v>
                </c:pt>
                <c:pt idx="21">
                  <c:v>307.61</c:v>
                </c:pt>
                <c:pt idx="22">
                  <c:v>310.33499999999998</c:v>
                </c:pt>
                <c:pt idx="23">
                  <c:v>309.93200000000002</c:v>
                </c:pt>
                <c:pt idx="24">
                  <c:v>308.2</c:v>
                </c:pt>
                <c:pt idx="25">
                  <c:v>314.923</c:v>
                </c:pt>
                <c:pt idx="26">
                  <c:v>320.48399999999998</c:v>
                </c:pt>
                <c:pt idx="27">
                  <c:v>322.161</c:v>
                </c:pt>
                <c:pt idx="28">
                  <c:v>320.39100000000002</c:v>
                </c:pt>
                <c:pt idx="29" formatCode="#\ ##0.000">
                  <c:v>324.68299999999999</c:v>
                </c:pt>
                <c:pt idx="30" formatCode="#\ ##0.000">
                  <c:v>319.55900000000003</c:v>
                </c:pt>
                <c:pt idx="31" formatCode="#\ ##0.000">
                  <c:v>325.17500000000001</c:v>
                </c:pt>
                <c:pt idx="32" formatCode="#\ ##0.000">
                  <c:v>329.69</c:v>
                </c:pt>
                <c:pt idx="33" formatCode="#\ ##0.000">
                  <c:v>336.50700000000001</c:v>
                </c:pt>
                <c:pt idx="34" formatCode="#\ ##0.000">
                  <c:v>342.87900000000002</c:v>
                </c:pt>
                <c:pt idx="35" formatCode="#\ ##0.000">
                  <c:v>348.49700000000001</c:v>
                </c:pt>
              </c:numCache>
            </c:numRef>
          </c:val>
          <c:smooth val="0"/>
          <c:extLst>
            <c:ext xmlns:c16="http://schemas.microsoft.com/office/drawing/2014/chart" uri="{C3380CC4-5D6E-409C-BE32-E72D297353CC}">
              <c16:uniqueId val="{00000006-159A-4B67-B947-4CC448E87FF7}"/>
            </c:ext>
          </c:extLst>
        </c:ser>
        <c:ser>
          <c:idx val="3"/>
          <c:order val="7"/>
          <c:tx>
            <c:strRef>
              <c:f>'Trh práce-2b'!$A$39</c:f>
              <c:strCache>
                <c:ptCount val="1"/>
                <c:pt idx="0">
                  <c:v>Unemployment expectations</c:v>
                </c:pt>
              </c:strCache>
            </c:strRef>
          </c:tx>
          <c:spPr>
            <a:ln w="15875">
              <a:noFill/>
              <a:prstDash val="solid"/>
            </a:ln>
          </c:spPr>
          <c:marker>
            <c:symbol val="diamond"/>
            <c:size val="4"/>
            <c:spPr>
              <a:solidFill>
                <a:schemeClr val="bg1"/>
              </a:solidFill>
              <a:ln>
                <a:solidFill>
                  <a:srgbClr val="CC9610"/>
                </a:solidFill>
              </a:ln>
            </c:spPr>
          </c:marker>
          <c:cat>
            <c:multiLvlStrRef>
              <c:f>'Trh práce-2b'!$J$30:$AT$31</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'Trh práce-2b'!$J$39:$AT$39</c:f>
              <c:numCache>
                <c:formatCode>0.0</c:formatCode>
                <c:ptCount val="37"/>
                <c:pt idx="0">
                  <c:v>1</c:v>
                </c:pt>
                <c:pt idx="1">
                  <c:v>-3</c:v>
                </c:pt>
                <c:pt idx="2">
                  <c:v>0</c:v>
                </c:pt>
                <c:pt idx="3">
                  <c:v>-1</c:v>
                </c:pt>
                <c:pt idx="4">
                  <c:v>-1</c:v>
                </c:pt>
                <c:pt idx="5">
                  <c:v>-2</c:v>
                </c:pt>
                <c:pt idx="6">
                  <c:v>-2</c:v>
                </c:pt>
                <c:pt idx="7">
                  <c:v>4</c:v>
                </c:pt>
                <c:pt idx="8">
                  <c:v>8</c:v>
                </c:pt>
                <c:pt idx="9">
                  <c:v>8</c:v>
                </c:pt>
                <c:pt idx="10">
                  <c:v>11</c:v>
                </c:pt>
                <c:pt idx="11">
                  <c:v>12</c:v>
                </c:pt>
                <c:pt idx="12">
                  <c:v>18</c:v>
                </c:pt>
                <c:pt idx="13">
                  <c:v>49</c:v>
                </c:pt>
                <c:pt idx="14">
                  <c:v>46</c:v>
                </c:pt>
                <c:pt idx="15">
                  <c:v>60</c:v>
                </c:pt>
                <c:pt idx="16">
                  <c:v>57</c:v>
                </c:pt>
                <c:pt idx="17">
                  <c:v>24</c:v>
                </c:pt>
                <c:pt idx="18">
                  <c:v>16</c:v>
                </c:pt>
                <c:pt idx="19">
                  <c:v>20</c:v>
                </c:pt>
                <c:pt idx="20">
                  <c:v>14</c:v>
                </c:pt>
                <c:pt idx="21">
                  <c:v>20</c:v>
                </c:pt>
                <c:pt idx="22">
                  <c:v>26</c:v>
                </c:pt>
                <c:pt idx="23">
                  <c:v>40</c:v>
                </c:pt>
                <c:pt idx="24">
                  <c:v>35</c:v>
                </c:pt>
                <c:pt idx="25">
                  <c:v>29</c:v>
                </c:pt>
                <c:pt idx="26">
                  <c:v>25</c:v>
                </c:pt>
                <c:pt idx="27">
                  <c:v>17</c:v>
                </c:pt>
                <c:pt idx="28">
                  <c:v>25</c:v>
                </c:pt>
                <c:pt idx="29">
                  <c:v>22</c:v>
                </c:pt>
                <c:pt idx="30">
                  <c:v>24</c:v>
                </c:pt>
                <c:pt idx="31">
                  <c:v>19</c:v>
                </c:pt>
                <c:pt idx="32">
                  <c:v>30</c:v>
                </c:pt>
                <c:pt idx="33">
                  <c:v>30</c:v>
                </c:pt>
                <c:pt idx="34">
                  <c:v>27</c:v>
                </c:pt>
                <c:pt idx="35">
                  <c:v>15</c:v>
                </c:pt>
                <c:pt idx="36">
                  <c:v>16</c:v>
                </c:pt>
              </c:numCache>
            </c:numRef>
          </c:val>
          <c:smooth val="0"/>
          <c:extLst>
            <c:ext xmlns:c16="http://schemas.microsoft.com/office/drawing/2014/chart" uri="{C3380CC4-5D6E-409C-BE32-E72D297353CC}">
              <c16:uniqueId val="{00000007-159A-4B67-B947-4CC448E87FF7}"/>
            </c:ext>
          </c:extLst>
        </c:ser>
        <c:dLbls>
          <c:showLegendKey val="0"/>
          <c:showVal val="0"/>
          <c:showCatName val="0"/>
          <c:showSerName val="0"/>
          <c:showPercent val="0"/>
          <c:showBubbleSize val="0"/>
        </c:dLbls>
        <c:marker val="1"/>
        <c:smooth val="0"/>
        <c:axId val="331670576"/>
        <c:axId val="323971328"/>
      </c:lineChart>
      <c:catAx>
        <c:axId val="100654464"/>
        <c:scaling>
          <c:orientation val="minMax"/>
        </c:scaling>
        <c:delete val="0"/>
        <c:axPos val="b"/>
        <c:numFmt formatCode="General" sourceLinked="0"/>
        <c:majorTickMark val="out"/>
        <c:minorTickMark val="none"/>
        <c:tickLblPos val="low"/>
        <c:spPr>
          <a:ln>
            <a:solidFill>
              <a:schemeClr val="tx1"/>
            </a:solidFill>
          </a:ln>
        </c:spPr>
        <c:crossAx val="101647488"/>
        <c:crossesAt val="-50"/>
        <c:auto val="1"/>
        <c:lblAlgn val="ctr"/>
        <c:lblOffset val="0"/>
        <c:noMultiLvlLbl val="0"/>
      </c:catAx>
      <c:valAx>
        <c:axId val="101647488"/>
        <c:scaling>
          <c:orientation val="minMax"/>
          <c:max val="6.5"/>
          <c:min val="0"/>
        </c:scaling>
        <c:delete val="0"/>
        <c:axPos val="l"/>
        <c:majorGridlines>
          <c:spPr>
            <a:ln w="6350">
              <a:solidFill>
                <a:schemeClr val="bg1">
                  <a:lumMod val="75000"/>
                </a:schemeClr>
              </a:solidFill>
            </a:ln>
          </c:spPr>
        </c:majorGridlines>
        <c:title>
          <c:tx>
            <c:rich>
              <a:bodyPr/>
              <a:lstStyle/>
              <a:p>
                <a:pPr>
                  <a:defRPr sz="700" b="0" i="1"/>
                </a:pPr>
                <a:r>
                  <a:rPr lang="cs-CZ" sz="700" b="0" i="1"/>
                  <a:t>Unemployment rate</a:t>
                </a:r>
              </a:p>
            </c:rich>
          </c:tx>
          <c:overlay val="0"/>
        </c:title>
        <c:numFmt formatCode="0.0" sourceLinked="0"/>
        <c:majorTickMark val="out"/>
        <c:minorTickMark val="none"/>
        <c:tickLblPos val="nextTo"/>
        <c:spPr>
          <a:ln>
            <a:solidFill>
              <a:schemeClr val="tx1"/>
            </a:solidFill>
          </a:ln>
        </c:spPr>
        <c:crossAx val="100654464"/>
        <c:crosses val="autoZero"/>
        <c:crossBetween val="between"/>
        <c:majorUnit val="0.5"/>
      </c:valAx>
      <c:valAx>
        <c:axId val="323971328"/>
        <c:scaling>
          <c:orientation val="minMax"/>
          <c:max val="360"/>
          <c:min val="-30"/>
        </c:scaling>
        <c:delete val="0"/>
        <c:axPos val="r"/>
        <c:title>
          <c:tx>
            <c:rich>
              <a:bodyPr/>
              <a:lstStyle/>
              <a:p>
                <a:pPr>
                  <a:defRPr sz="700" b="0" i="1"/>
                </a:pPr>
                <a:r>
                  <a:rPr lang="cs-CZ" sz="700" b="0" i="1" baseline="0"/>
                  <a:t>Job vacancies, Employed foreigners, Unemployment expectations.</a:t>
                </a:r>
                <a:endParaRPr lang="cs-CZ" sz="700" b="0" i="1"/>
              </a:p>
            </c:rich>
          </c:tx>
          <c:overlay val="0"/>
        </c:title>
        <c:numFmt formatCode="#,##0" sourceLinked="0"/>
        <c:majorTickMark val="out"/>
        <c:minorTickMark val="none"/>
        <c:tickLblPos val="nextTo"/>
        <c:crossAx val="331670576"/>
        <c:crosses val="max"/>
        <c:crossBetween val="between"/>
        <c:majorUnit val="30"/>
      </c:valAx>
      <c:catAx>
        <c:axId val="331670576"/>
        <c:scaling>
          <c:orientation val="minMax"/>
        </c:scaling>
        <c:delete val="1"/>
        <c:axPos val="b"/>
        <c:numFmt formatCode="General" sourceLinked="1"/>
        <c:majorTickMark val="out"/>
        <c:minorTickMark val="none"/>
        <c:tickLblPos val="nextTo"/>
        <c:crossAx val="323971328"/>
        <c:crosses val="autoZero"/>
        <c:auto val="1"/>
        <c:lblAlgn val="ctr"/>
        <c:lblOffset val="100"/>
        <c:noMultiLvlLbl val="0"/>
      </c:catAx>
      <c:spPr>
        <a:ln>
          <a:solidFill>
            <a:schemeClr val="tx1"/>
          </a:solidFill>
        </a:ln>
      </c:spPr>
    </c:plotArea>
    <c:legend>
      <c:legendPos val="b"/>
      <c:legendEntry>
        <c:idx val="0"/>
        <c:txPr>
          <a:bodyPr/>
          <a:lstStyle/>
          <a:p>
            <a:pPr>
              <a:defRPr sz="800"/>
            </a:pPr>
            <a:endParaRPr lang="cs-CZ"/>
          </a:p>
        </c:txPr>
      </c:legendEntry>
      <c:legendEntry>
        <c:idx val="1"/>
        <c:txPr>
          <a:bodyPr/>
          <a:lstStyle/>
          <a:p>
            <a:pPr>
              <a:defRPr sz="800"/>
            </a:pPr>
            <a:endParaRPr lang="cs-CZ"/>
          </a:p>
        </c:txPr>
      </c:legendEntry>
      <c:legendEntry>
        <c:idx val="2"/>
        <c:txPr>
          <a:bodyPr/>
          <a:lstStyle/>
          <a:p>
            <a:pPr>
              <a:defRPr sz="800"/>
            </a:pPr>
            <a:endParaRPr lang="cs-CZ"/>
          </a:p>
        </c:txPr>
      </c:legendEntry>
      <c:legendEntry>
        <c:idx val="3"/>
        <c:txPr>
          <a:bodyPr/>
          <a:lstStyle/>
          <a:p>
            <a:pPr>
              <a:defRPr sz="800"/>
            </a:pPr>
            <a:endParaRPr lang="cs-CZ"/>
          </a:p>
        </c:txPr>
      </c:legendEntry>
      <c:legendEntry>
        <c:idx val="4"/>
        <c:txPr>
          <a:bodyPr/>
          <a:lstStyle/>
          <a:p>
            <a:pPr>
              <a:defRPr sz="800"/>
            </a:pPr>
            <a:endParaRPr lang="cs-CZ"/>
          </a:p>
        </c:txPr>
      </c:legendEntry>
      <c:legendEntry>
        <c:idx val="5"/>
        <c:txPr>
          <a:bodyPr/>
          <a:lstStyle/>
          <a:p>
            <a:pPr>
              <a:defRPr sz="800"/>
            </a:pPr>
            <a:endParaRPr lang="cs-CZ"/>
          </a:p>
        </c:txPr>
      </c:legendEntry>
      <c:legendEntry>
        <c:idx val="6"/>
        <c:txPr>
          <a:bodyPr/>
          <a:lstStyle/>
          <a:p>
            <a:pPr>
              <a:defRPr sz="800"/>
            </a:pPr>
            <a:endParaRPr lang="cs-CZ"/>
          </a:p>
        </c:txPr>
      </c:legendEntry>
      <c:legendEntry>
        <c:idx val="7"/>
        <c:txPr>
          <a:bodyPr/>
          <a:lstStyle/>
          <a:p>
            <a:pPr>
              <a:defRPr sz="800"/>
            </a:pPr>
            <a:endParaRPr lang="cs-CZ"/>
          </a:p>
        </c:txPr>
      </c:legendEntry>
      <c:layout>
        <c:manualLayout>
          <c:xMode val="edge"/>
          <c:yMode val="edge"/>
          <c:x val="3.4946789008579934E-2"/>
          <c:y val="0.87065667466923102"/>
          <c:w val="0.95411505134940078"/>
          <c:h val="0.12573975955987693"/>
        </c:manualLayout>
      </c:layout>
      <c:overlay val="0"/>
      <c:spPr>
        <a:ln w="6350">
          <a:solidFill>
            <a:schemeClr val="tx1"/>
          </a:solidFill>
        </a:ln>
      </c:spPr>
      <c:txPr>
        <a:bodyPr/>
        <a:lstStyle/>
        <a:p>
          <a:pPr>
            <a:defRPr sz="770"/>
          </a:pPr>
          <a:endParaRPr lang="cs-CZ"/>
        </a:p>
      </c:txPr>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411162452186132E-2"/>
          <c:y val="1.4331010293664848E-2"/>
          <c:w val="0.94100987714831696"/>
          <c:h val="0.79727064940287251"/>
        </c:manualLayout>
      </c:layout>
      <c:barChart>
        <c:barDir val="col"/>
        <c:grouping val="clustered"/>
        <c:varyColors val="0"/>
        <c:ser>
          <c:idx val="4"/>
          <c:order val="1"/>
          <c:tx>
            <c:strRef>
              <c:f>'Trh práce 3'!$D$75</c:f>
              <c:strCache>
                <c:ptCount val="1"/>
                <c:pt idx="0">
                  <c:v>Total average wage (real)</c:v>
                </c:pt>
              </c:strCache>
            </c:strRef>
          </c:tx>
          <c:spPr>
            <a:solidFill>
              <a:srgbClr val="B8BBC0"/>
            </a:solidFill>
            <a:ln w="19050">
              <a:noFill/>
            </a:ln>
          </c:spPr>
          <c:invertIfNegative val="0"/>
          <c:cat>
            <c:numRef>
              <c:f>'Trh práce 3'!$B$76:$B$96</c:f>
              <c:numCache>
                <c:formatCode>General</c:formatCode>
                <c:ptCount val="21"/>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numCache>
            </c:numRef>
          </c:cat>
          <c:val>
            <c:numRef>
              <c:f>'Trh práce 3'!$D$76:$D$96</c:f>
              <c:numCache>
                <c:formatCode>#\ ##0.0</c:formatCode>
                <c:ptCount val="21"/>
                <c:pt idx="0">
                  <c:v>3</c:v>
                </c:pt>
                <c:pt idx="1">
                  <c:v>4</c:v>
                </c:pt>
                <c:pt idx="2">
                  <c:v>4.2999999999999972</c:v>
                </c:pt>
                <c:pt idx="3">
                  <c:v>1.4000000000000057</c:v>
                </c:pt>
                <c:pt idx="4">
                  <c:v>2.2999999999999972</c:v>
                </c:pt>
                <c:pt idx="5">
                  <c:v>0.70000000000000284</c:v>
                </c:pt>
                <c:pt idx="6">
                  <c:v>0.59999999999999432</c:v>
                </c:pt>
                <c:pt idx="7">
                  <c:v>-0.79999999999999716</c:v>
                </c:pt>
                <c:pt idx="8">
                  <c:v>-1.5</c:v>
                </c:pt>
                <c:pt idx="9">
                  <c:v>2.5</c:v>
                </c:pt>
                <c:pt idx="10">
                  <c:v>2.9000000000000057</c:v>
                </c:pt>
                <c:pt idx="11">
                  <c:v>3.7000000000000028</c:v>
                </c:pt>
                <c:pt idx="12">
                  <c:v>4.2000000000000028</c:v>
                </c:pt>
                <c:pt idx="13">
                  <c:v>5.9000000000000057</c:v>
                </c:pt>
                <c:pt idx="14">
                  <c:v>5</c:v>
                </c:pt>
                <c:pt idx="15">
                  <c:v>1.4000000000000057</c:v>
                </c:pt>
                <c:pt idx="16">
                  <c:v>1.9000000000000057</c:v>
                </c:pt>
                <c:pt idx="17">
                  <c:v>-9.4000000000000057</c:v>
                </c:pt>
                <c:pt idx="18">
                  <c:v>-3.2000000000000028</c:v>
                </c:pt>
                <c:pt idx="19">
                  <c:v>4.7000000000000028</c:v>
                </c:pt>
                <c:pt idx="20">
                  <c:v>4.5999999999999943</c:v>
                </c:pt>
              </c:numCache>
            </c:numRef>
          </c:val>
          <c:extLst>
            <c:ext xmlns:c16="http://schemas.microsoft.com/office/drawing/2014/chart" uri="{C3380CC4-5D6E-409C-BE32-E72D297353CC}">
              <c16:uniqueId val="{00000000-0E82-4B07-9374-34339C83DE8D}"/>
            </c:ext>
          </c:extLst>
        </c:ser>
        <c:dLbls>
          <c:showLegendKey val="0"/>
          <c:showVal val="0"/>
          <c:showCatName val="0"/>
          <c:showSerName val="0"/>
          <c:showPercent val="0"/>
          <c:showBubbleSize val="0"/>
        </c:dLbls>
        <c:gapWidth val="50"/>
        <c:axId val="100688640"/>
        <c:axId val="100690560"/>
      </c:barChart>
      <c:lineChart>
        <c:grouping val="standard"/>
        <c:varyColors val="0"/>
        <c:ser>
          <c:idx val="0"/>
          <c:order val="0"/>
          <c:tx>
            <c:strRef>
              <c:f>'Trh práce 3'!$C$75</c:f>
              <c:strCache>
                <c:ptCount val="1"/>
                <c:pt idx="0">
                  <c:v>Total average wage (nominal)</c:v>
                </c:pt>
              </c:strCache>
            </c:strRef>
          </c:tx>
          <c:spPr>
            <a:ln w="19050">
              <a:solidFill>
                <a:srgbClr val="85898E"/>
              </a:solidFill>
              <a:prstDash val="solid"/>
            </a:ln>
          </c:spPr>
          <c:marker>
            <c:symbol val="none"/>
          </c:marker>
          <c:cat>
            <c:numRef>
              <c:f>'Trh práce 3'!$B$76:$B$96</c:f>
              <c:numCache>
                <c:formatCode>General</c:formatCode>
                <c:ptCount val="21"/>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numCache>
            </c:numRef>
          </c:cat>
          <c:val>
            <c:numRef>
              <c:f>'Trh práce 3'!$C$76:$C$96</c:f>
              <c:numCache>
                <c:formatCode>0.0</c:formatCode>
                <c:ptCount val="21"/>
                <c:pt idx="0">
                  <c:v>5.0269094240238132</c:v>
                </c:pt>
                <c:pt idx="1">
                  <c:v>6.5525512429132107</c:v>
                </c:pt>
                <c:pt idx="2">
                  <c:v>7.2188683106517999</c:v>
                </c:pt>
                <c:pt idx="3">
                  <c:v>7.8016891730686666</c:v>
                </c:pt>
                <c:pt idx="4">
                  <c:v>3.3286118980169874</c:v>
                </c:pt>
                <c:pt idx="5">
                  <c:v>2.2275531185743631</c:v>
                </c:pt>
                <c:pt idx="6">
                  <c:v>2.4765336909151898</c:v>
                </c:pt>
                <c:pt idx="7">
                  <c:v>2.5025557145778095</c:v>
                </c:pt>
                <c:pt idx="8">
                  <c:v>-0.12765787688992702</c:v>
                </c:pt>
                <c:pt idx="9">
                  <c:v>2.9279009386858519</c:v>
                </c:pt>
                <c:pt idx="10">
                  <c:v>3.1938838869916282</c:v>
                </c:pt>
                <c:pt idx="11">
                  <c:v>4.4112669700274552</c:v>
                </c:pt>
                <c:pt idx="12">
                  <c:v>6.7497478749459816</c:v>
                </c:pt>
                <c:pt idx="13">
                  <c:v>8.1415750050610711</c:v>
                </c:pt>
                <c:pt idx="14">
                  <c:v>7.8843093819225771</c:v>
                </c:pt>
                <c:pt idx="15">
                  <c:v>4.6214355948869184</c:v>
                </c:pt>
                <c:pt idx="16">
                  <c:v>5.8077178239716858</c:v>
                </c:pt>
                <c:pt idx="17">
                  <c:v>4.3237453300937858</c:v>
                </c:pt>
                <c:pt idx="18">
                  <c:v>7.1847140138234948</c:v>
                </c:pt>
                <c:pt idx="19">
                  <c:v>7.2381486413868714</c:v>
                </c:pt>
                <c:pt idx="20">
                  <c:v>7.2245582692433317</c:v>
                </c:pt>
              </c:numCache>
            </c:numRef>
          </c:val>
          <c:smooth val="0"/>
          <c:extLst>
            <c:ext xmlns:c16="http://schemas.microsoft.com/office/drawing/2014/chart" uri="{C3380CC4-5D6E-409C-BE32-E72D297353CC}">
              <c16:uniqueId val="{00000001-0E82-4B07-9374-34339C83DE8D}"/>
            </c:ext>
          </c:extLst>
        </c:ser>
        <c:ser>
          <c:idx val="5"/>
          <c:order val="2"/>
          <c:tx>
            <c:strRef>
              <c:f>'Trh práce 3'!$E$75</c:f>
              <c:strCache>
                <c:ptCount val="1"/>
                <c:pt idx="0">
                  <c:v>Wage in industry (nominal)</c:v>
                </c:pt>
              </c:strCache>
            </c:strRef>
          </c:tx>
          <c:spPr>
            <a:ln w="12700">
              <a:solidFill>
                <a:srgbClr val="BC5B80"/>
              </a:solidFill>
              <a:prstDash val="dash"/>
            </a:ln>
          </c:spPr>
          <c:marker>
            <c:symbol val="none"/>
          </c:marker>
          <c:cat>
            <c:numRef>
              <c:f>'Trh práce 3'!$B$76:$B$96</c:f>
              <c:numCache>
                <c:formatCode>General</c:formatCode>
                <c:ptCount val="21"/>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numCache>
            </c:numRef>
          </c:cat>
          <c:val>
            <c:numRef>
              <c:f>'Trh práce 3'!$E$76:$E$96</c:f>
              <c:numCache>
                <c:formatCode>0.0</c:formatCode>
                <c:ptCount val="21"/>
                <c:pt idx="0">
                  <c:v>4.7940779037659382</c:v>
                </c:pt>
                <c:pt idx="1">
                  <c:v>6.3912092840724455</c:v>
                </c:pt>
                <c:pt idx="2">
                  <c:v>7.0295621014912797</c:v>
                </c:pt>
                <c:pt idx="3">
                  <c:v>8.8966569839003427</c:v>
                </c:pt>
                <c:pt idx="4">
                  <c:v>2.2922506555746338</c:v>
                </c:pt>
                <c:pt idx="5">
                  <c:v>4.4817679558011037</c:v>
                </c:pt>
                <c:pt idx="6">
                  <c:v>3.1854139345996089</c:v>
                </c:pt>
                <c:pt idx="7">
                  <c:v>3.0337815677271323</c:v>
                </c:pt>
                <c:pt idx="8">
                  <c:v>0.81171414929173125</c:v>
                </c:pt>
                <c:pt idx="9">
                  <c:v>3.3154404799494728</c:v>
                </c:pt>
                <c:pt idx="10">
                  <c:v>2.6016198044009684</c:v>
                </c:pt>
                <c:pt idx="11">
                  <c:v>4.2558737014558545</c:v>
                </c:pt>
                <c:pt idx="12">
                  <c:v>6.8214285714285836</c:v>
                </c:pt>
                <c:pt idx="13">
                  <c:v>7.7465730524908025</c:v>
                </c:pt>
                <c:pt idx="14">
                  <c:v>6.6310857355633459</c:v>
                </c:pt>
                <c:pt idx="15">
                  <c:v>2.0282854149691616</c:v>
                </c:pt>
                <c:pt idx="16">
                  <c:v>5.1110920966315803</c:v>
                </c:pt>
                <c:pt idx="17">
                  <c:v>5.9778037066181753</c:v>
                </c:pt>
                <c:pt idx="18">
                  <c:v>8.5543834494059752</c:v>
                </c:pt>
                <c:pt idx="19">
                  <c:v>7.9581102436493154</c:v>
                </c:pt>
                <c:pt idx="20">
                  <c:v>6.539074960127607</c:v>
                </c:pt>
              </c:numCache>
            </c:numRef>
          </c:val>
          <c:smooth val="0"/>
          <c:extLst>
            <c:ext xmlns:c16="http://schemas.microsoft.com/office/drawing/2014/chart" uri="{C3380CC4-5D6E-409C-BE32-E72D297353CC}">
              <c16:uniqueId val="{00000002-0E82-4B07-9374-34339C83DE8D}"/>
            </c:ext>
          </c:extLst>
        </c:ser>
        <c:ser>
          <c:idx val="1"/>
          <c:order val="3"/>
          <c:tx>
            <c:strRef>
              <c:f>'Trh práce 3'!$F$75</c:f>
              <c:strCache>
                <c:ptCount val="1"/>
                <c:pt idx="0">
                  <c:v>Wage in trade (nominal)</c:v>
                </c:pt>
              </c:strCache>
            </c:strRef>
          </c:tx>
          <c:spPr>
            <a:ln w="12700">
              <a:solidFill>
                <a:srgbClr val="0070C0"/>
              </a:solidFill>
              <a:prstDash val="dash"/>
            </a:ln>
          </c:spPr>
          <c:marker>
            <c:symbol val="none"/>
          </c:marker>
          <c:cat>
            <c:numRef>
              <c:f>'Trh práce 3'!$B$76:$B$96</c:f>
              <c:numCache>
                <c:formatCode>General</c:formatCode>
                <c:ptCount val="21"/>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numCache>
            </c:numRef>
          </c:cat>
          <c:val>
            <c:numRef>
              <c:f>'Trh práce 3'!$F$76:$F$96</c:f>
              <c:numCache>
                <c:formatCode>0.0</c:formatCode>
                <c:ptCount val="21"/>
                <c:pt idx="0">
                  <c:v>4.6374677953625394</c:v>
                </c:pt>
                <c:pt idx="1">
                  <c:v>6.9175753312228778</c:v>
                </c:pt>
                <c:pt idx="2">
                  <c:v>8.6796797894505886</c:v>
                </c:pt>
                <c:pt idx="3">
                  <c:v>7.6686342767771549</c:v>
                </c:pt>
                <c:pt idx="4">
                  <c:v>7.9658872592673902E-2</c:v>
                </c:pt>
                <c:pt idx="5">
                  <c:v>3.193182882292362</c:v>
                </c:pt>
                <c:pt idx="6">
                  <c:v>3.5117967332123357</c:v>
                </c:pt>
                <c:pt idx="7">
                  <c:v>2.25738581572719</c:v>
                </c:pt>
                <c:pt idx="8">
                  <c:v>-0.84015602897680708</c:v>
                </c:pt>
                <c:pt idx="9">
                  <c:v>3.3156097350105966</c:v>
                </c:pt>
                <c:pt idx="10">
                  <c:v>4.2301255230125605</c:v>
                </c:pt>
                <c:pt idx="11">
                  <c:v>4.7609489783629613</c:v>
                </c:pt>
                <c:pt idx="12">
                  <c:v>7.4453002260796382</c:v>
                </c:pt>
                <c:pt idx="13">
                  <c:v>6.9400855920113997</c:v>
                </c:pt>
                <c:pt idx="14">
                  <c:v>7.7869672513839703</c:v>
                </c:pt>
                <c:pt idx="15">
                  <c:v>3.5920918288419301</c:v>
                </c:pt>
                <c:pt idx="16">
                  <c:v>6.8723493220237657</c:v>
                </c:pt>
                <c:pt idx="17">
                  <c:v>5.2538915127294956</c:v>
                </c:pt>
                <c:pt idx="18">
                  <c:v>6.7466744550354463</c:v>
                </c:pt>
                <c:pt idx="19">
                  <c:v>6.2157994229429931</c:v>
                </c:pt>
                <c:pt idx="20">
                  <c:v>6.4047022457438487</c:v>
                </c:pt>
              </c:numCache>
            </c:numRef>
          </c:val>
          <c:smooth val="0"/>
          <c:extLst>
            <c:ext xmlns:c16="http://schemas.microsoft.com/office/drawing/2014/chart" uri="{C3380CC4-5D6E-409C-BE32-E72D297353CC}">
              <c16:uniqueId val="{00000003-0E82-4B07-9374-34339C83DE8D}"/>
            </c:ext>
          </c:extLst>
        </c:ser>
        <c:ser>
          <c:idx val="2"/>
          <c:order val="4"/>
          <c:tx>
            <c:strRef>
              <c:f>'Trh práce 3'!$G$75</c:f>
              <c:strCache>
                <c:ptCount val="1"/>
                <c:pt idx="0">
                  <c:v>Average wage in public services (nominal)*</c:v>
                </c:pt>
              </c:strCache>
            </c:strRef>
          </c:tx>
          <c:spPr>
            <a:ln w="12700">
              <a:solidFill>
                <a:srgbClr val="85BF5E"/>
              </a:solidFill>
              <a:prstDash val="dash"/>
            </a:ln>
          </c:spPr>
          <c:marker>
            <c:symbol val="none"/>
          </c:marker>
          <c:cat>
            <c:numRef>
              <c:f>'Trh práce 3'!$B$76:$B$96</c:f>
              <c:numCache>
                <c:formatCode>General</c:formatCode>
                <c:ptCount val="21"/>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numCache>
            </c:numRef>
          </c:cat>
          <c:val>
            <c:numRef>
              <c:f>'Trh práce 3'!$G$76:$G$96</c:f>
              <c:numCache>
                <c:formatCode>0.0</c:formatCode>
                <c:ptCount val="21"/>
                <c:pt idx="0">
                  <c:v>5.7448429075864311</c:v>
                </c:pt>
                <c:pt idx="1">
                  <c:v>6.2139886096904462</c:v>
                </c:pt>
                <c:pt idx="2">
                  <c:v>6.5213266053676193</c:v>
                </c:pt>
                <c:pt idx="3">
                  <c:v>4.5033471199856336</c:v>
                </c:pt>
                <c:pt idx="4">
                  <c:v>5.6068124661603491</c:v>
                </c:pt>
                <c:pt idx="5">
                  <c:v>9.2548488337286017E-2</c:v>
                </c:pt>
                <c:pt idx="6">
                  <c:v>1.3745128342853405</c:v>
                </c:pt>
                <c:pt idx="7">
                  <c:v>1.9623700739873584</c:v>
                </c:pt>
                <c:pt idx="8">
                  <c:v>0.61373585270925446</c:v>
                </c:pt>
                <c:pt idx="9">
                  <c:v>2.5772633649077363</c:v>
                </c:pt>
                <c:pt idx="10">
                  <c:v>3.7559457553514335</c:v>
                </c:pt>
                <c:pt idx="11">
                  <c:v>4.9014309200953221</c:v>
                </c:pt>
                <c:pt idx="12">
                  <c:v>7.9550010446935602</c:v>
                </c:pt>
                <c:pt idx="13">
                  <c:v>10.160948468455345</c:v>
                </c:pt>
                <c:pt idx="14">
                  <c:v>9.5948437653510865</c:v>
                </c:pt>
                <c:pt idx="15">
                  <c:v>8.4588710877466298</c:v>
                </c:pt>
                <c:pt idx="16">
                  <c:v>6.4793472347561334</c:v>
                </c:pt>
                <c:pt idx="17">
                  <c:v>-0.33488952451867249</c:v>
                </c:pt>
                <c:pt idx="18">
                  <c:v>6.4804196156700726</c:v>
                </c:pt>
                <c:pt idx="19">
                  <c:v>4.5131657822914804</c:v>
                </c:pt>
                <c:pt idx="20">
                  <c:v>6.3661055260310917</c:v>
                </c:pt>
              </c:numCache>
            </c:numRef>
          </c:val>
          <c:smooth val="0"/>
          <c:extLst>
            <c:ext xmlns:c16="http://schemas.microsoft.com/office/drawing/2014/chart" uri="{C3380CC4-5D6E-409C-BE32-E72D297353CC}">
              <c16:uniqueId val="{00000004-0E82-4B07-9374-34339C83DE8D}"/>
            </c:ext>
          </c:extLst>
        </c:ser>
        <c:ser>
          <c:idx val="3"/>
          <c:order val="5"/>
          <c:tx>
            <c:strRef>
              <c:f>'Trh práce 3'!$H$75</c:f>
              <c:strCache>
                <c:ptCount val="1"/>
              </c:strCache>
            </c:strRef>
          </c:tx>
          <c:spPr>
            <a:ln w="19050">
              <a:noFill/>
            </a:ln>
          </c:spPr>
          <c:marker>
            <c:symbol val="circle"/>
            <c:size val="5"/>
            <c:spPr>
              <a:solidFill>
                <a:schemeClr val="bg1"/>
              </a:solidFill>
              <a:ln w="6350">
                <a:noFill/>
              </a:ln>
            </c:spPr>
          </c:marker>
          <c:cat>
            <c:numRef>
              <c:f>'Trh práce 3'!$B$76:$B$96</c:f>
              <c:numCache>
                <c:formatCode>General</c:formatCode>
                <c:ptCount val="21"/>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numCache>
            </c:numRef>
          </c:cat>
          <c:val>
            <c:numRef>
              <c:f>'Trh práce 3'!$H$76:$H$96</c:f>
              <c:numCache>
                <c:formatCode>General</c:formatCode>
                <c:ptCount val="21"/>
              </c:numCache>
            </c:numRef>
          </c:val>
          <c:smooth val="0"/>
          <c:extLst>
            <c:ext xmlns:c16="http://schemas.microsoft.com/office/drawing/2014/chart" uri="{C3380CC4-5D6E-409C-BE32-E72D297353CC}">
              <c16:uniqueId val="{00000005-0E82-4B07-9374-34339C83DE8D}"/>
            </c:ext>
          </c:extLst>
        </c:ser>
        <c:ser>
          <c:idx val="6"/>
          <c:order val="6"/>
          <c:tx>
            <c:strRef>
              <c:f>'Trh práce 3'!$I$75</c:f>
              <c:strCache>
                <c:ptCount val="1"/>
                <c:pt idx="0">
                  <c:v>Total labour productivity per worker (real)**</c:v>
                </c:pt>
              </c:strCache>
            </c:strRef>
          </c:tx>
          <c:spPr>
            <a:ln>
              <a:noFill/>
            </a:ln>
          </c:spPr>
          <c:marker>
            <c:symbol val="circle"/>
            <c:size val="5"/>
            <c:spPr>
              <a:solidFill>
                <a:srgbClr val="CC9610"/>
              </a:solidFill>
              <a:ln>
                <a:noFill/>
              </a:ln>
            </c:spPr>
          </c:marker>
          <c:cat>
            <c:numRef>
              <c:f>'Trh práce 3'!$B$76:$B$96</c:f>
              <c:numCache>
                <c:formatCode>General</c:formatCode>
                <c:ptCount val="21"/>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numCache>
            </c:numRef>
          </c:cat>
          <c:val>
            <c:numRef>
              <c:f>'Trh práce 3'!$I$76:$I$96</c:f>
              <c:numCache>
                <c:formatCode>0.0</c:formatCode>
                <c:ptCount val="21"/>
                <c:pt idx="0">
                  <c:v>4.4078067941773895</c:v>
                </c:pt>
                <c:pt idx="1">
                  <c:v>5.3588204979348149</c:v>
                </c:pt>
                <c:pt idx="2">
                  <c:v>3.3210673429916255</c:v>
                </c:pt>
                <c:pt idx="3">
                  <c:v>0.28542145488682991</c:v>
                </c:pt>
                <c:pt idx="4">
                  <c:v>-2.9251700061347634</c:v>
                </c:pt>
                <c:pt idx="5">
                  <c:v>3.6484036284706036</c:v>
                </c:pt>
                <c:pt idx="6">
                  <c:v>2.2803838830276533</c:v>
                </c:pt>
                <c:pt idx="7">
                  <c:v>-1.2234484136217674</c:v>
                </c:pt>
                <c:pt idx="8">
                  <c:v>-0.40033756666883846</c:v>
                </c:pt>
                <c:pt idx="9">
                  <c:v>1.703360798255531</c:v>
                </c:pt>
                <c:pt idx="10">
                  <c:v>3.5835468295633035</c:v>
                </c:pt>
                <c:pt idx="11">
                  <c:v>1.447133275055819</c:v>
                </c:pt>
                <c:pt idx="12">
                  <c:v>3.9637150492475115</c:v>
                </c:pt>
                <c:pt idx="13">
                  <c:v>1.6456273419258878</c:v>
                </c:pt>
                <c:pt idx="14">
                  <c:v>3.6573686744589367</c:v>
                </c:pt>
                <c:pt idx="15">
                  <c:v>-3.0734124527580775</c:v>
                </c:pt>
                <c:pt idx="16">
                  <c:v>2.9461746627515311</c:v>
                </c:pt>
                <c:pt idx="17">
                  <c:v>1.8118515296462476</c:v>
                </c:pt>
                <c:pt idx="18">
                  <c:v>-1.4080919220346857</c:v>
                </c:pt>
                <c:pt idx="19">
                  <c:v>0.52720774457036157</c:v>
                </c:pt>
                <c:pt idx="20">
                  <c:v>1.5160659350122074</c:v>
                </c:pt>
              </c:numCache>
            </c:numRef>
          </c:val>
          <c:smooth val="0"/>
          <c:extLst>
            <c:ext xmlns:c16="http://schemas.microsoft.com/office/drawing/2014/chart" uri="{C3380CC4-5D6E-409C-BE32-E72D297353CC}">
              <c16:uniqueId val="{00000006-0E82-4B07-9374-34339C83DE8D}"/>
            </c:ext>
          </c:extLst>
        </c:ser>
        <c:ser>
          <c:idx val="7"/>
          <c:order val="7"/>
          <c:tx>
            <c:strRef>
              <c:f>'Trh práce 3'!$J$75</c:f>
              <c:strCache>
                <c:ptCount val="1"/>
                <c:pt idx="0">
                  <c:v>Total hourly labour productivity (real)***</c:v>
                </c:pt>
              </c:strCache>
            </c:strRef>
          </c:tx>
          <c:spPr>
            <a:ln>
              <a:noFill/>
            </a:ln>
          </c:spPr>
          <c:marker>
            <c:symbol val="diamond"/>
            <c:size val="5"/>
            <c:spPr>
              <a:solidFill>
                <a:schemeClr val="bg1"/>
              </a:solidFill>
              <a:ln>
                <a:solidFill>
                  <a:srgbClr val="CC9610"/>
                </a:solidFill>
              </a:ln>
            </c:spPr>
          </c:marker>
          <c:cat>
            <c:numRef>
              <c:f>'Trh práce 3'!$B$76:$B$96</c:f>
              <c:numCache>
                <c:formatCode>General</c:formatCode>
                <c:ptCount val="21"/>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numCache>
            </c:numRef>
          </c:cat>
          <c:val>
            <c:numRef>
              <c:f>'Trh práce 3'!$J$76:$J$96</c:f>
              <c:numCache>
                <c:formatCode>0.0</c:formatCode>
                <c:ptCount val="21"/>
                <c:pt idx="0">
                  <c:v>4.8583538409178999</c:v>
                </c:pt>
                <c:pt idx="1">
                  <c:v>5.766984370657994</c:v>
                </c:pt>
                <c:pt idx="2">
                  <c:v>4.1595039586152893</c:v>
                </c:pt>
                <c:pt idx="3">
                  <c:v>-0.20758020149193612</c:v>
                </c:pt>
                <c:pt idx="4">
                  <c:v>-2.7262055119233963</c:v>
                </c:pt>
                <c:pt idx="5">
                  <c:v>2.9164764623595971</c:v>
                </c:pt>
                <c:pt idx="6">
                  <c:v>1.9566037733275436</c:v>
                </c:pt>
                <c:pt idx="7">
                  <c:v>0.29595742015509074</c:v>
                </c:pt>
                <c:pt idx="8">
                  <c:v>0.28996779626604052</c:v>
                </c:pt>
                <c:pt idx="9">
                  <c:v>1.0866145718159146</c:v>
                </c:pt>
                <c:pt idx="10">
                  <c:v>4.723084764468922</c:v>
                </c:pt>
                <c:pt idx="11">
                  <c:v>0.31993269813285963</c:v>
                </c:pt>
                <c:pt idx="12">
                  <c:v>3.4302733189548889</c:v>
                </c:pt>
                <c:pt idx="13">
                  <c:v>1.1900439338448336</c:v>
                </c:pt>
                <c:pt idx="14">
                  <c:v>3.7429096099441921</c:v>
                </c:pt>
                <c:pt idx="15">
                  <c:v>3.4387394796415265</c:v>
                </c:pt>
                <c:pt idx="16">
                  <c:v>0.21784363554210984</c:v>
                </c:pt>
                <c:pt idx="17">
                  <c:v>-1.4914057259189235</c:v>
                </c:pt>
                <c:pt idx="18">
                  <c:v>-1.9277532928291521</c:v>
                </c:pt>
                <c:pt idx="19">
                  <c:v>-0.42185736032953969</c:v>
                </c:pt>
                <c:pt idx="20">
                  <c:v>0.30669723596010101</c:v>
                </c:pt>
              </c:numCache>
            </c:numRef>
          </c:val>
          <c:smooth val="0"/>
          <c:extLst>
            <c:ext xmlns:c16="http://schemas.microsoft.com/office/drawing/2014/chart" uri="{C3380CC4-5D6E-409C-BE32-E72D297353CC}">
              <c16:uniqueId val="{00000007-0E82-4B07-9374-34339C83DE8D}"/>
            </c:ext>
          </c:extLst>
        </c:ser>
        <c:dLbls>
          <c:showLegendKey val="0"/>
          <c:showVal val="0"/>
          <c:showCatName val="0"/>
          <c:showSerName val="0"/>
          <c:showPercent val="0"/>
          <c:showBubbleSize val="0"/>
        </c:dLbls>
        <c:marker val="1"/>
        <c:smooth val="0"/>
        <c:axId val="100688640"/>
        <c:axId val="100690560"/>
      </c:lineChart>
      <c:catAx>
        <c:axId val="100688640"/>
        <c:scaling>
          <c:orientation val="minMax"/>
        </c:scaling>
        <c:delete val="0"/>
        <c:axPos val="b"/>
        <c:numFmt formatCode="General" sourceLinked="1"/>
        <c:majorTickMark val="out"/>
        <c:minorTickMark val="none"/>
        <c:tickLblPos val="low"/>
        <c:spPr>
          <a:ln>
            <a:solidFill>
              <a:schemeClr val="tx1"/>
            </a:solidFill>
          </a:ln>
        </c:spPr>
        <c:txPr>
          <a:bodyPr rot="-2400000" vert="horz"/>
          <a:lstStyle/>
          <a:p>
            <a:pPr>
              <a:defRPr/>
            </a:pPr>
            <a:endParaRPr lang="cs-CZ"/>
          </a:p>
        </c:txPr>
        <c:crossAx val="100690560"/>
        <c:crosses val="autoZero"/>
        <c:auto val="1"/>
        <c:lblAlgn val="ctr"/>
        <c:lblOffset val="0"/>
        <c:tickMarkSkip val="4"/>
        <c:noMultiLvlLbl val="0"/>
      </c:catAx>
      <c:valAx>
        <c:axId val="100690560"/>
        <c:scaling>
          <c:orientation val="minMax"/>
          <c:max val="11"/>
          <c:min val="-10"/>
        </c:scaling>
        <c:delete val="0"/>
        <c:axPos val="l"/>
        <c:majorGridlines>
          <c:spPr>
            <a:ln>
              <a:solidFill>
                <a:schemeClr val="bg1">
                  <a:lumMod val="75000"/>
                </a:schemeClr>
              </a:solidFill>
            </a:ln>
          </c:spPr>
        </c:majorGridlines>
        <c:numFmt formatCode="0" sourceLinked="0"/>
        <c:majorTickMark val="out"/>
        <c:minorTickMark val="none"/>
        <c:tickLblPos val="nextTo"/>
        <c:spPr>
          <a:ln>
            <a:solidFill>
              <a:schemeClr val="tx1"/>
            </a:solidFill>
          </a:ln>
        </c:spPr>
        <c:crossAx val="100688640"/>
        <c:crosses val="autoZero"/>
        <c:crossBetween val="between"/>
        <c:majorUnit val="1"/>
      </c:valAx>
      <c:spPr>
        <a:ln>
          <a:solidFill>
            <a:schemeClr val="tx1"/>
          </a:solidFill>
        </a:ln>
      </c:spPr>
    </c:plotArea>
    <c:legend>
      <c:legendPos val="b"/>
      <c:layout>
        <c:manualLayout>
          <c:xMode val="edge"/>
          <c:yMode val="edge"/>
          <c:x val="3.7640045338093301E-3"/>
          <c:y val="0.88009331562195559"/>
          <c:w val="0.98815493910376873"/>
          <c:h val="0.11602063835220536"/>
        </c:manualLayout>
      </c:layout>
      <c:overlay val="0"/>
      <c:spPr>
        <a:ln w="6350">
          <a:solidFill>
            <a:schemeClr val="tx1"/>
          </a:solidFill>
        </a:ln>
      </c:spPr>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557159743329959E-2"/>
          <c:y val="2.1711264016309892E-2"/>
          <c:w val="0.93757303275920301"/>
          <c:h val="0.73130361364404473"/>
        </c:manualLayout>
      </c:layout>
      <c:barChart>
        <c:barDir val="col"/>
        <c:grouping val="clustered"/>
        <c:varyColors val="0"/>
        <c:ser>
          <c:idx val="0"/>
          <c:order val="0"/>
          <c:tx>
            <c:strRef>
              <c:f>'Měnové podmínky 1'!$C$5</c:f>
              <c:strCache>
                <c:ptCount val="1"/>
                <c:pt idx="0">
                  <c:v>2W repo rate</c:v>
                </c:pt>
              </c:strCache>
            </c:strRef>
          </c:tx>
          <c:spPr>
            <a:solidFill>
              <a:srgbClr val="B8BBC0"/>
            </a:solidFill>
          </c:spPr>
          <c:invertIfNegative val="0"/>
          <c:cat>
            <c:multiLvlStrRef>
              <c:f>'Měnové podmínky 1'!$A$30:$B$101</c:f>
              <c:multiLvlStrCache>
                <c:ptCount val="72"/>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pt idx="36">
                    <c:v>1</c:v>
                  </c:pt>
                  <c:pt idx="37">
                    <c:v>2</c:v>
                  </c:pt>
                  <c:pt idx="38">
                    <c:v>3</c:v>
                  </c:pt>
                  <c:pt idx="39">
                    <c:v>4</c:v>
                  </c:pt>
                  <c:pt idx="40">
                    <c:v>5</c:v>
                  </c:pt>
                  <c:pt idx="41">
                    <c:v>6</c:v>
                  </c:pt>
                  <c:pt idx="42">
                    <c:v>7</c:v>
                  </c:pt>
                  <c:pt idx="43">
                    <c:v>8</c:v>
                  </c:pt>
                  <c:pt idx="44">
                    <c:v>9</c:v>
                  </c:pt>
                  <c:pt idx="45">
                    <c:v>10</c:v>
                  </c:pt>
                  <c:pt idx="46">
                    <c:v>11</c:v>
                  </c:pt>
                  <c:pt idx="47">
                    <c:v>12</c:v>
                  </c:pt>
                  <c:pt idx="48">
                    <c:v>1</c:v>
                  </c:pt>
                  <c:pt idx="49">
                    <c:v>2</c:v>
                  </c:pt>
                  <c:pt idx="50">
                    <c:v>3</c:v>
                  </c:pt>
                  <c:pt idx="51">
                    <c:v>4</c:v>
                  </c:pt>
                  <c:pt idx="52">
                    <c:v>5</c:v>
                  </c:pt>
                  <c:pt idx="53">
                    <c:v>6</c:v>
                  </c:pt>
                  <c:pt idx="54">
                    <c:v>7</c:v>
                  </c:pt>
                  <c:pt idx="55">
                    <c:v>8</c:v>
                  </c:pt>
                  <c:pt idx="56">
                    <c:v>9</c:v>
                  </c:pt>
                  <c:pt idx="57">
                    <c:v>10</c:v>
                  </c:pt>
                  <c:pt idx="58">
                    <c:v>11</c:v>
                  </c:pt>
                  <c:pt idx="59">
                    <c:v>12</c:v>
                  </c:pt>
                  <c:pt idx="60">
                    <c:v>1</c:v>
                  </c:pt>
                  <c:pt idx="61">
                    <c:v>2</c:v>
                  </c:pt>
                  <c:pt idx="62">
                    <c:v>3</c:v>
                  </c:pt>
                  <c:pt idx="63">
                    <c:v>4</c:v>
                  </c:pt>
                  <c:pt idx="64">
                    <c:v>5</c:v>
                  </c:pt>
                  <c:pt idx="65">
                    <c:v>6</c:v>
                  </c:pt>
                  <c:pt idx="66">
                    <c:v>7</c:v>
                  </c:pt>
                  <c:pt idx="67">
                    <c:v>8</c:v>
                  </c:pt>
                  <c:pt idx="68">
                    <c:v>9</c:v>
                  </c:pt>
                  <c:pt idx="69">
                    <c:v>10</c:v>
                  </c:pt>
                  <c:pt idx="70">
                    <c:v>11</c:v>
                  </c:pt>
                  <c:pt idx="71">
                    <c:v>12</c:v>
                  </c:pt>
                </c:lvl>
                <c:lvl>
                  <c:pt idx="0">
                    <c:v>2020</c:v>
                  </c:pt>
                  <c:pt idx="12">
                    <c:v>2021</c:v>
                  </c:pt>
                  <c:pt idx="24">
                    <c:v>2022</c:v>
                  </c:pt>
                  <c:pt idx="36">
                    <c:v>2023</c:v>
                  </c:pt>
                  <c:pt idx="48">
                    <c:v>2024</c:v>
                  </c:pt>
                  <c:pt idx="60">
                    <c:v>2025</c:v>
                  </c:pt>
                </c:lvl>
              </c:multiLvlStrCache>
            </c:multiLvlStrRef>
          </c:cat>
          <c:val>
            <c:numRef>
              <c:f>'Měnové podmínky 1'!$C$30:$C$101</c:f>
              <c:numCache>
                <c:formatCode>General</c:formatCode>
                <c:ptCount val="72"/>
                <c:pt idx="0">
                  <c:v>2</c:v>
                </c:pt>
                <c:pt idx="1">
                  <c:v>2.25</c:v>
                </c:pt>
                <c:pt idx="2">
                  <c:v>1</c:v>
                </c:pt>
                <c:pt idx="3">
                  <c:v>1</c:v>
                </c:pt>
                <c:pt idx="4">
                  <c:v>0.25</c:v>
                </c:pt>
                <c:pt idx="5">
                  <c:v>0.25</c:v>
                </c:pt>
                <c:pt idx="6">
                  <c:v>0.25</c:v>
                </c:pt>
                <c:pt idx="7">
                  <c:v>0.25</c:v>
                </c:pt>
                <c:pt idx="8">
                  <c:v>0.25</c:v>
                </c:pt>
                <c:pt idx="9">
                  <c:v>0.25</c:v>
                </c:pt>
                <c:pt idx="10">
                  <c:v>0.25</c:v>
                </c:pt>
                <c:pt idx="11">
                  <c:v>0.25</c:v>
                </c:pt>
                <c:pt idx="12">
                  <c:v>0.25</c:v>
                </c:pt>
                <c:pt idx="13">
                  <c:v>0.25</c:v>
                </c:pt>
                <c:pt idx="14">
                  <c:v>0.25</c:v>
                </c:pt>
                <c:pt idx="15">
                  <c:v>0.25</c:v>
                </c:pt>
                <c:pt idx="16">
                  <c:v>0.25</c:v>
                </c:pt>
                <c:pt idx="17">
                  <c:v>0.5</c:v>
                </c:pt>
                <c:pt idx="18">
                  <c:v>0.5</c:v>
                </c:pt>
                <c:pt idx="19">
                  <c:v>0.75</c:v>
                </c:pt>
                <c:pt idx="20">
                  <c:v>0.75</c:v>
                </c:pt>
                <c:pt idx="21">
                  <c:v>1.5</c:v>
                </c:pt>
                <c:pt idx="22">
                  <c:v>2.75</c:v>
                </c:pt>
                <c:pt idx="23">
                  <c:v>3.75</c:v>
                </c:pt>
                <c:pt idx="24">
                  <c:v>3.75</c:v>
                </c:pt>
                <c:pt idx="25">
                  <c:v>4.5</c:v>
                </c:pt>
                <c:pt idx="26">
                  <c:v>4.5</c:v>
                </c:pt>
                <c:pt idx="27">
                  <c:v>5</c:v>
                </c:pt>
                <c:pt idx="28">
                  <c:v>5.75</c:v>
                </c:pt>
                <c:pt idx="29">
                  <c:v>7</c:v>
                </c:pt>
                <c:pt idx="30">
                  <c:v>7</c:v>
                </c:pt>
                <c:pt idx="31">
                  <c:v>7</c:v>
                </c:pt>
                <c:pt idx="32">
                  <c:v>7</c:v>
                </c:pt>
                <c:pt idx="33">
                  <c:v>7</c:v>
                </c:pt>
                <c:pt idx="34">
                  <c:v>7</c:v>
                </c:pt>
                <c:pt idx="35">
                  <c:v>7</c:v>
                </c:pt>
                <c:pt idx="36">
                  <c:v>7</c:v>
                </c:pt>
                <c:pt idx="37">
                  <c:v>7</c:v>
                </c:pt>
                <c:pt idx="38">
                  <c:v>7</c:v>
                </c:pt>
                <c:pt idx="39" formatCode="###\ ###\ ###\ ###\ ##0.00;\-###\ ###\ ###\ ###\ ##0.00">
                  <c:v>7</c:v>
                </c:pt>
                <c:pt idx="40" formatCode="###\ ###\ ###\ ###\ ##0.00;\-###\ ###\ ###\ ###\ ##0.00">
                  <c:v>7</c:v>
                </c:pt>
                <c:pt idx="41" formatCode="###\ ###\ ###\ ###\ ##0.00;\-###\ ###\ ###\ ###\ ##0.00">
                  <c:v>7</c:v>
                </c:pt>
                <c:pt idx="42" formatCode="###\ ###\ ###\ ###\ ##0.00;\-###\ ###\ ###\ ###\ ##0.00">
                  <c:v>7</c:v>
                </c:pt>
                <c:pt idx="43" formatCode="###\ ###\ ###\ ###\ ##0.00;\-###\ ###\ ###\ ###\ ##0.00">
                  <c:v>7</c:v>
                </c:pt>
                <c:pt idx="44" formatCode="###\ ###\ ###\ ###\ ##0.00;\-###\ ###\ ###\ ###\ ##0.00">
                  <c:v>7</c:v>
                </c:pt>
                <c:pt idx="45" formatCode="###\ ###\ ###\ ###\ ##0.00;\-###\ ###\ ###\ ###\ ##0.00">
                  <c:v>7</c:v>
                </c:pt>
                <c:pt idx="46" formatCode="###\ ###\ ###\ ###\ ##0.00;\-###\ ###\ ###\ ###\ ##0.00">
                  <c:v>7</c:v>
                </c:pt>
                <c:pt idx="47" formatCode="###\ ###\ ###\ ###\ ##0.00;\-###\ ###\ ###\ ###\ ##0.00">
                  <c:v>6.75</c:v>
                </c:pt>
                <c:pt idx="48" formatCode="###\ ###\ ###\ ###\ ##0.00;\-###\ ###\ ###\ ###\ ##0.00">
                  <c:v>6.75</c:v>
                </c:pt>
                <c:pt idx="49" formatCode="###\ ###\ ###\ ###\ ##0.00;\-###\ ###\ ###\ ###\ ##0.00">
                  <c:v>6.25</c:v>
                </c:pt>
                <c:pt idx="50" formatCode="###\ ###\ ###\ ###\ ##0.00;\-###\ ###\ ###\ ###\ ##0.00">
                  <c:v>5.75</c:v>
                </c:pt>
                <c:pt idx="51" formatCode="###\ ###\ ###\ ###\ ##0.00;\-###\ ###\ ###\ ###\ ##0.00">
                  <c:v>5.75</c:v>
                </c:pt>
                <c:pt idx="52" formatCode="###\ ###\ ###\ ###\ ##0.00;\-###\ ###\ ###\ ###\ ##0.00">
                  <c:v>5.25</c:v>
                </c:pt>
                <c:pt idx="53" formatCode="###\ ###\ ###\ ###\ ##0.00;\-###\ ###\ ###\ ###\ ##0.00">
                  <c:v>4.75</c:v>
                </c:pt>
                <c:pt idx="54" formatCode="###\ ###\ ###\ ###\ ##0.00;\-###\ ###\ ###\ ###\ ##0.00">
                  <c:v>4.75</c:v>
                </c:pt>
                <c:pt idx="55" formatCode="###\ ###\ ###\ ###\ ##0.00;\-###\ ###\ ###\ ###\ ##0.00">
                  <c:v>4.5</c:v>
                </c:pt>
                <c:pt idx="56" formatCode="###\ ###\ ###\ ###\ ##0.00;\-###\ ###\ ###\ ###\ ##0.00">
                  <c:v>4.25</c:v>
                </c:pt>
                <c:pt idx="57" formatCode="###\ ###\ ###\ ###\ ##0.00;\-###\ ###\ ###\ ###\ ##0.00">
                  <c:v>4.25</c:v>
                </c:pt>
                <c:pt idx="58" formatCode="###\ ###\ ###\ ###\ ##0.00;\-###\ ###\ ###\ ###\ ##0.00">
                  <c:v>4</c:v>
                </c:pt>
                <c:pt idx="59" formatCode="###\ ###\ ###\ ###\ ##0.00;\-###\ ###\ ###\ ###\ ##0.00">
                  <c:v>4</c:v>
                </c:pt>
                <c:pt idx="60" formatCode="###\ ###\ ###\ ###\ ##0.00;\-###\ ###\ ###\ ###\ ##0.00">
                  <c:v>4</c:v>
                </c:pt>
                <c:pt idx="61" formatCode="###\ ###\ ###\ ###\ ##0.00;\-###\ ###\ ###\ ###\ ##0.00">
                  <c:v>3.75</c:v>
                </c:pt>
                <c:pt idx="62" formatCode="###\ ###\ ###\ ###\ ##0.00;\-###\ ###\ ###\ ###\ ##0.00">
                  <c:v>3.75</c:v>
                </c:pt>
                <c:pt idx="63" formatCode="###\ ###\ ###\ ###\ ##0.00;\-###\ ###\ ###\ ###\ ##0.00">
                  <c:v>3.75</c:v>
                </c:pt>
                <c:pt idx="64" formatCode="###\ ###\ ###\ ###\ ##0.00;\-###\ ###\ ###\ ###\ ##0.00">
                  <c:v>3.5</c:v>
                </c:pt>
                <c:pt idx="65" formatCode="###\ ###\ ###\ ###\ ##0.00;\-###\ ###\ ###\ ###\ ##0.00">
                  <c:v>3.5</c:v>
                </c:pt>
                <c:pt idx="66" formatCode="###\ ###\ ###\ ###\ ##0.00;\-###\ ###\ ###\ ###\ ##0.00">
                  <c:v>3.5</c:v>
                </c:pt>
                <c:pt idx="67" formatCode="###\ ###\ ###\ ###\ ##0.00;\-###\ ###\ ###\ ###\ ##0.00">
                  <c:v>3.5</c:v>
                </c:pt>
                <c:pt idx="68" formatCode="###\ ###\ ###\ ###\ ##0.00;\-###\ ###\ ###\ ###\ ##0.00">
                  <c:v>3.5</c:v>
                </c:pt>
                <c:pt idx="69" formatCode="###\ ###\ ###\ ###\ ##0.00;\-###\ ###\ ###\ ###\ ##0.00">
                  <c:v>3.5</c:v>
                </c:pt>
                <c:pt idx="70" formatCode="###\ ###\ ###\ ###\ ##0.00;\-###\ ###\ ###\ ###\ ##0.00">
                  <c:v>3.5</c:v>
                </c:pt>
                <c:pt idx="71" formatCode="###\ ###\ ###\ ###\ ##0.00;\-###\ ###\ ###\ ###\ ##0.00">
                  <c:v>3.5</c:v>
                </c:pt>
              </c:numCache>
            </c:numRef>
          </c:val>
          <c:extLst>
            <c:ext xmlns:c16="http://schemas.microsoft.com/office/drawing/2014/chart" uri="{C3380CC4-5D6E-409C-BE32-E72D297353CC}">
              <c16:uniqueId val="{00000000-B06E-4CA5-9370-6FA959DA4710}"/>
            </c:ext>
          </c:extLst>
        </c:ser>
        <c:dLbls>
          <c:showLegendKey val="0"/>
          <c:showVal val="0"/>
          <c:showCatName val="0"/>
          <c:showSerName val="0"/>
          <c:showPercent val="0"/>
          <c:showBubbleSize val="0"/>
        </c:dLbls>
        <c:gapWidth val="31"/>
        <c:axId val="131001344"/>
        <c:axId val="131027712"/>
      </c:barChart>
      <c:lineChart>
        <c:grouping val="standard"/>
        <c:varyColors val="0"/>
        <c:ser>
          <c:idx val="3"/>
          <c:order val="1"/>
          <c:tx>
            <c:strRef>
              <c:f>'Měnové podmínky 1'!$F$5</c:f>
              <c:strCache>
                <c:ptCount val="1"/>
                <c:pt idx="0">
                  <c:v>Average yield of government bonds (2Y)</c:v>
                </c:pt>
              </c:strCache>
            </c:strRef>
          </c:tx>
          <c:spPr>
            <a:ln w="19050">
              <a:solidFill>
                <a:srgbClr val="86BF5E"/>
              </a:solidFill>
            </a:ln>
          </c:spPr>
          <c:marker>
            <c:symbol val="none"/>
          </c:marker>
          <c:cat>
            <c:multiLvlStrRef>
              <c:f>'Měnové podmínky 1'!$A$30:$B$101</c:f>
              <c:multiLvlStrCache>
                <c:ptCount val="72"/>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pt idx="36">
                    <c:v>1</c:v>
                  </c:pt>
                  <c:pt idx="37">
                    <c:v>2</c:v>
                  </c:pt>
                  <c:pt idx="38">
                    <c:v>3</c:v>
                  </c:pt>
                  <c:pt idx="39">
                    <c:v>4</c:v>
                  </c:pt>
                  <c:pt idx="40">
                    <c:v>5</c:v>
                  </c:pt>
                  <c:pt idx="41">
                    <c:v>6</c:v>
                  </c:pt>
                  <c:pt idx="42">
                    <c:v>7</c:v>
                  </c:pt>
                  <c:pt idx="43">
                    <c:v>8</c:v>
                  </c:pt>
                  <c:pt idx="44">
                    <c:v>9</c:v>
                  </c:pt>
                  <c:pt idx="45">
                    <c:v>10</c:v>
                  </c:pt>
                  <c:pt idx="46">
                    <c:v>11</c:v>
                  </c:pt>
                  <c:pt idx="47">
                    <c:v>12</c:v>
                  </c:pt>
                  <c:pt idx="48">
                    <c:v>1</c:v>
                  </c:pt>
                  <c:pt idx="49">
                    <c:v>2</c:v>
                  </c:pt>
                  <c:pt idx="50">
                    <c:v>3</c:v>
                  </c:pt>
                  <c:pt idx="51">
                    <c:v>4</c:v>
                  </c:pt>
                  <c:pt idx="52">
                    <c:v>5</c:v>
                  </c:pt>
                  <c:pt idx="53">
                    <c:v>6</c:v>
                  </c:pt>
                  <c:pt idx="54">
                    <c:v>7</c:v>
                  </c:pt>
                  <c:pt idx="55">
                    <c:v>8</c:v>
                  </c:pt>
                  <c:pt idx="56">
                    <c:v>9</c:v>
                  </c:pt>
                  <c:pt idx="57">
                    <c:v>10</c:v>
                  </c:pt>
                  <c:pt idx="58">
                    <c:v>11</c:v>
                  </c:pt>
                  <c:pt idx="59">
                    <c:v>12</c:v>
                  </c:pt>
                  <c:pt idx="60">
                    <c:v>1</c:v>
                  </c:pt>
                  <c:pt idx="61">
                    <c:v>2</c:v>
                  </c:pt>
                  <c:pt idx="62">
                    <c:v>3</c:v>
                  </c:pt>
                  <c:pt idx="63">
                    <c:v>4</c:v>
                  </c:pt>
                  <c:pt idx="64">
                    <c:v>5</c:v>
                  </c:pt>
                  <c:pt idx="65">
                    <c:v>6</c:v>
                  </c:pt>
                  <c:pt idx="66">
                    <c:v>7</c:v>
                  </c:pt>
                  <c:pt idx="67">
                    <c:v>8</c:v>
                  </c:pt>
                  <c:pt idx="68">
                    <c:v>9</c:v>
                  </c:pt>
                  <c:pt idx="69">
                    <c:v>10</c:v>
                  </c:pt>
                  <c:pt idx="70">
                    <c:v>11</c:v>
                  </c:pt>
                  <c:pt idx="71">
                    <c:v>12</c:v>
                  </c:pt>
                </c:lvl>
                <c:lvl>
                  <c:pt idx="0">
                    <c:v>2020</c:v>
                  </c:pt>
                  <c:pt idx="12">
                    <c:v>2021</c:v>
                  </c:pt>
                  <c:pt idx="24">
                    <c:v>2022</c:v>
                  </c:pt>
                  <c:pt idx="36">
                    <c:v>2023</c:v>
                  </c:pt>
                  <c:pt idx="48">
                    <c:v>2024</c:v>
                  </c:pt>
                  <c:pt idx="60">
                    <c:v>2025</c:v>
                  </c:pt>
                </c:lvl>
              </c:multiLvlStrCache>
            </c:multiLvlStrRef>
          </c:cat>
          <c:val>
            <c:numRef>
              <c:f>'Měnové podmínky 1'!$F$30:$F$101</c:f>
              <c:numCache>
                <c:formatCode>General</c:formatCode>
                <c:ptCount val="72"/>
                <c:pt idx="0">
                  <c:v>1.55</c:v>
                </c:pt>
                <c:pt idx="1">
                  <c:v>1.57</c:v>
                </c:pt>
                <c:pt idx="2">
                  <c:v>1.27</c:v>
                </c:pt>
                <c:pt idx="3">
                  <c:v>0.71</c:v>
                </c:pt>
                <c:pt idx="4">
                  <c:v>0.13</c:v>
                </c:pt>
                <c:pt idx="5">
                  <c:v>0.08</c:v>
                </c:pt>
                <c:pt idx="6">
                  <c:v>0.02</c:v>
                </c:pt>
                <c:pt idx="7">
                  <c:v>0.04</c:v>
                </c:pt>
                <c:pt idx="8">
                  <c:v>0.05</c:v>
                </c:pt>
                <c:pt idx="9">
                  <c:v>0</c:v>
                </c:pt>
                <c:pt idx="10">
                  <c:v>0.06</c:v>
                </c:pt>
                <c:pt idx="11">
                  <c:v>0.16</c:v>
                </c:pt>
                <c:pt idx="12">
                  <c:v>0.26</c:v>
                </c:pt>
                <c:pt idx="13">
                  <c:v>0.45</c:v>
                </c:pt>
                <c:pt idx="14">
                  <c:v>0.75</c:v>
                </c:pt>
                <c:pt idx="15">
                  <c:v>0.76</c:v>
                </c:pt>
                <c:pt idx="16">
                  <c:v>0.76</c:v>
                </c:pt>
                <c:pt idx="17">
                  <c:v>0.69</c:v>
                </c:pt>
                <c:pt idx="18">
                  <c:v>0.84</c:v>
                </c:pt>
                <c:pt idx="19">
                  <c:v>1.24</c:v>
                </c:pt>
                <c:pt idx="20">
                  <c:v>1.6</c:v>
                </c:pt>
                <c:pt idx="21">
                  <c:v>2.29</c:v>
                </c:pt>
                <c:pt idx="22">
                  <c:v>3</c:v>
                </c:pt>
                <c:pt idx="23">
                  <c:v>3.07</c:v>
                </c:pt>
                <c:pt idx="24">
                  <c:v>3.81</c:v>
                </c:pt>
                <c:pt idx="25">
                  <c:v>3.77</c:v>
                </c:pt>
                <c:pt idx="26">
                  <c:v>4.54</c:v>
                </c:pt>
                <c:pt idx="27">
                  <c:v>5.13</c:v>
                </c:pt>
                <c:pt idx="28">
                  <c:v>5.65</c:v>
                </c:pt>
                <c:pt idx="29">
                  <c:v>6.26</c:v>
                </c:pt>
                <c:pt idx="30">
                  <c:v>6.38</c:v>
                </c:pt>
                <c:pt idx="31">
                  <c:v>5.86</c:v>
                </c:pt>
                <c:pt idx="32">
                  <c:v>5.9</c:v>
                </c:pt>
                <c:pt idx="33">
                  <c:v>6.18</c:v>
                </c:pt>
                <c:pt idx="34">
                  <c:v>5.68</c:v>
                </c:pt>
                <c:pt idx="35">
                  <c:v>5.19</c:v>
                </c:pt>
                <c:pt idx="36" formatCode="###\ ###\ ###\ ###\ ##0.00;\-###\ ###\ ###\ ###\ ##0.00">
                  <c:v>5.3820143358172814</c:v>
                </c:pt>
                <c:pt idx="37" formatCode="###\ ###\ ###\ ###\ ##0.00;\-###\ ###\ ###\ ###\ ##0.00">
                  <c:v>5.5102623550618501</c:v>
                </c:pt>
                <c:pt idx="38" formatCode="###\ ###\ ###\ ###\ ##0.00;\-###\ ###\ ###\ ###\ ##0.00">
                  <c:v>5.2897725027111999</c:v>
                </c:pt>
                <c:pt idx="39" formatCode="###\ ###\ ###\ ###\ ##0.00;\-###\ ###\ ###\ ###\ ##0.00">
                  <c:v>5.4232360381175866</c:v>
                </c:pt>
                <c:pt idx="40" formatCode="###\ ###\ ###\ ###\ ##0.00;\-###\ ###\ ###\ ###\ ##0.00">
                  <c:v>5.4162815888395777</c:v>
                </c:pt>
                <c:pt idx="41" formatCode="###\ ###\ ###\ ###\ ##0.00;\-###\ ###\ ###\ ###\ ##0.00">
                  <c:v>5.3664752553650841</c:v>
                </c:pt>
                <c:pt idx="42" formatCode="###\ ###\ ###\ ###\ ##0.00;\-###\ ###\ ###\ ###\ ##0.00">
                  <c:v>5.2428078558777935</c:v>
                </c:pt>
                <c:pt idx="43" formatCode="###\ ###\ ###\ ###\ ##0.00;\-###\ ###\ ###\ ###\ ##0.00">
                  <c:v>5.1353490658602521</c:v>
                </c:pt>
                <c:pt idx="44" formatCode="###\ ###\ ###\ ###\ ##0.00;\-###\ ###\ ###\ ###\ ##0.00">
                  <c:v>5.0416686003519704</c:v>
                </c:pt>
                <c:pt idx="45" formatCode="###\ ###\ ###\ ###\ ##0.00;\-###\ ###\ ###\ ###\ ##0.00">
                  <c:v>5.0079198294298592</c:v>
                </c:pt>
                <c:pt idx="46" formatCode="###\ ###\ ###\ ###\ ##0.00;\-###\ ###\ ###\ ###\ ##0.00">
                  <c:v>4.8554647740100689</c:v>
                </c:pt>
                <c:pt idx="47" formatCode="###\ ###\ ###\ ###\ ##0.00;\-###\ ###\ ###\ ###\ ##0.00">
                  <c:v>4.6053753410259048</c:v>
                </c:pt>
                <c:pt idx="48" formatCode="###\ ###\ ###\ ###\ ##0.00;\-###\ ###\ ###\ ###\ ##0.00">
                  <c:v>4.2136537187056122</c:v>
                </c:pt>
                <c:pt idx="49" formatCode="###\ ###\ ###\ ###\ ##0.00;\-###\ ###\ ###\ ###\ ##0.00">
                  <c:v>3.7766020145670578</c:v>
                </c:pt>
                <c:pt idx="50" formatCode="###\ ###\ ###\ ###\ ##0.00;\-###\ ###\ ###\ ###\ ##0.00">
                  <c:v>3.7279261080474861</c:v>
                </c:pt>
                <c:pt idx="51" formatCode="###\ ###\ ###\ ###\ ##0.00;\-###\ ###\ ###\ ###\ ##0.00">
                  <c:v>4.0118973322405145</c:v>
                </c:pt>
                <c:pt idx="52" formatCode="###\ ###\ ###\ ###\ ##0.00;\-###\ ###\ ###\ ###\ ##0.00">
                  <c:v>4.1300681765456435</c:v>
                </c:pt>
                <c:pt idx="53" formatCode="###\ ###\ ###\ ###\ ##0.00;\-###\ ###\ ###\ ###\ ##0.00">
                  <c:v>4.2164856033630391</c:v>
                </c:pt>
                <c:pt idx="54" formatCode="###\ ###\ ###\ ###\ ##0.00;\-###\ ###\ ###\ ###\ ##0.00">
                  <c:v>3.9029960800170911</c:v>
                </c:pt>
                <c:pt idx="55" formatCode="###\ ###\ ###\ ###\ ##0.00;\-###\ ###\ ###\ ###\ ##0.00">
                  <c:v>3.6092171953235983</c:v>
                </c:pt>
                <c:pt idx="56" formatCode="###\ ###\ ###\ ###\ ##0.00;\-###\ ###\ ###\ ###\ ##0.00">
                  <c:v>3.5038942508225221</c:v>
                </c:pt>
                <c:pt idx="57" formatCode="###\ ###\ ###\ ###\ ##0.00;\-###\ ###\ ###\ ###\ ##0.00">
                  <c:v>3.5913124701621322</c:v>
                </c:pt>
                <c:pt idx="58" formatCode="###\ ###\ ###\ ###\ ##0.00;\-###\ ###\ ###\ ###\ ##0.00">
                  <c:v>3.6229260484095986</c:v>
                </c:pt>
                <c:pt idx="59" formatCode="###\ ###\ ###\ ###\ ##0.00;\-###\ ###\ ###\ ###\ ##0.00">
                  <c:v>3.633213073730468</c:v>
                </c:pt>
                <c:pt idx="60" formatCode="###\ ###\ ###\ ###\ ##0.00;\-###\ ###\ ###\ ###\ ##0.00">
                  <c:v>3.6198225590376429</c:v>
                </c:pt>
                <c:pt idx="61" formatCode="###\ ###\ ###\ ###\ ##0.00;\-###\ ###\ ###\ ###\ ##0.00">
                  <c:v>3.4995673098754891</c:v>
                </c:pt>
                <c:pt idx="62" formatCode="###\ ###\ ###\ ###\ ##0.00;\-###\ ###\ ###\ ###\ ##0.00">
                  <c:v>3.4362126025099986</c:v>
                </c:pt>
                <c:pt idx="63" formatCode="###\ ###\ ###\ ###\ ##0.00;\-###\ ###\ ###\ ###\ ##0.00">
                  <c:v>3.3165813662414552</c:v>
                </c:pt>
                <c:pt idx="64" formatCode="###\ ###\ ###\ ###\ ##0.00;\-###\ ###\ ###\ ###\ ##0.00">
                  <c:v>3.381600528900147</c:v>
                </c:pt>
                <c:pt idx="65" formatCode="###\ ###\ ###\ ###\ ##0.00;\-###\ ###\ ###\ ###\ ##0.00">
                  <c:v>3.473857271350679</c:v>
                </c:pt>
                <c:pt idx="66" formatCode="###\ ###\ ###\ ###\ ##0.00;\-###\ ###\ ###\ ###\ ##0.00">
                  <c:v>3.5190819740892496</c:v>
                </c:pt>
                <c:pt idx="67" formatCode="###\ ###\ ###\ ###\ ##0.00;\-###\ ###\ ###\ ###\ ##0.00">
                  <c:v>3.4836667416091198</c:v>
                </c:pt>
                <c:pt idx="68" formatCode="###\ ###\ ###\ ###\ ##0.00;\-###\ ###\ ###\ ###\ ##0.00">
                  <c:v>3.5436249291853472</c:v>
                </c:pt>
                <c:pt idx="69" formatCode="###\ ###\ ###\ ###\ ##0.00;\-###\ ###\ ###\ ###\ ##0.00">
                  <c:v>3.574561141829057</c:v>
                </c:pt>
                <c:pt idx="70" formatCode="###\ ###\ ###\ ###\ ##0.00;\-###\ ###\ ###\ ###\ ##0.00">
                  <c:v>3.6337666942257352</c:v>
                </c:pt>
                <c:pt idx="71" formatCode="###\ ###\ ###\ ###\ ##0.00;\-###\ ###\ ###\ ###\ ##0.00">
                  <c:v>3.5964323584064695</c:v>
                </c:pt>
              </c:numCache>
            </c:numRef>
          </c:val>
          <c:smooth val="0"/>
          <c:extLst>
            <c:ext xmlns:c16="http://schemas.microsoft.com/office/drawing/2014/chart" uri="{C3380CC4-5D6E-409C-BE32-E72D297353CC}">
              <c16:uniqueId val="{00000001-B06E-4CA5-9370-6FA959DA4710}"/>
            </c:ext>
          </c:extLst>
        </c:ser>
        <c:ser>
          <c:idx val="1"/>
          <c:order val="2"/>
          <c:tx>
            <c:strRef>
              <c:f>'Měnové podmínky 1'!$D$5</c:f>
              <c:strCache>
                <c:ptCount val="1"/>
                <c:pt idx="0">
                  <c:v>PRIBOR (3M)</c:v>
                </c:pt>
              </c:strCache>
            </c:strRef>
          </c:tx>
          <c:spPr>
            <a:ln w="19050">
              <a:solidFill>
                <a:srgbClr val="009CB5"/>
              </a:solidFill>
            </a:ln>
          </c:spPr>
          <c:marker>
            <c:symbol val="none"/>
          </c:marker>
          <c:cat>
            <c:multiLvlStrRef>
              <c:f>'Měnové podmínky 1'!$A$30:$B$101</c:f>
              <c:multiLvlStrCache>
                <c:ptCount val="72"/>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pt idx="36">
                    <c:v>1</c:v>
                  </c:pt>
                  <c:pt idx="37">
                    <c:v>2</c:v>
                  </c:pt>
                  <c:pt idx="38">
                    <c:v>3</c:v>
                  </c:pt>
                  <c:pt idx="39">
                    <c:v>4</c:v>
                  </c:pt>
                  <c:pt idx="40">
                    <c:v>5</c:v>
                  </c:pt>
                  <c:pt idx="41">
                    <c:v>6</c:v>
                  </c:pt>
                  <c:pt idx="42">
                    <c:v>7</c:v>
                  </c:pt>
                  <c:pt idx="43">
                    <c:v>8</c:v>
                  </c:pt>
                  <c:pt idx="44">
                    <c:v>9</c:v>
                  </c:pt>
                  <c:pt idx="45">
                    <c:v>10</c:v>
                  </c:pt>
                  <c:pt idx="46">
                    <c:v>11</c:v>
                  </c:pt>
                  <c:pt idx="47">
                    <c:v>12</c:v>
                  </c:pt>
                  <c:pt idx="48">
                    <c:v>1</c:v>
                  </c:pt>
                  <c:pt idx="49">
                    <c:v>2</c:v>
                  </c:pt>
                  <c:pt idx="50">
                    <c:v>3</c:v>
                  </c:pt>
                  <c:pt idx="51">
                    <c:v>4</c:v>
                  </c:pt>
                  <c:pt idx="52">
                    <c:v>5</c:v>
                  </c:pt>
                  <c:pt idx="53">
                    <c:v>6</c:v>
                  </c:pt>
                  <c:pt idx="54">
                    <c:v>7</c:v>
                  </c:pt>
                  <c:pt idx="55">
                    <c:v>8</c:v>
                  </c:pt>
                  <c:pt idx="56">
                    <c:v>9</c:v>
                  </c:pt>
                  <c:pt idx="57">
                    <c:v>10</c:v>
                  </c:pt>
                  <c:pt idx="58">
                    <c:v>11</c:v>
                  </c:pt>
                  <c:pt idx="59">
                    <c:v>12</c:v>
                  </c:pt>
                  <c:pt idx="60">
                    <c:v>1</c:v>
                  </c:pt>
                  <c:pt idx="61">
                    <c:v>2</c:v>
                  </c:pt>
                  <c:pt idx="62">
                    <c:v>3</c:v>
                  </c:pt>
                  <c:pt idx="63">
                    <c:v>4</c:v>
                  </c:pt>
                  <c:pt idx="64">
                    <c:v>5</c:v>
                  </c:pt>
                  <c:pt idx="65">
                    <c:v>6</c:v>
                  </c:pt>
                  <c:pt idx="66">
                    <c:v>7</c:v>
                  </c:pt>
                  <c:pt idx="67">
                    <c:v>8</c:v>
                  </c:pt>
                  <c:pt idx="68">
                    <c:v>9</c:v>
                  </c:pt>
                  <c:pt idx="69">
                    <c:v>10</c:v>
                  </c:pt>
                  <c:pt idx="70">
                    <c:v>11</c:v>
                  </c:pt>
                  <c:pt idx="71">
                    <c:v>12</c:v>
                  </c:pt>
                </c:lvl>
                <c:lvl>
                  <c:pt idx="0">
                    <c:v>2020</c:v>
                  </c:pt>
                  <c:pt idx="12">
                    <c:v>2021</c:v>
                  </c:pt>
                  <c:pt idx="24">
                    <c:v>2022</c:v>
                  </c:pt>
                  <c:pt idx="36">
                    <c:v>2023</c:v>
                  </c:pt>
                  <c:pt idx="48">
                    <c:v>2024</c:v>
                  </c:pt>
                  <c:pt idx="60">
                    <c:v>2025</c:v>
                  </c:pt>
                </c:lvl>
              </c:multiLvlStrCache>
            </c:multiLvlStrRef>
          </c:cat>
          <c:val>
            <c:numRef>
              <c:f>'Měnové podmínky 1'!$D$30:$D$101</c:f>
              <c:numCache>
                <c:formatCode>General</c:formatCode>
                <c:ptCount val="72"/>
                <c:pt idx="0">
                  <c:v>2.17</c:v>
                </c:pt>
                <c:pt idx="1">
                  <c:v>2.34</c:v>
                </c:pt>
                <c:pt idx="2">
                  <c:v>2</c:v>
                </c:pt>
                <c:pt idx="3">
                  <c:v>0.97</c:v>
                </c:pt>
                <c:pt idx="4">
                  <c:v>0.46</c:v>
                </c:pt>
                <c:pt idx="5">
                  <c:v>0.34</c:v>
                </c:pt>
                <c:pt idx="6">
                  <c:v>0.34</c:v>
                </c:pt>
                <c:pt idx="7">
                  <c:v>0.34</c:v>
                </c:pt>
                <c:pt idx="8">
                  <c:v>0.34</c:v>
                </c:pt>
                <c:pt idx="9">
                  <c:v>0.35</c:v>
                </c:pt>
                <c:pt idx="10">
                  <c:v>0.35</c:v>
                </c:pt>
                <c:pt idx="11">
                  <c:v>0.35</c:v>
                </c:pt>
                <c:pt idx="12">
                  <c:v>0.36</c:v>
                </c:pt>
                <c:pt idx="13">
                  <c:v>0.36</c:v>
                </c:pt>
                <c:pt idx="14">
                  <c:v>0.36</c:v>
                </c:pt>
                <c:pt idx="15">
                  <c:v>0.36</c:v>
                </c:pt>
                <c:pt idx="16">
                  <c:v>0.37</c:v>
                </c:pt>
                <c:pt idx="17">
                  <c:v>0.48</c:v>
                </c:pt>
                <c:pt idx="18">
                  <c:v>0.69</c:v>
                </c:pt>
                <c:pt idx="19">
                  <c:v>0.94</c:v>
                </c:pt>
                <c:pt idx="20">
                  <c:v>1.1100000000000001</c:v>
                </c:pt>
                <c:pt idx="21">
                  <c:v>2.02</c:v>
                </c:pt>
                <c:pt idx="22">
                  <c:v>2.97</c:v>
                </c:pt>
                <c:pt idx="23">
                  <c:v>3.5</c:v>
                </c:pt>
                <c:pt idx="24">
                  <c:v>4.21</c:v>
                </c:pt>
                <c:pt idx="25">
                  <c:v>4.6900000000000004</c:v>
                </c:pt>
                <c:pt idx="26">
                  <c:v>4.8600000000000003</c:v>
                </c:pt>
                <c:pt idx="27">
                  <c:v>5.36</c:v>
                </c:pt>
                <c:pt idx="28">
                  <c:v>5.97</c:v>
                </c:pt>
                <c:pt idx="29">
                  <c:v>6.64</c:v>
                </c:pt>
                <c:pt idx="30">
                  <c:v>7.3</c:v>
                </c:pt>
                <c:pt idx="31">
                  <c:v>7.27</c:v>
                </c:pt>
                <c:pt idx="32">
                  <c:v>7.25</c:v>
                </c:pt>
                <c:pt idx="33">
                  <c:v>7.28</c:v>
                </c:pt>
                <c:pt idx="34">
                  <c:v>7.27</c:v>
                </c:pt>
                <c:pt idx="35">
                  <c:v>7.26</c:v>
                </c:pt>
                <c:pt idx="36" formatCode="###\ ###\ ###\ ###\ ##0.00;\-###\ ###\ ###\ ###\ ##0.00">
                  <c:v>7.2161904761904765</c:v>
                </c:pt>
                <c:pt idx="37" formatCode="###\ ###\ ###\ ###\ ##0.00;\-###\ ###\ ###\ ###\ ##0.00">
                  <c:v>7.2010526315789471</c:v>
                </c:pt>
                <c:pt idx="38" formatCode="###\ ###\ ###\ ###\ ##0.00;\-###\ ###\ ###\ ###\ ##0.00">
                  <c:v>7.1931818181818183</c:v>
                </c:pt>
                <c:pt idx="39" formatCode="###\ ###\ ###\ ###\ ##0.00;\-###\ ###\ ###\ ###\ ##0.00">
                  <c:v>7.1788888888888893</c:v>
                </c:pt>
                <c:pt idx="40" formatCode="###\ ###\ ###\ ###\ ##0.00;\-###\ ###\ ###\ ###\ ##0.00">
                  <c:v>7.1790476190476191</c:v>
                </c:pt>
                <c:pt idx="41" formatCode="###\ ###\ ###\ ###\ ##0.00;\-###\ ###\ ###\ ###\ ##0.00">
                  <c:v>7.1472727272727274</c:v>
                </c:pt>
                <c:pt idx="42" formatCode="###\ ###\ ###\ ###\ ##0.00;\-###\ ###\ ###\ ###\ ##0.00">
                  <c:v>7.1121052631578952</c:v>
                </c:pt>
                <c:pt idx="43" formatCode="###\ ###\ ###\ ###\ ##0.00;\-###\ ###\ ###\ ###\ ##0.00">
                  <c:v>7.1030434782608696</c:v>
                </c:pt>
                <c:pt idx="44" formatCode="###\ ###\ ###\ ###\ ##0.00;\-###\ ###\ ###\ ###\ ##0.00">
                  <c:v>7.0895000000000001</c:v>
                </c:pt>
                <c:pt idx="45" formatCode="###\ ###\ ###\ ###\ ##0.00;\-###\ ###\ ###\ ###\ ##0.00">
                  <c:v>7.0472727272727269</c:v>
                </c:pt>
                <c:pt idx="46" formatCode="###\ ###\ ###\ ###\ ##0.00;\-###\ ###\ ###\ ###\ ##0.00">
                  <c:v>7.062380952380952</c:v>
                </c:pt>
                <c:pt idx="47" formatCode="###\ ###\ ###\ ###\ ##0.00;\-###\ ###\ ###\ ###\ ##0.00">
                  <c:v>6.9663157894736845</c:v>
                </c:pt>
                <c:pt idx="48" formatCode="###\ ###\ ###\ ###\ ##0.00;\-###\ ###\ ###\ ###\ ##0.00">
                  <c:v>6.6340909090909088</c:v>
                </c:pt>
                <c:pt idx="49" formatCode="###\ ###\ ###\ ###\ ##0.00;\-###\ ###\ ###\ ###\ ##0.00">
                  <c:v>6.2019047619047623</c:v>
                </c:pt>
                <c:pt idx="50" formatCode="###\ ###\ ###\ ###\ ##0.00;\-###\ ###\ ###\ ###\ ##0.00">
                  <c:v>5.8363157894736846</c:v>
                </c:pt>
                <c:pt idx="51" formatCode="###\ ###\ ###\ ###\ ##0.00;\-###\ ###\ ###\ ###\ ##0.00">
                  <c:v>5.5461904761904766</c:v>
                </c:pt>
                <c:pt idx="52" formatCode="###\ ###\ ###\ ###\ ##0.00;\-###\ ###\ ###\ ###\ ##0.00">
                  <c:v>5.1704761904761902</c:v>
                </c:pt>
                <c:pt idx="53" formatCode="###\ ###\ ###\ ###\ ##0.00;\-###\ ###\ ###\ ###\ ##0.00">
                  <c:v>5.0274999999999999</c:v>
                </c:pt>
                <c:pt idx="54" formatCode="###\ ###\ ###\ ###\ ##0.00;\-###\ ###\ ###\ ###\ ##0.00">
                  <c:v>4.6090909090909093</c:v>
                </c:pt>
                <c:pt idx="55" formatCode="###\ ###\ ###\ ###\ ##0.00;\-###\ ###\ ###\ ###\ ##0.00">
                  <c:v>4.4118181818181821</c:v>
                </c:pt>
                <c:pt idx="56" formatCode="###\ ###\ ###\ ###\ ##0.00;\-###\ ###\ ###\ ###\ ##0.00">
                  <c:v>4.3004761904761901</c:v>
                </c:pt>
                <c:pt idx="57" formatCode="###\ ###\ ###\ ###\ ##0.00;\-###\ ###\ ###\ ###\ ##0.00">
                  <c:v>4.1322727272727269</c:v>
                </c:pt>
                <c:pt idx="58" formatCode="###\ ###\ ###\ ###\ ##0.00;\-###\ ###\ ###\ ###\ ##0.00">
                  <c:v>3.9452380952380954</c:v>
                </c:pt>
                <c:pt idx="59" formatCode="###\ ###\ ###\ ###\ ##0.00;\-###\ ###\ ###\ ###\ ##0.00">
                  <c:v>3.9066666666666667</c:v>
                </c:pt>
                <c:pt idx="60" formatCode="###\ ###\ ###\ ###\ ##0.00;\-###\ ###\ ###\ ###\ ##0.00">
                  <c:v>3.8804545454545454</c:v>
                </c:pt>
                <c:pt idx="61" formatCode="###\ ###\ ###\ ###\ ##0.00;\-###\ ###\ ###\ ###\ ##0.00">
                  <c:v>3.756842105263158</c:v>
                </c:pt>
                <c:pt idx="62" formatCode="###\ ###\ ###\ ###\ ##0.00;\-###\ ###\ ###\ ###\ ##0.00">
                  <c:v>3.7164999999999999</c:v>
                </c:pt>
                <c:pt idx="63" formatCode="###\ ###\ ###\ ###\ ##0.00;\-###\ ###\ ###\ ###\ ##0.00">
                  <c:v>3.68</c:v>
                </c:pt>
                <c:pt idx="64" formatCode="###\ ###\ ###\ ###\ ##0.00;\-###\ ###\ ###\ ###\ ##0.00">
                  <c:v>3.5357894736842104</c:v>
                </c:pt>
                <c:pt idx="65" formatCode="###\ ###\ ###\ ###\ ##0.00;\-###\ ###\ ###\ ###\ ##0.00">
                  <c:v>3.5114999999999998</c:v>
                </c:pt>
                <c:pt idx="66" formatCode="###\ ###\ ###\ ###\ ##0.00;\-###\ ###\ ###\ ###\ ##0.00">
                  <c:v>3.4930434782608697</c:v>
                </c:pt>
                <c:pt idx="67" formatCode="###\ ###\ ###\ ###\ ##0.00;\-###\ ###\ ###\ ###\ ##0.00">
                  <c:v>3.5024999999999999</c:v>
                </c:pt>
                <c:pt idx="68" formatCode="###\ ###\ ###\ ###\ ##0.00;\-###\ ###\ ###\ ###\ ##0.00">
                  <c:v>3.4909523809523808</c:v>
                </c:pt>
                <c:pt idx="69" formatCode="###\ ###\ ###\ ###\ ##0.00;\-###\ ###\ ###\ ###\ ##0.00">
                  <c:v>3.5263636363636364</c:v>
                </c:pt>
                <c:pt idx="70" formatCode="###\ ###\ ###\ ###\ ##0.00;\-###\ ###\ ###\ ###\ ##0.00">
                  <c:v>3.5516666666666667</c:v>
                </c:pt>
                <c:pt idx="71" formatCode="###\ ###\ ###\ ###\ ##0.00;\-###\ ###\ ###\ ###\ ##0.00">
                  <c:v>3.54</c:v>
                </c:pt>
              </c:numCache>
            </c:numRef>
          </c:val>
          <c:smooth val="0"/>
          <c:extLst>
            <c:ext xmlns:c16="http://schemas.microsoft.com/office/drawing/2014/chart" uri="{C3380CC4-5D6E-409C-BE32-E72D297353CC}">
              <c16:uniqueId val="{00000002-B06E-4CA5-9370-6FA959DA4710}"/>
            </c:ext>
          </c:extLst>
        </c:ser>
        <c:ser>
          <c:idx val="4"/>
          <c:order val="3"/>
          <c:tx>
            <c:strRef>
              <c:f>'Měnové podmínky 1'!$G$5</c:f>
              <c:strCache>
                <c:ptCount val="1"/>
                <c:pt idx="0">
                  <c:v>Average yield of government bonds (5Y)</c:v>
                </c:pt>
              </c:strCache>
            </c:strRef>
          </c:tx>
          <c:spPr>
            <a:ln w="19050">
              <a:solidFill>
                <a:srgbClr val="CC9610"/>
              </a:solidFill>
            </a:ln>
          </c:spPr>
          <c:marker>
            <c:symbol val="none"/>
          </c:marker>
          <c:cat>
            <c:multiLvlStrRef>
              <c:f>'Měnové podmínky 1'!$A$30:$B$101</c:f>
              <c:multiLvlStrCache>
                <c:ptCount val="72"/>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pt idx="36">
                    <c:v>1</c:v>
                  </c:pt>
                  <c:pt idx="37">
                    <c:v>2</c:v>
                  </c:pt>
                  <c:pt idx="38">
                    <c:v>3</c:v>
                  </c:pt>
                  <c:pt idx="39">
                    <c:v>4</c:v>
                  </c:pt>
                  <c:pt idx="40">
                    <c:v>5</c:v>
                  </c:pt>
                  <c:pt idx="41">
                    <c:v>6</c:v>
                  </c:pt>
                  <c:pt idx="42">
                    <c:v>7</c:v>
                  </c:pt>
                  <c:pt idx="43">
                    <c:v>8</c:v>
                  </c:pt>
                  <c:pt idx="44">
                    <c:v>9</c:v>
                  </c:pt>
                  <c:pt idx="45">
                    <c:v>10</c:v>
                  </c:pt>
                  <c:pt idx="46">
                    <c:v>11</c:v>
                  </c:pt>
                  <c:pt idx="47">
                    <c:v>12</c:v>
                  </c:pt>
                  <c:pt idx="48">
                    <c:v>1</c:v>
                  </c:pt>
                  <c:pt idx="49">
                    <c:v>2</c:v>
                  </c:pt>
                  <c:pt idx="50">
                    <c:v>3</c:v>
                  </c:pt>
                  <c:pt idx="51">
                    <c:v>4</c:v>
                  </c:pt>
                  <c:pt idx="52">
                    <c:v>5</c:v>
                  </c:pt>
                  <c:pt idx="53">
                    <c:v>6</c:v>
                  </c:pt>
                  <c:pt idx="54">
                    <c:v>7</c:v>
                  </c:pt>
                  <c:pt idx="55">
                    <c:v>8</c:v>
                  </c:pt>
                  <c:pt idx="56">
                    <c:v>9</c:v>
                  </c:pt>
                  <c:pt idx="57">
                    <c:v>10</c:v>
                  </c:pt>
                  <c:pt idx="58">
                    <c:v>11</c:v>
                  </c:pt>
                  <c:pt idx="59">
                    <c:v>12</c:v>
                  </c:pt>
                  <c:pt idx="60">
                    <c:v>1</c:v>
                  </c:pt>
                  <c:pt idx="61">
                    <c:v>2</c:v>
                  </c:pt>
                  <c:pt idx="62">
                    <c:v>3</c:v>
                  </c:pt>
                  <c:pt idx="63">
                    <c:v>4</c:v>
                  </c:pt>
                  <c:pt idx="64">
                    <c:v>5</c:v>
                  </c:pt>
                  <c:pt idx="65">
                    <c:v>6</c:v>
                  </c:pt>
                  <c:pt idx="66">
                    <c:v>7</c:v>
                  </c:pt>
                  <c:pt idx="67">
                    <c:v>8</c:v>
                  </c:pt>
                  <c:pt idx="68">
                    <c:v>9</c:v>
                  </c:pt>
                  <c:pt idx="69">
                    <c:v>10</c:v>
                  </c:pt>
                  <c:pt idx="70">
                    <c:v>11</c:v>
                  </c:pt>
                  <c:pt idx="71">
                    <c:v>12</c:v>
                  </c:pt>
                </c:lvl>
                <c:lvl>
                  <c:pt idx="0">
                    <c:v>2020</c:v>
                  </c:pt>
                  <c:pt idx="12">
                    <c:v>2021</c:v>
                  </c:pt>
                  <c:pt idx="24">
                    <c:v>2022</c:v>
                  </c:pt>
                  <c:pt idx="36">
                    <c:v>2023</c:v>
                  </c:pt>
                  <c:pt idx="48">
                    <c:v>2024</c:v>
                  </c:pt>
                  <c:pt idx="60">
                    <c:v>2025</c:v>
                  </c:pt>
                </c:lvl>
              </c:multiLvlStrCache>
            </c:multiLvlStrRef>
          </c:cat>
          <c:val>
            <c:numRef>
              <c:f>'Měnové podmínky 1'!$G$30:$G$101</c:f>
              <c:numCache>
                <c:formatCode>General</c:formatCode>
                <c:ptCount val="72"/>
                <c:pt idx="0">
                  <c:v>1.51</c:v>
                </c:pt>
                <c:pt idx="1">
                  <c:v>1.52</c:v>
                </c:pt>
                <c:pt idx="2">
                  <c:v>1.23</c:v>
                </c:pt>
                <c:pt idx="3">
                  <c:v>1.06</c:v>
                </c:pt>
                <c:pt idx="4">
                  <c:v>0.56999999999999995</c:v>
                </c:pt>
                <c:pt idx="5">
                  <c:v>0.52</c:v>
                </c:pt>
                <c:pt idx="6">
                  <c:v>0.52</c:v>
                </c:pt>
                <c:pt idx="7">
                  <c:v>0.57999999999999996</c:v>
                </c:pt>
                <c:pt idx="8">
                  <c:v>0.57999999999999996</c:v>
                </c:pt>
                <c:pt idx="9">
                  <c:v>0.54</c:v>
                </c:pt>
                <c:pt idx="10">
                  <c:v>0.66</c:v>
                </c:pt>
                <c:pt idx="11">
                  <c:v>0.8</c:v>
                </c:pt>
                <c:pt idx="12">
                  <c:v>0.82</c:v>
                </c:pt>
                <c:pt idx="13">
                  <c:v>1.06</c:v>
                </c:pt>
                <c:pt idx="14">
                  <c:v>1.4</c:v>
                </c:pt>
                <c:pt idx="15">
                  <c:v>1.43</c:v>
                </c:pt>
                <c:pt idx="16">
                  <c:v>1.47</c:v>
                </c:pt>
                <c:pt idx="17">
                  <c:v>1.55</c:v>
                </c:pt>
                <c:pt idx="18">
                  <c:v>1.63</c:v>
                </c:pt>
                <c:pt idx="19">
                  <c:v>1.68</c:v>
                </c:pt>
                <c:pt idx="20">
                  <c:v>1.87</c:v>
                </c:pt>
                <c:pt idx="21">
                  <c:v>2.37</c:v>
                </c:pt>
                <c:pt idx="22">
                  <c:v>2.84</c:v>
                </c:pt>
                <c:pt idx="23">
                  <c:v>2.84</c:v>
                </c:pt>
                <c:pt idx="24">
                  <c:v>3.36</c:v>
                </c:pt>
                <c:pt idx="25">
                  <c:v>3.2</c:v>
                </c:pt>
                <c:pt idx="26">
                  <c:v>3.85</c:v>
                </c:pt>
                <c:pt idx="27">
                  <c:v>4.54</c:v>
                </c:pt>
                <c:pt idx="28">
                  <c:v>4.99</c:v>
                </c:pt>
                <c:pt idx="29">
                  <c:v>5.49</c:v>
                </c:pt>
                <c:pt idx="30">
                  <c:v>5.12</c:v>
                </c:pt>
                <c:pt idx="31">
                  <c:v>4.67</c:v>
                </c:pt>
                <c:pt idx="32">
                  <c:v>5.0599999999999996</c:v>
                </c:pt>
                <c:pt idx="33">
                  <c:v>5.69</c:v>
                </c:pt>
                <c:pt idx="34">
                  <c:v>5.31</c:v>
                </c:pt>
                <c:pt idx="35">
                  <c:v>4.9000000000000004</c:v>
                </c:pt>
                <c:pt idx="36" formatCode="###\ ###\ ###\ ###\ ##0.00;\-###\ ###\ ###\ ###\ ##0.00">
                  <c:v>4.7307064721228871</c:v>
                </c:pt>
                <c:pt idx="37" formatCode="###\ ###\ ###\ ###\ ##0.00;\-###\ ###\ ###\ ###\ ##0.00">
                  <c:v>4.869274267276765</c:v>
                </c:pt>
                <c:pt idx="38" formatCode="###\ ###\ ###\ ###\ ##0.00;\-###\ ###\ ###\ ###\ ##0.00">
                  <c:v>4.8901662581800389</c:v>
                </c:pt>
                <c:pt idx="39" formatCode="###\ ###\ ###\ ###\ ##0.00;\-###\ ###\ ###\ ###\ ##0.00">
                  <c:v>4.9165403661897455</c:v>
                </c:pt>
                <c:pt idx="40" formatCode="###\ ###\ ###\ ###\ ##0.00;\-###\ ###\ ###\ ###\ ##0.00">
                  <c:v>4.8278684891401031</c:v>
                </c:pt>
                <c:pt idx="41" formatCode="###\ ###\ ###\ ###\ ##0.00;\-###\ ###\ ###\ ###\ ##0.00">
                  <c:v>4.641252073600076</c:v>
                </c:pt>
                <c:pt idx="42" formatCode="###\ ###\ ###\ ###\ ##0.00;\-###\ ###\ ###\ ###\ ##0.00">
                  <c:v>4.3712476122939803</c:v>
                </c:pt>
                <c:pt idx="43" formatCode="###\ ###\ ###\ ###\ ##0.00;\-###\ ###\ ###\ ###\ ##0.00">
                  <c:v>4.4394883944569479</c:v>
                </c:pt>
                <c:pt idx="44" formatCode="###\ ###\ ###\ ###\ ##0.00;\-###\ ###\ ###\ ###\ ##0.00">
                  <c:v>4.5697569170379646</c:v>
                </c:pt>
                <c:pt idx="45" formatCode="###\ ###\ ###\ ###\ ##0.00;\-###\ ###\ ###\ ###\ ##0.00">
                  <c:v>4.6213398432367514</c:v>
                </c:pt>
                <c:pt idx="46" formatCode="###\ ###\ ###\ ###\ ##0.00;\-###\ ###\ ###\ ###\ ##0.00">
                  <c:v>4.3189525391351618</c:v>
                </c:pt>
                <c:pt idx="47" formatCode="###\ ###\ ###\ ###\ ##0.00;\-###\ ###\ ###\ ###\ ##0.00">
                  <c:v>3.9581509254616192</c:v>
                </c:pt>
                <c:pt idx="48" formatCode="###\ ###\ ###\ ###\ ##0.00;\-###\ ###\ ###\ ###\ ##0.00">
                  <c:v>3.7948081133062201</c:v>
                </c:pt>
                <c:pt idx="49" formatCode="###\ ###\ ###\ ###\ ##0.00;\-###\ ###\ ###\ ###\ ##0.00">
                  <c:v>3.5373832658022923</c:v>
                </c:pt>
                <c:pt idx="50" formatCode="###\ ###\ ###\ ###\ ##0.00;\-###\ ###\ ###\ ###\ ##0.00">
                  <c:v>3.5659496523361214</c:v>
                </c:pt>
                <c:pt idx="51" formatCode="###\ ###\ ###\ ###\ ##0.00;\-###\ ###\ ###\ ###\ ##0.00">
                  <c:v>4.0341267380705332</c:v>
                </c:pt>
                <c:pt idx="52" formatCode="###\ ###\ ###\ ###\ ##0.00;\-###\ ###\ ###\ ###\ ##0.00">
                  <c:v>4.0872759187026269</c:v>
                </c:pt>
                <c:pt idx="53" formatCode="###\ ###\ ###\ ###\ ##0.00;\-###\ ###\ ###\ ###\ ##0.00">
                  <c:v>4.1227102073974615</c:v>
                </c:pt>
                <c:pt idx="54" formatCode="###\ ###\ ###\ ###\ ##0.00;\-###\ ###\ ###\ ###\ ##0.00">
                  <c:v>3.7623325475565603</c:v>
                </c:pt>
                <c:pt idx="55" formatCode="###\ ###\ ###\ ###\ ##0.00;\-###\ ###\ ###\ ###\ ##0.00">
                  <c:v>3.5039129182503443</c:v>
                </c:pt>
                <c:pt idx="56" formatCode="###\ ###\ ###\ ###\ ##0.00;\-###\ ###\ ###\ ###\ ##0.00">
                  <c:v>3.4678035691094786</c:v>
                </c:pt>
                <c:pt idx="57" formatCode="###\ ###\ ###\ ###\ ##0.00;\-###\ ###\ ###\ ###\ ##0.00">
                  <c:v>3.6478032298510006</c:v>
                </c:pt>
                <c:pt idx="58" formatCode="###\ ###\ ###\ ###\ ##0.00;\-###\ ###\ ###\ ###\ ##0.00">
                  <c:v>3.6973093706088598</c:v>
                </c:pt>
                <c:pt idx="59" formatCode="###\ ###\ ###\ ###\ ##0.00;\-###\ ###\ ###\ ###\ ##0.00">
                  <c:v>3.7325675120007555</c:v>
                </c:pt>
                <c:pt idx="60" formatCode="###\ ###\ ###\ ###\ ##0.00;\-###\ ###\ ###\ ###\ ##0.00">
                  <c:v>3.7588141404146134</c:v>
                </c:pt>
                <c:pt idx="61" formatCode="###\ ###\ ###\ ###\ ##0.00;\-###\ ###\ ###\ ###\ ##0.00">
                  <c:v>3.6352823803920744</c:v>
                </c:pt>
                <c:pt idx="62" formatCode="###\ ###\ ###\ ###\ ##0.00;\-###\ ###\ ###\ ###\ ##0.00">
                  <c:v>3.7899252239626939</c:v>
                </c:pt>
                <c:pt idx="63" formatCode="###\ ###\ ###\ ###\ ##0.00;\-###\ ###\ ###\ ###\ ##0.00">
                  <c:v>3.6082305577112832</c:v>
                </c:pt>
                <c:pt idx="64" formatCode="###\ ###\ ###\ ###\ ##0.00;\-###\ ###\ ###\ ###\ ##0.00">
                  <c:v>3.6407699215316769</c:v>
                </c:pt>
                <c:pt idx="65" formatCode="###\ ###\ ###\ ###\ ##0.00;\-###\ ###\ ###\ ###\ ##0.00">
                  <c:v>3.7391957632436612</c:v>
                </c:pt>
                <c:pt idx="66" formatCode="###\ ###\ ###\ ###\ ##0.00;\-###\ ###\ ###\ ###\ ##0.00">
                  <c:v>3.8233096920115157</c:v>
                </c:pt>
                <c:pt idx="67" formatCode="###\ ###\ ###\ ###\ ##0.00;\-###\ ###\ ###\ ###\ ##0.00">
                  <c:v>3.8536075264749683</c:v>
                </c:pt>
                <c:pt idx="68" formatCode="###\ ###\ ###\ ###\ ##0.00;\-###\ ###\ ###\ ###\ ##0.00">
                  <c:v>3.9325922037802039</c:v>
                </c:pt>
                <c:pt idx="69" formatCode="###\ ###\ ###\ ###\ ##0.00;\-###\ ###\ ###\ ###\ ##0.00">
                  <c:v>3.9580321574258517</c:v>
                </c:pt>
                <c:pt idx="70" formatCode="###\ ###\ ###\ ###\ ##0.00;\-###\ ###\ ###\ ###\ ##0.00">
                  <c:v>4.0644120306794917</c:v>
                </c:pt>
                <c:pt idx="71" formatCode="###\ ###\ ###\ ###\ ##0.00;\-###\ ###\ ###\ ###\ ##0.00">
                  <c:v>4.1202900348510756</c:v>
                </c:pt>
              </c:numCache>
            </c:numRef>
          </c:val>
          <c:smooth val="0"/>
          <c:extLst>
            <c:ext xmlns:c16="http://schemas.microsoft.com/office/drawing/2014/chart" uri="{C3380CC4-5D6E-409C-BE32-E72D297353CC}">
              <c16:uniqueId val="{00000003-B06E-4CA5-9370-6FA959DA4710}"/>
            </c:ext>
          </c:extLst>
        </c:ser>
        <c:ser>
          <c:idx val="2"/>
          <c:order val="4"/>
          <c:tx>
            <c:strRef>
              <c:f>'Měnové podmínky 1'!$E$5</c:f>
              <c:strCache>
                <c:ptCount val="1"/>
                <c:pt idx="0">
                  <c:v>PRIBOR (1Y)</c:v>
                </c:pt>
              </c:strCache>
            </c:strRef>
          </c:tx>
          <c:spPr>
            <a:ln w="19050">
              <a:solidFill>
                <a:srgbClr val="BC5B80"/>
              </a:solidFill>
            </a:ln>
          </c:spPr>
          <c:marker>
            <c:symbol val="none"/>
          </c:marker>
          <c:cat>
            <c:multiLvlStrRef>
              <c:f>'Měnové podmínky 1'!$A$30:$B$101</c:f>
              <c:multiLvlStrCache>
                <c:ptCount val="72"/>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pt idx="36">
                    <c:v>1</c:v>
                  </c:pt>
                  <c:pt idx="37">
                    <c:v>2</c:v>
                  </c:pt>
                  <c:pt idx="38">
                    <c:v>3</c:v>
                  </c:pt>
                  <c:pt idx="39">
                    <c:v>4</c:v>
                  </c:pt>
                  <c:pt idx="40">
                    <c:v>5</c:v>
                  </c:pt>
                  <c:pt idx="41">
                    <c:v>6</c:v>
                  </c:pt>
                  <c:pt idx="42">
                    <c:v>7</c:v>
                  </c:pt>
                  <c:pt idx="43">
                    <c:v>8</c:v>
                  </c:pt>
                  <c:pt idx="44">
                    <c:v>9</c:v>
                  </c:pt>
                  <c:pt idx="45">
                    <c:v>10</c:v>
                  </c:pt>
                  <c:pt idx="46">
                    <c:v>11</c:v>
                  </c:pt>
                  <c:pt idx="47">
                    <c:v>12</c:v>
                  </c:pt>
                  <c:pt idx="48">
                    <c:v>1</c:v>
                  </c:pt>
                  <c:pt idx="49">
                    <c:v>2</c:v>
                  </c:pt>
                  <c:pt idx="50">
                    <c:v>3</c:v>
                  </c:pt>
                  <c:pt idx="51">
                    <c:v>4</c:v>
                  </c:pt>
                  <c:pt idx="52">
                    <c:v>5</c:v>
                  </c:pt>
                  <c:pt idx="53">
                    <c:v>6</c:v>
                  </c:pt>
                  <c:pt idx="54">
                    <c:v>7</c:v>
                  </c:pt>
                  <c:pt idx="55">
                    <c:v>8</c:v>
                  </c:pt>
                  <c:pt idx="56">
                    <c:v>9</c:v>
                  </c:pt>
                  <c:pt idx="57">
                    <c:v>10</c:v>
                  </c:pt>
                  <c:pt idx="58">
                    <c:v>11</c:v>
                  </c:pt>
                  <c:pt idx="59">
                    <c:v>12</c:v>
                  </c:pt>
                  <c:pt idx="60">
                    <c:v>1</c:v>
                  </c:pt>
                  <c:pt idx="61">
                    <c:v>2</c:v>
                  </c:pt>
                  <c:pt idx="62">
                    <c:v>3</c:v>
                  </c:pt>
                  <c:pt idx="63">
                    <c:v>4</c:v>
                  </c:pt>
                  <c:pt idx="64">
                    <c:v>5</c:v>
                  </c:pt>
                  <c:pt idx="65">
                    <c:v>6</c:v>
                  </c:pt>
                  <c:pt idx="66">
                    <c:v>7</c:v>
                  </c:pt>
                  <c:pt idx="67">
                    <c:v>8</c:v>
                  </c:pt>
                  <c:pt idx="68">
                    <c:v>9</c:v>
                  </c:pt>
                  <c:pt idx="69">
                    <c:v>10</c:v>
                  </c:pt>
                  <c:pt idx="70">
                    <c:v>11</c:v>
                  </c:pt>
                  <c:pt idx="71">
                    <c:v>12</c:v>
                  </c:pt>
                </c:lvl>
                <c:lvl>
                  <c:pt idx="0">
                    <c:v>2020</c:v>
                  </c:pt>
                  <c:pt idx="12">
                    <c:v>2021</c:v>
                  </c:pt>
                  <c:pt idx="24">
                    <c:v>2022</c:v>
                  </c:pt>
                  <c:pt idx="36">
                    <c:v>2023</c:v>
                  </c:pt>
                  <c:pt idx="48">
                    <c:v>2024</c:v>
                  </c:pt>
                  <c:pt idx="60">
                    <c:v>2025</c:v>
                  </c:pt>
                </c:lvl>
              </c:multiLvlStrCache>
            </c:multiLvlStrRef>
          </c:cat>
          <c:val>
            <c:numRef>
              <c:f>'Měnové podmínky 1'!$E$30:$E$101</c:f>
              <c:numCache>
                <c:formatCode>General</c:formatCode>
                <c:ptCount val="72"/>
                <c:pt idx="0">
                  <c:v>2.27</c:v>
                </c:pt>
                <c:pt idx="1">
                  <c:v>2.42</c:v>
                </c:pt>
                <c:pt idx="2">
                  <c:v>2.0099999999999998</c:v>
                </c:pt>
                <c:pt idx="3">
                  <c:v>0.92</c:v>
                </c:pt>
                <c:pt idx="4">
                  <c:v>0.51</c:v>
                </c:pt>
                <c:pt idx="5">
                  <c:v>0.43</c:v>
                </c:pt>
                <c:pt idx="6">
                  <c:v>0.43</c:v>
                </c:pt>
                <c:pt idx="7">
                  <c:v>0.43</c:v>
                </c:pt>
                <c:pt idx="8">
                  <c:v>0.44</c:v>
                </c:pt>
                <c:pt idx="9">
                  <c:v>0.43</c:v>
                </c:pt>
                <c:pt idx="10">
                  <c:v>0.44</c:v>
                </c:pt>
                <c:pt idx="11">
                  <c:v>0.49</c:v>
                </c:pt>
                <c:pt idx="12">
                  <c:v>0.49</c:v>
                </c:pt>
                <c:pt idx="13">
                  <c:v>0.54</c:v>
                </c:pt>
                <c:pt idx="14">
                  <c:v>0.56000000000000005</c:v>
                </c:pt>
                <c:pt idx="15">
                  <c:v>0.56000000000000005</c:v>
                </c:pt>
                <c:pt idx="16">
                  <c:v>0.67</c:v>
                </c:pt>
                <c:pt idx="17">
                  <c:v>0.78</c:v>
                </c:pt>
                <c:pt idx="18">
                  <c:v>1</c:v>
                </c:pt>
                <c:pt idx="19">
                  <c:v>1.3</c:v>
                </c:pt>
                <c:pt idx="20">
                  <c:v>1.52</c:v>
                </c:pt>
                <c:pt idx="21">
                  <c:v>2.44</c:v>
                </c:pt>
                <c:pt idx="22">
                  <c:v>3.5</c:v>
                </c:pt>
                <c:pt idx="23">
                  <c:v>3.96</c:v>
                </c:pt>
                <c:pt idx="24">
                  <c:v>4.55</c:v>
                </c:pt>
                <c:pt idx="25">
                  <c:v>4.87</c:v>
                </c:pt>
                <c:pt idx="26">
                  <c:v>5.12</c:v>
                </c:pt>
                <c:pt idx="27">
                  <c:v>5.74</c:v>
                </c:pt>
                <c:pt idx="28">
                  <c:v>6.33</c:v>
                </c:pt>
                <c:pt idx="29">
                  <c:v>7.02</c:v>
                </c:pt>
                <c:pt idx="30">
                  <c:v>7.55</c:v>
                </c:pt>
                <c:pt idx="31">
                  <c:v>7.48</c:v>
                </c:pt>
                <c:pt idx="32">
                  <c:v>7.44</c:v>
                </c:pt>
                <c:pt idx="33">
                  <c:v>7.45</c:v>
                </c:pt>
                <c:pt idx="34">
                  <c:v>7.39</c:v>
                </c:pt>
                <c:pt idx="35">
                  <c:v>7.28</c:v>
                </c:pt>
                <c:pt idx="36" formatCode="###\ ###\ ###\ ###\ ##0.00;\-###\ ###\ ###\ ###\ ##0.00">
                  <c:v>7.2480952380952379</c:v>
                </c:pt>
                <c:pt idx="37" formatCode="###\ ###\ ###\ ###\ ##0.00;\-###\ ###\ ###\ ###\ ##0.00">
                  <c:v>7.2326315789473687</c:v>
                </c:pt>
                <c:pt idx="38" formatCode="###\ ###\ ###\ ###\ ##0.00;\-###\ ###\ ###\ ###\ ##0.00">
                  <c:v>7.2263636363636365</c:v>
                </c:pt>
                <c:pt idx="39" formatCode="###\ ###\ ###\ ###\ ##0.00;\-###\ ###\ ###\ ###\ ##0.00">
                  <c:v>7.2088888888888887</c:v>
                </c:pt>
                <c:pt idx="40" formatCode="###\ ###\ ###\ ###\ ##0.00;\-###\ ###\ ###\ ###\ ##0.00">
                  <c:v>7.196190476190476</c:v>
                </c:pt>
                <c:pt idx="41" formatCode="###\ ###\ ###\ ###\ ##0.00;\-###\ ###\ ###\ ###\ ##0.00">
                  <c:v>7.1377272727272727</c:v>
                </c:pt>
                <c:pt idx="42" formatCode="###\ ###\ ###\ ###\ ##0.00;\-###\ ###\ ###\ ###\ ##0.00">
                  <c:v>7.0289473684210524</c:v>
                </c:pt>
                <c:pt idx="43" formatCode="###\ ###\ ###\ ###\ ##0.00;\-###\ ###\ ###\ ###\ ##0.00">
                  <c:v>6.9473913043478257</c:v>
                </c:pt>
                <c:pt idx="44" formatCode="###\ ###\ ###\ ###\ ##0.00;\-###\ ###\ ###\ ###\ ##0.00">
                  <c:v>6.8470000000000004</c:v>
                </c:pt>
                <c:pt idx="45" formatCode="###\ ###\ ###\ ###\ ##0.00;\-###\ ###\ ###\ ###\ ##0.00">
                  <c:v>6.6090909090909093</c:v>
                </c:pt>
                <c:pt idx="46" formatCode="###\ ###\ ###\ ###\ ##0.00;\-###\ ###\ ###\ ###\ ##0.00">
                  <c:v>6.4771428571428569</c:v>
                </c:pt>
                <c:pt idx="47" formatCode="###\ ###\ ###\ ###\ ##0.00;\-###\ ###\ ###\ ###\ ##0.00">
                  <c:v>6.1873684210526312</c:v>
                </c:pt>
                <c:pt idx="48" formatCode="###\ ###\ ###\ ###\ ##0.00;\-###\ ###\ ###\ ###\ ##0.00">
                  <c:v>5.4690909090909088</c:v>
                </c:pt>
                <c:pt idx="49" formatCode="###\ ###\ ###\ ###\ ##0.00;\-###\ ###\ ###\ ###\ ##0.00">
                  <c:v>5.0338095238095235</c:v>
                </c:pt>
                <c:pt idx="50" formatCode="###\ ###\ ###\ ###\ ##0.00;\-###\ ###\ ###\ ###\ ##0.00">
                  <c:v>4.7994736842105263</c:v>
                </c:pt>
                <c:pt idx="51" formatCode="###\ ###\ ###\ ###\ ##0.00;\-###\ ###\ ###\ ###\ ##0.00">
                  <c:v>4.588571428571429</c:v>
                </c:pt>
                <c:pt idx="52" formatCode="###\ ###\ ###\ ###\ ##0.00;\-###\ ###\ ###\ ###\ ##0.00">
                  <c:v>4.6500000000000004</c:v>
                </c:pt>
                <c:pt idx="53" formatCode="###\ ###\ ###\ ###\ ##0.00;\-###\ ###\ ###\ ###\ ##0.00">
                  <c:v>4.5715000000000003</c:v>
                </c:pt>
                <c:pt idx="54" formatCode="###\ ###\ ###\ ###\ ##0.00;\-###\ ###\ ###\ ###\ ##0.00">
                  <c:v>4.2559090909090909</c:v>
                </c:pt>
                <c:pt idx="55" formatCode="###\ ###\ ###\ ###\ ##0.00;\-###\ ###\ ###\ ###\ ##0.00">
                  <c:v>3.8945454545454545</c:v>
                </c:pt>
                <c:pt idx="56" formatCode="###\ ###\ ###\ ###\ ##0.00;\-###\ ###\ ###\ ###\ ##0.00">
                  <c:v>3.7338095238095237</c:v>
                </c:pt>
                <c:pt idx="57" formatCode="###\ ###\ ###\ ###\ ##0.00;\-###\ ###\ ###\ ###\ ##0.00">
                  <c:v>3.6840909090909091</c:v>
                </c:pt>
                <c:pt idx="58" formatCode="###\ ###\ ###\ ###\ ##0.00;\-###\ ###\ ###\ ###\ ##0.00">
                  <c:v>3.6609523809523807</c:v>
                </c:pt>
                <c:pt idx="59" formatCode="###\ ###\ ###\ ###\ ##0.00;\-###\ ###\ ###\ ###\ ##0.00">
                  <c:v>3.6933333333333334</c:v>
                </c:pt>
                <c:pt idx="60" formatCode="###\ ###\ ###\ ###\ ##0.00;\-###\ ###\ ###\ ###\ ##0.00">
                  <c:v>3.6631818181818181</c:v>
                </c:pt>
                <c:pt idx="61" formatCode="###\ ###\ ###\ ###\ ##0.00;\-###\ ###\ ###\ ###\ ##0.00">
                  <c:v>3.5689473684210524</c:v>
                </c:pt>
                <c:pt idx="62" formatCode="###\ ###\ ###\ ###\ ##0.00;\-###\ ###\ ###\ ###\ ##0.00">
                  <c:v>3.5285000000000002</c:v>
                </c:pt>
                <c:pt idx="63" formatCode="###\ ###\ ###\ ###\ ##0.00;\-###\ ###\ ###\ ###\ ##0.00">
                  <c:v>3.443888888888889</c:v>
                </c:pt>
                <c:pt idx="64" formatCode="###\ ###\ ###\ ###\ ##0.00;\-###\ ###\ ###\ ###\ ##0.00">
                  <c:v>3.3726315789473684</c:v>
                </c:pt>
                <c:pt idx="65" formatCode="###\ ###\ ###\ ###\ ##0.00;\-###\ ###\ ###\ ###\ ##0.00">
                  <c:v>3.4104999999999999</c:v>
                </c:pt>
                <c:pt idx="66" formatCode="###\ ###\ ###\ ###\ ##0.00;\-###\ ###\ ###\ ###\ ##0.00">
                  <c:v>3.4582608695652173</c:v>
                </c:pt>
                <c:pt idx="67" formatCode="###\ ###\ ###\ ###\ ##0.00;\-###\ ###\ ###\ ###\ ##0.00">
                  <c:v>3.4815</c:v>
                </c:pt>
                <c:pt idx="68" formatCode="###\ ###\ ###\ ###\ ##0.00;\-###\ ###\ ###\ ###\ ##0.00">
                  <c:v>3.4776190476190476</c:v>
                </c:pt>
                <c:pt idx="69" formatCode="###\ ###\ ###\ ###\ ##0.00;\-###\ ###\ ###\ ###\ ##0.00">
                  <c:v>3.5395454545454546</c:v>
                </c:pt>
                <c:pt idx="70" formatCode="###\ ###\ ###\ ###\ ##0.00;\-###\ ###\ ###\ ###\ ##0.00">
                  <c:v>3.6111111111111112</c:v>
                </c:pt>
                <c:pt idx="71" formatCode="###\ ###\ ###\ ###\ ##0.00;\-###\ ###\ ###\ ###\ ##0.00">
                  <c:v>3.6016666666666666</c:v>
                </c:pt>
              </c:numCache>
            </c:numRef>
          </c:val>
          <c:smooth val="0"/>
          <c:extLst>
            <c:ext xmlns:c16="http://schemas.microsoft.com/office/drawing/2014/chart" uri="{C3380CC4-5D6E-409C-BE32-E72D297353CC}">
              <c16:uniqueId val="{00000004-B06E-4CA5-9370-6FA959DA4710}"/>
            </c:ext>
          </c:extLst>
        </c:ser>
        <c:ser>
          <c:idx val="5"/>
          <c:order val="5"/>
          <c:tx>
            <c:strRef>
              <c:f>'Měnové podmínky 1'!$H$5</c:f>
              <c:strCache>
                <c:ptCount val="1"/>
                <c:pt idx="0">
                  <c:v>Average yield of government bonds (10Y)</c:v>
                </c:pt>
              </c:strCache>
            </c:strRef>
          </c:tx>
          <c:spPr>
            <a:ln w="19050">
              <a:solidFill>
                <a:srgbClr val="174F70"/>
              </a:solidFill>
            </a:ln>
          </c:spPr>
          <c:marker>
            <c:symbol val="none"/>
          </c:marker>
          <c:cat>
            <c:multiLvlStrRef>
              <c:f>'Měnové podmínky 1'!$A$30:$B$101</c:f>
              <c:multiLvlStrCache>
                <c:ptCount val="72"/>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pt idx="36">
                    <c:v>1</c:v>
                  </c:pt>
                  <c:pt idx="37">
                    <c:v>2</c:v>
                  </c:pt>
                  <c:pt idx="38">
                    <c:v>3</c:v>
                  </c:pt>
                  <c:pt idx="39">
                    <c:v>4</c:v>
                  </c:pt>
                  <c:pt idx="40">
                    <c:v>5</c:v>
                  </c:pt>
                  <c:pt idx="41">
                    <c:v>6</c:v>
                  </c:pt>
                  <c:pt idx="42">
                    <c:v>7</c:v>
                  </c:pt>
                  <c:pt idx="43">
                    <c:v>8</c:v>
                  </c:pt>
                  <c:pt idx="44">
                    <c:v>9</c:v>
                  </c:pt>
                  <c:pt idx="45">
                    <c:v>10</c:v>
                  </c:pt>
                  <c:pt idx="46">
                    <c:v>11</c:v>
                  </c:pt>
                  <c:pt idx="47">
                    <c:v>12</c:v>
                  </c:pt>
                  <c:pt idx="48">
                    <c:v>1</c:v>
                  </c:pt>
                  <c:pt idx="49">
                    <c:v>2</c:v>
                  </c:pt>
                  <c:pt idx="50">
                    <c:v>3</c:v>
                  </c:pt>
                  <c:pt idx="51">
                    <c:v>4</c:v>
                  </c:pt>
                  <c:pt idx="52">
                    <c:v>5</c:v>
                  </c:pt>
                  <c:pt idx="53">
                    <c:v>6</c:v>
                  </c:pt>
                  <c:pt idx="54">
                    <c:v>7</c:v>
                  </c:pt>
                  <c:pt idx="55">
                    <c:v>8</c:v>
                  </c:pt>
                  <c:pt idx="56">
                    <c:v>9</c:v>
                  </c:pt>
                  <c:pt idx="57">
                    <c:v>10</c:v>
                  </c:pt>
                  <c:pt idx="58">
                    <c:v>11</c:v>
                  </c:pt>
                  <c:pt idx="59">
                    <c:v>12</c:v>
                  </c:pt>
                  <c:pt idx="60">
                    <c:v>1</c:v>
                  </c:pt>
                  <c:pt idx="61">
                    <c:v>2</c:v>
                  </c:pt>
                  <c:pt idx="62">
                    <c:v>3</c:v>
                  </c:pt>
                  <c:pt idx="63">
                    <c:v>4</c:v>
                  </c:pt>
                  <c:pt idx="64">
                    <c:v>5</c:v>
                  </c:pt>
                  <c:pt idx="65">
                    <c:v>6</c:v>
                  </c:pt>
                  <c:pt idx="66">
                    <c:v>7</c:v>
                  </c:pt>
                  <c:pt idx="67">
                    <c:v>8</c:v>
                  </c:pt>
                  <c:pt idx="68">
                    <c:v>9</c:v>
                  </c:pt>
                  <c:pt idx="69">
                    <c:v>10</c:v>
                  </c:pt>
                  <c:pt idx="70">
                    <c:v>11</c:v>
                  </c:pt>
                  <c:pt idx="71">
                    <c:v>12</c:v>
                  </c:pt>
                </c:lvl>
                <c:lvl>
                  <c:pt idx="0">
                    <c:v>2020</c:v>
                  </c:pt>
                  <c:pt idx="12">
                    <c:v>2021</c:v>
                  </c:pt>
                  <c:pt idx="24">
                    <c:v>2022</c:v>
                  </c:pt>
                  <c:pt idx="36">
                    <c:v>2023</c:v>
                  </c:pt>
                  <c:pt idx="48">
                    <c:v>2024</c:v>
                  </c:pt>
                  <c:pt idx="60">
                    <c:v>2025</c:v>
                  </c:pt>
                </c:lvl>
              </c:multiLvlStrCache>
            </c:multiLvlStrRef>
          </c:cat>
          <c:val>
            <c:numRef>
              <c:f>'Měnové podmínky 1'!$H$30:$H$101</c:f>
              <c:numCache>
                <c:formatCode>General</c:formatCode>
                <c:ptCount val="72"/>
                <c:pt idx="0">
                  <c:v>1.62</c:v>
                </c:pt>
                <c:pt idx="1">
                  <c:v>1.47</c:v>
                </c:pt>
                <c:pt idx="2">
                  <c:v>1.28</c:v>
                </c:pt>
                <c:pt idx="3">
                  <c:v>1.28</c:v>
                </c:pt>
                <c:pt idx="4">
                  <c:v>0.92</c:v>
                </c:pt>
                <c:pt idx="5">
                  <c:v>0.86</c:v>
                </c:pt>
                <c:pt idx="6">
                  <c:v>0.86</c:v>
                </c:pt>
                <c:pt idx="7">
                  <c:v>0.95</c:v>
                </c:pt>
                <c:pt idx="8">
                  <c:v>0.98</c:v>
                </c:pt>
                <c:pt idx="9">
                  <c:v>0.94</c:v>
                </c:pt>
                <c:pt idx="10">
                  <c:v>1.1200000000000001</c:v>
                </c:pt>
                <c:pt idx="11">
                  <c:v>1.26</c:v>
                </c:pt>
                <c:pt idx="12">
                  <c:v>1.28</c:v>
                </c:pt>
                <c:pt idx="13">
                  <c:v>1.49</c:v>
                </c:pt>
                <c:pt idx="14">
                  <c:v>1.87</c:v>
                </c:pt>
                <c:pt idx="15">
                  <c:v>1.86</c:v>
                </c:pt>
                <c:pt idx="16">
                  <c:v>1.74</c:v>
                </c:pt>
                <c:pt idx="17">
                  <c:v>1.67</c:v>
                </c:pt>
                <c:pt idx="18">
                  <c:v>1.72</c:v>
                </c:pt>
                <c:pt idx="19">
                  <c:v>1.74</c:v>
                </c:pt>
                <c:pt idx="20">
                  <c:v>1.9</c:v>
                </c:pt>
                <c:pt idx="21">
                  <c:v>2.34</c:v>
                </c:pt>
                <c:pt idx="22">
                  <c:v>2.62</c:v>
                </c:pt>
                <c:pt idx="23">
                  <c:v>2.62</c:v>
                </c:pt>
                <c:pt idx="24">
                  <c:v>3.12</c:v>
                </c:pt>
                <c:pt idx="25">
                  <c:v>3.03</c:v>
                </c:pt>
                <c:pt idx="26">
                  <c:v>3.53</c:v>
                </c:pt>
                <c:pt idx="27">
                  <c:v>4.01</c:v>
                </c:pt>
                <c:pt idx="28">
                  <c:v>4.6100000000000003</c:v>
                </c:pt>
                <c:pt idx="29">
                  <c:v>5.12</c:v>
                </c:pt>
                <c:pt idx="30">
                  <c:v>4.4000000000000004</c:v>
                </c:pt>
                <c:pt idx="31">
                  <c:v>4.1100000000000003</c:v>
                </c:pt>
                <c:pt idx="32">
                  <c:v>4.72</c:v>
                </c:pt>
                <c:pt idx="33">
                  <c:v>5.52</c:v>
                </c:pt>
                <c:pt idx="34">
                  <c:v>5.1100000000000003</c:v>
                </c:pt>
                <c:pt idx="35">
                  <c:v>4.71</c:v>
                </c:pt>
                <c:pt idx="36" formatCode="###\ ###\ ###\ ###\ ##0.00;\-###\ ###\ ###\ ###\ ##0.00">
                  <c:v>4.4683071740930735</c:v>
                </c:pt>
                <c:pt idx="37" formatCode="###\ ###\ ###\ ###\ ##0.00;\-###\ ###\ ###\ ###\ ##0.00">
                  <c:v>4.6124456250457779</c:v>
                </c:pt>
                <c:pt idx="38" formatCode="###\ ###\ ###\ ###\ ##0.00;\-###\ ###\ ###\ ###\ ##0.00">
                  <c:v>4.6664316498532505</c:v>
                </c:pt>
                <c:pt idx="39" formatCode="###\ ###\ ###\ ###\ ##0.00;\-###\ ###\ ###\ ###\ ##0.00">
                  <c:v>4.6464031535593682</c:v>
                </c:pt>
                <c:pt idx="40" formatCode="###\ ###\ ###\ ###\ ##0.00;\-###\ ###\ ###\ ###\ ##0.00">
                  <c:v>4.4999821517871696</c:v>
                </c:pt>
                <c:pt idx="41" formatCode="###\ ###\ ###\ ###\ ##0.00;\-###\ ###\ ###\ ###\ ##0.00">
                  <c:v>4.3475817201909166</c:v>
                </c:pt>
                <c:pt idx="42" formatCode="###\ ###\ ###\ ###\ ##0.00;\-###\ ###\ ###\ ###\ ##0.00">
                  <c:v>4.1488922058727873</c:v>
                </c:pt>
                <c:pt idx="43" formatCode="###\ ###\ ###\ ###\ ##0.00;\-###\ ###\ ###\ ###\ ##0.00">
                  <c:v>4.2612326220421171</c:v>
                </c:pt>
                <c:pt idx="44" formatCode="###\ ###\ ###\ ###\ ##0.00;\-###\ ###\ ###\ ###\ ##0.00">
                  <c:v>4.4941452526073471</c:v>
                </c:pt>
                <c:pt idx="45" formatCode="###\ ###\ ###\ ###\ ##0.00;\-###\ ###\ ###\ ###\ ##0.00">
                  <c:v>4.7196492538174732</c:v>
                </c:pt>
                <c:pt idx="46" formatCode="###\ ###\ ###\ ###\ ##0.00;\-###\ ###\ ###\ ###\ ##0.00">
                  <c:v>4.4238011822001155</c:v>
                </c:pt>
                <c:pt idx="47" formatCode="###\ ###\ ###\ ###\ ##0.00;\-###\ ###\ ###\ ###\ ##0.00">
                  <c:v>3.9723129766524465</c:v>
                </c:pt>
                <c:pt idx="48" formatCode="###\ ###\ ###\ ###\ ##0.00;\-###\ ###\ ###\ ###\ ##0.00">
                  <c:v>3.8808928950535173</c:v>
                </c:pt>
                <c:pt idx="49" formatCode="###\ ###\ ###\ ###\ ##0.00;\-###\ ###\ ###\ ###\ ##0.00">
                  <c:v>3.7595547903987336</c:v>
                </c:pt>
                <c:pt idx="50" formatCode="###\ ###\ ###\ ###\ ##0.00;\-###\ ###\ ###\ ###\ ##0.00">
                  <c:v>3.8237627295684833</c:v>
                </c:pt>
                <c:pt idx="51" formatCode="###\ ###\ ###\ ###\ ##0.00;\-###\ ###\ ###\ ###\ ##0.00">
                  <c:v>4.2047003389485704</c:v>
                </c:pt>
                <c:pt idx="52" formatCode="###\ ###\ ###\ ###\ ##0.00;\-###\ ###\ ###\ ###\ ##0.00">
                  <c:v>4.1563388742973695</c:v>
                </c:pt>
                <c:pt idx="53" formatCode="###\ ###\ ###\ ###\ ##0.00;\-###\ ###\ ###\ ###\ ##0.00">
                  <c:v>4.2111868231811522</c:v>
                </c:pt>
                <c:pt idx="54" formatCode="###\ ###\ ###\ ###\ ##0.00;\-###\ ###\ ###\ ###\ ##0.00">
                  <c:v>3.9530858135362124</c:v>
                </c:pt>
                <c:pt idx="55" formatCode="###\ ###\ ###\ ###\ ##0.00;\-###\ ###\ ###\ ###\ ##0.00">
                  <c:v>3.7819619047615758</c:v>
                </c:pt>
                <c:pt idx="56" formatCode="###\ ###\ ###\ ###\ ##0.00;\-###\ ###\ ###\ ###\ ##0.00">
                  <c:v>3.7680573318990085</c:v>
                </c:pt>
                <c:pt idx="57" formatCode="###\ ###\ ###\ ###\ ##0.00;\-###\ ###\ ###\ ###\ ##0.00">
                  <c:v>3.9822987021498251</c:v>
                </c:pt>
                <c:pt idx="58" formatCode="###\ ###\ ###\ ###\ ##0.00;\-###\ ###\ ###\ ###\ ##0.00">
                  <c:v>4.1040262289864691</c:v>
                </c:pt>
                <c:pt idx="59" formatCode="###\ ###\ ###\ ###\ ##0.00;\-###\ ###\ ###\ ###\ ##0.00">
                  <c:v>4.1331038326115088</c:v>
                </c:pt>
                <c:pt idx="60" formatCode="###\ ###\ ###\ ###\ ##0.00;\-###\ ###\ ###\ ###\ ##0.00">
                  <c:v>4.1959770746595213</c:v>
                </c:pt>
                <c:pt idx="61" formatCode="###\ ###\ ###\ ###\ ##0.00;\-###\ ###\ ###\ ###\ ##0.00">
                  <c:v>4.0620794011249552</c:v>
                </c:pt>
                <c:pt idx="62" formatCode="###\ ###\ ###\ ###\ ##0.00;\-###\ ###\ ###\ ###\ ##0.00">
                  <c:v>4.2638389418665579</c:v>
                </c:pt>
                <c:pt idx="63" formatCode="###\ ###\ ###\ ###\ ##0.00;\-###\ ###\ ###\ ###\ ##0.00">
                  <c:v>4.0853304136734021</c:v>
                </c:pt>
                <c:pt idx="64" formatCode="###\ ###\ ###\ ###\ ##0.00;\-###\ ###\ ###\ ###\ ##0.00">
                  <c:v>4.155816660709382</c:v>
                </c:pt>
                <c:pt idx="65" formatCode="###\ ###\ ###\ ###\ ##0.00;\-###\ ###\ ###\ ###\ ##0.00">
                  <c:v>4.2295835387251115</c:v>
                </c:pt>
                <c:pt idx="66" formatCode="###\ ###\ ###\ ###\ ##0.00;\-###\ ###\ ###\ ###\ ##0.00">
                  <c:v>4.3002231108402862</c:v>
                </c:pt>
                <c:pt idx="67" formatCode="###\ ###\ ###\ ###\ ##0.00;\-###\ ###\ ###\ ###\ ##0.00">
                  <c:v>4.3484906070168519</c:v>
                </c:pt>
                <c:pt idx="68" formatCode="###\ ###\ ###\ ###\ ##0.00;\-###\ ###\ ###\ ###\ ##0.00">
                  <c:v>4.423009514594388</c:v>
                </c:pt>
                <c:pt idx="69" formatCode="###\ ###\ ###\ ###\ ##0.00;\-###\ ###\ ###\ ###\ ##0.00">
                  <c:v>4.4581363099927049</c:v>
                </c:pt>
                <c:pt idx="70" formatCode="###\ ###\ ###\ ###\ ##0.00;\-###\ ###\ ###\ ###\ ##0.00">
                  <c:v>4.6089530587514247</c:v>
                </c:pt>
                <c:pt idx="71" formatCode="###\ ###\ ###\ ###\ ##0.00;\-###\ ###\ ###\ ###\ ##0.00">
                  <c:v>4.6478358968116371</c:v>
                </c:pt>
              </c:numCache>
            </c:numRef>
          </c:val>
          <c:smooth val="0"/>
          <c:extLst>
            <c:ext xmlns:c16="http://schemas.microsoft.com/office/drawing/2014/chart" uri="{C3380CC4-5D6E-409C-BE32-E72D297353CC}">
              <c16:uniqueId val="{00000005-B06E-4CA5-9370-6FA959DA4710}"/>
            </c:ext>
          </c:extLst>
        </c:ser>
        <c:dLbls>
          <c:showLegendKey val="0"/>
          <c:showVal val="0"/>
          <c:showCatName val="0"/>
          <c:showSerName val="0"/>
          <c:showPercent val="0"/>
          <c:showBubbleSize val="0"/>
        </c:dLbls>
        <c:marker val="1"/>
        <c:smooth val="0"/>
        <c:axId val="131001344"/>
        <c:axId val="131027712"/>
      </c:lineChart>
      <c:catAx>
        <c:axId val="131001344"/>
        <c:scaling>
          <c:orientation val="minMax"/>
        </c:scaling>
        <c:delete val="0"/>
        <c:axPos val="b"/>
        <c:numFmt formatCode="General" sourceLinked="0"/>
        <c:majorTickMark val="out"/>
        <c:minorTickMark val="none"/>
        <c:tickLblPos val="low"/>
        <c:spPr>
          <a:ln>
            <a:solidFill>
              <a:schemeClr val="tx1"/>
            </a:solidFill>
          </a:ln>
        </c:spPr>
        <c:crossAx val="131027712"/>
        <c:crosses val="autoZero"/>
        <c:auto val="1"/>
        <c:lblAlgn val="ctr"/>
        <c:lblOffset val="100"/>
        <c:noMultiLvlLbl val="0"/>
      </c:catAx>
      <c:valAx>
        <c:axId val="131027712"/>
        <c:scaling>
          <c:orientation val="minMax"/>
          <c:min val="-1"/>
        </c:scaling>
        <c:delete val="0"/>
        <c:axPos val="l"/>
        <c:majorGridlines>
          <c:spPr>
            <a:ln w="6350">
              <a:solidFill>
                <a:schemeClr val="bg1">
                  <a:lumMod val="75000"/>
                </a:schemeClr>
              </a:solidFill>
            </a:ln>
          </c:spPr>
        </c:majorGridlines>
        <c:numFmt formatCode="0" sourceLinked="0"/>
        <c:majorTickMark val="out"/>
        <c:minorTickMark val="none"/>
        <c:tickLblPos val="nextTo"/>
        <c:spPr>
          <a:ln>
            <a:solidFill>
              <a:schemeClr val="tx1"/>
            </a:solidFill>
          </a:ln>
        </c:spPr>
        <c:crossAx val="131001344"/>
        <c:crosses val="autoZero"/>
        <c:crossBetween val="between"/>
        <c:majorUnit val="1"/>
      </c:valAx>
      <c:spPr>
        <a:ln>
          <a:solidFill>
            <a:schemeClr val="tx1"/>
          </a:solidFill>
        </a:ln>
      </c:spPr>
    </c:plotArea>
    <c:legend>
      <c:legendPos val="b"/>
      <c:layout>
        <c:manualLayout>
          <c:xMode val="edge"/>
          <c:yMode val="edge"/>
          <c:x val="4.2139690982776527E-2"/>
          <c:y val="0.87558269120103249"/>
          <c:w val="0.93886651469098281"/>
          <c:h val="0.11015705924459968"/>
        </c:manualLayout>
      </c:layout>
      <c:overlay val="0"/>
      <c:spPr>
        <a:ln w="6350">
          <a:solidFill>
            <a:schemeClr val="tx1"/>
          </a:solidFill>
        </a:ln>
      </c:spPr>
    </c:legend>
    <c:plotVisOnly val="1"/>
    <c:dispBlanksAs val="gap"/>
    <c:showDLblsOverMax val="0"/>
  </c:chart>
  <c:spPr>
    <a:ln>
      <a:noFill/>
    </a:ln>
  </c:spPr>
  <c:txPr>
    <a:bodyPr/>
    <a:lstStyle/>
    <a:p>
      <a:pPr>
        <a:defRPr sz="800" baseline="0">
          <a:latin typeface="Arial" pitchFamily="34" charset="0"/>
        </a:defRPr>
      </a:pPr>
      <a:endParaRPr lang="cs-CZ"/>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5622449952840685E-2"/>
          <c:y val="1.7107287133586922E-2"/>
          <c:w val="0.82618963342906493"/>
          <c:h val="0.72693543052675746"/>
        </c:manualLayout>
      </c:layout>
      <c:barChart>
        <c:barDir val="col"/>
        <c:grouping val="stacked"/>
        <c:varyColors val="0"/>
        <c:ser>
          <c:idx val="1"/>
          <c:order val="1"/>
          <c:tx>
            <c:strRef>
              <c:f>'G1-SR-příjmy-příspěvky'!$A$35</c:f>
              <c:strCache>
                <c:ptCount val="1"/>
                <c:pt idx="0">
                  <c:v>Other taxes and fees</c:v>
                </c:pt>
              </c:strCache>
            </c:strRef>
          </c:tx>
          <c:spPr>
            <a:solidFill>
              <a:srgbClr val="89898E"/>
            </a:solidFill>
            <a:ln w="12700">
              <a:noFill/>
              <a:prstDash val="solid"/>
            </a:ln>
          </c:spPr>
          <c:invertIfNegative val="0"/>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'G1-SR-příjmy-příspěvky'!$E$35:$V$35</c:f>
              <c:numCache>
                <c:formatCode>0.0</c:formatCode>
                <c:ptCount val="18"/>
                <c:pt idx="0">
                  <c:v>0.1343620572631733</c:v>
                </c:pt>
                <c:pt idx="1">
                  <c:v>-0.43783892347861697</c:v>
                </c:pt>
                <c:pt idx="2">
                  <c:v>0.39966089378709002</c:v>
                </c:pt>
                <c:pt idx="3">
                  <c:v>0.45397552855721873</c:v>
                </c:pt>
                <c:pt idx="4">
                  <c:v>0.36118400632074082</c:v>
                </c:pt>
                <c:pt idx="5">
                  <c:v>-0.19664736863818325</c:v>
                </c:pt>
                <c:pt idx="6">
                  <c:v>-3.4634341281476876E-2</c:v>
                </c:pt>
                <c:pt idx="7">
                  <c:v>-0.21164971331083993</c:v>
                </c:pt>
                <c:pt idx="8">
                  <c:v>0.99125194374474579</c:v>
                </c:pt>
                <c:pt idx="9">
                  <c:v>0.24244696058614967</c:v>
                </c:pt>
                <c:pt idx="10">
                  <c:v>0.15610407782378988</c:v>
                </c:pt>
                <c:pt idx="11">
                  <c:v>0.45615292592707912</c:v>
                </c:pt>
                <c:pt idx="12">
                  <c:v>-0.24507318270758649</c:v>
                </c:pt>
                <c:pt idx="13">
                  <c:v>0.38912595873892392</c:v>
                </c:pt>
                <c:pt idx="14">
                  <c:v>0.49625884514210122</c:v>
                </c:pt>
                <c:pt idx="15">
                  <c:v>4.9027758286436649</c:v>
                </c:pt>
                <c:pt idx="16">
                  <c:v>-0.29481657806601497</c:v>
                </c:pt>
                <c:pt idx="17">
                  <c:v>0.36155818366086134</c:v>
                </c:pt>
              </c:numCache>
            </c:numRef>
          </c:val>
          <c:extLst>
            <c:ext xmlns:c16="http://schemas.microsoft.com/office/drawing/2014/chart" uri="{C3380CC4-5D6E-409C-BE32-E72D297353CC}">
              <c16:uniqueId val="{00000000-B8D6-4DDB-9234-FFAC6912DDC9}"/>
            </c:ext>
          </c:extLst>
        </c:ser>
        <c:ser>
          <c:idx val="3"/>
          <c:order val="2"/>
          <c:tx>
            <c:strRef>
              <c:f>'G1-SR-příjmy-příspěvky'!$A$36</c:f>
              <c:strCache>
                <c:ptCount val="1"/>
                <c:pt idx="0">
                  <c:v>Income tax of natural persons (NP), other</c:v>
                </c:pt>
              </c:strCache>
            </c:strRef>
          </c:tx>
          <c:spPr>
            <a:solidFill>
              <a:srgbClr val="BC5B80"/>
            </a:solidFill>
            <a:ln w="19050">
              <a:noFill/>
              <a:prstDash val="sysDot"/>
            </a:ln>
          </c:spPr>
          <c:invertIfNegative val="0"/>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'G1-SR-příjmy-příspěvky'!$E$36:$V$36</c:f>
              <c:numCache>
                <c:formatCode>0.0</c:formatCode>
                <c:ptCount val="18"/>
                <c:pt idx="0">
                  <c:v>0.35321984125884731</c:v>
                </c:pt>
                <c:pt idx="1">
                  <c:v>-1.6643234919997321</c:v>
                </c:pt>
                <c:pt idx="2">
                  <c:v>0.37392515441443624</c:v>
                </c:pt>
                <c:pt idx="3">
                  <c:v>-0.6009771282805112</c:v>
                </c:pt>
                <c:pt idx="4">
                  <c:v>0.35271875617257653</c:v>
                </c:pt>
                <c:pt idx="5">
                  <c:v>-0.13614048598027936</c:v>
                </c:pt>
                <c:pt idx="6">
                  <c:v>5.5947782070069875E-2</c:v>
                </c:pt>
                <c:pt idx="7">
                  <c:v>0.29502687309996056</c:v>
                </c:pt>
                <c:pt idx="8">
                  <c:v>0.58137404580152963</c:v>
                </c:pt>
                <c:pt idx="9">
                  <c:v>6.7589193423445826E-2</c:v>
                </c:pt>
                <c:pt idx="10">
                  <c:v>0.27497666712976387</c:v>
                </c:pt>
                <c:pt idx="11">
                  <c:v>0.40549455394307277</c:v>
                </c:pt>
                <c:pt idx="12">
                  <c:v>-0.32978914864881037</c:v>
                </c:pt>
                <c:pt idx="13">
                  <c:v>0.714735210075371</c:v>
                </c:pt>
                <c:pt idx="14">
                  <c:v>1.1235494742441323</c:v>
                </c:pt>
                <c:pt idx="15">
                  <c:v>1.0754046813056035</c:v>
                </c:pt>
                <c:pt idx="16">
                  <c:v>0.22569119130030668</c:v>
                </c:pt>
                <c:pt idx="17">
                  <c:v>0.34230421385596932</c:v>
                </c:pt>
              </c:numCache>
            </c:numRef>
          </c:val>
          <c:extLst>
            <c:ext xmlns:c16="http://schemas.microsoft.com/office/drawing/2014/chart" uri="{C3380CC4-5D6E-409C-BE32-E72D297353CC}">
              <c16:uniqueId val="{00000001-B8D6-4DDB-9234-FFAC6912DDC9}"/>
            </c:ext>
          </c:extLst>
        </c:ser>
        <c:ser>
          <c:idx val="4"/>
          <c:order val="3"/>
          <c:tx>
            <c:strRef>
              <c:f>'G1-SR-příjmy-příspěvky'!$A$37</c:f>
              <c:strCache>
                <c:ptCount val="1"/>
                <c:pt idx="0">
                  <c:v>Income tax of NP from dependent acitivity</c:v>
                </c:pt>
              </c:strCache>
            </c:strRef>
          </c:tx>
          <c:spPr>
            <a:solidFill>
              <a:srgbClr val="D8A7B7"/>
            </a:solidFill>
            <a:ln w="19050">
              <a:noFill/>
            </a:ln>
          </c:spPr>
          <c:invertIfNegative val="0"/>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'G1-SR-příjmy-příspěvky'!$E$37:$V$37</c:f>
              <c:numCache>
                <c:formatCode>0.0</c:formatCode>
                <c:ptCount val="18"/>
                <c:pt idx="0">
                  <c:v>-1.5527821256908552</c:v>
                </c:pt>
                <c:pt idx="1">
                  <c:v>-0.55432817834906578</c:v>
                </c:pt>
                <c:pt idx="2">
                  <c:v>0.12110936175366319</c:v>
                </c:pt>
                <c:pt idx="3">
                  <c:v>1.0852176920748835</c:v>
                </c:pt>
                <c:pt idx="4">
                  <c:v>5.9256751036993432E-2</c:v>
                </c:pt>
                <c:pt idx="5">
                  <c:v>0.87184917284340824</c:v>
                </c:pt>
                <c:pt idx="6">
                  <c:v>0.63141068336219441</c:v>
                </c:pt>
                <c:pt idx="7">
                  <c:v>0.67343090598904543</c:v>
                </c:pt>
                <c:pt idx="8">
                  <c:v>1.6207633587786254</c:v>
                </c:pt>
                <c:pt idx="9">
                  <c:v>2.236075815759023</c:v>
                </c:pt>
                <c:pt idx="10">
                  <c:v>2.5650495208593473</c:v>
                </c:pt>
                <c:pt idx="11">
                  <c:v>2.2145487595779794</c:v>
                </c:pt>
                <c:pt idx="12">
                  <c:v>-1.0526560208410929</c:v>
                </c:pt>
                <c:pt idx="13">
                  <c:v>-6.4557034146693049</c:v>
                </c:pt>
                <c:pt idx="14">
                  <c:v>1.0630342864068225</c:v>
                </c:pt>
                <c:pt idx="15">
                  <c:v>2.2839349884944498</c:v>
                </c:pt>
                <c:pt idx="16">
                  <c:v>1.7763016879021229</c:v>
                </c:pt>
                <c:pt idx="17">
                  <c:v>1.5550031443361572</c:v>
                </c:pt>
              </c:numCache>
            </c:numRef>
          </c:val>
          <c:extLst>
            <c:ext xmlns:c16="http://schemas.microsoft.com/office/drawing/2014/chart" uri="{C3380CC4-5D6E-409C-BE32-E72D297353CC}">
              <c16:uniqueId val="{00000002-B8D6-4DDB-9234-FFAC6912DDC9}"/>
            </c:ext>
          </c:extLst>
        </c:ser>
        <c:ser>
          <c:idx val="2"/>
          <c:order val="4"/>
          <c:tx>
            <c:strRef>
              <c:f>'G1-SR-příjmy-příspěvky'!$A$38</c:f>
              <c:strCache>
                <c:ptCount val="1"/>
                <c:pt idx="0">
                  <c:v>Corporate tax</c:v>
                </c:pt>
              </c:strCache>
            </c:strRef>
          </c:tx>
          <c:spPr>
            <a:solidFill>
              <a:srgbClr val="86BF5E"/>
            </a:solidFill>
            <a:ln>
              <a:noFill/>
            </a:ln>
          </c:spPr>
          <c:invertIfNegative val="0"/>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'G1-SR-příjmy-příspěvky'!$E$38:$V$38</c:f>
              <c:numCache>
                <c:formatCode>0.0</c:formatCode>
                <c:ptCount val="18"/>
                <c:pt idx="0">
                  <c:v>2.7315667724017554</c:v>
                </c:pt>
                <c:pt idx="1">
                  <c:v>-8.4233781883912382</c:v>
                </c:pt>
                <c:pt idx="2">
                  <c:v>0.64490735133825949</c:v>
                </c:pt>
                <c:pt idx="3">
                  <c:v>-0.82868548863619895</c:v>
                </c:pt>
                <c:pt idx="4">
                  <c:v>1.3953553994187209</c:v>
                </c:pt>
                <c:pt idx="5">
                  <c:v>-1.0011138767034737</c:v>
                </c:pt>
                <c:pt idx="6">
                  <c:v>1.5558811775675994</c:v>
                </c:pt>
                <c:pt idx="7">
                  <c:v>1.9381982837132317</c:v>
                </c:pt>
                <c:pt idx="8">
                  <c:v>2.1019847328244308</c:v>
                </c:pt>
                <c:pt idx="9">
                  <c:v>0.66800652833506335</c:v>
                </c:pt>
                <c:pt idx="10">
                  <c:v>0.35264183265496607</c:v>
                </c:pt>
                <c:pt idx="11">
                  <c:v>0.87073588998886708</c:v>
                </c:pt>
                <c:pt idx="12">
                  <c:v>-2.0708537130072977</c:v>
                </c:pt>
                <c:pt idx="13">
                  <c:v>3.8866812074729893</c:v>
                </c:pt>
                <c:pt idx="14">
                  <c:v>3.3224740440006921</c:v>
                </c:pt>
                <c:pt idx="15">
                  <c:v>6.5729866214661055</c:v>
                </c:pt>
                <c:pt idx="16">
                  <c:v>-1.5023121712316627</c:v>
                </c:pt>
                <c:pt idx="17">
                  <c:v>2.8529497380745044</c:v>
                </c:pt>
              </c:numCache>
            </c:numRef>
          </c:val>
          <c:extLst>
            <c:ext xmlns:c16="http://schemas.microsoft.com/office/drawing/2014/chart" uri="{C3380CC4-5D6E-409C-BE32-E72D297353CC}">
              <c16:uniqueId val="{00000003-B8D6-4DDB-9234-FFAC6912DDC9}"/>
            </c:ext>
          </c:extLst>
        </c:ser>
        <c:ser>
          <c:idx val="5"/>
          <c:order val="5"/>
          <c:tx>
            <c:strRef>
              <c:f>'G1-SR-příjmy-příspěvky'!$A$39</c:f>
              <c:strCache>
                <c:ptCount val="1"/>
                <c:pt idx="0">
                  <c:v>Consumption tax</c:v>
                </c:pt>
              </c:strCache>
            </c:strRef>
          </c:tx>
          <c:spPr>
            <a:solidFill>
              <a:srgbClr val="009CB5"/>
            </a:solidFill>
            <a:ln>
              <a:noFill/>
            </a:ln>
          </c:spPr>
          <c:invertIfNegative val="0"/>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'G1-SR-příjmy-příspěvky'!$E$39:$V$39</c:f>
              <c:numCache>
                <c:formatCode>0.0</c:formatCode>
                <c:ptCount val="18"/>
                <c:pt idx="0">
                  <c:v>-0.82002410205975451</c:v>
                </c:pt>
                <c:pt idx="1">
                  <c:v>-0.26243556269666019</c:v>
                </c:pt>
                <c:pt idx="2">
                  <c:v>1.0899842557829751</c:v>
                </c:pt>
                <c:pt idx="3">
                  <c:v>1.1976306800985765</c:v>
                </c:pt>
                <c:pt idx="4">
                  <c:v>2.8217500493804677E-2</c:v>
                </c:pt>
                <c:pt idx="5">
                  <c:v>-0.46205255847852811</c:v>
                </c:pt>
                <c:pt idx="6">
                  <c:v>-0.28107100039962413</c:v>
                </c:pt>
                <c:pt idx="7">
                  <c:v>1.1788247668646334</c:v>
                </c:pt>
                <c:pt idx="8">
                  <c:v>0.94412213740457995</c:v>
                </c:pt>
                <c:pt idx="9">
                  <c:v>0.51818381624642551</c:v>
                </c:pt>
                <c:pt idx="10">
                  <c:v>0.48698157842828721</c:v>
                </c:pt>
                <c:pt idx="11">
                  <c:v>-3.2322029662130096E-2</c:v>
                </c:pt>
                <c:pt idx="12">
                  <c:v>-0.43076419151862821</c:v>
                </c:pt>
                <c:pt idx="13">
                  <c:v>-0.47146544798768414</c:v>
                </c:pt>
                <c:pt idx="14">
                  <c:v>0.28868970114686049</c:v>
                </c:pt>
                <c:pt idx="15">
                  <c:v>-0.4259694478513813</c:v>
                </c:pt>
                <c:pt idx="16">
                  <c:v>1.1238251545622735</c:v>
                </c:pt>
                <c:pt idx="17">
                  <c:v>0.28480332512505774</c:v>
                </c:pt>
              </c:numCache>
            </c:numRef>
          </c:val>
          <c:extLst>
            <c:ext xmlns:c16="http://schemas.microsoft.com/office/drawing/2014/chart" uri="{C3380CC4-5D6E-409C-BE32-E72D297353CC}">
              <c16:uniqueId val="{00000004-B8D6-4DDB-9234-FFAC6912DDC9}"/>
            </c:ext>
          </c:extLst>
        </c:ser>
        <c:ser>
          <c:idx val="6"/>
          <c:order val="6"/>
          <c:tx>
            <c:strRef>
              <c:f>'G1-SR-příjmy-příspěvky'!$A$40</c:f>
              <c:strCache>
                <c:ptCount val="1"/>
                <c:pt idx="0">
                  <c:v>VAT</c:v>
                </c:pt>
              </c:strCache>
            </c:strRef>
          </c:tx>
          <c:spPr>
            <a:solidFill>
              <a:srgbClr val="9FC9D7"/>
            </a:solidFill>
            <a:ln w="19050">
              <a:noFill/>
            </a:ln>
          </c:spPr>
          <c:invertIfNegative val="0"/>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'G1-SR-příjmy-příspěvky'!$E$40:$V$40</c:f>
              <c:numCache>
                <c:formatCode>0.0</c:formatCode>
                <c:ptCount val="18"/>
                <c:pt idx="0">
                  <c:v>2.6055157702270297</c:v>
                </c:pt>
                <c:pt idx="1">
                  <c:v>-0.21155519850036597</c:v>
                </c:pt>
                <c:pt idx="2">
                  <c:v>2.4131040329417468</c:v>
                </c:pt>
                <c:pt idx="3">
                  <c:v>0.84165621802354451</c:v>
                </c:pt>
                <c:pt idx="4">
                  <c:v>0.40068850701205366</c:v>
                </c:pt>
                <c:pt idx="5">
                  <c:v>4.1570978698826879</c:v>
                </c:pt>
                <c:pt idx="6">
                  <c:v>1.9208738510723284</c:v>
                </c:pt>
                <c:pt idx="7">
                  <c:v>1.1493220795546348</c:v>
                </c:pt>
                <c:pt idx="8">
                  <c:v>2.1838167938931385</c:v>
                </c:pt>
                <c:pt idx="9">
                  <c:v>3.6002510363555791</c:v>
                </c:pt>
                <c:pt idx="10">
                  <c:v>3.3186115323065706</c:v>
                </c:pt>
                <c:pt idx="11">
                  <c:v>1.7904445521930754</c:v>
                </c:pt>
                <c:pt idx="12">
                  <c:v>-0.47516406466208921</c:v>
                </c:pt>
                <c:pt idx="13">
                  <c:v>3.6157405564344214</c:v>
                </c:pt>
                <c:pt idx="14">
                  <c:v>6.9272296081153648</c:v>
                </c:pt>
                <c:pt idx="15">
                  <c:v>2.6134043336641883</c:v>
                </c:pt>
                <c:pt idx="16">
                  <c:v>1.2221150202102156</c:v>
                </c:pt>
                <c:pt idx="17">
                  <c:v>2.7407325750482823</c:v>
                </c:pt>
              </c:numCache>
            </c:numRef>
          </c:val>
          <c:extLst>
            <c:ext xmlns:c16="http://schemas.microsoft.com/office/drawing/2014/chart" uri="{C3380CC4-5D6E-409C-BE32-E72D297353CC}">
              <c16:uniqueId val="{00000005-B8D6-4DDB-9234-FFAC6912DDC9}"/>
            </c:ext>
          </c:extLst>
        </c:ser>
        <c:dLbls>
          <c:showLegendKey val="0"/>
          <c:showVal val="0"/>
          <c:showCatName val="0"/>
          <c:showSerName val="0"/>
          <c:showPercent val="0"/>
          <c:showBubbleSize val="0"/>
        </c:dLbls>
        <c:gapWidth val="59"/>
        <c:overlap val="100"/>
        <c:axId val="194467712"/>
        <c:axId val="194473984"/>
      </c:barChart>
      <c:lineChart>
        <c:grouping val="standard"/>
        <c:varyColors val="0"/>
        <c:ser>
          <c:idx val="0"/>
          <c:order val="0"/>
          <c:tx>
            <c:strRef>
              <c:f>'G1-SR-příjmy-příspěvky'!$A$34</c:f>
              <c:strCache>
                <c:ptCount val="1"/>
                <c:pt idx="0">
                  <c:v>Total tax income (excl. soc.security premiums)</c:v>
                </c:pt>
              </c:strCache>
            </c:strRef>
          </c:tx>
          <c:spPr>
            <a:ln w="19050">
              <a:noFill/>
            </a:ln>
          </c:spPr>
          <c:marker>
            <c:symbol val="circle"/>
            <c:size val="7"/>
            <c:spPr>
              <a:solidFill>
                <a:schemeClr val="bg1"/>
              </a:solidFill>
              <a:ln>
                <a:solidFill>
                  <a:schemeClr val="tx1">
                    <a:lumMod val="95000"/>
                    <a:lumOff val="5000"/>
                  </a:schemeClr>
                </a:solidFill>
              </a:ln>
            </c:spPr>
          </c:marker>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'G1-SR-příjmy-příspěvky'!$E$34:$V$34</c:f>
              <c:numCache>
                <c:formatCode>0.0</c:formatCode>
                <c:ptCount val="18"/>
                <c:pt idx="0">
                  <c:v>3.4518582134001958</c:v>
                </c:pt>
                <c:pt idx="1">
                  <c:v>-11.55385954341568</c:v>
                </c:pt>
                <c:pt idx="2">
                  <c:v>5.0426910500181705</c:v>
                </c:pt>
                <c:pt idx="3">
                  <c:v>2.1488175018375131</c:v>
                </c:pt>
                <c:pt idx="4">
                  <c:v>2.5974209204548901</c:v>
                </c:pt>
                <c:pt idx="5">
                  <c:v>3.2329927529256319</c:v>
                </c:pt>
                <c:pt idx="6">
                  <c:v>3.8484081523910909</c:v>
                </c:pt>
                <c:pt idx="7">
                  <c:v>5.0231531959106652</c:v>
                </c:pt>
                <c:pt idx="8">
                  <c:v>8.4233130124470499</c:v>
                </c:pt>
                <c:pt idx="9">
                  <c:v>7.3325533507056866</c:v>
                </c:pt>
                <c:pt idx="10">
                  <c:v>7.1543652092027248</c:v>
                </c:pt>
                <c:pt idx="11">
                  <c:v>5.7050546519679441</c:v>
                </c:pt>
                <c:pt idx="12">
                  <c:v>-4.6043003213855052</c:v>
                </c:pt>
                <c:pt idx="13">
                  <c:v>1.6791140700647162</c:v>
                </c:pt>
                <c:pt idx="14">
                  <c:v>13.221235959055972</c:v>
                </c:pt>
                <c:pt idx="15">
                  <c:v>17.022537005722633</c:v>
                </c:pt>
                <c:pt idx="16">
                  <c:v>2.5508043046772406</c:v>
                </c:pt>
                <c:pt idx="17">
                  <c:v>8.1373511801008327</c:v>
                </c:pt>
              </c:numCache>
            </c:numRef>
          </c:val>
          <c:smooth val="0"/>
          <c:extLst>
            <c:ext xmlns:c16="http://schemas.microsoft.com/office/drawing/2014/chart" uri="{C3380CC4-5D6E-409C-BE32-E72D297353CC}">
              <c16:uniqueId val="{00000006-B8D6-4DDB-9234-FFAC6912DDC9}"/>
            </c:ext>
          </c:extLst>
        </c:ser>
        <c:ser>
          <c:idx val="7"/>
          <c:order val="7"/>
          <c:tx>
            <c:strRef>
              <c:f>'G1-SR-příjmy-příspěvky'!$A$41</c:f>
              <c:strCache>
                <c:ptCount val="1"/>
                <c:pt idx="0">
                  <c:v>Social security premiums revenues*</c:v>
                </c:pt>
              </c:strCache>
            </c:strRef>
          </c:tx>
          <c:spPr>
            <a:ln w="6350">
              <a:noFill/>
              <a:prstDash val="dash"/>
            </a:ln>
          </c:spPr>
          <c:marker>
            <c:symbol val="triangle"/>
            <c:size val="5"/>
            <c:spPr>
              <a:solidFill>
                <a:schemeClr val="tx1">
                  <a:lumMod val="85000"/>
                  <a:lumOff val="15000"/>
                </a:schemeClr>
              </a:solidFill>
              <a:ln>
                <a:solidFill>
                  <a:schemeClr val="tx1">
                    <a:lumMod val="95000"/>
                    <a:lumOff val="5000"/>
                  </a:schemeClr>
                </a:solidFill>
              </a:ln>
            </c:spPr>
          </c:marker>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'G1-SR-příjmy-příspěvky'!$E$41:$V$41</c:f>
              <c:numCache>
                <c:formatCode>0.0</c:formatCode>
                <c:ptCount val="18"/>
                <c:pt idx="0">
                  <c:v>4.963380435078534</c:v>
                </c:pt>
                <c:pt idx="1">
                  <c:v>-9.7530608009960531</c:v>
                </c:pt>
                <c:pt idx="2">
                  <c:v>2.2763853759484789</c:v>
                </c:pt>
                <c:pt idx="3">
                  <c:v>3.0856564748201549</c:v>
                </c:pt>
                <c:pt idx="4">
                  <c:v>1.2812823728258991</c:v>
                </c:pt>
                <c:pt idx="5">
                  <c:v>0.18004546818745837</c:v>
                </c:pt>
                <c:pt idx="6">
                  <c:v>2.8854393544132932</c:v>
                </c:pt>
                <c:pt idx="7">
                  <c:v>5.7035679195659696</c:v>
                </c:pt>
                <c:pt idx="8">
                  <c:v>5.8487562070294956</c:v>
                </c:pt>
                <c:pt idx="9">
                  <c:v>8.8257477392857737</c:v>
                </c:pt>
                <c:pt idx="10">
                  <c:v>10.091138884587664</c:v>
                </c:pt>
                <c:pt idx="11">
                  <c:v>7.4794726724714025</c:v>
                </c:pt>
                <c:pt idx="12">
                  <c:v>-2.0257445497974231</c:v>
                </c:pt>
                <c:pt idx="13">
                  <c:v>10.169913745206131</c:v>
                </c:pt>
                <c:pt idx="14">
                  <c:v>7.0843896490699052</c:v>
                </c:pt>
                <c:pt idx="15">
                  <c:v>8.0778415217012167</c:v>
                </c:pt>
                <c:pt idx="16">
                  <c:v>9.205598007851961</c:v>
                </c:pt>
                <c:pt idx="17">
                  <c:v>7.126082940661064</c:v>
                </c:pt>
              </c:numCache>
            </c:numRef>
          </c:val>
          <c:smooth val="0"/>
          <c:extLst>
            <c:ext xmlns:c16="http://schemas.microsoft.com/office/drawing/2014/chart" uri="{C3380CC4-5D6E-409C-BE32-E72D297353CC}">
              <c16:uniqueId val="{00000007-B8D6-4DDB-9234-FFAC6912DDC9}"/>
            </c:ext>
          </c:extLst>
        </c:ser>
        <c:dLbls>
          <c:showLegendKey val="0"/>
          <c:showVal val="0"/>
          <c:showCatName val="0"/>
          <c:showSerName val="0"/>
          <c:showPercent val="0"/>
          <c:showBubbleSize val="0"/>
        </c:dLbls>
        <c:marker val="1"/>
        <c:smooth val="0"/>
        <c:axId val="194467712"/>
        <c:axId val="194473984"/>
      </c:lineChart>
      <c:lineChart>
        <c:grouping val="standard"/>
        <c:varyColors val="0"/>
        <c:ser>
          <c:idx val="8"/>
          <c:order val="8"/>
          <c:tx>
            <c:strRef>
              <c:f>'G1-SR-příjmy-příspěvky'!$A$42</c:f>
              <c:strCache>
                <c:ptCount val="1"/>
                <c:pt idx="0">
                  <c:v>State budget (SB) balance</c:v>
                </c:pt>
              </c:strCache>
            </c:strRef>
          </c:tx>
          <c:spPr>
            <a:ln w="19050">
              <a:solidFill>
                <a:srgbClr val="CC9610"/>
              </a:solidFill>
            </a:ln>
          </c:spPr>
          <c:marker>
            <c:symbol val="none"/>
          </c:marker>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'G1-SR-příjmy-příspěvky'!$E$42:$V$42</c:f>
              <c:numCache>
                <c:formatCode>#\ ##0.0</c:formatCode>
                <c:ptCount val="18"/>
                <c:pt idx="0">
                  <c:v>-20.003</c:v>
                </c:pt>
                <c:pt idx="1">
                  <c:v>-192.39400000000001</c:v>
                </c:pt>
                <c:pt idx="2">
                  <c:v>-156.416</c:v>
                </c:pt>
                <c:pt idx="3">
                  <c:v>-142.77099999999999</c:v>
                </c:pt>
                <c:pt idx="4">
                  <c:v>-101</c:v>
                </c:pt>
                <c:pt idx="5">
                  <c:v>-81.263999999999996</c:v>
                </c:pt>
                <c:pt idx="6">
                  <c:v>-77.78</c:v>
                </c:pt>
                <c:pt idx="7">
                  <c:v>-62.8</c:v>
                </c:pt>
                <c:pt idx="8">
                  <c:v>61.77</c:v>
                </c:pt>
                <c:pt idx="9">
                  <c:v>-6.15</c:v>
                </c:pt>
                <c:pt idx="10">
                  <c:v>2.94</c:v>
                </c:pt>
                <c:pt idx="11">
                  <c:v>-28.52</c:v>
                </c:pt>
                <c:pt idx="12">
                  <c:v>-367.44914888590029</c:v>
                </c:pt>
                <c:pt idx="13">
                  <c:v>-419.6878585549</c:v>
                </c:pt>
                <c:pt idx="14">
                  <c:v>-360.40048457025</c:v>
                </c:pt>
                <c:pt idx="15">
                  <c:v>-288.51503705804953</c:v>
                </c:pt>
                <c:pt idx="16">
                  <c:v>-271.39878275976116</c:v>
                </c:pt>
                <c:pt idx="17">
                  <c:v>-290.68456390893016</c:v>
                </c:pt>
              </c:numCache>
            </c:numRef>
          </c:val>
          <c:smooth val="0"/>
          <c:extLst>
            <c:ext xmlns:c16="http://schemas.microsoft.com/office/drawing/2014/chart" uri="{C3380CC4-5D6E-409C-BE32-E72D297353CC}">
              <c16:uniqueId val="{00000008-B8D6-4DDB-9234-FFAC6912DDC9}"/>
            </c:ext>
          </c:extLst>
        </c:ser>
        <c:ser>
          <c:idx val="9"/>
          <c:order val="9"/>
          <c:tx>
            <c:strRef>
              <c:f>'G1-SR-příjmy-příspěvky'!$A$43</c:f>
              <c:strCache>
                <c:ptCount val="1"/>
                <c:pt idx="0">
                  <c:v>SB balance adjusted for EU and FM effect**</c:v>
                </c:pt>
              </c:strCache>
            </c:strRef>
          </c:tx>
          <c:spPr>
            <a:ln w="19050">
              <a:solidFill>
                <a:srgbClr val="CC9610"/>
              </a:solidFill>
              <a:prstDash val="sysDash"/>
            </a:ln>
          </c:spPr>
          <c:marker>
            <c:symbol val="none"/>
          </c:marker>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'G1-SR-příjmy-příspěvky'!$E$43:$V$43</c:f>
              <c:numCache>
                <c:formatCode>General</c:formatCode>
                <c:ptCount val="18"/>
                <c:pt idx="2" formatCode="#\ ##0.0">
                  <c:v>-139.30000000000001</c:v>
                </c:pt>
                <c:pt idx="3" formatCode="#\ ##0.0">
                  <c:v>-117.5</c:v>
                </c:pt>
                <c:pt idx="4" formatCode="#\ ##0.0">
                  <c:v>-70.599999999999994</c:v>
                </c:pt>
                <c:pt idx="5" formatCode="#\ ##0.0">
                  <c:v>-81.73296260617991</c:v>
                </c:pt>
                <c:pt idx="6" formatCode="#\ ##0.0">
                  <c:v>-64.099999999999994</c:v>
                </c:pt>
                <c:pt idx="7" formatCode="#\ ##0.0">
                  <c:v>-41.7</c:v>
                </c:pt>
                <c:pt idx="8" formatCode="#\ ##0.0">
                  <c:v>-13.6</c:v>
                </c:pt>
                <c:pt idx="9" formatCode="#\ ##0.0">
                  <c:v>-1.3</c:v>
                </c:pt>
                <c:pt idx="10" formatCode="#\ ##0.0">
                  <c:v>-3.5</c:v>
                </c:pt>
                <c:pt idx="11" formatCode="#\ ##0.0">
                  <c:v>-29.2</c:v>
                </c:pt>
                <c:pt idx="12" formatCode="#\ ##0.0">
                  <c:v>-364.9</c:v>
                </c:pt>
                <c:pt idx="13" formatCode="#\ ##0.0">
                  <c:v>-408.62534300788002</c:v>
                </c:pt>
                <c:pt idx="14" formatCode="#\ ##0.0">
                  <c:v>-316.78614650160944</c:v>
                </c:pt>
                <c:pt idx="15" formatCode="#\ ##0.0">
                  <c:v>-300.61728585086007</c:v>
                </c:pt>
                <c:pt idx="16" formatCode="#\ ##0.0">
                  <c:v>-288.86586302725118</c:v>
                </c:pt>
                <c:pt idx="17" formatCode="#\ ##0.0">
                  <c:v>-249.91807521373039</c:v>
                </c:pt>
              </c:numCache>
            </c:numRef>
          </c:val>
          <c:smooth val="0"/>
          <c:extLst>
            <c:ext xmlns:c16="http://schemas.microsoft.com/office/drawing/2014/chart" uri="{C3380CC4-5D6E-409C-BE32-E72D297353CC}">
              <c16:uniqueId val="{00000009-B8D6-4DDB-9234-FFAC6912DDC9}"/>
            </c:ext>
          </c:extLst>
        </c:ser>
        <c:dLbls>
          <c:showLegendKey val="0"/>
          <c:showVal val="0"/>
          <c:showCatName val="0"/>
          <c:showSerName val="0"/>
          <c:showPercent val="0"/>
          <c:showBubbleSize val="0"/>
        </c:dLbls>
        <c:marker val="1"/>
        <c:smooth val="0"/>
        <c:axId val="539204576"/>
        <c:axId val="556140592"/>
      </c:lineChart>
      <c:catAx>
        <c:axId val="194467712"/>
        <c:scaling>
          <c:orientation val="minMax"/>
        </c:scaling>
        <c:delete val="0"/>
        <c:axPos val="b"/>
        <c:numFmt formatCode="General" sourceLinked="1"/>
        <c:majorTickMark val="out"/>
        <c:minorTickMark val="none"/>
        <c:tickLblPos val="low"/>
        <c:spPr>
          <a:ln w="6350">
            <a:solidFill>
              <a:schemeClr val="tx1"/>
            </a:solidFill>
          </a:ln>
        </c:spPr>
        <c:txPr>
          <a:bodyPr rot="-2220000"/>
          <a:lstStyle/>
          <a:p>
            <a:pPr>
              <a:defRPr sz="800" b="0" i="0"/>
            </a:pPr>
            <a:endParaRPr lang="cs-CZ"/>
          </a:p>
        </c:txPr>
        <c:crossAx val="194473984"/>
        <c:crosses val="autoZero"/>
        <c:auto val="1"/>
        <c:lblAlgn val="ctr"/>
        <c:lblOffset val="0"/>
        <c:noMultiLvlLbl val="0"/>
      </c:catAx>
      <c:valAx>
        <c:axId val="194473984"/>
        <c:scaling>
          <c:orientation val="minMax"/>
          <c:max val="18"/>
          <c:min val="-27"/>
        </c:scaling>
        <c:delete val="0"/>
        <c:axPos val="l"/>
        <c:majorGridlines>
          <c:spPr>
            <a:ln w="6350">
              <a:solidFill>
                <a:schemeClr val="bg1">
                  <a:lumMod val="75000"/>
                </a:schemeClr>
              </a:solidFill>
            </a:ln>
          </c:spPr>
        </c:majorGridlines>
        <c:title>
          <c:tx>
            <c:rich>
              <a:bodyPr/>
              <a:lstStyle/>
              <a:p>
                <a:pPr>
                  <a:defRPr b="0"/>
                </a:pPr>
                <a:r>
                  <a:rPr lang="cs-CZ" b="0"/>
                  <a:t>Insurance revenue growth, Contribution to rax revenue growth </a:t>
                </a:r>
              </a:p>
            </c:rich>
          </c:tx>
          <c:overlay val="0"/>
        </c:title>
        <c:numFmt formatCode="0" sourceLinked="0"/>
        <c:majorTickMark val="out"/>
        <c:minorTickMark val="none"/>
        <c:tickLblPos val="nextTo"/>
        <c:spPr>
          <a:ln w="6350">
            <a:solidFill>
              <a:schemeClr val="tx1"/>
            </a:solidFill>
          </a:ln>
        </c:spPr>
        <c:txPr>
          <a:bodyPr/>
          <a:lstStyle/>
          <a:p>
            <a:pPr>
              <a:defRPr sz="800" b="0" i="0"/>
            </a:pPr>
            <a:endParaRPr lang="cs-CZ"/>
          </a:p>
        </c:txPr>
        <c:crossAx val="194467712"/>
        <c:crosses val="autoZero"/>
        <c:crossBetween val="between"/>
        <c:majorUnit val="3"/>
      </c:valAx>
      <c:valAx>
        <c:axId val="556140592"/>
        <c:scaling>
          <c:orientation val="minMax"/>
          <c:max val="300"/>
          <c:min val="-450"/>
        </c:scaling>
        <c:delete val="0"/>
        <c:axPos val="r"/>
        <c:title>
          <c:tx>
            <c:rich>
              <a:bodyPr/>
              <a:lstStyle/>
              <a:p>
                <a:pPr>
                  <a:defRPr b="0"/>
                </a:pPr>
                <a:r>
                  <a:rPr lang="cs-CZ" b="0"/>
                  <a:t>State budget balance</a:t>
                </a:r>
              </a:p>
            </c:rich>
          </c:tx>
          <c:layout>
            <c:manualLayout>
              <c:xMode val="edge"/>
              <c:yMode val="edge"/>
              <c:x val="0.97036646544776606"/>
              <c:y val="0.20963215506367217"/>
            </c:manualLayout>
          </c:layout>
          <c:overlay val="0"/>
        </c:title>
        <c:numFmt formatCode="#,##0" sourceLinked="0"/>
        <c:majorTickMark val="out"/>
        <c:minorTickMark val="none"/>
        <c:tickLblPos val="nextTo"/>
        <c:txPr>
          <a:bodyPr/>
          <a:lstStyle/>
          <a:p>
            <a:pPr>
              <a:defRPr sz="800" b="0" i="0"/>
            </a:pPr>
            <a:endParaRPr lang="cs-CZ"/>
          </a:p>
        </c:txPr>
        <c:crossAx val="539204576"/>
        <c:crosses val="max"/>
        <c:crossBetween val="between"/>
        <c:majorUnit val="50"/>
      </c:valAx>
      <c:catAx>
        <c:axId val="539204576"/>
        <c:scaling>
          <c:orientation val="minMax"/>
        </c:scaling>
        <c:delete val="1"/>
        <c:axPos val="b"/>
        <c:numFmt formatCode="General" sourceLinked="1"/>
        <c:majorTickMark val="out"/>
        <c:minorTickMark val="none"/>
        <c:tickLblPos val="nextTo"/>
        <c:crossAx val="556140592"/>
        <c:crosses val="autoZero"/>
        <c:auto val="1"/>
        <c:lblAlgn val="ctr"/>
        <c:lblOffset val="100"/>
        <c:noMultiLvlLbl val="0"/>
      </c:catAx>
      <c:spPr>
        <a:ln w="6350">
          <a:noFill/>
        </a:ln>
      </c:spPr>
    </c:plotArea>
    <c:legend>
      <c:legendPos val="b"/>
      <c:layout>
        <c:manualLayout>
          <c:xMode val="edge"/>
          <c:yMode val="edge"/>
          <c:x val="4.3946120565914737E-3"/>
          <c:y val="0.83886939230239155"/>
          <c:w val="0.99003206827722934"/>
          <c:h val="0.1536733294810981"/>
        </c:manualLayout>
      </c:layout>
      <c:overlay val="0"/>
      <c:spPr>
        <a:ln w="6350">
          <a:solidFill>
            <a:schemeClr val="tx1"/>
          </a:solidFill>
        </a:ln>
      </c:spPr>
      <c:txPr>
        <a:bodyPr/>
        <a:lstStyle/>
        <a:p>
          <a:pPr>
            <a:defRPr sz="730" b="0" i="0"/>
          </a:pPr>
          <a:endParaRPr lang="cs-CZ"/>
        </a:p>
      </c:txPr>
    </c:legend>
    <c:plotVisOnly val="1"/>
    <c:dispBlanksAs val="gap"/>
    <c:showDLblsOverMax val="0"/>
  </c:chart>
  <c:spPr>
    <a:ln>
      <a:noFill/>
    </a:ln>
  </c:spPr>
  <c:txPr>
    <a:bodyPr/>
    <a:lstStyle/>
    <a:p>
      <a:pPr>
        <a:defRPr sz="700" b="1" i="1">
          <a:latin typeface="Arial" panose="020B0604020202020204" pitchFamily="34" charset="0"/>
          <a:cs typeface="Arial" panose="020B0604020202020204" pitchFamily="34" charset="0"/>
        </a:defRPr>
      </a:pPr>
      <a:endParaRPr lang="cs-CZ"/>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4631741153750356E-2"/>
          <c:y val="1.7698902479006788E-2"/>
          <c:w val="0.82413891400339601"/>
          <c:h val="0.72727915094472939"/>
        </c:manualLayout>
      </c:layout>
      <c:barChart>
        <c:barDir val="col"/>
        <c:grouping val="clustered"/>
        <c:varyColors val="0"/>
        <c:ser>
          <c:idx val="0"/>
          <c:order val="0"/>
          <c:tx>
            <c:strRef>
              <c:f>'G2-St.rozpočet-výdaje-2024'!$B$32</c:f>
              <c:strCache>
                <c:ptCount val="1"/>
                <c:pt idx="0">
                  <c:v>Total current expenditures (right axis)</c:v>
                </c:pt>
              </c:strCache>
            </c:strRef>
          </c:tx>
          <c:spPr>
            <a:solidFill>
              <a:schemeClr val="bg1">
                <a:lumMod val="95000"/>
              </a:schemeClr>
            </a:solidFill>
            <a:ln w="6350">
              <a:solidFill>
                <a:schemeClr val="bg1">
                  <a:lumMod val="65000"/>
                </a:schemeClr>
              </a:solidFill>
            </a:ln>
          </c:spPr>
          <c:invertIfNegative val="0"/>
          <c:cat>
            <c:numRef>
              <c:f>'G2-St.rozpočet-výdaje-2024'!$A$36:$A$53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'G2-St.rozpočet-výdaje-2024'!$B$36:$B$53</c:f>
              <c:numCache>
                <c:formatCode>0.0</c:formatCode>
                <c:ptCount val="18"/>
                <c:pt idx="0">
                  <c:v>975.86</c:v>
                </c:pt>
                <c:pt idx="1">
                  <c:v>1032.78</c:v>
                </c:pt>
                <c:pt idx="2">
                  <c:v>1021.89</c:v>
                </c:pt>
                <c:pt idx="3">
                  <c:v>1031.83</c:v>
                </c:pt>
                <c:pt idx="4">
                  <c:v>1038.76</c:v>
                </c:pt>
                <c:pt idx="5">
                  <c:v>1070.8130000000001</c:v>
                </c:pt>
                <c:pt idx="6">
                  <c:v>1100.1020000000001</c:v>
                </c:pt>
                <c:pt idx="7">
                  <c:v>1121.6600000000001</c:v>
                </c:pt>
                <c:pt idx="8">
                  <c:v>1135.57</c:v>
                </c:pt>
                <c:pt idx="9">
                  <c:v>1198.05</c:v>
                </c:pt>
                <c:pt idx="10">
                  <c:v>1284.5</c:v>
                </c:pt>
                <c:pt idx="11">
                  <c:v>1412.5989294339895</c:v>
                </c:pt>
                <c:pt idx="12">
                  <c:v>1670.3085864663701</c:v>
                </c:pt>
                <c:pt idx="13">
                  <c:v>1729.78958897348</c:v>
                </c:pt>
                <c:pt idx="14">
                  <c:v>1797.9543482348001</c:v>
                </c:pt>
                <c:pt idx="15">
                  <c:v>1992.17183615831</c:v>
                </c:pt>
                <c:pt idx="16">
                  <c:v>2024.29896954112</c:v>
                </c:pt>
                <c:pt idx="17">
                  <c:v>2109.4088252373499</c:v>
                </c:pt>
              </c:numCache>
            </c:numRef>
          </c:val>
          <c:extLst>
            <c:ext xmlns:c16="http://schemas.microsoft.com/office/drawing/2014/chart" uri="{C3380CC4-5D6E-409C-BE32-E72D297353CC}">
              <c16:uniqueId val="{00000000-0617-4BFD-ACF5-5C7F5B366F5E}"/>
            </c:ext>
          </c:extLst>
        </c:ser>
        <c:ser>
          <c:idx val="1"/>
          <c:order val="1"/>
          <c:tx>
            <c:strRef>
              <c:f>'G2-St.rozpočet-výdaje-2024'!$C$32</c:f>
              <c:strCache>
                <c:ptCount val="1"/>
                <c:pt idx="0">
                  <c:v>In that expend. on pensions (right axis)</c:v>
                </c:pt>
              </c:strCache>
            </c:strRef>
          </c:tx>
          <c:spPr>
            <a:solidFill>
              <a:srgbClr val="D1D1D1"/>
            </a:solidFill>
            <a:ln w="6350">
              <a:solidFill>
                <a:schemeClr val="bg1">
                  <a:lumMod val="75000"/>
                </a:schemeClr>
              </a:solidFill>
            </a:ln>
          </c:spPr>
          <c:invertIfNegative val="0"/>
          <c:cat>
            <c:numRef>
              <c:f>'G2-St.rozpočet-výdaje-2024'!$A$36:$A$53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'G2-St.rozpočet-výdaje-2024'!$C$36:$C$53</c:f>
              <c:numCache>
                <c:formatCode>0.0</c:formatCode>
                <c:ptCount val="18"/>
                <c:pt idx="0">
                  <c:v>312.53199999999998</c:v>
                </c:pt>
                <c:pt idx="1">
                  <c:v>339.78800000000001</c:v>
                </c:pt>
                <c:pt idx="2">
                  <c:v>346.21300000000002</c:v>
                </c:pt>
                <c:pt idx="3">
                  <c:v>368.06900000000002</c:v>
                </c:pt>
                <c:pt idx="4">
                  <c:v>382.03100000000001</c:v>
                </c:pt>
                <c:pt idx="5">
                  <c:v>382.77300000000002</c:v>
                </c:pt>
                <c:pt idx="6">
                  <c:v>385.84</c:v>
                </c:pt>
                <c:pt idx="7">
                  <c:v>395.22</c:v>
                </c:pt>
                <c:pt idx="8">
                  <c:v>398.97</c:v>
                </c:pt>
                <c:pt idx="9">
                  <c:v>414.39</c:v>
                </c:pt>
                <c:pt idx="10">
                  <c:v>433.84407565780998</c:v>
                </c:pt>
                <c:pt idx="11">
                  <c:v>471.57754787601999</c:v>
                </c:pt>
                <c:pt idx="12">
                  <c:v>519.56821115258003</c:v>
                </c:pt>
                <c:pt idx="13">
                  <c:v>530.49962626152001</c:v>
                </c:pt>
                <c:pt idx="14">
                  <c:v>588.08604572466004</c:v>
                </c:pt>
                <c:pt idx="15">
                  <c:v>685.32250789549005</c:v>
                </c:pt>
                <c:pt idx="16">
                  <c:v>709.96444188773</c:v>
                </c:pt>
                <c:pt idx="17">
                  <c:v>715.82688185897007</c:v>
                </c:pt>
              </c:numCache>
            </c:numRef>
          </c:val>
          <c:extLst>
            <c:ext xmlns:c16="http://schemas.microsoft.com/office/drawing/2014/chart" uri="{C3380CC4-5D6E-409C-BE32-E72D297353CC}">
              <c16:uniqueId val="{00000001-0617-4BFD-ACF5-5C7F5B366F5E}"/>
            </c:ext>
          </c:extLst>
        </c:ser>
        <c:dLbls>
          <c:showLegendKey val="0"/>
          <c:showVal val="0"/>
          <c:showCatName val="0"/>
          <c:showSerName val="0"/>
          <c:showPercent val="0"/>
          <c:showBubbleSize val="0"/>
        </c:dLbls>
        <c:gapWidth val="85"/>
        <c:overlap val="62"/>
        <c:axId val="72836608"/>
        <c:axId val="72835072"/>
      </c:barChart>
      <c:lineChart>
        <c:grouping val="standard"/>
        <c:varyColors val="0"/>
        <c:ser>
          <c:idx val="6"/>
          <c:order val="2"/>
          <c:tx>
            <c:strRef>
              <c:f>'G2-St.rozpočet-výdaje-2024'!$D$32</c:f>
              <c:strCache>
                <c:ptCount val="1"/>
                <c:pt idx="0">
                  <c:v>Wages of employees in publ. admin.*</c:v>
                </c:pt>
              </c:strCache>
            </c:strRef>
          </c:tx>
          <c:spPr>
            <a:ln w="15875">
              <a:solidFill>
                <a:srgbClr val="E6C483"/>
              </a:solidFill>
            </a:ln>
          </c:spPr>
          <c:marker>
            <c:symbol val="none"/>
          </c:marker>
          <c:cat>
            <c:numRef>
              <c:f>'G2-St.rozpočet-výdaje-2024'!$A$36:$A$53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'G2-St.rozpočet-výdaje-2024'!$D$36:$D$53</c:f>
              <c:numCache>
                <c:formatCode>0.0</c:formatCode>
                <c:ptCount val="18"/>
                <c:pt idx="0">
                  <c:v>97.33</c:v>
                </c:pt>
                <c:pt idx="1">
                  <c:v>100.19</c:v>
                </c:pt>
                <c:pt idx="2">
                  <c:v>97.67</c:v>
                </c:pt>
                <c:pt idx="3">
                  <c:v>89.6</c:v>
                </c:pt>
                <c:pt idx="4">
                  <c:v>90.45</c:v>
                </c:pt>
                <c:pt idx="5">
                  <c:v>92.375</c:v>
                </c:pt>
                <c:pt idx="6">
                  <c:v>96.582999999999998</c:v>
                </c:pt>
                <c:pt idx="7">
                  <c:v>104.19</c:v>
                </c:pt>
                <c:pt idx="8">
                  <c:v>109.86</c:v>
                </c:pt>
                <c:pt idx="9">
                  <c:v>120.08</c:v>
                </c:pt>
                <c:pt idx="10">
                  <c:v>133.9</c:v>
                </c:pt>
                <c:pt idx="11">
                  <c:v>143.72754730148006</c:v>
                </c:pt>
                <c:pt idx="12">
                  <c:v>150.49796216553</c:v>
                </c:pt>
                <c:pt idx="13">
                  <c:v>152.83601356255002</c:v>
                </c:pt>
                <c:pt idx="14">
                  <c:v>153.60033768561999</c:v>
                </c:pt>
                <c:pt idx="15">
                  <c:v>165.85338141482998</c:v>
                </c:pt>
                <c:pt idx="16">
                  <c:v>167.94144594688996</c:v>
                </c:pt>
                <c:pt idx="17">
                  <c:v>180.02784240655998</c:v>
                </c:pt>
              </c:numCache>
            </c:numRef>
          </c:val>
          <c:smooth val="0"/>
          <c:extLst>
            <c:ext xmlns:c16="http://schemas.microsoft.com/office/drawing/2014/chart" uri="{C3380CC4-5D6E-409C-BE32-E72D297353CC}">
              <c16:uniqueId val="{00000002-0617-4BFD-ACF5-5C7F5B366F5E}"/>
            </c:ext>
          </c:extLst>
        </c:ser>
        <c:ser>
          <c:idx val="7"/>
          <c:order val="3"/>
          <c:tx>
            <c:strRef>
              <c:f>'G2-St.rozpočet-výdaje-2024'!$E$32</c:f>
              <c:strCache>
                <c:ptCount val="1"/>
                <c:pt idx="0">
                  <c:v>Unemployment benefits</c:v>
                </c:pt>
              </c:strCache>
            </c:strRef>
          </c:tx>
          <c:spPr>
            <a:ln w="15875">
              <a:solidFill>
                <a:srgbClr val="D8A7B7"/>
              </a:solidFill>
            </a:ln>
          </c:spPr>
          <c:marker>
            <c:symbol val="none"/>
          </c:marker>
          <c:cat>
            <c:numRef>
              <c:f>'G2-St.rozpočet-výdaje-2024'!$A$36:$A$53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'G2-St.rozpočet-výdaje-2024'!$E$36:$E$53</c:f>
              <c:numCache>
                <c:formatCode>0.0</c:formatCode>
                <c:ptCount val="18"/>
                <c:pt idx="0">
                  <c:v>7.11</c:v>
                </c:pt>
                <c:pt idx="1">
                  <c:v>15.077999999999999</c:v>
                </c:pt>
                <c:pt idx="2">
                  <c:v>13.355</c:v>
                </c:pt>
                <c:pt idx="3">
                  <c:v>10.349</c:v>
                </c:pt>
                <c:pt idx="4">
                  <c:v>8.76</c:v>
                </c:pt>
                <c:pt idx="5">
                  <c:v>9.65</c:v>
                </c:pt>
                <c:pt idx="6">
                  <c:v>9.2620000000000005</c:v>
                </c:pt>
                <c:pt idx="7">
                  <c:v>8.2759999999999998</c:v>
                </c:pt>
                <c:pt idx="8">
                  <c:v>8.2200000000000006</c:v>
                </c:pt>
                <c:pt idx="9">
                  <c:v>7.82</c:v>
                </c:pt>
                <c:pt idx="10">
                  <c:v>7.51</c:v>
                </c:pt>
                <c:pt idx="11">
                  <c:v>8.1136251569399995</c:v>
                </c:pt>
                <c:pt idx="12">
                  <c:v>10.524849742540001</c:v>
                </c:pt>
                <c:pt idx="13">
                  <c:v>9.9694941281400009</c:v>
                </c:pt>
                <c:pt idx="14">
                  <c:v>9.8510506837400005</c:v>
                </c:pt>
                <c:pt idx="15">
                  <c:v>10.449400058329999</c:v>
                </c:pt>
                <c:pt idx="16">
                  <c:v>12.86098902494</c:v>
                </c:pt>
                <c:pt idx="17">
                  <c:v>14.887388856789999</c:v>
                </c:pt>
              </c:numCache>
            </c:numRef>
          </c:val>
          <c:smooth val="0"/>
          <c:extLst>
            <c:ext xmlns:c16="http://schemas.microsoft.com/office/drawing/2014/chart" uri="{C3380CC4-5D6E-409C-BE32-E72D297353CC}">
              <c16:uniqueId val="{00000003-0617-4BFD-ACF5-5C7F5B366F5E}"/>
            </c:ext>
          </c:extLst>
        </c:ser>
        <c:ser>
          <c:idx val="2"/>
          <c:order val="4"/>
          <c:tx>
            <c:strRef>
              <c:f>'G2-St.rozpočet-výdaje-2024'!$F$32</c:f>
              <c:strCache>
                <c:ptCount val="1"/>
                <c:pt idx="0">
                  <c:v>State social support**</c:v>
                </c:pt>
              </c:strCache>
            </c:strRef>
          </c:tx>
          <c:spPr>
            <a:ln w="15875">
              <a:solidFill>
                <a:srgbClr val="BC5B80"/>
              </a:solidFill>
            </a:ln>
          </c:spPr>
          <c:marker>
            <c:symbol val="none"/>
          </c:marker>
          <c:cat>
            <c:numRef>
              <c:f>'G2-St.rozpočet-výdaje-2024'!$A$36:$A$53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'G2-St.rozpočet-výdaje-2024'!$F$36:$F$53</c:f>
              <c:numCache>
                <c:formatCode>0.0</c:formatCode>
                <c:ptCount val="18"/>
                <c:pt idx="0">
                  <c:v>41.97</c:v>
                </c:pt>
                <c:pt idx="1">
                  <c:v>41.167999999999999</c:v>
                </c:pt>
                <c:pt idx="2">
                  <c:v>40.881</c:v>
                </c:pt>
                <c:pt idx="3">
                  <c:v>36.094000000000001</c:v>
                </c:pt>
                <c:pt idx="4">
                  <c:v>35.554000000000002</c:v>
                </c:pt>
                <c:pt idx="5">
                  <c:v>37.423000000000002</c:v>
                </c:pt>
                <c:pt idx="6">
                  <c:v>37.543999999999997</c:v>
                </c:pt>
                <c:pt idx="7">
                  <c:v>37.65</c:v>
                </c:pt>
                <c:pt idx="8">
                  <c:v>37.78</c:v>
                </c:pt>
                <c:pt idx="9">
                  <c:v>37.22</c:v>
                </c:pt>
                <c:pt idx="10">
                  <c:v>39.22</c:v>
                </c:pt>
                <c:pt idx="11">
                  <c:v>37.87859106618</c:v>
                </c:pt>
                <c:pt idx="12">
                  <c:v>51.685289497479999</c:v>
                </c:pt>
                <c:pt idx="13">
                  <c:v>48.771589956349999</c:v>
                </c:pt>
                <c:pt idx="14">
                  <c:v>56.352518862019998</c:v>
                </c:pt>
                <c:pt idx="15">
                  <c:v>59.946979211910005</c:v>
                </c:pt>
                <c:pt idx="16">
                  <c:v>60.254299653700002</c:v>
                </c:pt>
                <c:pt idx="17">
                  <c:v>62.688521025519996</c:v>
                </c:pt>
              </c:numCache>
            </c:numRef>
          </c:val>
          <c:smooth val="0"/>
          <c:extLst>
            <c:ext xmlns:c16="http://schemas.microsoft.com/office/drawing/2014/chart" uri="{C3380CC4-5D6E-409C-BE32-E72D297353CC}">
              <c16:uniqueId val="{00000004-0617-4BFD-ACF5-5C7F5B366F5E}"/>
            </c:ext>
          </c:extLst>
        </c:ser>
        <c:ser>
          <c:idx val="3"/>
          <c:order val="5"/>
          <c:tx>
            <c:strRef>
              <c:f>'G2-St.rozpočet-výdaje-2024'!$G$32</c:f>
              <c:strCache>
                <c:ptCount val="1"/>
                <c:pt idx="0">
                  <c:v>Sickness benefits</c:v>
                </c:pt>
              </c:strCache>
            </c:strRef>
          </c:tx>
          <c:spPr>
            <a:ln w="15875">
              <a:solidFill>
                <a:srgbClr val="009CB5"/>
              </a:solidFill>
            </a:ln>
          </c:spPr>
          <c:marker>
            <c:symbol val="none"/>
          </c:marker>
          <c:cat>
            <c:numRef>
              <c:f>'G2-St.rozpočet-výdaje-2024'!$A$36:$A$53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'G2-St.rozpočet-výdaje-2024'!$G$36:$G$53</c:f>
              <c:numCache>
                <c:formatCode>0.0</c:formatCode>
                <c:ptCount val="18"/>
                <c:pt idx="0">
                  <c:v>31.882000000000001</c:v>
                </c:pt>
                <c:pt idx="1">
                  <c:v>26.233000000000001</c:v>
                </c:pt>
                <c:pt idx="2">
                  <c:v>22.995999999999999</c:v>
                </c:pt>
                <c:pt idx="3">
                  <c:v>21.734000000000002</c:v>
                </c:pt>
                <c:pt idx="4">
                  <c:v>19.602</c:v>
                </c:pt>
                <c:pt idx="5">
                  <c:v>20.350000000000001</c:v>
                </c:pt>
                <c:pt idx="6">
                  <c:v>22.283000000000001</c:v>
                </c:pt>
                <c:pt idx="7">
                  <c:v>24.31</c:v>
                </c:pt>
                <c:pt idx="8">
                  <c:v>26.5</c:v>
                </c:pt>
                <c:pt idx="9">
                  <c:v>28.57</c:v>
                </c:pt>
                <c:pt idx="10">
                  <c:v>34.261000000000003</c:v>
                </c:pt>
                <c:pt idx="11">
                  <c:v>39.229999999999997</c:v>
                </c:pt>
                <c:pt idx="12">
                  <c:v>55.610999999999997</c:v>
                </c:pt>
                <c:pt idx="13">
                  <c:v>51.904000000000003</c:v>
                </c:pt>
                <c:pt idx="14">
                  <c:v>48.125999999999998</c:v>
                </c:pt>
                <c:pt idx="15">
                  <c:v>45.918999999999997</c:v>
                </c:pt>
                <c:pt idx="16">
                  <c:v>48.03</c:v>
                </c:pt>
                <c:pt idx="17">
                  <c:v>49.4</c:v>
                </c:pt>
              </c:numCache>
            </c:numRef>
          </c:val>
          <c:smooth val="0"/>
          <c:extLst>
            <c:ext xmlns:c16="http://schemas.microsoft.com/office/drawing/2014/chart" uri="{C3380CC4-5D6E-409C-BE32-E72D297353CC}">
              <c16:uniqueId val="{00000005-0617-4BFD-ACF5-5C7F5B366F5E}"/>
            </c:ext>
          </c:extLst>
        </c:ser>
        <c:ser>
          <c:idx val="4"/>
          <c:order val="6"/>
          <c:tx>
            <c:strRef>
              <c:f>'G2-St.rozpočet-výdaje-2024'!$H$32</c:f>
              <c:strCache>
                <c:ptCount val="1"/>
                <c:pt idx="0">
                  <c:v>Social care benefits***</c:v>
                </c:pt>
              </c:strCache>
            </c:strRef>
          </c:tx>
          <c:spPr>
            <a:ln w="15875">
              <a:solidFill>
                <a:srgbClr val="86BF04"/>
              </a:solidFill>
              <a:prstDash val="solid"/>
            </a:ln>
          </c:spPr>
          <c:marker>
            <c:symbol val="none"/>
          </c:marker>
          <c:cat>
            <c:numRef>
              <c:f>'G2-St.rozpočet-výdaje-2024'!$A$36:$A$53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'G2-St.rozpočet-výdaje-2024'!$H$36:$H$53</c:f>
              <c:numCache>
                <c:formatCode>General</c:formatCode>
                <c:ptCount val="18"/>
                <c:pt idx="4" formatCode="0.0">
                  <c:v>27.695499999999999</c:v>
                </c:pt>
                <c:pt idx="5" formatCode="0.0">
                  <c:v>31.978999999999999</c:v>
                </c:pt>
                <c:pt idx="6" formatCode="0.0">
                  <c:v>33.622</c:v>
                </c:pt>
                <c:pt idx="7" formatCode="0.0">
                  <c:v>33.621000000000002</c:v>
                </c:pt>
                <c:pt idx="8" formatCode="0.0">
                  <c:v>34.295000000000002</c:v>
                </c:pt>
                <c:pt idx="9" formatCode="0.0">
                  <c:v>34.439</c:v>
                </c:pt>
                <c:pt idx="10" formatCode="0.0">
                  <c:v>33.990400000000001</c:v>
                </c:pt>
                <c:pt idx="11" formatCode="0.0">
                  <c:v>36.831099999999999</c:v>
                </c:pt>
                <c:pt idx="12" formatCode="0.0">
                  <c:v>40.510200000000005</c:v>
                </c:pt>
                <c:pt idx="13" formatCode="0.0">
                  <c:v>40.520200000000003</c:v>
                </c:pt>
                <c:pt idx="14" formatCode="0.0">
                  <c:v>53.4238</c:v>
                </c:pt>
                <c:pt idx="15" formatCode="0.0">
                  <c:v>53.747900000000001</c:v>
                </c:pt>
                <c:pt idx="16" formatCode="0.0">
                  <c:v>59.666800000000002</c:v>
                </c:pt>
                <c:pt idx="17" formatCode="0.0">
                  <c:v>65.991480800000005</c:v>
                </c:pt>
              </c:numCache>
            </c:numRef>
          </c:val>
          <c:smooth val="0"/>
          <c:extLst>
            <c:ext xmlns:c16="http://schemas.microsoft.com/office/drawing/2014/chart" uri="{C3380CC4-5D6E-409C-BE32-E72D297353CC}">
              <c16:uniqueId val="{00000006-0617-4BFD-ACF5-5C7F5B366F5E}"/>
            </c:ext>
          </c:extLst>
        </c:ser>
        <c:ser>
          <c:idx val="5"/>
          <c:order val="7"/>
          <c:tx>
            <c:strRef>
              <c:f>'G2-St.rozpočet-výdaje-2024'!$I$32</c:f>
              <c:strCache>
                <c:ptCount val="1"/>
                <c:pt idx="0">
                  <c:v>Non-investment transfers to commercial ent.</c:v>
                </c:pt>
              </c:strCache>
            </c:strRef>
          </c:tx>
          <c:spPr>
            <a:ln w="9525">
              <a:solidFill>
                <a:srgbClr val="CC9610"/>
              </a:solidFill>
              <a:prstDash val="sysDot"/>
            </a:ln>
          </c:spPr>
          <c:marker>
            <c:symbol val="circle"/>
            <c:size val="5"/>
            <c:spPr>
              <a:solidFill>
                <a:schemeClr val="bg1"/>
              </a:solidFill>
              <a:ln>
                <a:solidFill>
                  <a:srgbClr val="CC9610"/>
                </a:solidFill>
              </a:ln>
            </c:spPr>
          </c:marker>
          <c:cat>
            <c:numRef>
              <c:f>'G2-St.rozpočet-výdaje-2024'!$A$36:$A$53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'G2-St.rozpočet-výdaje-2024'!$I$36:$I$53</c:f>
              <c:numCache>
                <c:formatCode>0.0</c:formatCode>
                <c:ptCount val="18"/>
                <c:pt idx="0">
                  <c:v>26.108000000000001</c:v>
                </c:pt>
                <c:pt idx="1">
                  <c:v>28.491</c:v>
                </c:pt>
                <c:pt idx="2">
                  <c:v>28.100999999999999</c:v>
                </c:pt>
                <c:pt idx="3">
                  <c:v>33.262999999999998</c:v>
                </c:pt>
                <c:pt idx="4">
                  <c:v>35.61</c:v>
                </c:pt>
                <c:pt idx="5">
                  <c:v>35.03</c:v>
                </c:pt>
                <c:pt idx="6">
                  <c:v>41.23</c:v>
                </c:pt>
                <c:pt idx="7">
                  <c:v>39.14</c:v>
                </c:pt>
                <c:pt idx="8">
                  <c:v>44.23</c:v>
                </c:pt>
                <c:pt idx="9">
                  <c:v>48.3</c:v>
                </c:pt>
                <c:pt idx="10">
                  <c:v>57.32</c:v>
                </c:pt>
                <c:pt idx="11">
                  <c:v>57.932912725290002</c:v>
                </c:pt>
                <c:pt idx="12">
                  <c:v>106.75302514385</c:v>
                </c:pt>
                <c:pt idx="13">
                  <c:v>125.41352918255001</c:v>
                </c:pt>
                <c:pt idx="14">
                  <c:v>89.292856818779995</c:v>
                </c:pt>
                <c:pt idx="15">
                  <c:v>137.69890614772999</c:v>
                </c:pt>
                <c:pt idx="16">
                  <c:v>66.535549576650013</c:v>
                </c:pt>
                <c:pt idx="17">
                  <c:v>69.279952920100001</c:v>
                </c:pt>
              </c:numCache>
            </c:numRef>
          </c:val>
          <c:smooth val="0"/>
          <c:extLst>
            <c:ext xmlns:c16="http://schemas.microsoft.com/office/drawing/2014/chart" uri="{C3380CC4-5D6E-409C-BE32-E72D297353CC}">
              <c16:uniqueId val="{00000007-0617-4BFD-ACF5-5C7F5B366F5E}"/>
            </c:ext>
          </c:extLst>
        </c:ser>
        <c:ser>
          <c:idx val="9"/>
          <c:order val="8"/>
          <c:tx>
            <c:strRef>
              <c:f>'G2-St.rozpočet-výdaje-2024'!$J$32</c:f>
              <c:strCache>
                <c:ptCount val="1"/>
                <c:pt idx="0">
                  <c:v>Non-investment purchases****</c:v>
                </c:pt>
              </c:strCache>
            </c:strRef>
          </c:tx>
          <c:spPr>
            <a:ln w="15875">
              <a:solidFill>
                <a:srgbClr val="8390A7"/>
              </a:solidFill>
              <a:prstDash val="solid"/>
            </a:ln>
          </c:spPr>
          <c:marker>
            <c:symbol val="none"/>
          </c:marker>
          <c:dPt>
            <c:idx val="4"/>
            <c:bubble3D val="0"/>
            <c:extLst>
              <c:ext xmlns:c16="http://schemas.microsoft.com/office/drawing/2014/chart" uri="{C3380CC4-5D6E-409C-BE32-E72D297353CC}">
                <c16:uniqueId val="{00000008-0617-4BFD-ACF5-5C7F5B366F5E}"/>
              </c:ext>
            </c:extLst>
          </c:dPt>
          <c:cat>
            <c:numRef>
              <c:f>'G2-St.rozpočet-výdaje-2024'!$A$36:$A$53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'G2-St.rozpočet-výdaje-2024'!$J$36:$J$53</c:f>
              <c:numCache>
                <c:formatCode>0.0</c:formatCode>
                <c:ptCount val="18"/>
                <c:pt idx="0">
                  <c:v>71.581999999999994</c:v>
                </c:pt>
                <c:pt idx="1">
                  <c:v>69.73</c:v>
                </c:pt>
                <c:pt idx="2">
                  <c:v>65.116</c:v>
                </c:pt>
                <c:pt idx="3">
                  <c:v>57.98</c:v>
                </c:pt>
                <c:pt idx="4">
                  <c:v>53.174999999999997</c:v>
                </c:pt>
                <c:pt idx="5">
                  <c:v>54.192999999999998</c:v>
                </c:pt>
                <c:pt idx="6">
                  <c:v>54.751000000000005</c:v>
                </c:pt>
                <c:pt idx="7">
                  <c:v>62.36</c:v>
                </c:pt>
                <c:pt idx="8">
                  <c:v>57.560000000000009</c:v>
                </c:pt>
                <c:pt idx="9">
                  <c:v>62.76</c:v>
                </c:pt>
                <c:pt idx="10">
                  <c:v>68.41</c:v>
                </c:pt>
                <c:pt idx="11">
                  <c:v>66.430000000000007</c:v>
                </c:pt>
                <c:pt idx="12">
                  <c:v>77.884951001920001</c:v>
                </c:pt>
                <c:pt idx="13">
                  <c:v>78.966372350420002</c:v>
                </c:pt>
                <c:pt idx="14">
                  <c:v>91.193704519299956</c:v>
                </c:pt>
                <c:pt idx="15">
                  <c:v>81.520509210230003</c:v>
                </c:pt>
                <c:pt idx="16">
                  <c:v>94.458819465009967</c:v>
                </c:pt>
                <c:pt idx="17">
                  <c:v>109.43083630714</c:v>
                </c:pt>
              </c:numCache>
            </c:numRef>
          </c:val>
          <c:smooth val="0"/>
          <c:extLst>
            <c:ext xmlns:c16="http://schemas.microsoft.com/office/drawing/2014/chart" uri="{C3380CC4-5D6E-409C-BE32-E72D297353CC}">
              <c16:uniqueId val="{00000009-0617-4BFD-ACF5-5C7F5B366F5E}"/>
            </c:ext>
          </c:extLst>
        </c:ser>
        <c:ser>
          <c:idx val="8"/>
          <c:order val="9"/>
          <c:tx>
            <c:strRef>
              <c:f>'G2-St.rozpočet-výdaje-2024'!$K$32</c:f>
              <c:strCache>
                <c:ptCount val="1"/>
                <c:pt idx="0">
                  <c:v>State debt (net expenditures)****</c:v>
                </c:pt>
              </c:strCache>
            </c:strRef>
          </c:tx>
          <c:spPr>
            <a:ln w="6350">
              <a:solidFill>
                <a:srgbClr val="BC5B80"/>
              </a:solidFill>
              <a:prstDash val="sysDot"/>
            </a:ln>
          </c:spPr>
          <c:marker>
            <c:symbol val="diamond"/>
            <c:size val="5"/>
            <c:spPr>
              <a:solidFill>
                <a:srgbClr val="BC5B80"/>
              </a:solidFill>
              <a:ln>
                <a:noFill/>
              </a:ln>
            </c:spPr>
          </c:marker>
          <c:cat>
            <c:numRef>
              <c:f>'G2-St.rozpočet-výdaje-2024'!$A$36:$A$53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'G2-St.rozpočet-výdaje-2024'!$K$36:$K$53</c:f>
              <c:numCache>
                <c:formatCode>0.0</c:formatCode>
                <c:ptCount val="18"/>
                <c:pt idx="0">
                  <c:v>37.64</c:v>
                </c:pt>
                <c:pt idx="1">
                  <c:v>44.46</c:v>
                </c:pt>
                <c:pt idx="2">
                  <c:v>35.840000000000003</c:v>
                </c:pt>
                <c:pt idx="3">
                  <c:v>45.120000000000005</c:v>
                </c:pt>
                <c:pt idx="4">
                  <c:v>41.400000000000006</c:v>
                </c:pt>
                <c:pt idx="5">
                  <c:v>50.89</c:v>
                </c:pt>
                <c:pt idx="6">
                  <c:v>48.49</c:v>
                </c:pt>
                <c:pt idx="7">
                  <c:v>45.28</c:v>
                </c:pt>
                <c:pt idx="8">
                  <c:v>40.65</c:v>
                </c:pt>
                <c:pt idx="9">
                  <c:v>39.769999999999996</c:v>
                </c:pt>
                <c:pt idx="10">
                  <c:v>40.729999999999997</c:v>
                </c:pt>
                <c:pt idx="11">
                  <c:v>39.550577993799998</c:v>
                </c:pt>
                <c:pt idx="12">
                  <c:v>40.145474011320005</c:v>
                </c:pt>
                <c:pt idx="13">
                  <c:v>42.233847726199997</c:v>
                </c:pt>
                <c:pt idx="14">
                  <c:v>49.705483243529997</c:v>
                </c:pt>
                <c:pt idx="15">
                  <c:v>68.31769375044</c:v>
                </c:pt>
                <c:pt idx="16">
                  <c:v>88.457587403429997</c:v>
                </c:pt>
                <c:pt idx="17">
                  <c:v>98.126376340890005</c:v>
                </c:pt>
              </c:numCache>
            </c:numRef>
          </c:val>
          <c:smooth val="0"/>
          <c:extLst>
            <c:ext xmlns:c16="http://schemas.microsoft.com/office/drawing/2014/chart" uri="{C3380CC4-5D6E-409C-BE32-E72D297353CC}">
              <c16:uniqueId val="{0000000A-0617-4BFD-ACF5-5C7F5B366F5E}"/>
            </c:ext>
          </c:extLst>
        </c:ser>
        <c:ser>
          <c:idx val="10"/>
          <c:order val="10"/>
          <c:tx>
            <c:strRef>
              <c:f>'G2-St.rozpočet-výdaje-2024'!$L$32</c:f>
              <c:strCache>
                <c:ptCount val="1"/>
                <c:pt idx="0">
                  <c:v>Capital expenditures</c:v>
                </c:pt>
              </c:strCache>
            </c:strRef>
          </c:tx>
          <c:spPr>
            <a:ln w="15875">
              <a:solidFill>
                <a:srgbClr val="8390A7"/>
              </a:solidFill>
              <a:prstDash val="sysDash"/>
            </a:ln>
          </c:spPr>
          <c:marker>
            <c:symbol val="none"/>
          </c:marker>
          <c:cat>
            <c:numRef>
              <c:f>'G2-St.rozpočet-výdaje-2024'!$A$36:$A$53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'G2-St.rozpočet-výdaje-2024'!$L$36:$L$53</c:f>
              <c:numCache>
                <c:formatCode>0.0</c:formatCode>
                <c:ptCount val="18"/>
                <c:pt idx="0">
                  <c:v>108.08</c:v>
                </c:pt>
                <c:pt idx="1">
                  <c:v>134.22999999999999</c:v>
                </c:pt>
                <c:pt idx="2">
                  <c:v>134.91</c:v>
                </c:pt>
                <c:pt idx="3">
                  <c:v>123.69</c:v>
                </c:pt>
                <c:pt idx="4">
                  <c:v>113.62</c:v>
                </c:pt>
                <c:pt idx="5">
                  <c:v>102.315</c:v>
                </c:pt>
                <c:pt idx="6">
                  <c:v>111.50700000000001</c:v>
                </c:pt>
                <c:pt idx="7">
                  <c:v>175.66</c:v>
                </c:pt>
                <c:pt idx="8">
                  <c:v>84.27</c:v>
                </c:pt>
                <c:pt idx="9">
                  <c:v>81.75</c:v>
                </c:pt>
                <c:pt idx="10">
                  <c:v>116.46</c:v>
                </c:pt>
                <c:pt idx="11">
                  <c:v>139.13928546782003</c:v>
                </c:pt>
                <c:pt idx="12">
                  <c:v>172.62079654905</c:v>
                </c:pt>
                <c:pt idx="13">
                  <c:v>177.13556603782001</c:v>
                </c:pt>
                <c:pt idx="14">
                  <c:v>186.85457144361001</c:v>
                </c:pt>
                <c:pt idx="15">
                  <c:v>210.46592558279002</c:v>
                </c:pt>
                <c:pt idx="16">
                  <c:v>212.49180793746041</c:v>
                </c:pt>
                <c:pt idx="17">
                  <c:v>262.36460534138001</c:v>
                </c:pt>
              </c:numCache>
            </c:numRef>
          </c:val>
          <c:smooth val="0"/>
          <c:extLst>
            <c:ext xmlns:c16="http://schemas.microsoft.com/office/drawing/2014/chart" uri="{C3380CC4-5D6E-409C-BE32-E72D297353CC}">
              <c16:uniqueId val="{0000000B-0617-4BFD-ACF5-5C7F5B366F5E}"/>
            </c:ext>
          </c:extLst>
        </c:ser>
        <c:dLbls>
          <c:showLegendKey val="0"/>
          <c:showVal val="0"/>
          <c:showCatName val="0"/>
          <c:showSerName val="0"/>
          <c:showPercent val="0"/>
          <c:showBubbleSize val="0"/>
        </c:dLbls>
        <c:marker val="1"/>
        <c:smooth val="0"/>
        <c:axId val="72827648"/>
        <c:axId val="72829184"/>
      </c:lineChart>
      <c:catAx>
        <c:axId val="72827648"/>
        <c:scaling>
          <c:orientation val="minMax"/>
        </c:scaling>
        <c:delete val="0"/>
        <c:axPos val="b"/>
        <c:numFmt formatCode="General" sourceLinked="1"/>
        <c:majorTickMark val="out"/>
        <c:minorTickMark val="none"/>
        <c:tickLblPos val="low"/>
        <c:spPr>
          <a:ln w="6350">
            <a:solidFill>
              <a:schemeClr val="bg1">
                <a:lumMod val="50000"/>
              </a:schemeClr>
            </a:solidFill>
          </a:ln>
        </c:spPr>
        <c:txPr>
          <a:bodyPr rot="-1800000"/>
          <a:lstStyle/>
          <a:p>
            <a:pPr>
              <a:defRPr sz="750"/>
            </a:pPr>
            <a:endParaRPr lang="cs-CZ"/>
          </a:p>
        </c:txPr>
        <c:crossAx val="72829184"/>
        <c:crosses val="autoZero"/>
        <c:auto val="1"/>
        <c:lblAlgn val="ctr"/>
        <c:lblOffset val="0"/>
        <c:noMultiLvlLbl val="0"/>
      </c:catAx>
      <c:valAx>
        <c:axId val="72829184"/>
        <c:scaling>
          <c:orientation val="minMax"/>
          <c:max val="270"/>
          <c:min val="0"/>
        </c:scaling>
        <c:delete val="0"/>
        <c:axPos val="l"/>
        <c:majorGridlines>
          <c:spPr>
            <a:ln w="6350">
              <a:solidFill>
                <a:schemeClr val="bg1">
                  <a:lumMod val="75000"/>
                </a:schemeClr>
              </a:solidFill>
            </a:ln>
          </c:spPr>
        </c:majorGridlines>
        <c:title>
          <c:tx>
            <c:rich>
              <a:bodyPr/>
              <a:lstStyle/>
              <a:p>
                <a:pPr>
                  <a:defRPr sz="700" b="0" i="1"/>
                </a:pPr>
                <a:r>
                  <a:rPr lang="cs-CZ" sz="700" b="0" i="1"/>
                  <a:t>Selected expenditures</a:t>
                </a:r>
              </a:p>
            </c:rich>
          </c:tx>
          <c:layout>
            <c:manualLayout>
              <c:xMode val="edge"/>
              <c:yMode val="edge"/>
              <c:x val="1.2260306060608514E-3"/>
              <c:y val="0.26858049252640298"/>
            </c:manualLayout>
          </c:layout>
          <c:overlay val="0"/>
        </c:title>
        <c:numFmt formatCode="0" sourceLinked="0"/>
        <c:majorTickMark val="out"/>
        <c:minorTickMark val="none"/>
        <c:tickLblPos val="nextTo"/>
        <c:spPr>
          <a:ln w="6350">
            <a:solidFill>
              <a:schemeClr val="tx1"/>
            </a:solidFill>
          </a:ln>
        </c:spPr>
        <c:crossAx val="72827648"/>
        <c:crosses val="autoZero"/>
        <c:crossBetween val="between"/>
        <c:majorUnit val="15"/>
      </c:valAx>
      <c:valAx>
        <c:axId val="72835072"/>
        <c:scaling>
          <c:orientation val="minMax"/>
          <c:max val="2250"/>
          <c:min val="0"/>
        </c:scaling>
        <c:delete val="0"/>
        <c:axPos val="r"/>
        <c:title>
          <c:tx>
            <c:rich>
              <a:bodyPr/>
              <a:lstStyle/>
              <a:p>
                <a:pPr>
                  <a:defRPr sz="700" b="0" i="1"/>
                </a:pPr>
                <a:r>
                  <a:rPr lang="cs-CZ" sz="700" b="0" i="1"/>
                  <a:t>Total current expenditures, Pensions</a:t>
                </a:r>
              </a:p>
            </c:rich>
          </c:tx>
          <c:layout>
            <c:manualLayout>
              <c:xMode val="edge"/>
              <c:yMode val="edge"/>
              <c:x val="0.96904909706663278"/>
              <c:y val="0.16648817731466736"/>
            </c:manualLayout>
          </c:layout>
          <c:overlay val="0"/>
        </c:title>
        <c:numFmt formatCode="0" sourceLinked="0"/>
        <c:majorTickMark val="out"/>
        <c:minorTickMark val="none"/>
        <c:tickLblPos val="nextTo"/>
        <c:spPr>
          <a:ln w="6350">
            <a:solidFill>
              <a:schemeClr val="tx1"/>
            </a:solidFill>
          </a:ln>
        </c:spPr>
        <c:txPr>
          <a:bodyPr rot="0" vert="horz"/>
          <a:lstStyle/>
          <a:p>
            <a:pPr>
              <a:defRPr/>
            </a:pPr>
            <a:endParaRPr lang="cs-CZ"/>
          </a:p>
        </c:txPr>
        <c:crossAx val="72836608"/>
        <c:crosses val="max"/>
        <c:crossBetween val="between"/>
        <c:majorUnit val="250"/>
        <c:minorUnit val="10"/>
      </c:valAx>
      <c:catAx>
        <c:axId val="72836608"/>
        <c:scaling>
          <c:orientation val="minMax"/>
        </c:scaling>
        <c:delete val="1"/>
        <c:axPos val="b"/>
        <c:numFmt formatCode="General" sourceLinked="1"/>
        <c:majorTickMark val="out"/>
        <c:minorTickMark val="none"/>
        <c:tickLblPos val="none"/>
        <c:crossAx val="72835072"/>
        <c:crosses val="autoZero"/>
        <c:auto val="1"/>
        <c:lblAlgn val="ctr"/>
        <c:lblOffset val="100"/>
        <c:noMultiLvlLbl val="0"/>
      </c:catAx>
      <c:spPr>
        <a:ln w="6350">
          <a:solidFill>
            <a:schemeClr val="tx1"/>
          </a:solidFill>
        </a:ln>
      </c:spPr>
    </c:plotArea>
    <c:legend>
      <c:legendPos val="b"/>
      <c:layout>
        <c:manualLayout>
          <c:xMode val="edge"/>
          <c:yMode val="edge"/>
          <c:x val="6.1276612843142756E-3"/>
          <c:y val="0.81180120948849488"/>
          <c:w val="0.98597083668527008"/>
          <c:h val="0.18112677235287147"/>
        </c:manualLayout>
      </c:layout>
      <c:overlay val="0"/>
      <c:spPr>
        <a:ln w="6350">
          <a:solidFill>
            <a:schemeClr val="tx1"/>
          </a:solidFill>
        </a:ln>
      </c:spPr>
      <c:txPr>
        <a:bodyPr/>
        <a:lstStyle/>
        <a:p>
          <a:pPr>
            <a:defRPr sz="780"/>
          </a:pPr>
          <a:endParaRPr lang="cs-CZ"/>
        </a:p>
      </c:txPr>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948352704928246E-2"/>
          <c:y val="2.8458510079622041E-2"/>
          <c:w val="0.93956464282120367"/>
          <c:h val="0.6497469886299676"/>
        </c:manualLayout>
      </c:layout>
      <c:barChart>
        <c:barDir val="col"/>
        <c:grouping val="stacked"/>
        <c:varyColors val="0"/>
        <c:ser>
          <c:idx val="1"/>
          <c:order val="0"/>
          <c:tx>
            <c:strRef>
              <c:f>'souhrnná výkonnost 3'!$F$5</c:f>
              <c:strCache>
                <c:ptCount val="1"/>
                <c:pt idx="0">
                  <c:v>Foreign trade balance</c:v>
                </c:pt>
              </c:strCache>
            </c:strRef>
          </c:tx>
          <c:spPr>
            <a:solidFill>
              <a:srgbClr val="86BF5E"/>
            </a:solidFill>
            <a:ln>
              <a:noFill/>
            </a:ln>
          </c:spPr>
          <c:invertIfNegative val="0"/>
          <c:cat>
            <c:multiLvlStrRef>
              <c:f>'souhrnná výkonnost 3'!$A$14:$B$37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'souhrnná výkonnost 3'!$F$14:$F$37</c:f>
              <c:numCache>
                <c:formatCode>#\ ##0.0</c:formatCode>
                <c:ptCount val="24"/>
                <c:pt idx="0">
                  <c:v>-1.5220098818172303</c:v>
                </c:pt>
                <c:pt idx="1">
                  <c:v>-8.6080644896923371</c:v>
                </c:pt>
                <c:pt idx="2">
                  <c:v>-0.87113777913486379</c:v>
                </c:pt>
                <c:pt idx="3">
                  <c:v>1.614021737138305</c:v>
                </c:pt>
                <c:pt idx="4">
                  <c:v>1.00806823267428</c:v>
                </c:pt>
                <c:pt idx="5">
                  <c:v>6.0445409199098634</c:v>
                </c:pt>
                <c:pt idx="6">
                  <c:v>-3.6147534072472292</c:v>
                </c:pt>
                <c:pt idx="7">
                  <c:v>-3.6138200235464661</c:v>
                </c:pt>
                <c:pt idx="8">
                  <c:v>-1.7829602338092709</c:v>
                </c:pt>
                <c:pt idx="9">
                  <c:v>-0.36779214215191103</c:v>
                </c:pt>
                <c:pt idx="10">
                  <c:v>3.4250247402899241</c:v>
                </c:pt>
                <c:pt idx="11">
                  <c:v>1.5571662732257714</c:v>
                </c:pt>
                <c:pt idx="12">
                  <c:v>1.389081636710952</c:v>
                </c:pt>
                <c:pt idx="13">
                  <c:v>2.0848251500495598</c:v>
                </c:pt>
                <c:pt idx="14">
                  <c:v>-6.9193170333818277E-2</c:v>
                </c:pt>
                <c:pt idx="15">
                  <c:v>1.9371733646297469</c:v>
                </c:pt>
                <c:pt idx="16">
                  <c:v>1.3656021569064456</c:v>
                </c:pt>
                <c:pt idx="17">
                  <c:v>0.55718364150554223</c:v>
                </c:pt>
                <c:pt idx="18">
                  <c:v>0.70240933543370643</c:v>
                </c:pt>
                <c:pt idx="19">
                  <c:v>-0.99272856503726026</c:v>
                </c:pt>
                <c:pt idx="20">
                  <c:v>-1.7593788662101151E-2</c:v>
                </c:pt>
                <c:pt idx="21">
                  <c:v>-0.37568878287551799</c:v>
                </c:pt>
                <c:pt idx="22">
                  <c:v>0.22560583536934153</c:v>
                </c:pt>
                <c:pt idx="23">
                  <c:v>0.67080215712061486</c:v>
                </c:pt>
              </c:numCache>
            </c:numRef>
          </c:val>
          <c:extLst>
            <c:ext xmlns:c16="http://schemas.microsoft.com/office/drawing/2014/chart" uri="{C3380CC4-5D6E-409C-BE32-E72D297353CC}">
              <c16:uniqueId val="{00000000-52E8-4BFE-B4D1-114707C26B37}"/>
            </c:ext>
          </c:extLst>
        </c:ser>
        <c:ser>
          <c:idx val="2"/>
          <c:order val="1"/>
          <c:tx>
            <c:strRef>
              <c:f>'souhrnná výkonnost 3'!$H$5</c:f>
              <c:strCache>
                <c:ptCount val="1"/>
                <c:pt idx="0">
                  <c:v>Change in inventories</c:v>
                </c:pt>
              </c:strCache>
            </c:strRef>
          </c:tx>
          <c:spPr>
            <a:solidFill>
              <a:srgbClr val="D8A7B7"/>
            </a:solidFill>
            <a:ln>
              <a:noFill/>
            </a:ln>
          </c:spPr>
          <c:invertIfNegative val="0"/>
          <c:cat>
            <c:multiLvlStrRef>
              <c:f>'souhrnná výkonnost 3'!$A$14:$B$37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'souhrnná výkonnost 3'!$H$14:$H$37</c:f>
              <c:numCache>
                <c:formatCode>#\ ##0.0</c:formatCode>
                <c:ptCount val="24"/>
                <c:pt idx="0">
                  <c:v>-0.41142612595158018</c:v>
                </c:pt>
                <c:pt idx="1">
                  <c:v>0.47087204680237044</c:v>
                </c:pt>
                <c:pt idx="2">
                  <c:v>-1.2262407779150233</c:v>
                </c:pt>
                <c:pt idx="3">
                  <c:v>-2.1516080620905655</c:v>
                </c:pt>
                <c:pt idx="4">
                  <c:v>0.31270763257798917</c:v>
                </c:pt>
                <c:pt idx="5">
                  <c:v>0.61650741218595939</c:v>
                </c:pt>
                <c:pt idx="6">
                  <c:v>2.6077548225619727</c:v>
                </c:pt>
                <c:pt idx="7">
                  <c:v>1.4587483911788564</c:v>
                </c:pt>
                <c:pt idx="8">
                  <c:v>0.7370032046500693</c:v>
                </c:pt>
                <c:pt idx="9">
                  <c:v>1.6997333429922492</c:v>
                </c:pt>
                <c:pt idx="10">
                  <c:v>-0.76175295397537413</c:v>
                </c:pt>
                <c:pt idx="11">
                  <c:v>0.95369117492959898</c:v>
                </c:pt>
                <c:pt idx="12">
                  <c:v>0.47915445264561807</c:v>
                </c:pt>
                <c:pt idx="13">
                  <c:v>-1.4971510065677742</c:v>
                </c:pt>
                <c:pt idx="14">
                  <c:v>-0.50712143488440276</c:v>
                </c:pt>
                <c:pt idx="15">
                  <c:v>-3.4417223821981748</c:v>
                </c:pt>
                <c:pt idx="16">
                  <c:v>-2.7592900025370692</c:v>
                </c:pt>
                <c:pt idx="17">
                  <c:v>-0.69852262297165268</c:v>
                </c:pt>
                <c:pt idx="18">
                  <c:v>0.16687464100094435</c:v>
                </c:pt>
                <c:pt idx="19">
                  <c:v>2.62714578191486</c:v>
                </c:pt>
                <c:pt idx="20">
                  <c:v>1.8936486449738312</c:v>
                </c:pt>
                <c:pt idx="21">
                  <c:v>1.2072690642491575</c:v>
                </c:pt>
                <c:pt idx="22">
                  <c:v>0.41112719795444386</c:v>
                </c:pt>
                <c:pt idx="23">
                  <c:v>-0.96493077823615525</c:v>
                </c:pt>
              </c:numCache>
            </c:numRef>
          </c:val>
          <c:extLst>
            <c:ext xmlns:c16="http://schemas.microsoft.com/office/drawing/2014/chart" uri="{C3380CC4-5D6E-409C-BE32-E72D297353CC}">
              <c16:uniqueId val="{00000001-52E8-4BFE-B4D1-114707C26B37}"/>
            </c:ext>
          </c:extLst>
        </c:ser>
        <c:ser>
          <c:idx val="3"/>
          <c:order val="2"/>
          <c:tx>
            <c:strRef>
              <c:f>'souhrnná výkonnost 3'!$G$5</c:f>
              <c:strCache>
                <c:ptCount val="1"/>
                <c:pt idx="0">
                  <c:v>Gross fixed capital formation</c:v>
                </c:pt>
              </c:strCache>
            </c:strRef>
          </c:tx>
          <c:spPr>
            <a:solidFill>
              <a:srgbClr val="BC5B80"/>
            </a:solidFill>
            <a:ln>
              <a:noFill/>
            </a:ln>
          </c:spPr>
          <c:invertIfNegative val="0"/>
          <c:cat>
            <c:multiLvlStrRef>
              <c:f>'souhrnná výkonnost 3'!$A$14:$B$37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'souhrnná výkonnost 3'!$G$14:$G$37</c:f>
              <c:numCache>
                <c:formatCode>#\ ##0.0</c:formatCode>
                <c:ptCount val="24"/>
                <c:pt idx="0">
                  <c:v>-0.26700598408244552</c:v>
                </c:pt>
                <c:pt idx="1">
                  <c:v>0.17117214561128005</c:v>
                </c:pt>
                <c:pt idx="2">
                  <c:v>-1.0835608783889494</c:v>
                </c:pt>
                <c:pt idx="3">
                  <c:v>-1.2503151391513465</c:v>
                </c:pt>
                <c:pt idx="4">
                  <c:v>0.19329716710704048</c:v>
                </c:pt>
                <c:pt idx="5">
                  <c:v>4.4129877412921126E-2</c:v>
                </c:pt>
                <c:pt idx="6">
                  <c:v>1.9442632515958205</c:v>
                </c:pt>
                <c:pt idx="7">
                  <c:v>2.0044020268363827</c:v>
                </c:pt>
                <c:pt idx="8">
                  <c:v>2.0518449819968736</c:v>
                </c:pt>
                <c:pt idx="9">
                  <c:v>1.4499382287130853</c:v>
                </c:pt>
                <c:pt idx="10">
                  <c:v>0.92691645618860796</c:v>
                </c:pt>
                <c:pt idx="11">
                  <c:v>0.8739358711392371</c:v>
                </c:pt>
                <c:pt idx="12">
                  <c:v>0.34095431774632395</c:v>
                </c:pt>
                <c:pt idx="13">
                  <c:v>0.87661322433525268</c:v>
                </c:pt>
                <c:pt idx="14">
                  <c:v>0.8151154367611948</c:v>
                </c:pt>
                <c:pt idx="15">
                  <c:v>0.96102158219447764</c:v>
                </c:pt>
                <c:pt idx="16">
                  <c:v>0.30346748665372919</c:v>
                </c:pt>
                <c:pt idx="17">
                  <c:v>-0.48069417125986957</c:v>
                </c:pt>
                <c:pt idx="18">
                  <c:v>-0.87280673126229236</c:v>
                </c:pt>
                <c:pt idx="19">
                  <c:v>-1.332707794600857</c:v>
                </c:pt>
                <c:pt idx="20">
                  <c:v>-0.50752902708722225</c:v>
                </c:pt>
                <c:pt idx="21">
                  <c:v>8.7079348973971321E-2</c:v>
                </c:pt>
                <c:pt idx="22">
                  <c:v>0.58656405454890914</c:v>
                </c:pt>
                <c:pt idx="23">
                  <c:v>1.1914367699610569</c:v>
                </c:pt>
              </c:numCache>
            </c:numRef>
          </c:val>
          <c:extLst>
            <c:ext xmlns:c16="http://schemas.microsoft.com/office/drawing/2014/chart" uri="{C3380CC4-5D6E-409C-BE32-E72D297353CC}">
              <c16:uniqueId val="{00000002-52E8-4BFE-B4D1-114707C26B37}"/>
            </c:ext>
          </c:extLst>
        </c:ser>
        <c:ser>
          <c:idx val="5"/>
          <c:order val="4"/>
          <c:tx>
            <c:strRef>
              <c:f>'souhrnná výkonnost 3'!$D$5</c:f>
              <c:strCache>
                <c:ptCount val="1"/>
                <c:pt idx="0">
                  <c:v>Final consumption expenditure of households (inc. non-profit inst.)</c:v>
                </c:pt>
              </c:strCache>
            </c:strRef>
          </c:tx>
          <c:spPr>
            <a:solidFill>
              <a:srgbClr val="009CB5"/>
            </a:solidFill>
            <a:ln>
              <a:noFill/>
            </a:ln>
          </c:spPr>
          <c:invertIfNegative val="0"/>
          <c:cat>
            <c:multiLvlStrRef>
              <c:f>'souhrnná výkonnost 3'!$A$14:$B$37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'souhrnná výkonnost 3'!$D$14:$D$37</c:f>
              <c:numCache>
                <c:formatCode>#\ ##0.0</c:formatCode>
                <c:ptCount val="24"/>
                <c:pt idx="0">
                  <c:v>-0.20652462785548492</c:v>
                </c:pt>
                <c:pt idx="1">
                  <c:v>-3.1846278495284714</c:v>
                </c:pt>
                <c:pt idx="2">
                  <c:v>-1.7932936482460928</c:v>
                </c:pt>
                <c:pt idx="3">
                  <c:v>-4.1601529367988528</c:v>
                </c:pt>
                <c:pt idx="4">
                  <c:v>-2.7114582495040898</c:v>
                </c:pt>
                <c:pt idx="5">
                  <c:v>3.0643008969551713</c:v>
                </c:pt>
                <c:pt idx="6">
                  <c:v>1.9670161927809442</c:v>
                </c:pt>
                <c:pt idx="7">
                  <c:v>3.8180993600086053</c:v>
                </c:pt>
                <c:pt idx="8">
                  <c:v>3.31386782283117</c:v>
                </c:pt>
                <c:pt idx="9">
                  <c:v>0.16881001369198514</c:v>
                </c:pt>
                <c:pt idx="10">
                  <c:v>-1.3101813511687193</c:v>
                </c:pt>
                <c:pt idx="11">
                  <c:v>-2.089708487125038</c:v>
                </c:pt>
                <c:pt idx="12">
                  <c:v>-2.6013321896959831</c:v>
                </c:pt>
                <c:pt idx="13">
                  <c:v>-1.7057384010523833</c:v>
                </c:pt>
                <c:pt idx="14">
                  <c:v>-1.1009050834144585</c:v>
                </c:pt>
                <c:pt idx="15">
                  <c:v>0.28178742175377886</c:v>
                </c:pt>
                <c:pt idx="16">
                  <c:v>1.0137894571059509</c:v>
                </c:pt>
                <c:pt idx="17">
                  <c:v>0.32301326056167923</c:v>
                </c:pt>
                <c:pt idx="18">
                  <c:v>0.74204257138144858</c:v>
                </c:pt>
                <c:pt idx="19">
                  <c:v>0.97184134487184903</c:v>
                </c:pt>
                <c:pt idx="20">
                  <c:v>0.70181007938438944</c:v>
                </c:pt>
                <c:pt idx="21">
                  <c:v>1.2324382827855747</c:v>
                </c:pt>
                <c:pt idx="22">
                  <c:v>1.1283868796699228</c:v>
                </c:pt>
                <c:pt idx="23">
                  <c:v>1.140433516521199</c:v>
                </c:pt>
              </c:numCache>
            </c:numRef>
          </c:val>
          <c:extLst>
            <c:ext xmlns:c16="http://schemas.microsoft.com/office/drawing/2014/chart" uri="{C3380CC4-5D6E-409C-BE32-E72D297353CC}">
              <c16:uniqueId val="{00000003-52E8-4BFE-B4D1-114707C26B37}"/>
            </c:ext>
          </c:extLst>
        </c:ser>
        <c:ser>
          <c:idx val="4"/>
          <c:order val="5"/>
          <c:tx>
            <c:strRef>
              <c:f>'souhrnná výkonnost 3'!$E$5</c:f>
              <c:strCache>
                <c:ptCount val="1"/>
                <c:pt idx="0">
                  <c:v>Final consumption expenditure of government institutions</c:v>
                </c:pt>
              </c:strCache>
            </c:strRef>
          </c:tx>
          <c:spPr>
            <a:solidFill>
              <a:srgbClr val="9FC9D7"/>
            </a:solidFill>
            <a:ln>
              <a:noFill/>
            </a:ln>
          </c:spPr>
          <c:invertIfNegative val="0"/>
          <c:cat>
            <c:multiLvlStrRef>
              <c:f>'souhrnná výkonnost 3'!$A$14:$B$37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'souhrnná výkonnost 3'!$E$14:$E$37</c:f>
              <c:numCache>
                <c:formatCode>#\ ##0.0</c:formatCode>
                <c:ptCount val="24"/>
                <c:pt idx="0">
                  <c:v>0.86512840343977537</c:v>
                </c:pt>
                <c:pt idx="1">
                  <c:v>0.57364238954899127</c:v>
                </c:pt>
                <c:pt idx="2">
                  <c:v>0.30782450653884724</c:v>
                </c:pt>
                <c:pt idx="3">
                  <c:v>1.4124984433188399</c:v>
                </c:pt>
                <c:pt idx="4">
                  <c:v>-0.11329209027996652</c:v>
                </c:pt>
                <c:pt idx="5">
                  <c:v>-7.0904860317901872E-2</c:v>
                </c:pt>
                <c:pt idx="6">
                  <c:v>0.99024135484615394</c:v>
                </c:pt>
                <c:pt idx="7">
                  <c:v>8.7306640760843102E-2</c:v>
                </c:pt>
                <c:pt idx="8">
                  <c:v>0.39862222919793239</c:v>
                </c:pt>
                <c:pt idx="9">
                  <c:v>0.55855858849053874</c:v>
                </c:pt>
                <c:pt idx="10">
                  <c:v>-0.333976366812193</c:v>
                </c:pt>
                <c:pt idx="11">
                  <c:v>-0.31055874129171235</c:v>
                </c:pt>
                <c:pt idx="12">
                  <c:v>0.59888687487615944</c:v>
                </c:pt>
                <c:pt idx="13">
                  <c:v>0.46547224810803889</c:v>
                </c:pt>
                <c:pt idx="14">
                  <c:v>0.57996402837612049</c:v>
                </c:pt>
                <c:pt idx="15">
                  <c:v>0.62077939777900504</c:v>
                </c:pt>
                <c:pt idx="16">
                  <c:v>0.4976218135363028</c:v>
                </c:pt>
                <c:pt idx="17">
                  <c:v>0.71118296182321328</c:v>
                </c:pt>
                <c:pt idx="18">
                  <c:v>0.64263920955276566</c:v>
                </c:pt>
                <c:pt idx="19">
                  <c:v>0.61804008890538431</c:v>
                </c:pt>
                <c:pt idx="20">
                  <c:v>0.33913099174035255</c:v>
                </c:pt>
                <c:pt idx="21">
                  <c:v>0.41279419041996912</c:v>
                </c:pt>
                <c:pt idx="22">
                  <c:v>0.40700528769182204</c:v>
                </c:pt>
                <c:pt idx="23">
                  <c:v>0.47708380893619212</c:v>
                </c:pt>
              </c:numCache>
            </c:numRef>
          </c:val>
          <c:extLst>
            <c:ext xmlns:c16="http://schemas.microsoft.com/office/drawing/2014/chart" uri="{C3380CC4-5D6E-409C-BE32-E72D297353CC}">
              <c16:uniqueId val="{00000004-52E8-4BFE-B4D1-114707C26B37}"/>
            </c:ext>
          </c:extLst>
        </c:ser>
        <c:dLbls>
          <c:showLegendKey val="0"/>
          <c:showVal val="0"/>
          <c:showCatName val="0"/>
          <c:showSerName val="0"/>
          <c:showPercent val="0"/>
          <c:showBubbleSize val="0"/>
        </c:dLbls>
        <c:gapWidth val="90"/>
        <c:overlap val="100"/>
        <c:axId val="115206784"/>
        <c:axId val="115286400"/>
      </c:barChart>
      <c:lineChart>
        <c:grouping val="standard"/>
        <c:varyColors val="0"/>
        <c:ser>
          <c:idx val="0"/>
          <c:order val="3"/>
          <c:tx>
            <c:strRef>
              <c:f>'souhrnná výkonnost 3'!$C$5</c:f>
              <c:strCache>
                <c:ptCount val="1"/>
                <c:pt idx="0">
                  <c:v>GDP</c:v>
                </c:pt>
              </c:strCache>
            </c:strRef>
          </c:tx>
          <c:spPr>
            <a:ln>
              <a:solidFill>
                <a:prstClr val="black"/>
              </a:solidFill>
            </a:ln>
          </c:spPr>
          <c:marker>
            <c:symbol val="none"/>
          </c:marker>
          <c:cat>
            <c:multiLvlStrRef>
              <c:f>'souhrnná výkonnost 3'!$A$14:$B$37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'souhrnná výkonnost 3'!$C$14:$C$37</c:f>
              <c:numCache>
                <c:formatCode>#\ ##0.0</c:formatCode>
                <c:ptCount val="24"/>
                <c:pt idx="0">
                  <c:v>-1.5351860152398018</c:v>
                </c:pt>
                <c:pt idx="1">
                  <c:v>-10.559588208597859</c:v>
                </c:pt>
                <c:pt idx="2">
                  <c:v>-4.6693672774553789</c:v>
                </c:pt>
                <c:pt idx="3">
                  <c:v>-4.5192220435162938</c:v>
                </c:pt>
                <c:pt idx="4">
                  <c:v>-1.2664242830816619</c:v>
                </c:pt>
                <c:pt idx="5">
                  <c:v>9.7297344586924766</c:v>
                </c:pt>
                <c:pt idx="6">
                  <c:v>3.996179947304455</c:v>
                </c:pt>
                <c:pt idx="7">
                  <c:v>3.9239119810993373</c:v>
                </c:pt>
                <c:pt idx="8">
                  <c:v>4.8491184646536567</c:v>
                </c:pt>
                <c:pt idx="9">
                  <c:v>3.6598013831556528</c:v>
                </c:pt>
                <c:pt idx="10">
                  <c:v>2.0291770951442913</c:v>
                </c:pt>
                <c:pt idx="11">
                  <c:v>0.95170578002515072</c:v>
                </c:pt>
                <c:pt idx="12">
                  <c:v>0.26249013974401691</c:v>
                </c:pt>
                <c:pt idx="13">
                  <c:v>0.21779356784705328</c:v>
                </c:pt>
                <c:pt idx="14">
                  <c:v>-0.28185838328641921</c:v>
                </c:pt>
                <c:pt idx="15">
                  <c:v>0.48630488598595889</c:v>
                </c:pt>
                <c:pt idx="16">
                  <c:v>0.50109966208633239</c:v>
                </c:pt>
                <c:pt idx="17">
                  <c:v>0.53792839687616834</c:v>
                </c:pt>
                <c:pt idx="18">
                  <c:v>1.5167593336196603</c:v>
                </c:pt>
                <c:pt idx="19">
                  <c:v>1.9540920716112566</c:v>
                </c:pt>
                <c:pt idx="20">
                  <c:v>2.4336713698293693</c:v>
                </c:pt>
                <c:pt idx="21">
                  <c:v>2.5963071293802358</c:v>
                </c:pt>
                <c:pt idx="22">
                  <c:v>2.7833074905334314</c:v>
                </c:pt>
                <c:pt idx="23">
                  <c:v>2.5575048195052972</c:v>
                </c:pt>
              </c:numCache>
            </c:numRef>
          </c:val>
          <c:smooth val="0"/>
          <c:extLst>
            <c:ext xmlns:c16="http://schemas.microsoft.com/office/drawing/2014/chart" uri="{C3380CC4-5D6E-409C-BE32-E72D297353CC}">
              <c16:uniqueId val="{00000005-52E8-4BFE-B4D1-114707C26B37}"/>
            </c:ext>
          </c:extLst>
        </c:ser>
        <c:dLbls>
          <c:showLegendKey val="0"/>
          <c:showVal val="0"/>
          <c:showCatName val="0"/>
          <c:showSerName val="0"/>
          <c:showPercent val="0"/>
          <c:showBubbleSize val="0"/>
        </c:dLbls>
        <c:marker val="1"/>
        <c:smooth val="0"/>
        <c:axId val="115206784"/>
        <c:axId val="115286400"/>
      </c:lineChart>
      <c:catAx>
        <c:axId val="115206784"/>
        <c:scaling>
          <c:orientation val="minMax"/>
        </c:scaling>
        <c:delete val="0"/>
        <c:axPos val="b"/>
        <c:numFmt formatCode="General" sourceLinked="1"/>
        <c:majorTickMark val="out"/>
        <c:minorTickMark val="none"/>
        <c:tickLblPos val="low"/>
        <c:spPr>
          <a:ln>
            <a:solidFill>
              <a:schemeClr val="tx1"/>
            </a:solidFill>
          </a:ln>
        </c:spPr>
        <c:txPr>
          <a:bodyPr rot="0" vert="horz"/>
          <a:lstStyle/>
          <a:p>
            <a:pPr>
              <a:defRPr/>
            </a:pPr>
            <a:endParaRPr lang="cs-CZ"/>
          </a:p>
        </c:txPr>
        <c:crossAx val="115286400"/>
        <c:crosses val="autoZero"/>
        <c:auto val="1"/>
        <c:lblAlgn val="ctr"/>
        <c:lblOffset val="100"/>
        <c:noMultiLvlLbl val="0"/>
      </c:catAx>
      <c:valAx>
        <c:axId val="115286400"/>
        <c:scaling>
          <c:orientation val="minMax"/>
          <c:max val="10"/>
          <c:min val="-12"/>
        </c:scaling>
        <c:delete val="0"/>
        <c:axPos val="l"/>
        <c:majorGridlines>
          <c:spPr>
            <a:ln w="6350">
              <a:solidFill>
                <a:schemeClr val="bg1">
                  <a:lumMod val="75000"/>
                </a:schemeClr>
              </a:solidFill>
            </a:ln>
          </c:spPr>
        </c:majorGridlines>
        <c:numFmt formatCode="#,##0" sourceLinked="0"/>
        <c:majorTickMark val="out"/>
        <c:minorTickMark val="none"/>
        <c:tickLblPos val="nextTo"/>
        <c:spPr>
          <a:ln>
            <a:solidFill>
              <a:schemeClr val="tx1"/>
            </a:solidFill>
          </a:ln>
        </c:spPr>
        <c:crossAx val="115206784"/>
        <c:crosses val="autoZero"/>
        <c:crossBetween val="between"/>
        <c:majorUnit val="2"/>
      </c:valAx>
      <c:spPr>
        <a:ln>
          <a:solidFill>
            <a:schemeClr val="tx1"/>
          </a:solidFill>
        </a:ln>
      </c:spPr>
    </c:plotArea>
    <c:legend>
      <c:legendPos val="b"/>
      <c:layout>
        <c:manualLayout>
          <c:xMode val="edge"/>
          <c:yMode val="edge"/>
          <c:x val="5.2922564529558701E-2"/>
          <c:y val="0.79687874638673362"/>
          <c:w val="0.93952929520758033"/>
          <c:h val="0.20312125361326638"/>
        </c:manualLayout>
      </c:layout>
      <c:overlay val="0"/>
      <c:spPr>
        <a:ln w="6350">
          <a:noFill/>
        </a:ln>
      </c:spPr>
    </c:legend>
    <c:plotVisOnly val="1"/>
    <c:dispBlanksAs val="gap"/>
    <c:showDLblsOverMax val="0"/>
  </c:chart>
  <c:spPr>
    <a:ln>
      <a:noFill/>
    </a:ln>
  </c:spPr>
  <c:txPr>
    <a:bodyPr/>
    <a:lstStyle/>
    <a:p>
      <a:pPr>
        <a:defRPr sz="800" baseline="0">
          <a:latin typeface="Arial" pitchFamily="34" charset="0"/>
        </a:defRPr>
      </a:pPr>
      <a:endParaRPr lang="cs-CZ"/>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655893706870088E-2"/>
          <c:y val="2.0804998806967311E-2"/>
          <c:w val="0.85715869620290541"/>
          <c:h val="0.73234263185050585"/>
        </c:manualLayout>
      </c:layout>
      <c:barChart>
        <c:barDir val="col"/>
        <c:grouping val="clustered"/>
        <c:varyColors val="0"/>
        <c:ser>
          <c:idx val="0"/>
          <c:order val="0"/>
          <c:tx>
            <c:strRef>
              <c:f>'G3-Sektor vlád.institucí (2)'!$A$117</c:f>
              <c:strCache>
                <c:ptCount val="1"/>
                <c:pt idx="0">
                  <c:v>Budget balance (EU27)</c:v>
                </c:pt>
              </c:strCache>
            </c:strRef>
          </c:tx>
          <c:spPr>
            <a:solidFill>
              <a:schemeClr val="bg2">
                <a:lumMod val="90000"/>
              </a:schemeClr>
            </a:solidFill>
            <a:ln>
              <a:solidFill>
                <a:schemeClr val="bg2">
                  <a:lumMod val="75000"/>
                </a:schemeClr>
              </a:solidFill>
            </a:ln>
            <a:effectLst/>
          </c:spPr>
          <c:invertIfNegative val="0"/>
          <c:cat>
            <c:multiLvlStrRef>
              <c:f>'G3-Sektor vlád.institucí (2)'!$F$115:$AR$116</c:f>
              <c:multiLvlStrCache>
                <c:ptCount val="3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lvl>
                <c:lvl>
                  <c:pt idx="0">
                    <c:v>2016</c:v>
                  </c:pt>
                  <c:pt idx="4">
                    <c:v>2017</c:v>
                  </c:pt>
                  <c:pt idx="8">
                    <c:v>2018</c:v>
                  </c:pt>
                  <c:pt idx="12">
                    <c:v>2019</c:v>
                  </c:pt>
                  <c:pt idx="16">
                    <c:v>2020</c:v>
                  </c:pt>
                  <c:pt idx="20">
                    <c:v>2021</c:v>
                  </c:pt>
                  <c:pt idx="24">
                    <c:v>2022</c:v>
                  </c:pt>
                  <c:pt idx="28">
                    <c:v>2023</c:v>
                  </c:pt>
                  <c:pt idx="32">
                    <c:v>2024</c:v>
                  </c:pt>
                  <c:pt idx="36">
                    <c:v>2025</c:v>
                  </c:pt>
                </c:lvl>
              </c:multiLvlStrCache>
            </c:multiLvlStrRef>
          </c:cat>
          <c:val>
            <c:numRef>
              <c:f>'G3-Sektor vlád.institucí (2)'!$F$117:$AR$117</c:f>
              <c:numCache>
                <c:formatCode>#\ ##0.##########</c:formatCode>
                <c:ptCount val="39"/>
                <c:pt idx="0">
                  <c:v>-1.6</c:v>
                </c:pt>
                <c:pt idx="1">
                  <c:v>-1.4</c:v>
                </c:pt>
                <c:pt idx="2">
                  <c:v>-1.6</c:v>
                </c:pt>
                <c:pt idx="3">
                  <c:v>-0.9</c:v>
                </c:pt>
                <c:pt idx="4">
                  <c:v>-0.9</c:v>
                </c:pt>
                <c:pt idx="5">
                  <c:v>-1.3</c:v>
                </c:pt>
                <c:pt idx="6">
                  <c:v>-0.8</c:v>
                </c:pt>
                <c:pt idx="7">
                  <c:v>-0.5</c:v>
                </c:pt>
                <c:pt idx="8">
                  <c:v>-0.2</c:v>
                </c:pt>
                <c:pt idx="9">
                  <c:v>-0.1</c:v>
                </c:pt>
                <c:pt idx="10">
                  <c:v>-0.5</c:v>
                </c:pt>
                <c:pt idx="11">
                  <c:v>-0.7</c:v>
                </c:pt>
                <c:pt idx="12">
                  <c:v>-0.2</c:v>
                </c:pt>
                <c:pt idx="13">
                  <c:v>-0.3</c:v>
                </c:pt>
                <c:pt idx="14">
                  <c:v>-0.7</c:v>
                </c:pt>
                <c:pt idx="15">
                  <c:v>-0.7</c:v>
                </c:pt>
                <c:pt idx="16">
                  <c:v>-2.8</c:v>
                </c:pt>
                <c:pt idx="17">
                  <c:v>-11.7</c:v>
                </c:pt>
                <c:pt idx="18">
                  <c:v>-6.1</c:v>
                </c:pt>
                <c:pt idx="19">
                  <c:v>-6.6</c:v>
                </c:pt>
                <c:pt idx="20">
                  <c:v>-6.2</c:v>
                </c:pt>
                <c:pt idx="21">
                  <c:v>-5.9</c:v>
                </c:pt>
                <c:pt idx="22">
                  <c:v>-3.5</c:v>
                </c:pt>
                <c:pt idx="23">
                  <c:v>-3.1</c:v>
                </c:pt>
                <c:pt idx="24">
                  <c:v>-2.2999999999999998</c:v>
                </c:pt>
                <c:pt idx="25">
                  <c:v>-2.2000000000000002</c:v>
                </c:pt>
                <c:pt idx="26">
                  <c:v>-3.7</c:v>
                </c:pt>
                <c:pt idx="27">
                  <c:v>-4.4000000000000004</c:v>
                </c:pt>
                <c:pt idx="28" formatCode="#\ ##0.0">
                  <c:v>-3.1</c:v>
                </c:pt>
                <c:pt idx="29">
                  <c:v>-3.2</c:v>
                </c:pt>
                <c:pt idx="30">
                  <c:v>-3.5</c:v>
                </c:pt>
                <c:pt idx="31">
                  <c:v>-3.9</c:v>
                </c:pt>
                <c:pt idx="32" formatCode="#\ ##0.0">
                  <c:v>-3</c:v>
                </c:pt>
                <c:pt idx="33">
                  <c:v>-3.2</c:v>
                </c:pt>
                <c:pt idx="34">
                  <c:v>-3</c:v>
                </c:pt>
                <c:pt idx="35">
                  <c:v>-3.4</c:v>
                </c:pt>
                <c:pt idx="36">
                  <c:v>-2.8</c:v>
                </c:pt>
                <c:pt idx="37" formatCode="General">
                  <c:v>-2.9</c:v>
                </c:pt>
                <c:pt idx="38" formatCode="General">
                  <c:v>-3.2</c:v>
                </c:pt>
              </c:numCache>
            </c:numRef>
          </c:val>
          <c:extLst>
            <c:ext xmlns:c16="http://schemas.microsoft.com/office/drawing/2014/chart" uri="{C3380CC4-5D6E-409C-BE32-E72D297353CC}">
              <c16:uniqueId val="{00000000-EB22-4E17-B7AA-D457F799FC46}"/>
            </c:ext>
          </c:extLst>
        </c:ser>
        <c:ser>
          <c:idx val="1"/>
          <c:order val="1"/>
          <c:tx>
            <c:strRef>
              <c:f>'G3-Sektor vlád.institucí (2)'!$A$118</c:f>
              <c:strCache>
                <c:ptCount val="1"/>
                <c:pt idx="0">
                  <c:v>Budget balance (Czechia)</c:v>
                </c:pt>
              </c:strCache>
            </c:strRef>
          </c:tx>
          <c:spPr>
            <a:solidFill>
              <a:schemeClr val="bg2">
                <a:lumMod val="50000"/>
              </a:schemeClr>
            </a:solidFill>
            <a:ln>
              <a:noFill/>
            </a:ln>
            <a:effectLst/>
          </c:spPr>
          <c:invertIfNegative val="0"/>
          <c:cat>
            <c:multiLvlStrRef>
              <c:f>'G3-Sektor vlád.institucí (2)'!$F$115:$AR$116</c:f>
              <c:multiLvlStrCache>
                <c:ptCount val="3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lvl>
                <c:lvl>
                  <c:pt idx="0">
                    <c:v>2016</c:v>
                  </c:pt>
                  <c:pt idx="4">
                    <c:v>2017</c:v>
                  </c:pt>
                  <c:pt idx="8">
                    <c:v>2018</c:v>
                  </c:pt>
                  <c:pt idx="12">
                    <c:v>2019</c:v>
                  </c:pt>
                  <c:pt idx="16">
                    <c:v>2020</c:v>
                  </c:pt>
                  <c:pt idx="20">
                    <c:v>2021</c:v>
                  </c:pt>
                  <c:pt idx="24">
                    <c:v>2022</c:v>
                  </c:pt>
                  <c:pt idx="28">
                    <c:v>2023</c:v>
                  </c:pt>
                  <c:pt idx="32">
                    <c:v>2024</c:v>
                  </c:pt>
                  <c:pt idx="36">
                    <c:v>2025</c:v>
                  </c:pt>
                </c:lvl>
              </c:multiLvlStrCache>
            </c:multiLvlStrRef>
          </c:cat>
          <c:val>
            <c:numRef>
              <c:f>'G3-Sektor vlád.institucí (2)'!$F$118:$AR$118</c:f>
              <c:numCache>
                <c:formatCode>#\ ##0.##########</c:formatCode>
                <c:ptCount val="39"/>
                <c:pt idx="0">
                  <c:v>0.7</c:v>
                </c:pt>
                <c:pt idx="1">
                  <c:v>0.7</c:v>
                </c:pt>
                <c:pt idx="2" formatCode="#\ ##0.0">
                  <c:v>0.9</c:v>
                </c:pt>
                <c:pt idx="3">
                  <c:v>0.4</c:v>
                </c:pt>
                <c:pt idx="4">
                  <c:v>1.1000000000000001</c:v>
                </c:pt>
                <c:pt idx="5">
                  <c:v>1.5</c:v>
                </c:pt>
                <c:pt idx="6">
                  <c:v>1.5</c:v>
                </c:pt>
                <c:pt idx="7">
                  <c:v>1.7</c:v>
                </c:pt>
                <c:pt idx="8">
                  <c:v>1.2</c:v>
                </c:pt>
                <c:pt idx="9">
                  <c:v>1.3</c:v>
                </c:pt>
                <c:pt idx="10">
                  <c:v>0.1</c:v>
                </c:pt>
                <c:pt idx="11">
                  <c:v>1</c:v>
                </c:pt>
                <c:pt idx="12">
                  <c:v>1</c:v>
                </c:pt>
                <c:pt idx="13">
                  <c:v>0.5</c:v>
                </c:pt>
                <c:pt idx="14">
                  <c:v>-0.2</c:v>
                </c:pt>
                <c:pt idx="15">
                  <c:v>-0.2</c:v>
                </c:pt>
                <c:pt idx="16">
                  <c:v>-2.6</c:v>
                </c:pt>
                <c:pt idx="17">
                  <c:v>-9.1</c:v>
                </c:pt>
                <c:pt idx="18" formatCode="#\ ##0.0">
                  <c:v>-4.5</c:v>
                </c:pt>
                <c:pt idx="19" formatCode="#\ ##0.0">
                  <c:v>-6.7</c:v>
                </c:pt>
                <c:pt idx="20" formatCode="#\ ##0.0">
                  <c:v>-7.4</c:v>
                </c:pt>
                <c:pt idx="21" formatCode="#\ ##0.0">
                  <c:v>-5.4</c:v>
                </c:pt>
                <c:pt idx="22">
                  <c:v>-3.7</c:v>
                </c:pt>
                <c:pt idx="23">
                  <c:v>-3.4</c:v>
                </c:pt>
                <c:pt idx="24">
                  <c:v>-2.4</c:v>
                </c:pt>
                <c:pt idx="25">
                  <c:v>-2.6</c:v>
                </c:pt>
                <c:pt idx="26">
                  <c:v>-3.9</c:v>
                </c:pt>
                <c:pt idx="27">
                  <c:v>-3.3</c:v>
                </c:pt>
                <c:pt idx="28">
                  <c:v>-4.5</c:v>
                </c:pt>
                <c:pt idx="29">
                  <c:v>-3.4</c:v>
                </c:pt>
                <c:pt idx="30">
                  <c:v>-3.2</c:v>
                </c:pt>
                <c:pt idx="31">
                  <c:v>-3.9</c:v>
                </c:pt>
                <c:pt idx="32" formatCode="#\ ##0.0">
                  <c:v>-1.7</c:v>
                </c:pt>
                <c:pt idx="33">
                  <c:v>-2.2999999999999998</c:v>
                </c:pt>
                <c:pt idx="34">
                  <c:v>-2.2999999999999998</c:v>
                </c:pt>
                <c:pt idx="35">
                  <c:v>-1.8</c:v>
                </c:pt>
                <c:pt idx="36">
                  <c:v>-2.2000000000000002</c:v>
                </c:pt>
                <c:pt idx="37" formatCode="General">
                  <c:v>-1.9</c:v>
                </c:pt>
                <c:pt idx="38" formatCode="General">
                  <c:v>-1.9</c:v>
                </c:pt>
              </c:numCache>
            </c:numRef>
          </c:val>
          <c:extLst>
            <c:ext xmlns:c16="http://schemas.microsoft.com/office/drawing/2014/chart" uri="{C3380CC4-5D6E-409C-BE32-E72D297353CC}">
              <c16:uniqueId val="{00000001-EB22-4E17-B7AA-D457F799FC46}"/>
            </c:ext>
          </c:extLst>
        </c:ser>
        <c:dLbls>
          <c:showLegendKey val="0"/>
          <c:showVal val="0"/>
          <c:showCatName val="0"/>
          <c:showSerName val="0"/>
          <c:showPercent val="0"/>
          <c:showBubbleSize val="0"/>
        </c:dLbls>
        <c:gapWidth val="150"/>
        <c:axId val="531992144"/>
        <c:axId val="531997552"/>
      </c:barChart>
      <c:lineChart>
        <c:grouping val="standard"/>
        <c:varyColors val="0"/>
        <c:ser>
          <c:idx val="3"/>
          <c:order val="2"/>
          <c:tx>
            <c:strRef>
              <c:f>'G3-Sektor vlád.institucí (2)'!$A$119</c:f>
              <c:strCache>
                <c:ptCount val="1"/>
                <c:pt idx="0">
                  <c:v>Debt rate (Austria)</c:v>
                </c:pt>
              </c:strCache>
            </c:strRef>
          </c:tx>
          <c:spPr>
            <a:ln w="15875" cap="rnd">
              <a:solidFill>
                <a:srgbClr val="89898E"/>
              </a:solidFill>
              <a:prstDash val="dash"/>
              <a:round/>
            </a:ln>
            <a:effectLst/>
          </c:spPr>
          <c:marker>
            <c:symbol val="none"/>
          </c:marker>
          <c:cat>
            <c:multiLvlStrRef>
              <c:f>'G3-Sektor vlád.institucí (2)'!$F$115:$AR$116</c:f>
              <c:multiLvlStrCache>
                <c:ptCount val="3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lvl>
                <c:lvl>
                  <c:pt idx="0">
                    <c:v>2016</c:v>
                  </c:pt>
                  <c:pt idx="4">
                    <c:v>2017</c:v>
                  </c:pt>
                  <c:pt idx="8">
                    <c:v>2018</c:v>
                  </c:pt>
                  <c:pt idx="12">
                    <c:v>2019</c:v>
                  </c:pt>
                  <c:pt idx="16">
                    <c:v>2020</c:v>
                  </c:pt>
                  <c:pt idx="20">
                    <c:v>2021</c:v>
                  </c:pt>
                  <c:pt idx="24">
                    <c:v>2022</c:v>
                  </c:pt>
                  <c:pt idx="28">
                    <c:v>2023</c:v>
                  </c:pt>
                  <c:pt idx="32">
                    <c:v>2024</c:v>
                  </c:pt>
                  <c:pt idx="36">
                    <c:v>2025</c:v>
                  </c:pt>
                </c:lvl>
              </c:multiLvlStrCache>
            </c:multiLvlStrRef>
          </c:cat>
          <c:val>
            <c:numRef>
              <c:f>'G3-Sektor vlád.institucí (2)'!$F$119:$AR$119</c:f>
              <c:numCache>
                <c:formatCode>#\ ##0.##########</c:formatCode>
                <c:ptCount val="39"/>
                <c:pt idx="0">
                  <c:v>86.2</c:v>
                </c:pt>
                <c:pt idx="1">
                  <c:v>85.2</c:v>
                </c:pt>
                <c:pt idx="2">
                  <c:v>82.7</c:v>
                </c:pt>
                <c:pt idx="3">
                  <c:v>83.4</c:v>
                </c:pt>
                <c:pt idx="4">
                  <c:v>81.900000000000006</c:v>
                </c:pt>
                <c:pt idx="5">
                  <c:v>81.8</c:v>
                </c:pt>
                <c:pt idx="6">
                  <c:v>80.7</c:v>
                </c:pt>
                <c:pt idx="7">
                  <c:v>79.099999999999994</c:v>
                </c:pt>
                <c:pt idx="8" formatCode="#\ ##0.0">
                  <c:v>78</c:v>
                </c:pt>
                <c:pt idx="9">
                  <c:v>77.3</c:v>
                </c:pt>
                <c:pt idx="10">
                  <c:v>76.400000000000006</c:v>
                </c:pt>
                <c:pt idx="11">
                  <c:v>74.599999999999994</c:v>
                </c:pt>
                <c:pt idx="12">
                  <c:v>73.400000000000006</c:v>
                </c:pt>
                <c:pt idx="13">
                  <c:v>72.400000000000006</c:v>
                </c:pt>
                <c:pt idx="14">
                  <c:v>71.7</c:v>
                </c:pt>
                <c:pt idx="15" formatCode="#\ ##0.0">
                  <c:v>71</c:v>
                </c:pt>
                <c:pt idx="16">
                  <c:v>73.3</c:v>
                </c:pt>
                <c:pt idx="17">
                  <c:v>82.3</c:v>
                </c:pt>
                <c:pt idx="18">
                  <c:v>78.599999999999994</c:v>
                </c:pt>
                <c:pt idx="19">
                  <c:v>83.2</c:v>
                </c:pt>
                <c:pt idx="20" formatCode="#\ ##0.0">
                  <c:v>87</c:v>
                </c:pt>
                <c:pt idx="21">
                  <c:v>85.9</c:v>
                </c:pt>
                <c:pt idx="22" formatCode="#\ ##0.0">
                  <c:v>84</c:v>
                </c:pt>
                <c:pt idx="23">
                  <c:v>82.4</c:v>
                </c:pt>
                <c:pt idx="24">
                  <c:v>83.2</c:v>
                </c:pt>
                <c:pt idx="25">
                  <c:v>82.3</c:v>
                </c:pt>
                <c:pt idx="26">
                  <c:v>80.900000000000006</c:v>
                </c:pt>
                <c:pt idx="27">
                  <c:v>78.099999999999994</c:v>
                </c:pt>
                <c:pt idx="28">
                  <c:v>79.900000000000006</c:v>
                </c:pt>
                <c:pt idx="29">
                  <c:v>78.3</c:v>
                </c:pt>
                <c:pt idx="30">
                  <c:v>78.2</c:v>
                </c:pt>
                <c:pt idx="31">
                  <c:v>77.8</c:v>
                </c:pt>
                <c:pt idx="32">
                  <c:v>79.900000000000006</c:v>
                </c:pt>
                <c:pt idx="33">
                  <c:v>81.5</c:v>
                </c:pt>
                <c:pt idx="34">
                  <c:v>81.599999999999994</c:v>
                </c:pt>
                <c:pt idx="35">
                  <c:v>79.900000000000006</c:v>
                </c:pt>
                <c:pt idx="36" formatCode="#\ ##0.0">
                  <c:v>83</c:v>
                </c:pt>
                <c:pt idx="37">
                  <c:v>82.2</c:v>
                </c:pt>
                <c:pt idx="38">
                  <c:v>83.7</c:v>
                </c:pt>
              </c:numCache>
            </c:numRef>
          </c:val>
          <c:smooth val="0"/>
          <c:extLst>
            <c:ext xmlns:c16="http://schemas.microsoft.com/office/drawing/2014/chart" uri="{C3380CC4-5D6E-409C-BE32-E72D297353CC}">
              <c16:uniqueId val="{00000002-EB22-4E17-B7AA-D457F799FC46}"/>
            </c:ext>
          </c:extLst>
        </c:ser>
        <c:ser>
          <c:idx val="4"/>
          <c:order val="3"/>
          <c:tx>
            <c:strRef>
              <c:f>'G3-Sektor vlád.institucí (2)'!$A$120</c:f>
              <c:strCache>
                <c:ptCount val="1"/>
                <c:pt idx="0">
                  <c:v>Debt rate (EU)</c:v>
                </c:pt>
              </c:strCache>
            </c:strRef>
          </c:tx>
          <c:spPr>
            <a:ln w="12700" cap="rnd">
              <a:solidFill>
                <a:schemeClr val="bg2">
                  <a:lumMod val="50000"/>
                </a:schemeClr>
              </a:solidFill>
              <a:prstDash val="sysDot"/>
              <a:round/>
            </a:ln>
            <a:effectLst/>
          </c:spPr>
          <c:marker>
            <c:symbol val="circle"/>
            <c:size val="4"/>
            <c:spPr>
              <a:solidFill>
                <a:schemeClr val="bg1"/>
              </a:solidFill>
              <a:ln w="6350">
                <a:solidFill>
                  <a:schemeClr val="tx1"/>
                </a:solidFill>
              </a:ln>
              <a:effectLst/>
            </c:spPr>
          </c:marker>
          <c:cat>
            <c:multiLvlStrRef>
              <c:f>'G3-Sektor vlád.institucí (2)'!$F$115:$AR$116</c:f>
              <c:multiLvlStrCache>
                <c:ptCount val="3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lvl>
                <c:lvl>
                  <c:pt idx="0">
                    <c:v>2016</c:v>
                  </c:pt>
                  <c:pt idx="4">
                    <c:v>2017</c:v>
                  </c:pt>
                  <c:pt idx="8">
                    <c:v>2018</c:v>
                  </c:pt>
                  <c:pt idx="12">
                    <c:v>2019</c:v>
                  </c:pt>
                  <c:pt idx="16">
                    <c:v>2020</c:v>
                  </c:pt>
                  <c:pt idx="20">
                    <c:v>2021</c:v>
                  </c:pt>
                  <c:pt idx="24">
                    <c:v>2022</c:v>
                  </c:pt>
                  <c:pt idx="28">
                    <c:v>2023</c:v>
                  </c:pt>
                  <c:pt idx="32">
                    <c:v>2024</c:v>
                  </c:pt>
                  <c:pt idx="36">
                    <c:v>2025</c:v>
                  </c:pt>
                </c:lvl>
              </c:multiLvlStrCache>
            </c:multiLvlStrRef>
          </c:cat>
          <c:val>
            <c:numRef>
              <c:f>'G3-Sektor vlád.institucí (2)'!$F$120:$AR$120</c:f>
              <c:numCache>
                <c:formatCode>#\ ##0.##########</c:formatCode>
                <c:ptCount val="39"/>
                <c:pt idx="0">
                  <c:v>85.9</c:v>
                </c:pt>
                <c:pt idx="1">
                  <c:v>85.8</c:v>
                </c:pt>
                <c:pt idx="2">
                  <c:v>84.8</c:v>
                </c:pt>
                <c:pt idx="3">
                  <c:v>84.1</c:v>
                </c:pt>
                <c:pt idx="4">
                  <c:v>84.2</c:v>
                </c:pt>
                <c:pt idx="5">
                  <c:v>84.1</c:v>
                </c:pt>
                <c:pt idx="6" formatCode="#\ ##0.0">
                  <c:v>83</c:v>
                </c:pt>
                <c:pt idx="7">
                  <c:v>81.5</c:v>
                </c:pt>
                <c:pt idx="8">
                  <c:v>81.400000000000006</c:v>
                </c:pt>
                <c:pt idx="9">
                  <c:v>80.8</c:v>
                </c:pt>
                <c:pt idx="10">
                  <c:v>80.7</c:v>
                </c:pt>
                <c:pt idx="11">
                  <c:v>79.5</c:v>
                </c:pt>
                <c:pt idx="12">
                  <c:v>79.8</c:v>
                </c:pt>
                <c:pt idx="13">
                  <c:v>79.599999999999994</c:v>
                </c:pt>
                <c:pt idx="14" formatCode="#\ ##0.0">
                  <c:v>79</c:v>
                </c:pt>
                <c:pt idx="15">
                  <c:v>77.5</c:v>
                </c:pt>
                <c:pt idx="16" formatCode="#\ ##0.0">
                  <c:v>79</c:v>
                </c:pt>
                <c:pt idx="17">
                  <c:v>87.1</c:v>
                </c:pt>
                <c:pt idx="18" formatCode="#\ ##0.0">
                  <c:v>89</c:v>
                </c:pt>
                <c:pt idx="19">
                  <c:v>89.5</c:v>
                </c:pt>
                <c:pt idx="20">
                  <c:v>91.5</c:v>
                </c:pt>
                <c:pt idx="21">
                  <c:v>89.7</c:v>
                </c:pt>
                <c:pt idx="22">
                  <c:v>88.7</c:v>
                </c:pt>
                <c:pt idx="23">
                  <c:v>86.7</c:v>
                </c:pt>
                <c:pt idx="24">
                  <c:v>86.2</c:v>
                </c:pt>
                <c:pt idx="25" formatCode="#\ ##0.0">
                  <c:v>85</c:v>
                </c:pt>
                <c:pt idx="26">
                  <c:v>83.5</c:v>
                </c:pt>
                <c:pt idx="27">
                  <c:v>82.3</c:v>
                </c:pt>
                <c:pt idx="28">
                  <c:v>82.2</c:v>
                </c:pt>
                <c:pt idx="29">
                  <c:v>81.7</c:v>
                </c:pt>
                <c:pt idx="30">
                  <c:v>81.2</c:v>
                </c:pt>
                <c:pt idx="31">
                  <c:v>80.5</c:v>
                </c:pt>
                <c:pt idx="32" formatCode="#\ ##0.0">
                  <c:v>81</c:v>
                </c:pt>
                <c:pt idx="33">
                  <c:v>81.2</c:v>
                </c:pt>
                <c:pt idx="34">
                  <c:v>81.3</c:v>
                </c:pt>
                <c:pt idx="35">
                  <c:v>80.7</c:v>
                </c:pt>
                <c:pt idx="36">
                  <c:v>81.5</c:v>
                </c:pt>
                <c:pt idx="37">
                  <c:v>81.900000000000006</c:v>
                </c:pt>
                <c:pt idx="38">
                  <c:v>82.1</c:v>
                </c:pt>
              </c:numCache>
            </c:numRef>
          </c:val>
          <c:smooth val="0"/>
          <c:extLst>
            <c:ext xmlns:c16="http://schemas.microsoft.com/office/drawing/2014/chart" uri="{C3380CC4-5D6E-409C-BE32-E72D297353CC}">
              <c16:uniqueId val="{00000003-EB22-4E17-B7AA-D457F799FC46}"/>
            </c:ext>
          </c:extLst>
        </c:ser>
        <c:ser>
          <c:idx val="5"/>
          <c:order val="4"/>
          <c:tx>
            <c:strRef>
              <c:f>'G3-Sektor vlád.institucí (2)'!$A$121</c:f>
              <c:strCache>
                <c:ptCount val="1"/>
                <c:pt idx="0">
                  <c:v>Debt rate (Czechia)</c:v>
                </c:pt>
              </c:strCache>
            </c:strRef>
          </c:tx>
          <c:spPr>
            <a:ln w="12700" cap="rnd">
              <a:solidFill>
                <a:srgbClr val="89898E"/>
              </a:solidFill>
              <a:prstDash val="sysDot"/>
              <a:round/>
            </a:ln>
            <a:effectLst/>
          </c:spPr>
          <c:marker>
            <c:symbol val="circle"/>
            <c:size val="4"/>
            <c:spPr>
              <a:solidFill>
                <a:srgbClr val="89898E"/>
              </a:solidFill>
              <a:ln w="9525">
                <a:noFill/>
              </a:ln>
              <a:effectLst/>
            </c:spPr>
          </c:marker>
          <c:cat>
            <c:multiLvlStrRef>
              <c:f>'G3-Sektor vlád.institucí (2)'!$F$115:$AR$116</c:f>
              <c:multiLvlStrCache>
                <c:ptCount val="3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lvl>
                <c:lvl>
                  <c:pt idx="0">
                    <c:v>2016</c:v>
                  </c:pt>
                  <c:pt idx="4">
                    <c:v>2017</c:v>
                  </c:pt>
                  <c:pt idx="8">
                    <c:v>2018</c:v>
                  </c:pt>
                  <c:pt idx="12">
                    <c:v>2019</c:v>
                  </c:pt>
                  <c:pt idx="16">
                    <c:v>2020</c:v>
                  </c:pt>
                  <c:pt idx="20">
                    <c:v>2021</c:v>
                  </c:pt>
                  <c:pt idx="24">
                    <c:v>2022</c:v>
                  </c:pt>
                  <c:pt idx="28">
                    <c:v>2023</c:v>
                  </c:pt>
                  <c:pt idx="32">
                    <c:v>2024</c:v>
                  </c:pt>
                  <c:pt idx="36">
                    <c:v>2025</c:v>
                  </c:pt>
                </c:lvl>
              </c:multiLvlStrCache>
            </c:multiLvlStrRef>
          </c:cat>
          <c:val>
            <c:numRef>
              <c:f>'G3-Sektor vlád.institucí (2)'!$F$121:$AR$121</c:f>
              <c:numCache>
                <c:formatCode>#\ ##0.##########</c:formatCode>
                <c:ptCount val="39"/>
                <c:pt idx="0">
                  <c:v>39.5</c:v>
                </c:pt>
                <c:pt idx="1">
                  <c:v>38.9</c:v>
                </c:pt>
                <c:pt idx="2">
                  <c:v>37.799999999999997</c:v>
                </c:pt>
                <c:pt idx="3">
                  <c:v>36.200000000000003</c:v>
                </c:pt>
                <c:pt idx="4">
                  <c:v>39.200000000000003</c:v>
                </c:pt>
                <c:pt idx="5">
                  <c:v>38.6</c:v>
                </c:pt>
                <c:pt idx="6">
                  <c:v>34.299999999999997</c:v>
                </c:pt>
                <c:pt idx="7">
                  <c:v>33.799999999999997</c:v>
                </c:pt>
                <c:pt idx="8">
                  <c:v>34.9</c:v>
                </c:pt>
                <c:pt idx="9">
                  <c:v>34.299999999999997</c:v>
                </c:pt>
                <c:pt idx="10">
                  <c:v>32.9</c:v>
                </c:pt>
                <c:pt idx="11">
                  <c:v>31.7</c:v>
                </c:pt>
                <c:pt idx="12" formatCode="#\ ##0.0">
                  <c:v>33</c:v>
                </c:pt>
                <c:pt idx="13">
                  <c:v>32.1</c:v>
                </c:pt>
                <c:pt idx="14">
                  <c:v>30.8</c:v>
                </c:pt>
                <c:pt idx="15">
                  <c:v>29.6</c:v>
                </c:pt>
                <c:pt idx="16">
                  <c:v>31.9</c:v>
                </c:pt>
                <c:pt idx="17">
                  <c:v>38.9</c:v>
                </c:pt>
                <c:pt idx="18">
                  <c:v>37.4</c:v>
                </c:pt>
                <c:pt idx="19">
                  <c:v>36.9</c:v>
                </c:pt>
                <c:pt idx="20">
                  <c:v>42.9</c:v>
                </c:pt>
                <c:pt idx="21">
                  <c:v>41.5</c:v>
                </c:pt>
                <c:pt idx="22">
                  <c:v>39.299999999999997</c:v>
                </c:pt>
                <c:pt idx="23">
                  <c:v>40.700000000000003</c:v>
                </c:pt>
                <c:pt idx="24">
                  <c:v>41.4</c:v>
                </c:pt>
                <c:pt idx="25">
                  <c:v>41.9</c:v>
                </c:pt>
                <c:pt idx="26">
                  <c:v>43.5</c:v>
                </c:pt>
                <c:pt idx="27">
                  <c:v>42.5</c:v>
                </c:pt>
                <c:pt idx="28">
                  <c:v>42.8</c:v>
                </c:pt>
                <c:pt idx="29">
                  <c:v>42.5</c:v>
                </c:pt>
                <c:pt idx="30">
                  <c:v>42.7</c:v>
                </c:pt>
                <c:pt idx="31">
                  <c:v>42.2</c:v>
                </c:pt>
                <c:pt idx="32">
                  <c:v>43.1</c:v>
                </c:pt>
                <c:pt idx="33">
                  <c:v>42.4</c:v>
                </c:pt>
                <c:pt idx="34">
                  <c:v>43.4</c:v>
                </c:pt>
                <c:pt idx="35">
                  <c:v>43.3</c:v>
                </c:pt>
                <c:pt idx="36">
                  <c:v>43.3</c:v>
                </c:pt>
                <c:pt idx="37">
                  <c:v>43.8</c:v>
                </c:pt>
                <c:pt idx="38">
                  <c:v>43.1</c:v>
                </c:pt>
              </c:numCache>
            </c:numRef>
          </c:val>
          <c:smooth val="0"/>
          <c:extLst>
            <c:ext xmlns:c16="http://schemas.microsoft.com/office/drawing/2014/chart" uri="{C3380CC4-5D6E-409C-BE32-E72D297353CC}">
              <c16:uniqueId val="{00000004-EB22-4E17-B7AA-D457F799FC46}"/>
            </c:ext>
          </c:extLst>
        </c:ser>
        <c:ser>
          <c:idx val="2"/>
          <c:order val="5"/>
          <c:tx>
            <c:strRef>
              <c:f>'G3-Sektor vlád.institucí (2)'!$A$122</c:f>
              <c:strCache>
                <c:ptCount val="1"/>
                <c:pt idx="0">
                  <c:v>Debt rate (Germany)</c:v>
                </c:pt>
              </c:strCache>
            </c:strRef>
          </c:tx>
          <c:spPr>
            <a:ln w="15875" cap="rnd">
              <a:solidFill>
                <a:srgbClr val="1B4F70"/>
              </a:solidFill>
              <a:round/>
            </a:ln>
            <a:effectLst/>
          </c:spPr>
          <c:marker>
            <c:symbol val="none"/>
          </c:marker>
          <c:cat>
            <c:multiLvlStrRef>
              <c:f>'G3-Sektor vlád.institucí (2)'!$F$115:$AR$116</c:f>
              <c:multiLvlStrCache>
                <c:ptCount val="3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lvl>
                <c:lvl>
                  <c:pt idx="0">
                    <c:v>2016</c:v>
                  </c:pt>
                  <c:pt idx="4">
                    <c:v>2017</c:v>
                  </c:pt>
                  <c:pt idx="8">
                    <c:v>2018</c:v>
                  </c:pt>
                  <c:pt idx="12">
                    <c:v>2019</c:v>
                  </c:pt>
                  <c:pt idx="16">
                    <c:v>2020</c:v>
                  </c:pt>
                  <c:pt idx="20">
                    <c:v>2021</c:v>
                  </c:pt>
                  <c:pt idx="24">
                    <c:v>2022</c:v>
                  </c:pt>
                  <c:pt idx="28">
                    <c:v>2023</c:v>
                  </c:pt>
                  <c:pt idx="32">
                    <c:v>2024</c:v>
                  </c:pt>
                  <c:pt idx="36">
                    <c:v>2025</c:v>
                  </c:pt>
                </c:lvl>
              </c:multiLvlStrCache>
            </c:multiLvlStrRef>
          </c:cat>
          <c:val>
            <c:numRef>
              <c:f>'G3-Sektor vlád.institucí (2)'!$F$122:$AR$122</c:f>
              <c:numCache>
                <c:formatCode>#\ ##0.##########</c:formatCode>
                <c:ptCount val="39"/>
                <c:pt idx="0">
                  <c:v>70.900000000000006</c:v>
                </c:pt>
                <c:pt idx="1">
                  <c:v>70.2</c:v>
                </c:pt>
                <c:pt idx="2">
                  <c:v>69.5</c:v>
                </c:pt>
                <c:pt idx="3">
                  <c:v>68.3</c:v>
                </c:pt>
                <c:pt idx="4">
                  <c:v>66.8</c:v>
                </c:pt>
                <c:pt idx="5">
                  <c:v>66.099999999999994</c:v>
                </c:pt>
                <c:pt idx="6">
                  <c:v>65.2</c:v>
                </c:pt>
                <c:pt idx="7" formatCode="#\ ##0.0">
                  <c:v>64</c:v>
                </c:pt>
                <c:pt idx="8">
                  <c:v>62.9</c:v>
                </c:pt>
                <c:pt idx="9">
                  <c:v>61.8</c:v>
                </c:pt>
                <c:pt idx="10">
                  <c:v>61.5</c:v>
                </c:pt>
                <c:pt idx="11">
                  <c:v>60.8</c:v>
                </c:pt>
                <c:pt idx="12">
                  <c:v>60.6</c:v>
                </c:pt>
                <c:pt idx="13" formatCode="#\ ##0.0">
                  <c:v>60</c:v>
                </c:pt>
                <c:pt idx="14">
                  <c:v>59.9</c:v>
                </c:pt>
                <c:pt idx="15">
                  <c:v>58.7</c:v>
                </c:pt>
                <c:pt idx="16">
                  <c:v>59.8</c:v>
                </c:pt>
                <c:pt idx="17" formatCode="#\ ##0.0">
                  <c:v>66</c:v>
                </c:pt>
                <c:pt idx="18">
                  <c:v>68.5</c:v>
                </c:pt>
                <c:pt idx="19" formatCode="#\ ##0.0">
                  <c:v>68</c:v>
                </c:pt>
                <c:pt idx="20">
                  <c:v>68.8</c:v>
                </c:pt>
                <c:pt idx="21">
                  <c:v>68.2</c:v>
                </c:pt>
                <c:pt idx="22" formatCode="#\ ##0.0">
                  <c:v>68</c:v>
                </c:pt>
                <c:pt idx="23">
                  <c:v>67.900000000000006</c:v>
                </c:pt>
                <c:pt idx="24">
                  <c:v>66.5</c:v>
                </c:pt>
                <c:pt idx="25">
                  <c:v>66.099999999999994</c:v>
                </c:pt>
                <c:pt idx="26">
                  <c:v>65.2</c:v>
                </c:pt>
                <c:pt idx="27">
                  <c:v>64.400000000000006</c:v>
                </c:pt>
                <c:pt idx="28">
                  <c:v>63.9</c:v>
                </c:pt>
                <c:pt idx="29" formatCode="#\ ##0.0">
                  <c:v>63</c:v>
                </c:pt>
                <c:pt idx="30">
                  <c:v>63.2</c:v>
                </c:pt>
                <c:pt idx="31">
                  <c:v>62.3</c:v>
                </c:pt>
                <c:pt idx="32">
                  <c:v>62.1</c:v>
                </c:pt>
                <c:pt idx="33">
                  <c:v>61.6</c:v>
                </c:pt>
                <c:pt idx="34" formatCode="#\ ##0.0">
                  <c:v>62</c:v>
                </c:pt>
                <c:pt idx="35">
                  <c:v>62.2</c:v>
                </c:pt>
                <c:pt idx="36" formatCode="#\ ##0.0">
                  <c:v>62</c:v>
                </c:pt>
                <c:pt idx="37">
                  <c:v>62.3</c:v>
                </c:pt>
                <c:pt idx="38" formatCode="#\ ##0.0">
                  <c:v>63</c:v>
                </c:pt>
              </c:numCache>
            </c:numRef>
          </c:val>
          <c:smooth val="0"/>
          <c:extLst>
            <c:ext xmlns:c16="http://schemas.microsoft.com/office/drawing/2014/chart" uri="{C3380CC4-5D6E-409C-BE32-E72D297353CC}">
              <c16:uniqueId val="{00000005-EB22-4E17-B7AA-D457F799FC46}"/>
            </c:ext>
          </c:extLst>
        </c:ser>
        <c:ser>
          <c:idx val="6"/>
          <c:order val="6"/>
          <c:tx>
            <c:strRef>
              <c:f>'G3-Sektor vlád.institucí (2)'!$A$123</c:f>
              <c:strCache>
                <c:ptCount val="1"/>
                <c:pt idx="0">
                  <c:v>Debt rate (Slovakia)</c:v>
                </c:pt>
              </c:strCache>
            </c:strRef>
          </c:tx>
          <c:spPr>
            <a:ln w="15875" cap="rnd">
              <a:solidFill>
                <a:srgbClr val="BC5B80"/>
              </a:solidFill>
              <a:round/>
            </a:ln>
            <a:effectLst/>
          </c:spPr>
          <c:marker>
            <c:symbol val="none"/>
          </c:marker>
          <c:cat>
            <c:multiLvlStrRef>
              <c:f>'G3-Sektor vlád.institucí (2)'!$F$115:$AR$116</c:f>
              <c:multiLvlStrCache>
                <c:ptCount val="3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lvl>
                <c:lvl>
                  <c:pt idx="0">
                    <c:v>2016</c:v>
                  </c:pt>
                  <c:pt idx="4">
                    <c:v>2017</c:v>
                  </c:pt>
                  <c:pt idx="8">
                    <c:v>2018</c:v>
                  </c:pt>
                  <c:pt idx="12">
                    <c:v>2019</c:v>
                  </c:pt>
                  <c:pt idx="16">
                    <c:v>2020</c:v>
                  </c:pt>
                  <c:pt idx="20">
                    <c:v>2021</c:v>
                  </c:pt>
                  <c:pt idx="24">
                    <c:v>2022</c:v>
                  </c:pt>
                  <c:pt idx="28">
                    <c:v>2023</c:v>
                  </c:pt>
                  <c:pt idx="32">
                    <c:v>2024</c:v>
                  </c:pt>
                  <c:pt idx="36">
                    <c:v>2025</c:v>
                  </c:pt>
                </c:lvl>
              </c:multiLvlStrCache>
            </c:multiLvlStrRef>
          </c:cat>
          <c:val>
            <c:numRef>
              <c:f>'G3-Sektor vlád.institucí (2)'!$F$123:$AR$123</c:f>
              <c:numCache>
                <c:formatCode>#\ ##0.##########</c:formatCode>
                <c:ptCount val="39"/>
                <c:pt idx="0">
                  <c:v>51.3</c:v>
                </c:pt>
                <c:pt idx="1">
                  <c:v>52.6</c:v>
                </c:pt>
                <c:pt idx="2">
                  <c:v>52.7</c:v>
                </c:pt>
                <c:pt idx="3">
                  <c:v>52.1</c:v>
                </c:pt>
                <c:pt idx="4">
                  <c:v>53.7</c:v>
                </c:pt>
                <c:pt idx="5">
                  <c:v>52.1</c:v>
                </c:pt>
                <c:pt idx="6">
                  <c:v>51.7</c:v>
                </c:pt>
                <c:pt idx="7">
                  <c:v>51.4</c:v>
                </c:pt>
                <c:pt idx="8">
                  <c:v>51.3</c:v>
                </c:pt>
                <c:pt idx="9">
                  <c:v>52.3</c:v>
                </c:pt>
                <c:pt idx="10">
                  <c:v>51.9</c:v>
                </c:pt>
                <c:pt idx="11">
                  <c:v>49.3</c:v>
                </c:pt>
                <c:pt idx="12">
                  <c:v>49.2</c:v>
                </c:pt>
                <c:pt idx="13">
                  <c:v>48.6</c:v>
                </c:pt>
                <c:pt idx="14">
                  <c:v>48.4</c:v>
                </c:pt>
                <c:pt idx="15" formatCode="#\ ##0.0">
                  <c:v>48</c:v>
                </c:pt>
                <c:pt idx="16" formatCode="#\ ##0.0">
                  <c:v>49</c:v>
                </c:pt>
                <c:pt idx="17">
                  <c:v>58.9</c:v>
                </c:pt>
                <c:pt idx="18">
                  <c:v>58.9</c:v>
                </c:pt>
                <c:pt idx="19">
                  <c:v>58.4</c:v>
                </c:pt>
                <c:pt idx="20">
                  <c:v>58.2</c:v>
                </c:pt>
                <c:pt idx="21" formatCode="#\ ##0.0">
                  <c:v>59</c:v>
                </c:pt>
                <c:pt idx="22">
                  <c:v>58.8</c:v>
                </c:pt>
                <c:pt idx="23">
                  <c:v>60.2</c:v>
                </c:pt>
                <c:pt idx="24">
                  <c:v>59.8</c:v>
                </c:pt>
                <c:pt idx="25">
                  <c:v>58.8</c:v>
                </c:pt>
                <c:pt idx="26">
                  <c:v>57.3</c:v>
                </c:pt>
                <c:pt idx="27">
                  <c:v>57.8</c:v>
                </c:pt>
                <c:pt idx="28">
                  <c:v>57.8</c:v>
                </c:pt>
                <c:pt idx="29">
                  <c:v>59.3</c:v>
                </c:pt>
                <c:pt idx="30">
                  <c:v>58.1</c:v>
                </c:pt>
                <c:pt idx="31">
                  <c:v>55.8</c:v>
                </c:pt>
                <c:pt idx="32">
                  <c:v>60.3</c:v>
                </c:pt>
                <c:pt idx="33">
                  <c:v>60.2</c:v>
                </c:pt>
                <c:pt idx="34">
                  <c:v>60.1</c:v>
                </c:pt>
                <c:pt idx="35">
                  <c:v>59.7</c:v>
                </c:pt>
                <c:pt idx="36">
                  <c:v>63.2</c:v>
                </c:pt>
                <c:pt idx="37">
                  <c:v>62.9</c:v>
                </c:pt>
                <c:pt idx="38">
                  <c:v>62.3</c:v>
                </c:pt>
              </c:numCache>
            </c:numRef>
          </c:val>
          <c:smooth val="0"/>
          <c:extLst>
            <c:ext xmlns:c16="http://schemas.microsoft.com/office/drawing/2014/chart" uri="{C3380CC4-5D6E-409C-BE32-E72D297353CC}">
              <c16:uniqueId val="{00000006-EB22-4E17-B7AA-D457F799FC46}"/>
            </c:ext>
          </c:extLst>
        </c:ser>
        <c:ser>
          <c:idx val="7"/>
          <c:order val="7"/>
          <c:tx>
            <c:strRef>
              <c:f>'G3-Sektor vlád.institucí (2)'!$A$124</c:f>
              <c:strCache>
                <c:ptCount val="1"/>
                <c:pt idx="0">
                  <c:v>Debt rate (Poland)</c:v>
                </c:pt>
              </c:strCache>
            </c:strRef>
          </c:tx>
          <c:spPr>
            <a:ln w="15875" cap="rnd">
              <a:solidFill>
                <a:srgbClr val="009CB5"/>
              </a:solidFill>
              <a:round/>
            </a:ln>
            <a:effectLst/>
          </c:spPr>
          <c:marker>
            <c:symbol val="none"/>
          </c:marker>
          <c:cat>
            <c:multiLvlStrRef>
              <c:f>'G3-Sektor vlád.institucí (2)'!$F$115:$AR$116</c:f>
              <c:multiLvlStrCache>
                <c:ptCount val="3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lvl>
                <c:lvl>
                  <c:pt idx="0">
                    <c:v>2016</c:v>
                  </c:pt>
                  <c:pt idx="4">
                    <c:v>2017</c:v>
                  </c:pt>
                  <c:pt idx="8">
                    <c:v>2018</c:v>
                  </c:pt>
                  <c:pt idx="12">
                    <c:v>2019</c:v>
                  </c:pt>
                  <c:pt idx="16">
                    <c:v>2020</c:v>
                  </c:pt>
                  <c:pt idx="20">
                    <c:v>2021</c:v>
                  </c:pt>
                  <c:pt idx="24">
                    <c:v>2022</c:v>
                  </c:pt>
                  <c:pt idx="28">
                    <c:v>2023</c:v>
                  </c:pt>
                  <c:pt idx="32">
                    <c:v>2024</c:v>
                  </c:pt>
                  <c:pt idx="36">
                    <c:v>2025</c:v>
                  </c:pt>
                </c:lvl>
              </c:multiLvlStrCache>
            </c:multiLvlStrRef>
          </c:cat>
          <c:val>
            <c:numRef>
              <c:f>'G3-Sektor vlád.institucí (2)'!$F$124:$AR$124</c:f>
              <c:numCache>
                <c:formatCode>#\ ##0.##########</c:formatCode>
                <c:ptCount val="39"/>
                <c:pt idx="0">
                  <c:v>51.6</c:v>
                </c:pt>
                <c:pt idx="1">
                  <c:v>53.4</c:v>
                </c:pt>
                <c:pt idx="2" formatCode="#\ ##0.0">
                  <c:v>53</c:v>
                </c:pt>
                <c:pt idx="3">
                  <c:v>54.1</c:v>
                </c:pt>
                <c:pt idx="4">
                  <c:v>53.6</c:v>
                </c:pt>
                <c:pt idx="5" formatCode="#\ ##0.0">
                  <c:v>53</c:v>
                </c:pt>
                <c:pt idx="6">
                  <c:v>51.7</c:v>
                </c:pt>
                <c:pt idx="7">
                  <c:v>50.4</c:v>
                </c:pt>
                <c:pt idx="8">
                  <c:v>50.9</c:v>
                </c:pt>
                <c:pt idx="9">
                  <c:v>50.1</c:v>
                </c:pt>
                <c:pt idx="10" formatCode="#\ ##0.0">
                  <c:v>49</c:v>
                </c:pt>
                <c:pt idx="11">
                  <c:v>48.2</c:v>
                </c:pt>
                <c:pt idx="12">
                  <c:v>48.3</c:v>
                </c:pt>
                <c:pt idx="13">
                  <c:v>47.2</c:v>
                </c:pt>
                <c:pt idx="14">
                  <c:v>46.5</c:v>
                </c:pt>
                <c:pt idx="15">
                  <c:v>45.2</c:v>
                </c:pt>
                <c:pt idx="16">
                  <c:v>47.1</c:v>
                </c:pt>
                <c:pt idx="17">
                  <c:v>54.1</c:v>
                </c:pt>
                <c:pt idx="18">
                  <c:v>55.8</c:v>
                </c:pt>
                <c:pt idx="19">
                  <c:v>56.6</c:v>
                </c:pt>
                <c:pt idx="20">
                  <c:v>57.9</c:v>
                </c:pt>
                <c:pt idx="21">
                  <c:v>56.3</c:v>
                </c:pt>
                <c:pt idx="22">
                  <c:v>55.2</c:v>
                </c:pt>
                <c:pt idx="23" formatCode="#\ ##0.0">
                  <c:v>53</c:v>
                </c:pt>
                <c:pt idx="24">
                  <c:v>51.4</c:v>
                </c:pt>
                <c:pt idx="25">
                  <c:v>50.9</c:v>
                </c:pt>
                <c:pt idx="26">
                  <c:v>49.8</c:v>
                </c:pt>
                <c:pt idx="27">
                  <c:v>48.8</c:v>
                </c:pt>
                <c:pt idx="28">
                  <c:v>47.9</c:v>
                </c:pt>
                <c:pt idx="29">
                  <c:v>48.1</c:v>
                </c:pt>
                <c:pt idx="30">
                  <c:v>48.5</c:v>
                </c:pt>
                <c:pt idx="31">
                  <c:v>49.5</c:v>
                </c:pt>
                <c:pt idx="32">
                  <c:v>51.3</c:v>
                </c:pt>
                <c:pt idx="33" formatCode="#\ ##0.0">
                  <c:v>52</c:v>
                </c:pt>
                <c:pt idx="34">
                  <c:v>53.2</c:v>
                </c:pt>
                <c:pt idx="35">
                  <c:v>55.1</c:v>
                </c:pt>
                <c:pt idx="36">
                  <c:v>57.3</c:v>
                </c:pt>
                <c:pt idx="37">
                  <c:v>58.1</c:v>
                </c:pt>
                <c:pt idx="38">
                  <c:v>58.1</c:v>
                </c:pt>
              </c:numCache>
            </c:numRef>
          </c:val>
          <c:smooth val="0"/>
          <c:extLst>
            <c:ext xmlns:c16="http://schemas.microsoft.com/office/drawing/2014/chart" uri="{C3380CC4-5D6E-409C-BE32-E72D297353CC}">
              <c16:uniqueId val="{00000007-EB22-4E17-B7AA-D457F799FC46}"/>
            </c:ext>
          </c:extLst>
        </c:ser>
        <c:ser>
          <c:idx val="8"/>
          <c:order val="8"/>
          <c:tx>
            <c:strRef>
              <c:f>'G3-Sektor vlád.institucí (2)'!$A$125</c:f>
              <c:strCache>
                <c:ptCount val="1"/>
                <c:pt idx="0">
                  <c:v>Debt rate (Hungary)</c:v>
                </c:pt>
              </c:strCache>
            </c:strRef>
          </c:tx>
          <c:spPr>
            <a:ln w="15875" cap="rnd">
              <a:solidFill>
                <a:srgbClr val="CC9610"/>
              </a:solidFill>
              <a:round/>
            </a:ln>
            <a:effectLst/>
          </c:spPr>
          <c:marker>
            <c:symbol val="none"/>
          </c:marker>
          <c:cat>
            <c:multiLvlStrRef>
              <c:f>'G3-Sektor vlád.institucí (2)'!$F$115:$AR$116</c:f>
              <c:multiLvlStrCache>
                <c:ptCount val="3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lvl>
                <c:lvl>
                  <c:pt idx="0">
                    <c:v>2016</c:v>
                  </c:pt>
                  <c:pt idx="4">
                    <c:v>2017</c:v>
                  </c:pt>
                  <c:pt idx="8">
                    <c:v>2018</c:v>
                  </c:pt>
                  <c:pt idx="12">
                    <c:v>2019</c:v>
                  </c:pt>
                  <c:pt idx="16">
                    <c:v>2020</c:v>
                  </c:pt>
                  <c:pt idx="20">
                    <c:v>2021</c:v>
                  </c:pt>
                  <c:pt idx="24">
                    <c:v>2022</c:v>
                  </c:pt>
                  <c:pt idx="28">
                    <c:v>2023</c:v>
                  </c:pt>
                  <c:pt idx="32">
                    <c:v>2024</c:v>
                  </c:pt>
                  <c:pt idx="36">
                    <c:v>2025</c:v>
                  </c:pt>
                </c:lvl>
              </c:multiLvlStrCache>
            </c:multiLvlStrRef>
          </c:cat>
          <c:val>
            <c:numRef>
              <c:f>'G3-Sektor vlád.institucí (2)'!$F$125:$AR$125</c:f>
              <c:numCache>
                <c:formatCode>#\ ##0.##########</c:formatCode>
                <c:ptCount val="39"/>
                <c:pt idx="0">
                  <c:v>77.2</c:v>
                </c:pt>
                <c:pt idx="1">
                  <c:v>75.599999999999994</c:v>
                </c:pt>
                <c:pt idx="2">
                  <c:v>74.8</c:v>
                </c:pt>
                <c:pt idx="3">
                  <c:v>74.599999999999994</c:v>
                </c:pt>
                <c:pt idx="4">
                  <c:v>74.900000000000006</c:v>
                </c:pt>
                <c:pt idx="5">
                  <c:v>74.3</c:v>
                </c:pt>
                <c:pt idx="6">
                  <c:v>72.900000000000006</c:v>
                </c:pt>
                <c:pt idx="7" formatCode="#\ ##0.0">
                  <c:v>72</c:v>
                </c:pt>
                <c:pt idx="8">
                  <c:v>72.2</c:v>
                </c:pt>
                <c:pt idx="9">
                  <c:v>72.3</c:v>
                </c:pt>
                <c:pt idx="10">
                  <c:v>70.7</c:v>
                </c:pt>
                <c:pt idx="11">
                  <c:v>68.8</c:v>
                </c:pt>
                <c:pt idx="12">
                  <c:v>68.099999999999994</c:v>
                </c:pt>
                <c:pt idx="13">
                  <c:v>66.8</c:v>
                </c:pt>
                <c:pt idx="14">
                  <c:v>66.7</c:v>
                </c:pt>
                <c:pt idx="15" formatCode="#\ ##0.0">
                  <c:v>65</c:v>
                </c:pt>
                <c:pt idx="16">
                  <c:v>65.2</c:v>
                </c:pt>
                <c:pt idx="17">
                  <c:v>69.400000000000006</c:v>
                </c:pt>
                <c:pt idx="18">
                  <c:v>72.8</c:v>
                </c:pt>
                <c:pt idx="19">
                  <c:v>78.7</c:v>
                </c:pt>
                <c:pt idx="20">
                  <c:v>79.7</c:v>
                </c:pt>
                <c:pt idx="21">
                  <c:v>76.2</c:v>
                </c:pt>
                <c:pt idx="22" formatCode="#\ ##0.0">
                  <c:v>79</c:v>
                </c:pt>
                <c:pt idx="23">
                  <c:v>76.2</c:v>
                </c:pt>
                <c:pt idx="24">
                  <c:v>76.7</c:v>
                </c:pt>
                <c:pt idx="25">
                  <c:v>76.5</c:v>
                </c:pt>
                <c:pt idx="26">
                  <c:v>75.5</c:v>
                </c:pt>
                <c:pt idx="27">
                  <c:v>74.099999999999994</c:v>
                </c:pt>
                <c:pt idx="28">
                  <c:v>75.400000000000006</c:v>
                </c:pt>
                <c:pt idx="29" formatCode="#\ ##0.0">
                  <c:v>75</c:v>
                </c:pt>
                <c:pt idx="30">
                  <c:v>74.599999999999994</c:v>
                </c:pt>
                <c:pt idx="31">
                  <c:v>73.2</c:v>
                </c:pt>
                <c:pt idx="32">
                  <c:v>76.5</c:v>
                </c:pt>
                <c:pt idx="33">
                  <c:v>76.3</c:v>
                </c:pt>
                <c:pt idx="34">
                  <c:v>76.099999999999994</c:v>
                </c:pt>
                <c:pt idx="35">
                  <c:v>73.5</c:v>
                </c:pt>
                <c:pt idx="36">
                  <c:v>75.400000000000006</c:v>
                </c:pt>
                <c:pt idx="37">
                  <c:v>76.2</c:v>
                </c:pt>
                <c:pt idx="38">
                  <c:v>75.2</c:v>
                </c:pt>
              </c:numCache>
            </c:numRef>
          </c:val>
          <c:smooth val="0"/>
          <c:extLst>
            <c:ext xmlns:c16="http://schemas.microsoft.com/office/drawing/2014/chart" uri="{C3380CC4-5D6E-409C-BE32-E72D297353CC}">
              <c16:uniqueId val="{00000008-EB22-4E17-B7AA-D457F799FC46}"/>
            </c:ext>
          </c:extLst>
        </c:ser>
        <c:ser>
          <c:idx val="9"/>
          <c:order val="9"/>
          <c:tx>
            <c:strRef>
              <c:f>'G3-Sektor vlád.institucí (2)'!$A$126</c:f>
              <c:strCache>
                <c:ptCount val="1"/>
                <c:pt idx="0">
                  <c:v>Debt rate (Slovenia)</c:v>
                </c:pt>
              </c:strCache>
            </c:strRef>
          </c:tx>
          <c:spPr>
            <a:ln w="15875" cap="rnd">
              <a:solidFill>
                <a:srgbClr val="86BF5E"/>
              </a:solidFill>
              <a:round/>
            </a:ln>
            <a:effectLst/>
          </c:spPr>
          <c:marker>
            <c:symbol val="none"/>
          </c:marker>
          <c:cat>
            <c:multiLvlStrRef>
              <c:f>'G3-Sektor vlád.institucí (2)'!$F$115:$AR$116</c:f>
              <c:multiLvlStrCache>
                <c:ptCount val="3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lvl>
                <c:lvl>
                  <c:pt idx="0">
                    <c:v>2016</c:v>
                  </c:pt>
                  <c:pt idx="4">
                    <c:v>2017</c:v>
                  </c:pt>
                  <c:pt idx="8">
                    <c:v>2018</c:v>
                  </c:pt>
                  <c:pt idx="12">
                    <c:v>2019</c:v>
                  </c:pt>
                  <c:pt idx="16">
                    <c:v>2020</c:v>
                  </c:pt>
                  <c:pt idx="20">
                    <c:v>2021</c:v>
                  </c:pt>
                  <c:pt idx="24">
                    <c:v>2022</c:v>
                  </c:pt>
                  <c:pt idx="28">
                    <c:v>2023</c:v>
                  </c:pt>
                  <c:pt idx="32">
                    <c:v>2024</c:v>
                  </c:pt>
                  <c:pt idx="36">
                    <c:v>2025</c:v>
                  </c:pt>
                </c:lvl>
              </c:multiLvlStrCache>
            </c:multiLvlStrRef>
          </c:cat>
          <c:val>
            <c:numRef>
              <c:f>'G3-Sektor vlád.institucí (2)'!$F$126:$AR$126</c:f>
              <c:numCache>
                <c:formatCode>#\ ##0.##########</c:formatCode>
                <c:ptCount val="39"/>
                <c:pt idx="0">
                  <c:v>83.8</c:v>
                </c:pt>
                <c:pt idx="1">
                  <c:v>82.5</c:v>
                </c:pt>
                <c:pt idx="2">
                  <c:v>82.5</c:v>
                </c:pt>
                <c:pt idx="3">
                  <c:v>79.400000000000006</c:v>
                </c:pt>
                <c:pt idx="4">
                  <c:v>81.400000000000006</c:v>
                </c:pt>
                <c:pt idx="5">
                  <c:v>81.099999999999994</c:v>
                </c:pt>
                <c:pt idx="6">
                  <c:v>79.900000000000006</c:v>
                </c:pt>
                <c:pt idx="7">
                  <c:v>74.900000000000006</c:v>
                </c:pt>
                <c:pt idx="8">
                  <c:v>76.400000000000006</c:v>
                </c:pt>
                <c:pt idx="9">
                  <c:v>73.7</c:v>
                </c:pt>
                <c:pt idx="10">
                  <c:v>72.099999999999994</c:v>
                </c:pt>
                <c:pt idx="11" formatCode="#\ ##0.0">
                  <c:v>71</c:v>
                </c:pt>
                <c:pt idx="12">
                  <c:v>68.5</c:v>
                </c:pt>
                <c:pt idx="13">
                  <c:v>68.099999999999994</c:v>
                </c:pt>
                <c:pt idx="14">
                  <c:v>68.3</c:v>
                </c:pt>
                <c:pt idx="15" formatCode="#\ ##0.0">
                  <c:v>66</c:v>
                </c:pt>
                <c:pt idx="16">
                  <c:v>69.2</c:v>
                </c:pt>
                <c:pt idx="17">
                  <c:v>78.3</c:v>
                </c:pt>
                <c:pt idx="18">
                  <c:v>78.3</c:v>
                </c:pt>
                <c:pt idx="19">
                  <c:v>80.2</c:v>
                </c:pt>
                <c:pt idx="20">
                  <c:v>85.5</c:v>
                </c:pt>
                <c:pt idx="21">
                  <c:v>80.400000000000006</c:v>
                </c:pt>
                <c:pt idx="22">
                  <c:v>79.7</c:v>
                </c:pt>
                <c:pt idx="23">
                  <c:v>74.8</c:v>
                </c:pt>
                <c:pt idx="24">
                  <c:v>75.900000000000006</c:v>
                </c:pt>
                <c:pt idx="25">
                  <c:v>75.599999999999994</c:v>
                </c:pt>
                <c:pt idx="26">
                  <c:v>75.099999999999994</c:v>
                </c:pt>
                <c:pt idx="27">
                  <c:v>72.8</c:v>
                </c:pt>
                <c:pt idx="28" formatCode="#\ ##0.0">
                  <c:v>72</c:v>
                </c:pt>
                <c:pt idx="29">
                  <c:v>70.099999999999994</c:v>
                </c:pt>
                <c:pt idx="30" formatCode="#\ ##0.0">
                  <c:v>71</c:v>
                </c:pt>
                <c:pt idx="31">
                  <c:v>68.3</c:v>
                </c:pt>
                <c:pt idx="32">
                  <c:v>69.8</c:v>
                </c:pt>
                <c:pt idx="33" formatCode="#\ ##0.0">
                  <c:v>69</c:v>
                </c:pt>
                <c:pt idx="34">
                  <c:v>66.3</c:v>
                </c:pt>
                <c:pt idx="35">
                  <c:v>66.599999999999994</c:v>
                </c:pt>
                <c:pt idx="36">
                  <c:v>69.5</c:v>
                </c:pt>
                <c:pt idx="37">
                  <c:v>69.3</c:v>
                </c:pt>
                <c:pt idx="38">
                  <c:v>67.599999999999994</c:v>
                </c:pt>
              </c:numCache>
            </c:numRef>
          </c:val>
          <c:smooth val="0"/>
          <c:extLst>
            <c:ext xmlns:c16="http://schemas.microsoft.com/office/drawing/2014/chart" uri="{C3380CC4-5D6E-409C-BE32-E72D297353CC}">
              <c16:uniqueId val="{00000009-EB22-4E17-B7AA-D457F799FC46}"/>
            </c:ext>
          </c:extLst>
        </c:ser>
        <c:ser>
          <c:idx val="10"/>
          <c:order val="10"/>
          <c:tx>
            <c:strRef>
              <c:f>'G3-Sektor vlád.institucí (2)'!$A$127</c:f>
              <c:strCache>
                <c:ptCount val="1"/>
                <c:pt idx="0">
                  <c:v>Debt rate (Romania)</c:v>
                </c:pt>
              </c:strCache>
            </c:strRef>
          </c:tx>
          <c:spPr>
            <a:ln w="15875" cap="rnd">
              <a:solidFill>
                <a:srgbClr val="86BF04"/>
              </a:solidFill>
              <a:round/>
            </a:ln>
            <a:effectLst/>
          </c:spPr>
          <c:marker>
            <c:symbol val="none"/>
          </c:marker>
          <c:cat>
            <c:multiLvlStrRef>
              <c:f>'G3-Sektor vlád.institucí (2)'!$F$115:$AR$116</c:f>
              <c:multiLvlStrCache>
                <c:ptCount val="3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lvl>
                <c:lvl>
                  <c:pt idx="0">
                    <c:v>2016</c:v>
                  </c:pt>
                  <c:pt idx="4">
                    <c:v>2017</c:v>
                  </c:pt>
                  <c:pt idx="8">
                    <c:v>2018</c:v>
                  </c:pt>
                  <c:pt idx="12">
                    <c:v>2019</c:v>
                  </c:pt>
                  <c:pt idx="16">
                    <c:v>2020</c:v>
                  </c:pt>
                  <c:pt idx="20">
                    <c:v>2021</c:v>
                  </c:pt>
                  <c:pt idx="24">
                    <c:v>2022</c:v>
                  </c:pt>
                  <c:pt idx="28">
                    <c:v>2023</c:v>
                  </c:pt>
                  <c:pt idx="32">
                    <c:v>2024</c:v>
                  </c:pt>
                  <c:pt idx="36">
                    <c:v>2025</c:v>
                  </c:pt>
                </c:lvl>
              </c:multiLvlStrCache>
            </c:multiLvlStrRef>
          </c:cat>
          <c:val>
            <c:numRef>
              <c:f>'G3-Sektor vlád.institucí (2)'!$F$127:$AR$127</c:f>
              <c:numCache>
                <c:formatCode>#\ ##0.##########</c:formatCode>
                <c:ptCount val="39"/>
                <c:pt idx="0" formatCode="#\ ##0.0">
                  <c:v>37</c:v>
                </c:pt>
                <c:pt idx="1">
                  <c:v>36.700000000000003</c:v>
                </c:pt>
                <c:pt idx="2">
                  <c:v>36.299999999999997</c:v>
                </c:pt>
                <c:pt idx="3">
                  <c:v>37.799999999999997</c:v>
                </c:pt>
                <c:pt idx="4">
                  <c:v>37.299999999999997</c:v>
                </c:pt>
                <c:pt idx="5">
                  <c:v>37.4</c:v>
                </c:pt>
                <c:pt idx="6">
                  <c:v>35.799999999999997</c:v>
                </c:pt>
                <c:pt idx="7">
                  <c:v>35.299999999999997</c:v>
                </c:pt>
                <c:pt idx="8">
                  <c:v>34.6</c:v>
                </c:pt>
                <c:pt idx="9">
                  <c:v>34.1</c:v>
                </c:pt>
                <c:pt idx="10" formatCode="#\ ##0.0">
                  <c:v>34</c:v>
                </c:pt>
                <c:pt idx="11">
                  <c:v>34.6</c:v>
                </c:pt>
                <c:pt idx="12">
                  <c:v>33.799999999999997</c:v>
                </c:pt>
                <c:pt idx="13">
                  <c:v>33.700000000000003</c:v>
                </c:pt>
                <c:pt idx="14" formatCode="#\ ##0.0">
                  <c:v>35</c:v>
                </c:pt>
                <c:pt idx="15">
                  <c:v>35.200000000000003</c:v>
                </c:pt>
                <c:pt idx="16">
                  <c:v>37.299999999999997</c:v>
                </c:pt>
                <c:pt idx="17">
                  <c:v>40.5</c:v>
                </c:pt>
                <c:pt idx="18">
                  <c:v>42.7</c:v>
                </c:pt>
                <c:pt idx="19">
                  <c:v>46.9</c:v>
                </c:pt>
                <c:pt idx="20" formatCode="#\ ##0.0">
                  <c:v>47</c:v>
                </c:pt>
                <c:pt idx="21">
                  <c:v>46.8</c:v>
                </c:pt>
                <c:pt idx="22" formatCode="#\ ##0.0">
                  <c:v>48</c:v>
                </c:pt>
                <c:pt idx="23">
                  <c:v>48.6</c:v>
                </c:pt>
                <c:pt idx="24">
                  <c:v>48.4</c:v>
                </c:pt>
                <c:pt idx="25">
                  <c:v>48.6</c:v>
                </c:pt>
                <c:pt idx="26">
                  <c:v>48.6</c:v>
                </c:pt>
                <c:pt idx="27">
                  <c:v>48.1</c:v>
                </c:pt>
                <c:pt idx="28" formatCode="#\ ##0.0">
                  <c:v>50</c:v>
                </c:pt>
                <c:pt idx="29">
                  <c:v>49.1</c:v>
                </c:pt>
                <c:pt idx="30">
                  <c:v>49.9</c:v>
                </c:pt>
                <c:pt idx="31">
                  <c:v>49.3</c:v>
                </c:pt>
                <c:pt idx="32">
                  <c:v>52.1</c:v>
                </c:pt>
                <c:pt idx="33">
                  <c:v>51.5</c:v>
                </c:pt>
                <c:pt idx="34">
                  <c:v>53.3</c:v>
                </c:pt>
                <c:pt idx="35">
                  <c:v>54.8</c:v>
                </c:pt>
                <c:pt idx="36">
                  <c:v>55.9</c:v>
                </c:pt>
                <c:pt idx="37">
                  <c:v>57.3</c:v>
                </c:pt>
                <c:pt idx="38">
                  <c:v>58.9</c:v>
                </c:pt>
              </c:numCache>
            </c:numRef>
          </c:val>
          <c:smooth val="0"/>
          <c:extLst>
            <c:ext xmlns:c16="http://schemas.microsoft.com/office/drawing/2014/chart" uri="{C3380CC4-5D6E-409C-BE32-E72D297353CC}">
              <c16:uniqueId val="{0000000A-EB22-4E17-B7AA-D457F799FC46}"/>
            </c:ext>
          </c:extLst>
        </c:ser>
        <c:ser>
          <c:idx val="11"/>
          <c:order val="11"/>
          <c:tx>
            <c:strRef>
              <c:f>'G3-Sektor vlád.institucí (2)'!$A$128</c:f>
              <c:strCache>
                <c:ptCount val="1"/>
                <c:pt idx="0">
                  <c:v>Debt rate (Estonia)</c:v>
                </c:pt>
              </c:strCache>
            </c:strRef>
          </c:tx>
          <c:spPr>
            <a:ln w="15875" cap="rnd">
              <a:solidFill>
                <a:srgbClr val="D8A7B7"/>
              </a:solidFill>
              <a:round/>
            </a:ln>
            <a:effectLst/>
          </c:spPr>
          <c:marker>
            <c:symbol val="none"/>
          </c:marker>
          <c:cat>
            <c:multiLvlStrRef>
              <c:f>'G3-Sektor vlád.institucí (2)'!$F$115:$AR$116</c:f>
              <c:multiLvlStrCache>
                <c:ptCount val="3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lvl>
                <c:lvl>
                  <c:pt idx="0">
                    <c:v>2016</c:v>
                  </c:pt>
                  <c:pt idx="4">
                    <c:v>2017</c:v>
                  </c:pt>
                  <c:pt idx="8">
                    <c:v>2018</c:v>
                  </c:pt>
                  <c:pt idx="12">
                    <c:v>2019</c:v>
                  </c:pt>
                  <c:pt idx="16">
                    <c:v>2020</c:v>
                  </c:pt>
                  <c:pt idx="20">
                    <c:v>2021</c:v>
                  </c:pt>
                  <c:pt idx="24">
                    <c:v>2022</c:v>
                  </c:pt>
                  <c:pt idx="28">
                    <c:v>2023</c:v>
                  </c:pt>
                  <c:pt idx="32">
                    <c:v>2024</c:v>
                  </c:pt>
                  <c:pt idx="36">
                    <c:v>2025</c:v>
                  </c:pt>
                </c:lvl>
              </c:multiLvlStrCache>
            </c:multiLvlStrRef>
          </c:cat>
          <c:val>
            <c:numRef>
              <c:f>'G3-Sektor vlád.institucí (2)'!$F$128:$AR$128</c:f>
              <c:numCache>
                <c:formatCode>#\ ##0.0</c:formatCode>
                <c:ptCount val="39"/>
                <c:pt idx="0" formatCode="#\ ##0.##########">
                  <c:v>10.3</c:v>
                </c:pt>
                <c:pt idx="1">
                  <c:v>10</c:v>
                </c:pt>
                <c:pt idx="2">
                  <c:v>10</c:v>
                </c:pt>
                <c:pt idx="3" formatCode="#\ ##0.##########">
                  <c:v>10.199999999999999</c:v>
                </c:pt>
                <c:pt idx="4" formatCode="#\ ##0.##########">
                  <c:v>9.8000000000000007</c:v>
                </c:pt>
                <c:pt idx="5" formatCode="#\ ##0.##########">
                  <c:v>9.6</c:v>
                </c:pt>
                <c:pt idx="6" formatCode="#\ ##0.##########">
                  <c:v>9.5</c:v>
                </c:pt>
                <c:pt idx="7" formatCode="#\ ##0.##########">
                  <c:v>9.4</c:v>
                </c:pt>
                <c:pt idx="8" formatCode="#\ ##0.##########">
                  <c:v>9.1</c:v>
                </c:pt>
                <c:pt idx="9" formatCode="#\ ##0.##########">
                  <c:v>8.9</c:v>
                </c:pt>
                <c:pt idx="10" formatCode="#\ ##0.##########">
                  <c:v>8.6999999999999993</c:v>
                </c:pt>
                <c:pt idx="11" formatCode="#\ ##0.##########">
                  <c:v>8.5</c:v>
                </c:pt>
                <c:pt idx="12" formatCode="#\ ##0.##########">
                  <c:v>8.3000000000000007</c:v>
                </c:pt>
                <c:pt idx="13" formatCode="#\ ##0.##########">
                  <c:v>9.6999999999999993</c:v>
                </c:pt>
                <c:pt idx="14" formatCode="#\ ##0.##########">
                  <c:v>9.6</c:v>
                </c:pt>
                <c:pt idx="15">
                  <c:v>9</c:v>
                </c:pt>
                <c:pt idx="16" formatCode="#\ ##0.##########">
                  <c:v>9.5</c:v>
                </c:pt>
                <c:pt idx="17">
                  <c:v>19</c:v>
                </c:pt>
                <c:pt idx="18" formatCode="#\ ##0.##########">
                  <c:v>19.2</c:v>
                </c:pt>
                <c:pt idx="19" formatCode="#\ ##0.##########">
                  <c:v>19.100000000000001</c:v>
                </c:pt>
                <c:pt idx="20" formatCode="#\ ##0.##########">
                  <c:v>19.7</c:v>
                </c:pt>
                <c:pt idx="21" formatCode="#\ ##0.##########">
                  <c:v>19.7</c:v>
                </c:pt>
                <c:pt idx="22" formatCode="#\ ##0.##########">
                  <c:v>19.8</c:v>
                </c:pt>
                <c:pt idx="23" formatCode="#\ ##0.##########">
                  <c:v>18.399999999999999</c:v>
                </c:pt>
                <c:pt idx="24" formatCode="#\ ##0.##########">
                  <c:v>18.100000000000001</c:v>
                </c:pt>
                <c:pt idx="25" formatCode="#\ ##0.##########">
                  <c:v>17.7</c:v>
                </c:pt>
                <c:pt idx="26" formatCode="#\ ##0.##########">
                  <c:v>16.7</c:v>
                </c:pt>
                <c:pt idx="27" formatCode="#\ ##0.##########">
                  <c:v>19.2</c:v>
                </c:pt>
                <c:pt idx="28" formatCode="#\ ##0.##########">
                  <c:v>17.8</c:v>
                </c:pt>
                <c:pt idx="29">
                  <c:v>19</c:v>
                </c:pt>
                <c:pt idx="30" formatCode="#\ ##0.##########">
                  <c:v>18.7</c:v>
                </c:pt>
                <c:pt idx="31" formatCode="#\ ##0.##########">
                  <c:v>20.2</c:v>
                </c:pt>
                <c:pt idx="32">
                  <c:v>24</c:v>
                </c:pt>
                <c:pt idx="33" formatCode="#\ ##0.##########">
                  <c:v>23.6</c:v>
                </c:pt>
                <c:pt idx="34" formatCode="#\ ##0.##########">
                  <c:v>23.8</c:v>
                </c:pt>
                <c:pt idx="35" formatCode="#\ ##0.##########">
                  <c:v>23.5</c:v>
                </c:pt>
                <c:pt idx="36" formatCode="#\ ##0.##########">
                  <c:v>23.9</c:v>
                </c:pt>
                <c:pt idx="37" formatCode="#\ ##0.##########">
                  <c:v>23.2</c:v>
                </c:pt>
                <c:pt idx="38" formatCode="#\ ##0.##########">
                  <c:v>22.9</c:v>
                </c:pt>
              </c:numCache>
            </c:numRef>
          </c:val>
          <c:smooth val="0"/>
          <c:extLst>
            <c:ext xmlns:c16="http://schemas.microsoft.com/office/drawing/2014/chart" uri="{C3380CC4-5D6E-409C-BE32-E72D297353CC}">
              <c16:uniqueId val="{0000000B-EB22-4E17-B7AA-D457F799FC46}"/>
            </c:ext>
          </c:extLst>
        </c:ser>
        <c:dLbls>
          <c:showLegendKey val="0"/>
          <c:showVal val="0"/>
          <c:showCatName val="0"/>
          <c:showSerName val="0"/>
          <c:showPercent val="0"/>
          <c:showBubbleSize val="0"/>
        </c:dLbls>
        <c:marker val="1"/>
        <c:smooth val="0"/>
        <c:axId val="531949712"/>
        <c:axId val="531963024"/>
      </c:lineChart>
      <c:catAx>
        <c:axId val="531992144"/>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531997552"/>
        <c:crosses val="autoZero"/>
        <c:auto val="1"/>
        <c:lblAlgn val="ctr"/>
        <c:lblOffset val="0"/>
        <c:noMultiLvlLbl val="0"/>
      </c:catAx>
      <c:valAx>
        <c:axId val="531997552"/>
        <c:scaling>
          <c:orientation val="minMax"/>
          <c:max val="2"/>
          <c:min val="-2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0" i="1"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sz="700" i="1">
                    <a:latin typeface="Arial" panose="020B0604020202020204" pitchFamily="34" charset="0"/>
                    <a:cs typeface="Arial" panose="020B0604020202020204" pitchFamily="34" charset="0"/>
                  </a:rPr>
                  <a:t>Budget balance</a:t>
                </a:r>
              </a:p>
            </c:rich>
          </c:tx>
          <c:layout>
            <c:manualLayout>
              <c:xMode val="edge"/>
              <c:yMode val="edge"/>
              <c:x val="0"/>
              <c:y val="0.27608885992954735"/>
            </c:manualLayout>
          </c:layout>
          <c:overlay val="0"/>
          <c:spPr>
            <a:noFill/>
            <a:ln>
              <a:noFill/>
            </a:ln>
            <a:effectLst/>
          </c:spPr>
          <c:txPr>
            <a:bodyPr rot="-5400000" spcFirstLastPara="1" vertOverflow="ellipsis" vert="horz" wrap="square" anchor="ctr" anchorCtr="1"/>
            <a:lstStyle/>
            <a:p>
              <a:pPr>
                <a:defRPr sz="700" b="0" i="1"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531992144"/>
        <c:crosses val="autoZero"/>
        <c:crossBetween val="between"/>
        <c:majorUnit val="2"/>
      </c:valAx>
      <c:valAx>
        <c:axId val="531963024"/>
        <c:scaling>
          <c:orientation val="minMax"/>
          <c:max val="120"/>
          <c:min val="0"/>
        </c:scaling>
        <c:delete val="0"/>
        <c:axPos val="r"/>
        <c:title>
          <c:tx>
            <c:rich>
              <a:bodyPr rot="-5400000" spcFirstLastPara="1" vertOverflow="ellipsis" vert="horz" wrap="square" anchor="ctr" anchorCtr="1"/>
              <a:lstStyle/>
              <a:p>
                <a:pPr>
                  <a:defRPr sz="700" b="0" i="1"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sz="700" i="1">
                    <a:latin typeface="Arial" panose="020B0604020202020204" pitchFamily="34" charset="0"/>
                    <a:cs typeface="Arial" panose="020B0604020202020204" pitchFamily="34" charset="0"/>
                  </a:rPr>
                  <a:t>Debt rate</a:t>
                </a:r>
              </a:p>
            </c:rich>
          </c:tx>
          <c:overlay val="0"/>
          <c:spPr>
            <a:noFill/>
            <a:ln>
              <a:noFill/>
            </a:ln>
            <a:effectLst/>
          </c:spPr>
          <c:txPr>
            <a:bodyPr rot="-5400000" spcFirstLastPara="1" vertOverflow="ellipsis" vert="horz" wrap="square" anchor="ctr" anchorCtr="1"/>
            <a:lstStyle/>
            <a:p>
              <a:pPr>
                <a:defRPr sz="700" b="0" i="1"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531949712"/>
        <c:crosses val="max"/>
        <c:crossBetween val="between"/>
        <c:majorUnit val="10"/>
      </c:valAx>
      <c:catAx>
        <c:axId val="531949712"/>
        <c:scaling>
          <c:orientation val="minMax"/>
        </c:scaling>
        <c:delete val="1"/>
        <c:axPos val="b"/>
        <c:numFmt formatCode="General" sourceLinked="1"/>
        <c:majorTickMark val="out"/>
        <c:minorTickMark val="none"/>
        <c:tickLblPos val="nextTo"/>
        <c:crossAx val="531963024"/>
        <c:crosses val="autoZero"/>
        <c:auto val="1"/>
        <c:lblAlgn val="ctr"/>
        <c:lblOffset val="100"/>
        <c:noMultiLvlLbl val="0"/>
      </c:catAx>
      <c:spPr>
        <a:noFill/>
        <a:ln w="6350">
          <a:solidFill>
            <a:schemeClr val="tx1"/>
          </a:solidFill>
        </a:ln>
        <a:effectLst/>
      </c:spPr>
    </c:plotArea>
    <c:legend>
      <c:legendPos val="b"/>
      <c:layout>
        <c:manualLayout>
          <c:xMode val="edge"/>
          <c:yMode val="edge"/>
          <c:x val="1.3141700567023604E-3"/>
          <c:y val="0.84180434977679075"/>
          <c:w val="0.99173696911936216"/>
          <c:h val="0.1489361105502838"/>
        </c:manualLayout>
      </c:layout>
      <c:overlay val="0"/>
      <c:spPr>
        <a:noFill/>
        <a:ln w="6350">
          <a:solidFill>
            <a:schemeClr val="tx1"/>
          </a:solidFill>
        </a:ln>
        <a:effectLst/>
      </c:spPr>
      <c:txPr>
        <a:bodyPr rot="0" spcFirstLastPara="1" vertOverflow="ellipsis" vert="horz" wrap="square" anchor="ctr" anchorCtr="1"/>
        <a:lstStyle/>
        <a:p>
          <a:pPr>
            <a:defRPr sz="7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chart>
  <c:spPr>
    <a:solidFill>
      <a:schemeClr val="bg1"/>
    </a:solidFill>
    <a:ln w="6350" cap="flat" cmpd="sng" algn="ctr">
      <a:noFill/>
      <a:round/>
    </a:ln>
    <a:effectLst/>
  </c:spPr>
  <c:txPr>
    <a:bodyPr/>
    <a:lstStyle/>
    <a:p>
      <a:pPr>
        <a:defRPr/>
      </a:pPr>
      <a:endParaRPr lang="cs-CZ"/>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404035346808687E-2"/>
          <c:y val="3.7154479717354444E-2"/>
          <c:w val="0.93674937195830332"/>
          <c:h val="0.63445260610154264"/>
        </c:manualLayout>
      </c:layout>
      <c:barChart>
        <c:barDir val="col"/>
        <c:grouping val="stacked"/>
        <c:varyColors val="0"/>
        <c:ser>
          <c:idx val="4"/>
          <c:order val="0"/>
          <c:tx>
            <c:strRef>
              <c:f>'souhrnná výkonnost 4'!$C$5</c:f>
              <c:strCache>
                <c:ptCount val="1"/>
                <c:pt idx="0">
                  <c:v>Agriculture, forestry and fishing</c:v>
                </c:pt>
              </c:strCache>
            </c:strRef>
          </c:tx>
          <c:spPr>
            <a:solidFill>
              <a:srgbClr val="7DBB2D"/>
            </a:solidFill>
            <a:ln>
              <a:noFill/>
            </a:ln>
          </c:spPr>
          <c:invertIfNegative val="0"/>
          <c:cat>
            <c:multiLvlStrRef>
              <c:f>'souhrnná výkonnost 4'!$A$14:$B$37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'souhrnná výkonnost 4'!$C$14:$C$37</c:f>
              <c:numCache>
                <c:formatCode>#\ ##0.0</c:formatCode>
                <c:ptCount val="24"/>
                <c:pt idx="0">
                  <c:v>0.20474410757490741</c:v>
                </c:pt>
                <c:pt idx="1">
                  <c:v>0.18193909338973391</c:v>
                </c:pt>
                <c:pt idx="2">
                  <c:v>0.12986799571839833</c:v>
                </c:pt>
                <c:pt idx="3">
                  <c:v>6.0774672253045774E-2</c:v>
                </c:pt>
                <c:pt idx="4">
                  <c:v>-0.21896810900573507</c:v>
                </c:pt>
                <c:pt idx="5">
                  <c:v>-0.35546246774022089</c:v>
                </c:pt>
                <c:pt idx="6">
                  <c:v>-0.31345773827216172</c:v>
                </c:pt>
                <c:pt idx="7">
                  <c:v>-0.28221462677607811</c:v>
                </c:pt>
                <c:pt idx="8">
                  <c:v>-2.7607081723218754E-2</c:v>
                </c:pt>
                <c:pt idx="9">
                  <c:v>8.8416510484459823E-2</c:v>
                </c:pt>
                <c:pt idx="10">
                  <c:v>0.11003669694477575</c:v>
                </c:pt>
                <c:pt idx="11">
                  <c:v>-7.1734601521123695E-2</c:v>
                </c:pt>
                <c:pt idx="12">
                  <c:v>0.55251546503756477</c:v>
                </c:pt>
                <c:pt idx="13">
                  <c:v>0.43246198901845179</c:v>
                </c:pt>
                <c:pt idx="14">
                  <c:v>0.26031798923309352</c:v>
                </c:pt>
                <c:pt idx="15">
                  <c:v>0.57187060565368231</c:v>
                </c:pt>
                <c:pt idx="16">
                  <c:v>-9.2484293084104385E-2</c:v>
                </c:pt>
                <c:pt idx="17">
                  <c:v>1.5763907422232673E-2</c:v>
                </c:pt>
                <c:pt idx="18">
                  <c:v>0.16060866097379706</c:v>
                </c:pt>
                <c:pt idx="19">
                  <c:v>4.0801953905620608E-2</c:v>
                </c:pt>
                <c:pt idx="20">
                  <c:v>6.6142073173369412E-2</c:v>
                </c:pt>
                <c:pt idx="21">
                  <c:v>6.9252296314730344E-2</c:v>
                </c:pt>
                <c:pt idx="22">
                  <c:v>7.5663251456639199E-2</c:v>
                </c:pt>
                <c:pt idx="23">
                  <c:v>7.6138284642775167E-2</c:v>
                </c:pt>
              </c:numCache>
            </c:numRef>
          </c:val>
          <c:extLst>
            <c:ext xmlns:c16="http://schemas.microsoft.com/office/drawing/2014/chart" uri="{C3380CC4-5D6E-409C-BE32-E72D297353CC}">
              <c16:uniqueId val="{00000000-D861-4ACE-AFF9-39061A39B8A8}"/>
            </c:ext>
          </c:extLst>
        </c:ser>
        <c:ser>
          <c:idx val="1"/>
          <c:order val="1"/>
          <c:tx>
            <c:strRef>
              <c:f>'souhrnná výkonnost 4'!$F$5</c:f>
              <c:strCache>
                <c:ptCount val="1"/>
                <c:pt idx="0">
                  <c:v>Construction</c:v>
                </c:pt>
              </c:strCache>
            </c:strRef>
          </c:tx>
          <c:spPr>
            <a:solidFill>
              <a:srgbClr val="174F70"/>
            </a:solidFill>
            <a:ln>
              <a:noFill/>
            </a:ln>
          </c:spPr>
          <c:invertIfNegative val="0"/>
          <c:cat>
            <c:multiLvlStrRef>
              <c:f>'souhrnná výkonnost 4'!$A$14:$B$37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'souhrnná výkonnost 4'!$F$14:$F$37</c:f>
              <c:numCache>
                <c:formatCode>#\ ##0.0</c:formatCode>
                <c:ptCount val="24"/>
                <c:pt idx="0">
                  <c:v>-0.30166772298617284</c:v>
                </c:pt>
                <c:pt idx="1">
                  <c:v>-0.48053456061289057</c:v>
                </c:pt>
                <c:pt idx="2">
                  <c:v>-0.45378387986882363</c:v>
                </c:pt>
                <c:pt idx="3">
                  <c:v>-0.43586476428987242</c:v>
                </c:pt>
                <c:pt idx="4">
                  <c:v>-0.33833459958051637</c:v>
                </c:pt>
                <c:pt idx="5">
                  <c:v>-6.4883402484855884E-2</c:v>
                </c:pt>
                <c:pt idx="6">
                  <c:v>-5.6735775192007655E-2</c:v>
                </c:pt>
                <c:pt idx="7">
                  <c:v>-0.11209281400825521</c:v>
                </c:pt>
                <c:pt idx="8">
                  <c:v>-0.10546033608204923</c:v>
                </c:pt>
                <c:pt idx="9">
                  <c:v>-0.29054660345106559</c:v>
                </c:pt>
                <c:pt idx="10">
                  <c:v>-0.451821017159387</c:v>
                </c:pt>
                <c:pt idx="11">
                  <c:v>-0.32901397344166938</c:v>
                </c:pt>
                <c:pt idx="12">
                  <c:v>-0.13840591105504113</c:v>
                </c:pt>
                <c:pt idx="13">
                  <c:v>-1.2903984714601602E-2</c:v>
                </c:pt>
                <c:pt idx="14">
                  <c:v>0.1616031723963629</c:v>
                </c:pt>
                <c:pt idx="15">
                  <c:v>3.5760466298751591E-2</c:v>
                </c:pt>
                <c:pt idx="16">
                  <c:v>3.2788154642874101E-2</c:v>
                </c:pt>
                <c:pt idx="17">
                  <c:v>2.0320941881718829E-2</c:v>
                </c:pt>
                <c:pt idx="18">
                  <c:v>2.2792210802845641E-2</c:v>
                </c:pt>
                <c:pt idx="19">
                  <c:v>0.12360584964670659</c:v>
                </c:pt>
                <c:pt idx="20">
                  <c:v>0.26578753913466358</c:v>
                </c:pt>
                <c:pt idx="21">
                  <c:v>0.3825604512050701</c:v>
                </c:pt>
                <c:pt idx="22">
                  <c:v>0.55363100581088176</c:v>
                </c:pt>
                <c:pt idx="23">
                  <c:v>0.3116678757757167</c:v>
                </c:pt>
              </c:numCache>
            </c:numRef>
          </c:val>
          <c:extLst>
            <c:ext xmlns:c16="http://schemas.microsoft.com/office/drawing/2014/chart" uri="{C3380CC4-5D6E-409C-BE32-E72D297353CC}">
              <c16:uniqueId val="{00000001-D861-4ACE-AFF9-39061A39B8A8}"/>
            </c:ext>
          </c:extLst>
        </c:ser>
        <c:ser>
          <c:idx val="2"/>
          <c:order val="2"/>
          <c:tx>
            <c:strRef>
              <c:f>'souhrnná výkonnost 4'!$E$5</c:f>
              <c:strCache>
                <c:ptCount val="1"/>
                <c:pt idx="0">
                  <c:v>Other industrial branches (CZ-NACE B,D,E)</c:v>
                </c:pt>
              </c:strCache>
            </c:strRef>
          </c:tx>
          <c:spPr>
            <a:solidFill>
              <a:srgbClr val="9FC9D7"/>
            </a:solidFill>
            <a:ln>
              <a:noFill/>
            </a:ln>
          </c:spPr>
          <c:invertIfNegative val="0"/>
          <c:cat>
            <c:multiLvlStrRef>
              <c:f>'souhrnná výkonnost 4'!$A$14:$B$37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'souhrnná výkonnost 4'!$E$14:$E$37</c:f>
              <c:numCache>
                <c:formatCode>#\ ##0.0</c:formatCode>
                <c:ptCount val="24"/>
                <c:pt idx="0">
                  <c:v>-0.19031586783510557</c:v>
                </c:pt>
                <c:pt idx="1">
                  <c:v>-0.24885055868865447</c:v>
                </c:pt>
                <c:pt idx="2">
                  <c:v>-6.8100757785281907E-2</c:v>
                </c:pt>
                <c:pt idx="3">
                  <c:v>8.6873524737786978E-2</c:v>
                </c:pt>
                <c:pt idx="4">
                  <c:v>0.37090166603725971</c:v>
                </c:pt>
                <c:pt idx="5">
                  <c:v>0.43449287266447101</c:v>
                </c:pt>
                <c:pt idx="6">
                  <c:v>0.30466221362414897</c:v>
                </c:pt>
                <c:pt idx="7">
                  <c:v>1.7094673925321713E-2</c:v>
                </c:pt>
                <c:pt idx="8">
                  <c:v>-0.49498548983118773</c:v>
                </c:pt>
                <c:pt idx="9">
                  <c:v>-0.36703909153071357</c:v>
                </c:pt>
                <c:pt idx="10">
                  <c:v>-0.58289817942589317</c:v>
                </c:pt>
                <c:pt idx="11">
                  <c:v>-0.85284564576950173</c:v>
                </c:pt>
                <c:pt idx="12">
                  <c:v>-0.72089004231394793</c:v>
                </c:pt>
                <c:pt idx="13">
                  <c:v>-0.9587984772254694</c:v>
                </c:pt>
                <c:pt idx="14">
                  <c:v>-0.86317511484719223</c:v>
                </c:pt>
                <c:pt idx="15">
                  <c:v>-0.50223553688522504</c:v>
                </c:pt>
                <c:pt idx="16">
                  <c:v>-7.7240003452301531E-2</c:v>
                </c:pt>
                <c:pt idx="17">
                  <c:v>0.12703981604473547</c:v>
                </c:pt>
                <c:pt idx="18">
                  <c:v>0.25583372727332165</c:v>
                </c:pt>
                <c:pt idx="19">
                  <c:v>0.18500163447617468</c:v>
                </c:pt>
                <c:pt idx="20">
                  <c:v>0.14122285837562884</c:v>
                </c:pt>
                <c:pt idx="21">
                  <c:v>0.19424883401953347</c:v>
                </c:pt>
                <c:pt idx="22">
                  <c:v>0.10605257367440112</c:v>
                </c:pt>
                <c:pt idx="23">
                  <c:v>3.915439334887405E-2</c:v>
                </c:pt>
              </c:numCache>
            </c:numRef>
          </c:val>
          <c:extLst>
            <c:ext xmlns:c16="http://schemas.microsoft.com/office/drawing/2014/chart" uri="{C3380CC4-5D6E-409C-BE32-E72D297353CC}">
              <c16:uniqueId val="{00000002-D861-4ACE-AFF9-39061A39B8A8}"/>
            </c:ext>
          </c:extLst>
        </c:ser>
        <c:ser>
          <c:idx val="3"/>
          <c:order val="3"/>
          <c:tx>
            <c:strRef>
              <c:f>'souhrnná výkonnost 4'!$D$5</c:f>
              <c:strCache>
                <c:ptCount val="1"/>
                <c:pt idx="0">
                  <c:v>Manufacturing (CZ-NACE C)</c:v>
                </c:pt>
              </c:strCache>
            </c:strRef>
          </c:tx>
          <c:spPr>
            <a:solidFill>
              <a:srgbClr val="009CB5"/>
            </a:solidFill>
            <a:ln>
              <a:noFill/>
            </a:ln>
          </c:spPr>
          <c:invertIfNegative val="0"/>
          <c:cat>
            <c:multiLvlStrRef>
              <c:f>'souhrnná výkonnost 4'!$A$14:$B$37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'souhrnná výkonnost 4'!$D$14:$D$37</c:f>
              <c:numCache>
                <c:formatCode>#\ ##0.0</c:formatCode>
                <c:ptCount val="24"/>
                <c:pt idx="0">
                  <c:v>-0.99913036972300806</c:v>
                </c:pt>
                <c:pt idx="1">
                  <c:v>-5.8646555137341574</c:v>
                </c:pt>
                <c:pt idx="2">
                  <c:v>-2.1534841805298068</c:v>
                </c:pt>
                <c:pt idx="3">
                  <c:v>-1.5540721517892744</c:v>
                </c:pt>
                <c:pt idx="4">
                  <c:v>-0.79750382840225398</c:v>
                </c:pt>
                <c:pt idx="5">
                  <c:v>3.9909379237888789</c:v>
                </c:pt>
                <c:pt idx="6">
                  <c:v>-0.74858711455149796</c:v>
                </c:pt>
                <c:pt idx="7">
                  <c:v>-0.90527326488749837</c:v>
                </c:pt>
                <c:pt idx="8">
                  <c:v>0.68544605235729006</c:v>
                </c:pt>
                <c:pt idx="9">
                  <c:v>1.6014259985527444</c:v>
                </c:pt>
                <c:pt idx="10">
                  <c:v>2.2123375450016312</c:v>
                </c:pt>
                <c:pt idx="11">
                  <c:v>2.6313203520667794</c:v>
                </c:pt>
                <c:pt idx="12">
                  <c:v>1.6312980907507209</c:v>
                </c:pt>
                <c:pt idx="13">
                  <c:v>1.105966757109025</c:v>
                </c:pt>
                <c:pt idx="14">
                  <c:v>0.58899302624669825</c:v>
                </c:pt>
                <c:pt idx="15">
                  <c:v>0.50026396716330868</c:v>
                </c:pt>
                <c:pt idx="16">
                  <c:v>-0.97314885656961803</c:v>
                </c:pt>
                <c:pt idx="17">
                  <c:v>-1.3133220466188547</c:v>
                </c:pt>
                <c:pt idx="18">
                  <c:v>-0.73770683474410603</c:v>
                </c:pt>
                <c:pt idx="19">
                  <c:v>-1.0591488873237926</c:v>
                </c:pt>
                <c:pt idx="20">
                  <c:v>0.10619860832019534</c:v>
                </c:pt>
                <c:pt idx="21">
                  <c:v>0.39309904501994147</c:v>
                </c:pt>
                <c:pt idx="22">
                  <c:v>8.9567423934869259E-2</c:v>
                </c:pt>
                <c:pt idx="23">
                  <c:v>0.53564923901138273</c:v>
                </c:pt>
              </c:numCache>
            </c:numRef>
          </c:val>
          <c:extLst>
            <c:ext xmlns:c16="http://schemas.microsoft.com/office/drawing/2014/chart" uri="{C3380CC4-5D6E-409C-BE32-E72D297353CC}">
              <c16:uniqueId val="{00000003-D861-4ACE-AFF9-39061A39B8A8}"/>
            </c:ext>
          </c:extLst>
        </c:ser>
        <c:ser>
          <c:idx val="0"/>
          <c:order val="4"/>
          <c:tx>
            <c:strRef>
              <c:f>'souhrnná výkonnost 4'!$G$5</c:f>
              <c:strCache>
                <c:ptCount val="1"/>
                <c:pt idx="0">
                  <c:v>Services (CZ-NACE G to U)</c:v>
                </c:pt>
              </c:strCache>
            </c:strRef>
          </c:tx>
          <c:spPr>
            <a:solidFill>
              <a:srgbClr val="BC5B80"/>
            </a:solidFill>
            <a:ln>
              <a:noFill/>
            </a:ln>
          </c:spPr>
          <c:invertIfNegative val="0"/>
          <c:cat>
            <c:multiLvlStrRef>
              <c:f>'souhrnná výkonnost 4'!$A$14:$B$37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'souhrnná výkonnost 4'!$G$14:$G$37</c:f>
              <c:numCache>
                <c:formatCode>#\ ##0.0</c:formatCode>
                <c:ptCount val="24"/>
                <c:pt idx="0">
                  <c:v>7.093155569492321E-2</c:v>
                </c:pt>
                <c:pt idx="1">
                  <c:v>-4.3045407242818117</c:v>
                </c:pt>
                <c:pt idx="2">
                  <c:v>-1.7237030445478896</c:v>
                </c:pt>
                <c:pt idx="3">
                  <c:v>-2.2257304528365829</c:v>
                </c:pt>
                <c:pt idx="4">
                  <c:v>-0.13287358134730987</c:v>
                </c:pt>
                <c:pt idx="5">
                  <c:v>6.0094667700580624</c:v>
                </c:pt>
                <c:pt idx="6">
                  <c:v>4.4583427477661246</c:v>
                </c:pt>
                <c:pt idx="7">
                  <c:v>4.7441380023749824</c:v>
                </c:pt>
                <c:pt idx="8">
                  <c:v>4.2794753272124808</c:v>
                </c:pt>
                <c:pt idx="9">
                  <c:v>2.6644708506253814</c:v>
                </c:pt>
                <c:pt idx="10">
                  <c:v>0.75291420064175929</c:v>
                </c:pt>
                <c:pt idx="11">
                  <c:v>0.24070555003152422</c:v>
                </c:pt>
                <c:pt idx="12">
                  <c:v>0.21267121835186337</c:v>
                </c:pt>
                <c:pt idx="13">
                  <c:v>9.5064594177366207E-2</c:v>
                </c:pt>
                <c:pt idx="14">
                  <c:v>0.17753332068364941</c:v>
                </c:pt>
                <c:pt idx="15">
                  <c:v>-0.33669513337032031</c:v>
                </c:pt>
                <c:pt idx="16">
                  <c:v>0.5628897258482618</c:v>
                </c:pt>
                <c:pt idx="17">
                  <c:v>1.1508415136414849</c:v>
                </c:pt>
                <c:pt idx="18">
                  <c:v>1.3525782035243568</c:v>
                </c:pt>
                <c:pt idx="19">
                  <c:v>2.1230818104608744</c:v>
                </c:pt>
                <c:pt idx="20">
                  <c:v>2.0898613930157879</c:v>
                </c:pt>
                <c:pt idx="21">
                  <c:v>1.7582549561810406</c:v>
                </c:pt>
                <c:pt idx="22">
                  <c:v>2.0498560627420264</c:v>
                </c:pt>
                <c:pt idx="23">
                  <c:v>1.8134045628609765</c:v>
                </c:pt>
              </c:numCache>
            </c:numRef>
          </c:val>
          <c:extLst>
            <c:ext xmlns:c16="http://schemas.microsoft.com/office/drawing/2014/chart" uri="{C3380CC4-5D6E-409C-BE32-E72D297353CC}">
              <c16:uniqueId val="{00000004-D861-4ACE-AFF9-39061A39B8A8}"/>
            </c:ext>
          </c:extLst>
        </c:ser>
        <c:dLbls>
          <c:showLegendKey val="0"/>
          <c:showVal val="0"/>
          <c:showCatName val="0"/>
          <c:showSerName val="0"/>
          <c:showPercent val="0"/>
          <c:showBubbleSize val="0"/>
        </c:dLbls>
        <c:gapWidth val="70"/>
        <c:overlap val="100"/>
        <c:axId val="115446144"/>
        <c:axId val="115447680"/>
      </c:barChart>
      <c:lineChart>
        <c:grouping val="standard"/>
        <c:varyColors val="0"/>
        <c:ser>
          <c:idx val="5"/>
          <c:order val="5"/>
          <c:tx>
            <c:strRef>
              <c:f>'souhrnná výkonnost 4'!$H$5</c:f>
              <c:strCache>
                <c:ptCount val="1"/>
                <c:pt idx="0">
                  <c:v>Total gross value added</c:v>
                </c:pt>
              </c:strCache>
            </c:strRef>
          </c:tx>
          <c:spPr>
            <a:ln w="19050">
              <a:solidFill>
                <a:prstClr val="black"/>
              </a:solidFill>
            </a:ln>
          </c:spPr>
          <c:marker>
            <c:symbol val="none"/>
          </c:marker>
          <c:cat>
            <c:multiLvlStrRef>
              <c:f>'souhrnná výkonnost 4'!$A$14:$B$37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'souhrnná výkonnost 4'!$H$14:$H$37</c:f>
              <c:numCache>
                <c:formatCode>#\ ##0.0</c:formatCode>
                <c:ptCount val="24"/>
                <c:pt idx="0">
                  <c:v>-1.2153058513710135</c:v>
                </c:pt>
                <c:pt idx="1">
                  <c:v>-10.716443173048049</c:v>
                </c:pt>
                <c:pt idx="2">
                  <c:v>-4.2693530438049407</c:v>
                </c:pt>
                <c:pt idx="3">
                  <c:v>-4.0682252377118857</c:v>
                </c:pt>
                <c:pt idx="4">
                  <c:v>-1.1167681102123339</c:v>
                </c:pt>
                <c:pt idx="5">
                  <c:v>10.014414773055606</c:v>
                </c:pt>
                <c:pt idx="6">
                  <c:v>3.6442422755888657</c:v>
                </c:pt>
                <c:pt idx="7">
                  <c:v>3.4619136451914159</c:v>
                </c:pt>
                <c:pt idx="8">
                  <c:v>4.3369045569128275</c:v>
                </c:pt>
                <c:pt idx="9">
                  <c:v>3.6967487112593602</c:v>
                </c:pt>
                <c:pt idx="10">
                  <c:v>2.0405324001032739</c:v>
                </c:pt>
                <c:pt idx="11">
                  <c:v>1.6183474426606779</c:v>
                </c:pt>
                <c:pt idx="12">
                  <c:v>1.5370994075002642</c:v>
                </c:pt>
                <c:pt idx="13">
                  <c:v>0.66174660015900599</c:v>
                </c:pt>
                <c:pt idx="14">
                  <c:v>0.32525261895825963</c:v>
                </c:pt>
                <c:pt idx="15">
                  <c:v>0.26916645993897248</c:v>
                </c:pt>
                <c:pt idx="16">
                  <c:v>-0.54725583809319289</c:v>
                </c:pt>
                <c:pt idx="17">
                  <c:v>6.9891165477997674E-4</c:v>
                </c:pt>
                <c:pt idx="18">
                  <c:v>1.0542044185658739</c:v>
                </c:pt>
                <c:pt idx="19">
                  <c:v>1.4132267851239675</c:v>
                </c:pt>
                <c:pt idx="20">
                  <c:v>2.6691992752886193</c:v>
                </c:pt>
                <c:pt idx="21">
                  <c:v>2.7973044563693463</c:v>
                </c:pt>
                <c:pt idx="22">
                  <c:v>2.8746592022160371</c:v>
                </c:pt>
                <c:pt idx="23">
                  <c:v>2.7763841605447084</c:v>
                </c:pt>
              </c:numCache>
            </c:numRef>
          </c:val>
          <c:smooth val="0"/>
          <c:extLst>
            <c:ext xmlns:c16="http://schemas.microsoft.com/office/drawing/2014/chart" uri="{C3380CC4-5D6E-409C-BE32-E72D297353CC}">
              <c16:uniqueId val="{00000005-D861-4ACE-AFF9-39061A39B8A8}"/>
            </c:ext>
          </c:extLst>
        </c:ser>
        <c:dLbls>
          <c:showLegendKey val="0"/>
          <c:showVal val="0"/>
          <c:showCatName val="0"/>
          <c:showSerName val="0"/>
          <c:showPercent val="0"/>
          <c:showBubbleSize val="0"/>
        </c:dLbls>
        <c:marker val="1"/>
        <c:smooth val="0"/>
        <c:axId val="115446144"/>
        <c:axId val="115447680"/>
      </c:lineChart>
      <c:catAx>
        <c:axId val="115446144"/>
        <c:scaling>
          <c:orientation val="minMax"/>
        </c:scaling>
        <c:delete val="0"/>
        <c:axPos val="b"/>
        <c:numFmt formatCode="General" sourceLinked="1"/>
        <c:majorTickMark val="out"/>
        <c:minorTickMark val="none"/>
        <c:tickLblPos val="low"/>
        <c:spPr>
          <a:ln>
            <a:solidFill>
              <a:schemeClr val="tx1"/>
            </a:solidFill>
          </a:ln>
        </c:spPr>
        <c:txPr>
          <a:bodyPr rot="0" vert="horz"/>
          <a:lstStyle/>
          <a:p>
            <a:pPr>
              <a:defRPr/>
            </a:pPr>
            <a:endParaRPr lang="cs-CZ"/>
          </a:p>
        </c:txPr>
        <c:crossAx val="115447680"/>
        <c:crosses val="autoZero"/>
        <c:auto val="1"/>
        <c:lblAlgn val="ctr"/>
        <c:lblOffset val="100"/>
        <c:noMultiLvlLbl val="0"/>
      </c:catAx>
      <c:valAx>
        <c:axId val="115447680"/>
        <c:scaling>
          <c:orientation val="minMax"/>
          <c:max val="12"/>
          <c:min val="-12"/>
        </c:scaling>
        <c:delete val="0"/>
        <c:axPos val="l"/>
        <c:majorGridlines>
          <c:spPr>
            <a:ln w="6350">
              <a:solidFill>
                <a:schemeClr val="bg1">
                  <a:lumMod val="75000"/>
                </a:schemeClr>
              </a:solidFill>
            </a:ln>
          </c:spPr>
        </c:majorGridlines>
        <c:numFmt formatCode="0" sourceLinked="0"/>
        <c:majorTickMark val="out"/>
        <c:minorTickMark val="none"/>
        <c:tickLblPos val="nextTo"/>
        <c:spPr>
          <a:ln>
            <a:solidFill>
              <a:schemeClr val="tx1"/>
            </a:solidFill>
          </a:ln>
        </c:spPr>
        <c:crossAx val="115446144"/>
        <c:crosses val="autoZero"/>
        <c:crossBetween val="between"/>
        <c:majorUnit val="2"/>
      </c:valAx>
      <c:spPr>
        <a:ln>
          <a:solidFill>
            <a:schemeClr val="tx1"/>
          </a:solidFill>
        </a:ln>
      </c:spPr>
    </c:plotArea>
    <c:legend>
      <c:legendPos val="b"/>
      <c:layout>
        <c:manualLayout>
          <c:xMode val="edge"/>
          <c:yMode val="edge"/>
          <c:x val="4.8782884397989404E-2"/>
          <c:y val="0.79016604750647301"/>
          <c:w val="0.92922619274506457"/>
          <c:h val="0.19462484520995055"/>
        </c:manualLayout>
      </c:layout>
      <c:overlay val="0"/>
      <c:spPr>
        <a:ln w="6350">
          <a:solidFill>
            <a:schemeClr val="tx1"/>
          </a:solidFill>
        </a:ln>
      </c:spPr>
    </c:legend>
    <c:plotVisOnly val="1"/>
    <c:dispBlanksAs val="gap"/>
    <c:showDLblsOverMax val="0"/>
  </c:chart>
  <c:spPr>
    <a:ln>
      <a:noFill/>
    </a:ln>
  </c:spPr>
  <c:txPr>
    <a:bodyPr/>
    <a:lstStyle/>
    <a:p>
      <a:pPr>
        <a:defRPr sz="800" baseline="0">
          <a:latin typeface="Arial" pitchFamily="34" charset="0"/>
        </a:defRPr>
      </a:pPr>
      <a:endParaRPr lang="cs-CZ"/>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6610992424025054E-2"/>
          <c:y val="1.5804777005479873E-2"/>
          <c:w val="0.84144249386957193"/>
          <c:h val="0.67988415028182514"/>
        </c:manualLayout>
      </c:layout>
      <c:barChart>
        <c:barDir val="col"/>
        <c:grouping val="stacked"/>
        <c:varyColors val="0"/>
        <c:ser>
          <c:idx val="0"/>
          <c:order val="0"/>
          <c:tx>
            <c:strRef>
              <c:f>'GRAF příspěvky IPP'!$A$27</c:f>
              <c:strCache>
                <c:ptCount val="1"/>
                <c:pt idx="0">
                  <c:v>Manufacture of transport equipment (29, 30)</c:v>
                </c:pt>
              </c:strCache>
            </c:strRef>
          </c:tx>
          <c:spPr>
            <a:solidFill>
              <a:srgbClr val="D8A7B7"/>
            </a:solidFill>
          </c:spPr>
          <c:invertIfNegative val="0"/>
          <c:cat>
            <c:multiLvlStrRef>
              <c:f>'GRAF příspěvky IPP'!$Z$25:$BI$26</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IPP'!$Z$27:$BI$27</c:f>
              <c:numCache>
                <c:formatCode>0.0</c:formatCode>
                <c:ptCount val="36"/>
                <c:pt idx="0">
                  <c:v>1.7408920839398754</c:v>
                </c:pt>
                <c:pt idx="1">
                  <c:v>2.1378802528812932</c:v>
                </c:pt>
                <c:pt idx="2">
                  <c:v>1.5935135243788106</c:v>
                </c:pt>
                <c:pt idx="3">
                  <c:v>1.6791873092801739</c:v>
                </c:pt>
                <c:pt idx="4">
                  <c:v>0.75268647024158142</c:v>
                </c:pt>
                <c:pt idx="5">
                  <c:v>0.54211789515047693</c:v>
                </c:pt>
                <c:pt idx="6">
                  <c:v>0.24127576647979335</c:v>
                </c:pt>
                <c:pt idx="7">
                  <c:v>0.97863378627142206</c:v>
                </c:pt>
                <c:pt idx="8">
                  <c:v>-0.2260516552234422</c:v>
                </c:pt>
                <c:pt idx="9">
                  <c:v>0.44759183220264459</c:v>
                </c:pt>
                <c:pt idx="10">
                  <c:v>0.76878503294695455</c:v>
                </c:pt>
                <c:pt idx="11">
                  <c:v>-1.0091759236462883</c:v>
                </c:pt>
                <c:pt idx="12">
                  <c:v>-1.5334709251303915</c:v>
                </c:pt>
                <c:pt idx="13">
                  <c:v>-9.3844961095672232</c:v>
                </c:pt>
                <c:pt idx="14">
                  <c:v>-0.1831246423410012</c:v>
                </c:pt>
                <c:pt idx="15">
                  <c:v>2.0633116605855042</c:v>
                </c:pt>
                <c:pt idx="16">
                  <c:v>1.9009220582212656</c:v>
                </c:pt>
                <c:pt idx="17">
                  <c:v>10.962436300546839</c:v>
                </c:pt>
                <c:pt idx="18">
                  <c:v>-3.7816826515966451</c:v>
                </c:pt>
                <c:pt idx="19">
                  <c:v>-3.2415310878086325</c:v>
                </c:pt>
                <c:pt idx="20">
                  <c:v>-1.9006279034039761</c:v>
                </c:pt>
                <c:pt idx="21">
                  <c:v>9.8882021278874688E-2</c:v>
                </c:pt>
                <c:pt idx="22">
                  <c:v>5.6047148528941628</c:v>
                </c:pt>
                <c:pt idx="23">
                  <c:v>3.9970459414903723</c:v>
                </c:pt>
                <c:pt idx="24">
                  <c:v>5.2762979416848301</c:v>
                </c:pt>
                <c:pt idx="25">
                  <c:v>5.0691801030618473</c:v>
                </c:pt>
                <c:pt idx="26">
                  <c:v>1.3395150948118291</c:v>
                </c:pt>
                <c:pt idx="27">
                  <c:v>3.1934880866006852</c:v>
                </c:pt>
                <c:pt idx="28">
                  <c:v>0.44683712045987689</c:v>
                </c:pt>
                <c:pt idx="29">
                  <c:v>-1.084777099067793</c:v>
                </c:pt>
                <c:pt idx="30">
                  <c:v>0.66912123314032446</c:v>
                </c:pt>
                <c:pt idx="31">
                  <c:v>-1.4432630187184605</c:v>
                </c:pt>
                <c:pt idx="32">
                  <c:v>-0.54240091765398424</c:v>
                </c:pt>
                <c:pt idx="33">
                  <c:v>0.51859084237716646</c:v>
                </c:pt>
                <c:pt idx="34">
                  <c:v>4.5665139379404571E-2</c:v>
                </c:pt>
                <c:pt idx="35">
                  <c:v>0.91267682458047084</c:v>
                </c:pt>
              </c:numCache>
            </c:numRef>
          </c:val>
          <c:extLst>
            <c:ext xmlns:c16="http://schemas.microsoft.com/office/drawing/2014/chart" uri="{C3380CC4-5D6E-409C-BE32-E72D297353CC}">
              <c16:uniqueId val="{00000000-7BB5-4B83-AA79-1EA2C6440CF6}"/>
            </c:ext>
          </c:extLst>
        </c:ser>
        <c:ser>
          <c:idx val="1"/>
          <c:order val="1"/>
          <c:tx>
            <c:strRef>
              <c:f>'GRAF příspěvky IPP'!$A$28</c:f>
              <c:strCache>
                <c:ptCount val="1"/>
                <c:pt idx="0">
                  <c:v>Rubber, electro technical ind. (22, 27)</c:v>
                </c:pt>
              </c:strCache>
            </c:strRef>
          </c:tx>
          <c:spPr>
            <a:solidFill>
              <a:srgbClr val="BC5B80"/>
            </a:solidFill>
          </c:spPr>
          <c:invertIfNegative val="0"/>
          <c:cat>
            <c:multiLvlStrRef>
              <c:f>'GRAF příspěvky IPP'!$Z$25:$BI$26</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IPP'!$Z$28:$BI$28</c:f>
              <c:numCache>
                <c:formatCode>0.0</c:formatCode>
                <c:ptCount val="36"/>
                <c:pt idx="0">
                  <c:v>0.79334952879496901</c:v>
                </c:pt>
                <c:pt idx="1">
                  <c:v>1.468356537050969</c:v>
                </c:pt>
                <c:pt idx="2">
                  <c:v>0.87390949425966125</c:v>
                </c:pt>
                <c:pt idx="3">
                  <c:v>1.644368824210785</c:v>
                </c:pt>
                <c:pt idx="4">
                  <c:v>1.0040337375607471</c:v>
                </c:pt>
                <c:pt idx="5">
                  <c:v>0.3253925650201499</c:v>
                </c:pt>
                <c:pt idx="6">
                  <c:v>0.43133954445298106</c:v>
                </c:pt>
                <c:pt idx="7">
                  <c:v>-5.9899261699036116E-2</c:v>
                </c:pt>
                <c:pt idx="8">
                  <c:v>0.52608733581744893</c:v>
                </c:pt>
                <c:pt idx="9">
                  <c:v>0.44070570288166666</c:v>
                </c:pt>
                <c:pt idx="10">
                  <c:v>0.16703875787161085</c:v>
                </c:pt>
                <c:pt idx="11">
                  <c:v>0.41508771908448316</c:v>
                </c:pt>
                <c:pt idx="12">
                  <c:v>-0.55255281731107375</c:v>
                </c:pt>
                <c:pt idx="13">
                  <c:v>-4.0630399723550301</c:v>
                </c:pt>
                <c:pt idx="14">
                  <c:v>-0.43874587338548932</c:v>
                </c:pt>
                <c:pt idx="15">
                  <c:v>0.53060699318837878</c:v>
                </c:pt>
                <c:pt idx="16">
                  <c:v>0.71105377730316599</c:v>
                </c:pt>
                <c:pt idx="17">
                  <c:v>5.4813528736391373</c:v>
                </c:pt>
                <c:pt idx="18">
                  <c:v>0.6216905337035239</c:v>
                </c:pt>
                <c:pt idx="19">
                  <c:v>-0.4237146866197381</c:v>
                </c:pt>
                <c:pt idx="20">
                  <c:v>8.5432905047654106E-2</c:v>
                </c:pt>
                <c:pt idx="21">
                  <c:v>0.14017080136165114</c:v>
                </c:pt>
                <c:pt idx="22">
                  <c:v>0.54140847185477736</c:v>
                </c:pt>
                <c:pt idx="23">
                  <c:v>0.61586793753317559</c:v>
                </c:pt>
                <c:pt idx="24">
                  <c:v>0.24643729008607473</c:v>
                </c:pt>
                <c:pt idx="25">
                  <c:v>0.13297387060287902</c:v>
                </c:pt>
                <c:pt idx="26">
                  <c:v>-0.41954906744716108</c:v>
                </c:pt>
                <c:pt idx="27">
                  <c:v>1.8029268216841199E-2</c:v>
                </c:pt>
                <c:pt idx="28">
                  <c:v>3.5719762074797032E-2</c:v>
                </c:pt>
                <c:pt idx="29">
                  <c:v>-0.18845737493805909</c:v>
                </c:pt>
                <c:pt idx="30">
                  <c:v>0.14813881914088348</c:v>
                </c:pt>
                <c:pt idx="31">
                  <c:v>-0.54230725025084103</c:v>
                </c:pt>
                <c:pt idx="32">
                  <c:v>1.9841564989931101E-2</c:v>
                </c:pt>
                <c:pt idx="33">
                  <c:v>0.45360802630904795</c:v>
                </c:pt>
                <c:pt idx="34">
                  <c:v>0.31951292417359611</c:v>
                </c:pt>
                <c:pt idx="35">
                  <c:v>0.66980993527071697</c:v>
                </c:pt>
              </c:numCache>
            </c:numRef>
          </c:val>
          <c:extLst>
            <c:ext xmlns:c16="http://schemas.microsoft.com/office/drawing/2014/chart" uri="{C3380CC4-5D6E-409C-BE32-E72D297353CC}">
              <c16:uniqueId val="{00000001-7BB5-4B83-AA79-1EA2C6440CF6}"/>
            </c:ext>
          </c:extLst>
        </c:ser>
        <c:ser>
          <c:idx val="2"/>
          <c:order val="2"/>
          <c:tx>
            <c:strRef>
              <c:f>'GRAF příspěvky IPP'!$A$29</c:f>
              <c:strCache>
                <c:ptCount val="1"/>
                <c:pt idx="0">
                  <c:v>Machinery (28)</c:v>
                </c:pt>
              </c:strCache>
            </c:strRef>
          </c:tx>
          <c:spPr>
            <a:solidFill>
              <a:srgbClr val="9FC9D7"/>
            </a:solidFill>
          </c:spPr>
          <c:invertIfNegative val="0"/>
          <c:cat>
            <c:multiLvlStrRef>
              <c:f>'GRAF příspěvky IPP'!$Z$25:$BI$26</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IPP'!$Z$29:$BI$29</c:f>
              <c:numCache>
                <c:formatCode>0.0</c:formatCode>
                <c:ptCount val="36"/>
                <c:pt idx="0">
                  <c:v>0.3345178851347928</c:v>
                </c:pt>
                <c:pt idx="1">
                  <c:v>1.1003694908923236</c:v>
                </c:pt>
                <c:pt idx="2">
                  <c:v>0.85805445400541835</c:v>
                </c:pt>
                <c:pt idx="3">
                  <c:v>0.80055944660911171</c:v>
                </c:pt>
                <c:pt idx="4">
                  <c:v>0.48868169907415326</c:v>
                </c:pt>
                <c:pt idx="5">
                  <c:v>0.13868742792561028</c:v>
                </c:pt>
                <c:pt idx="6">
                  <c:v>0.18638853797251198</c:v>
                </c:pt>
                <c:pt idx="7">
                  <c:v>-0.20071677551985512</c:v>
                </c:pt>
                <c:pt idx="8">
                  <c:v>0.20262845642032346</c:v>
                </c:pt>
                <c:pt idx="9">
                  <c:v>-9.1482438382696971E-3</c:v>
                </c:pt>
                <c:pt idx="10">
                  <c:v>-0.3267936607108648</c:v>
                </c:pt>
                <c:pt idx="11">
                  <c:v>-0.14957125605699437</c:v>
                </c:pt>
                <c:pt idx="12">
                  <c:v>-0.7072452096320988</c:v>
                </c:pt>
                <c:pt idx="13">
                  <c:v>-2.1308377913469609</c:v>
                </c:pt>
                <c:pt idx="14">
                  <c:v>-0.8017096029334061</c:v>
                </c:pt>
                <c:pt idx="15">
                  <c:v>-0.54797142039304825</c:v>
                </c:pt>
                <c:pt idx="16">
                  <c:v>6.9523816193354571E-2</c:v>
                </c:pt>
                <c:pt idx="17">
                  <c:v>2.0537889224076182</c:v>
                </c:pt>
                <c:pt idx="18">
                  <c:v>0.54998998649274944</c:v>
                </c:pt>
                <c:pt idx="19">
                  <c:v>0.27824368190942744</c:v>
                </c:pt>
                <c:pt idx="20">
                  <c:v>0.35474059805720581</c:v>
                </c:pt>
                <c:pt idx="21">
                  <c:v>9.159353246407527E-2</c:v>
                </c:pt>
                <c:pt idx="22">
                  <c:v>0.48985672658594026</c:v>
                </c:pt>
                <c:pt idx="23">
                  <c:v>0.65848483899880683</c:v>
                </c:pt>
                <c:pt idx="24">
                  <c:v>0.47009044095931496</c:v>
                </c:pt>
                <c:pt idx="25">
                  <c:v>0.4006172401103964</c:v>
                </c:pt>
                <c:pt idx="26">
                  <c:v>-0.57578518680795432</c:v>
                </c:pt>
                <c:pt idx="27">
                  <c:v>-0.75578874449495581</c:v>
                </c:pt>
                <c:pt idx="28">
                  <c:v>-0.9625142240233997</c:v>
                </c:pt>
                <c:pt idx="29">
                  <c:v>-0.80168828655754398</c:v>
                </c:pt>
                <c:pt idx="30">
                  <c:v>-0.39977018694536648</c:v>
                </c:pt>
                <c:pt idx="31">
                  <c:v>-0.52594869917284226</c:v>
                </c:pt>
                <c:pt idx="32">
                  <c:v>9.3043953965084594E-2</c:v>
                </c:pt>
                <c:pt idx="33">
                  <c:v>-0.14554659159843011</c:v>
                </c:pt>
                <c:pt idx="34">
                  <c:v>0.12349543492602813</c:v>
                </c:pt>
                <c:pt idx="35">
                  <c:v>0.49619228577641566</c:v>
                </c:pt>
              </c:numCache>
            </c:numRef>
          </c:val>
          <c:extLst>
            <c:ext xmlns:c16="http://schemas.microsoft.com/office/drawing/2014/chart" uri="{C3380CC4-5D6E-409C-BE32-E72D297353CC}">
              <c16:uniqueId val="{00000002-7BB5-4B83-AA79-1EA2C6440CF6}"/>
            </c:ext>
          </c:extLst>
        </c:ser>
        <c:ser>
          <c:idx val="3"/>
          <c:order val="3"/>
          <c:tx>
            <c:strRef>
              <c:f>'GRAF příspěvky IPP'!$A$30</c:f>
              <c:strCache>
                <c:ptCount val="1"/>
                <c:pt idx="0">
                  <c:v>Fabricated metal product industry (25)</c:v>
                </c:pt>
              </c:strCache>
            </c:strRef>
          </c:tx>
          <c:spPr>
            <a:solidFill>
              <a:srgbClr val="009CB5"/>
            </a:solidFill>
          </c:spPr>
          <c:invertIfNegative val="0"/>
          <c:cat>
            <c:multiLvlStrRef>
              <c:f>'GRAF příspěvky IPP'!$Z$25:$BI$26</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IPP'!$Z$30:$BI$30</c:f>
              <c:numCache>
                <c:formatCode>0.0</c:formatCode>
                <c:ptCount val="36"/>
                <c:pt idx="0">
                  <c:v>0.38676361423749528</c:v>
                </c:pt>
                <c:pt idx="1">
                  <c:v>0.95166355765299349</c:v>
                </c:pt>
                <c:pt idx="2">
                  <c:v>0.86091550298549102</c:v>
                </c:pt>
                <c:pt idx="3">
                  <c:v>0.96020285266505589</c:v>
                </c:pt>
                <c:pt idx="4">
                  <c:v>0.67147421279246411</c:v>
                </c:pt>
                <c:pt idx="5">
                  <c:v>0.46338675111775501</c:v>
                </c:pt>
                <c:pt idx="6">
                  <c:v>0.40465307945227347</c:v>
                </c:pt>
                <c:pt idx="7">
                  <c:v>0.13991647838864771</c:v>
                </c:pt>
                <c:pt idx="8">
                  <c:v>0.23284119938910905</c:v>
                </c:pt>
                <c:pt idx="9">
                  <c:v>-2.3018109664658163E-3</c:v>
                </c:pt>
                <c:pt idx="10">
                  <c:v>-0.27902616348258918</c:v>
                </c:pt>
                <c:pt idx="11">
                  <c:v>-0.28921256974210446</c:v>
                </c:pt>
                <c:pt idx="12">
                  <c:v>-0.59705730498174525</c:v>
                </c:pt>
                <c:pt idx="13">
                  <c:v>-2.0768472147616719</c:v>
                </c:pt>
                <c:pt idx="14">
                  <c:v>-0.62165835195312102</c:v>
                </c:pt>
                <c:pt idx="15">
                  <c:v>4.661253810289321E-2</c:v>
                </c:pt>
                <c:pt idx="16">
                  <c:v>0.43211394669446129</c:v>
                </c:pt>
                <c:pt idx="17">
                  <c:v>2.9905594307699275</c:v>
                </c:pt>
                <c:pt idx="18">
                  <c:v>0.80057174840018464</c:v>
                </c:pt>
                <c:pt idx="19">
                  <c:v>1.7842744066281405E-2</c:v>
                </c:pt>
                <c:pt idx="20">
                  <c:v>0.2270419422273395</c:v>
                </c:pt>
                <c:pt idx="21">
                  <c:v>-0.40390149701119177</c:v>
                </c:pt>
                <c:pt idx="22">
                  <c:v>-0.31522655000635558</c:v>
                </c:pt>
                <c:pt idx="23">
                  <c:v>-0.2158460789696578</c:v>
                </c:pt>
                <c:pt idx="24">
                  <c:v>-0.35304158862001117</c:v>
                </c:pt>
                <c:pt idx="25">
                  <c:v>-9.898514727148211E-2</c:v>
                </c:pt>
                <c:pt idx="26">
                  <c:v>-0.21045961248750156</c:v>
                </c:pt>
                <c:pt idx="27">
                  <c:v>-0.27573885577866986</c:v>
                </c:pt>
                <c:pt idx="28">
                  <c:v>-0.20005962705948793</c:v>
                </c:pt>
                <c:pt idx="29">
                  <c:v>-3.6999886884328842E-2</c:v>
                </c:pt>
                <c:pt idx="30">
                  <c:v>0.34489368177621904</c:v>
                </c:pt>
                <c:pt idx="31">
                  <c:v>0.21350994299050982</c:v>
                </c:pt>
                <c:pt idx="32">
                  <c:v>0.24827787635955434</c:v>
                </c:pt>
                <c:pt idx="33">
                  <c:v>0.55926957397260735</c:v>
                </c:pt>
                <c:pt idx="34">
                  <c:v>0.65322130754166841</c:v>
                </c:pt>
                <c:pt idx="35">
                  <c:v>1.3015974142663862</c:v>
                </c:pt>
              </c:numCache>
            </c:numRef>
          </c:val>
          <c:extLst>
            <c:ext xmlns:c16="http://schemas.microsoft.com/office/drawing/2014/chart" uri="{C3380CC4-5D6E-409C-BE32-E72D297353CC}">
              <c16:uniqueId val="{00000003-7BB5-4B83-AA79-1EA2C6440CF6}"/>
            </c:ext>
          </c:extLst>
        </c:ser>
        <c:ser>
          <c:idx val="4"/>
          <c:order val="4"/>
          <c:tx>
            <c:strRef>
              <c:f>'GRAF příspěvky IPP'!$A$31</c:f>
              <c:strCache>
                <c:ptCount val="1"/>
                <c:pt idx="0">
                  <c:v>PC, electronic and optical products (26)</c:v>
                </c:pt>
              </c:strCache>
            </c:strRef>
          </c:tx>
          <c:spPr>
            <a:solidFill>
              <a:srgbClr val="E6C483"/>
            </a:solidFill>
          </c:spPr>
          <c:invertIfNegative val="0"/>
          <c:cat>
            <c:multiLvlStrRef>
              <c:f>'GRAF příspěvky IPP'!$Z$25:$BI$26</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IPP'!$Z$31:$BI$31</c:f>
              <c:numCache>
                <c:formatCode>0.0</c:formatCode>
                <c:ptCount val="36"/>
                <c:pt idx="0">
                  <c:v>0.1517960019133566</c:v>
                </c:pt>
                <c:pt idx="1">
                  <c:v>0.35040742405813147</c:v>
                </c:pt>
                <c:pt idx="2">
                  <c:v>0.22701547985990286</c:v>
                </c:pt>
                <c:pt idx="3">
                  <c:v>0.23483306705633769</c:v>
                </c:pt>
                <c:pt idx="4">
                  <c:v>0.38575845909308681</c:v>
                </c:pt>
                <c:pt idx="5">
                  <c:v>0.1585479563430445</c:v>
                </c:pt>
                <c:pt idx="6">
                  <c:v>0.63604123808561219</c:v>
                </c:pt>
                <c:pt idx="7">
                  <c:v>0.3169722012936107</c:v>
                </c:pt>
                <c:pt idx="8">
                  <c:v>-0.10335857004416719</c:v>
                </c:pt>
                <c:pt idx="9">
                  <c:v>-3.5698176267711781E-2</c:v>
                </c:pt>
                <c:pt idx="10">
                  <c:v>-0.60934912550064046</c:v>
                </c:pt>
                <c:pt idx="11">
                  <c:v>-0.3641176829939205</c:v>
                </c:pt>
                <c:pt idx="12">
                  <c:v>-0.1013700779981392</c:v>
                </c:pt>
                <c:pt idx="13">
                  <c:v>-0.31920945262277456</c:v>
                </c:pt>
                <c:pt idx="14">
                  <c:v>3.1049160053994794E-2</c:v>
                </c:pt>
                <c:pt idx="15">
                  <c:v>2.2349038466741165E-2</c:v>
                </c:pt>
                <c:pt idx="16">
                  <c:v>0.12975355540314282</c:v>
                </c:pt>
                <c:pt idx="17">
                  <c:v>0.21201733992680374</c:v>
                </c:pt>
                <c:pt idx="18">
                  <c:v>0.1941841019992544</c:v>
                </c:pt>
                <c:pt idx="19">
                  <c:v>-0.23843126852101912</c:v>
                </c:pt>
                <c:pt idx="20">
                  <c:v>2.2375778653478211E-2</c:v>
                </c:pt>
                <c:pt idx="21">
                  <c:v>-1.8664914809135777E-2</c:v>
                </c:pt>
                <c:pt idx="22">
                  <c:v>5.983720902341521E-2</c:v>
                </c:pt>
                <c:pt idx="23">
                  <c:v>0.43552217534069498</c:v>
                </c:pt>
                <c:pt idx="24">
                  <c:v>0.14470334752654473</c:v>
                </c:pt>
                <c:pt idx="25">
                  <c:v>8.8197188447825356E-2</c:v>
                </c:pt>
                <c:pt idx="26">
                  <c:v>-6.9028846604599223E-2</c:v>
                </c:pt>
                <c:pt idx="27">
                  <c:v>-6.5570020882029928E-2</c:v>
                </c:pt>
                <c:pt idx="28">
                  <c:v>-7.7915888293924231E-3</c:v>
                </c:pt>
                <c:pt idx="29">
                  <c:v>0.21997586638815811</c:v>
                </c:pt>
                <c:pt idx="30">
                  <c:v>0.28884635576240486</c:v>
                </c:pt>
                <c:pt idx="31">
                  <c:v>9.551918740327324E-2</c:v>
                </c:pt>
                <c:pt idx="32">
                  <c:v>5.9992683361345016E-3</c:v>
                </c:pt>
                <c:pt idx="33">
                  <c:v>-0.1123065842307529</c:v>
                </c:pt>
                <c:pt idx="34">
                  <c:v>-0.20924737566523802</c:v>
                </c:pt>
                <c:pt idx="35">
                  <c:v>3.4515177598828037E-2</c:v>
                </c:pt>
              </c:numCache>
            </c:numRef>
          </c:val>
          <c:extLst>
            <c:ext xmlns:c16="http://schemas.microsoft.com/office/drawing/2014/chart" uri="{C3380CC4-5D6E-409C-BE32-E72D297353CC}">
              <c16:uniqueId val="{00000004-7BB5-4B83-AA79-1EA2C6440CF6}"/>
            </c:ext>
          </c:extLst>
        </c:ser>
        <c:ser>
          <c:idx val="5"/>
          <c:order val="5"/>
          <c:tx>
            <c:strRef>
              <c:f>'GRAF příspěvky IPP'!$A$32</c:f>
              <c:strCache>
                <c:ptCount val="1"/>
                <c:pt idx="0">
                  <c:v>Chemical, pharmaceutical ind. (20, 21)</c:v>
                </c:pt>
              </c:strCache>
            </c:strRef>
          </c:tx>
          <c:spPr>
            <a:solidFill>
              <a:srgbClr val="CC9610"/>
            </a:solidFill>
            <a:ln>
              <a:noFill/>
            </a:ln>
          </c:spPr>
          <c:invertIfNegative val="0"/>
          <c:cat>
            <c:multiLvlStrRef>
              <c:f>'GRAF příspěvky IPP'!$Z$25:$BI$26</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IPP'!$Z$32:$BI$32</c:f>
              <c:numCache>
                <c:formatCode>0.0</c:formatCode>
                <c:ptCount val="36"/>
                <c:pt idx="0">
                  <c:v>0.51439307947726998</c:v>
                </c:pt>
                <c:pt idx="1">
                  <c:v>0.83289717197907565</c:v>
                </c:pt>
                <c:pt idx="2">
                  <c:v>0.65310318202327911</c:v>
                </c:pt>
                <c:pt idx="3">
                  <c:v>0.50440121167449548</c:v>
                </c:pt>
                <c:pt idx="4">
                  <c:v>0.40911320927322647</c:v>
                </c:pt>
                <c:pt idx="5">
                  <c:v>7.7633111380155301E-2</c:v>
                </c:pt>
                <c:pt idx="6">
                  <c:v>-5.3190732776962651E-2</c:v>
                </c:pt>
                <c:pt idx="7">
                  <c:v>-7.1103221110709838E-2</c:v>
                </c:pt>
                <c:pt idx="8">
                  <c:v>9.3101613350728932E-2</c:v>
                </c:pt>
                <c:pt idx="9">
                  <c:v>6.1474211824515262E-2</c:v>
                </c:pt>
                <c:pt idx="10">
                  <c:v>0.2229684142187896</c:v>
                </c:pt>
                <c:pt idx="11">
                  <c:v>3.2130190492489386E-2</c:v>
                </c:pt>
                <c:pt idx="12">
                  <c:v>-3.6216479616950112E-2</c:v>
                </c:pt>
                <c:pt idx="13">
                  <c:v>-0.57135666895590331</c:v>
                </c:pt>
                <c:pt idx="14">
                  <c:v>-0.22076865898667289</c:v>
                </c:pt>
                <c:pt idx="15">
                  <c:v>0.42176753383241716</c:v>
                </c:pt>
                <c:pt idx="16">
                  <c:v>0.28426277083090246</c:v>
                </c:pt>
                <c:pt idx="17">
                  <c:v>0.82325325428168006</c:v>
                </c:pt>
                <c:pt idx="18">
                  <c:v>0.31991054650479339</c:v>
                </c:pt>
                <c:pt idx="19">
                  <c:v>8.7688985546260853E-2</c:v>
                </c:pt>
                <c:pt idx="20">
                  <c:v>0.24863963230574521</c:v>
                </c:pt>
                <c:pt idx="21">
                  <c:v>0.15905411527097743</c:v>
                </c:pt>
                <c:pt idx="22">
                  <c:v>-9.9192658046001692E-2</c:v>
                </c:pt>
                <c:pt idx="23">
                  <c:v>-0.29076993899169623</c:v>
                </c:pt>
                <c:pt idx="24">
                  <c:v>-0.60054284095284183</c:v>
                </c:pt>
                <c:pt idx="25">
                  <c:v>-0.17710340225216925</c:v>
                </c:pt>
                <c:pt idx="26">
                  <c:v>-7.3516958752537429E-2</c:v>
                </c:pt>
                <c:pt idx="27">
                  <c:v>-0.12575787999845109</c:v>
                </c:pt>
                <c:pt idx="28">
                  <c:v>0.26823896721095042</c:v>
                </c:pt>
                <c:pt idx="29">
                  <c:v>0.14459515409260676</c:v>
                </c:pt>
                <c:pt idx="30">
                  <c:v>-7.3019869232471224E-2</c:v>
                </c:pt>
                <c:pt idx="31">
                  <c:v>-7.0266611213317939E-2</c:v>
                </c:pt>
                <c:pt idx="32">
                  <c:v>-0.11473054611690403</c:v>
                </c:pt>
                <c:pt idx="33">
                  <c:v>-0.15124708140176971</c:v>
                </c:pt>
                <c:pt idx="34">
                  <c:v>0.1819138694259059</c:v>
                </c:pt>
                <c:pt idx="35">
                  <c:v>0.2045931133528113</c:v>
                </c:pt>
              </c:numCache>
            </c:numRef>
          </c:val>
          <c:extLst>
            <c:ext xmlns:c16="http://schemas.microsoft.com/office/drawing/2014/chart" uri="{C3380CC4-5D6E-409C-BE32-E72D297353CC}">
              <c16:uniqueId val="{00000005-7BB5-4B83-AA79-1EA2C6440CF6}"/>
            </c:ext>
          </c:extLst>
        </c:ser>
        <c:ser>
          <c:idx val="6"/>
          <c:order val="6"/>
          <c:tx>
            <c:strRef>
              <c:f>'GRAF příspěvky IPP'!$A$33</c:f>
              <c:strCache>
                <c:ptCount val="1"/>
                <c:pt idx="0">
                  <c:v>Remaining manufacturing industry*</c:v>
                </c:pt>
              </c:strCache>
            </c:strRef>
          </c:tx>
          <c:spPr>
            <a:solidFill>
              <a:srgbClr val="C3DDAC"/>
            </a:solidFill>
          </c:spPr>
          <c:invertIfNegative val="0"/>
          <c:cat>
            <c:multiLvlStrRef>
              <c:f>'GRAF příspěvky IPP'!$Z$25:$BI$26</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IPP'!$Z$33:$BI$33</c:f>
              <c:numCache>
                <c:formatCode>0.0</c:formatCode>
                <c:ptCount val="36"/>
                <c:pt idx="0">
                  <c:v>-0.13802711444318691</c:v>
                </c:pt>
                <c:pt idx="1">
                  <c:v>1.4520150527939983</c:v>
                </c:pt>
                <c:pt idx="2">
                  <c:v>0.65687676657011995</c:v>
                </c:pt>
                <c:pt idx="3">
                  <c:v>0.76186639439852744</c:v>
                </c:pt>
                <c:pt idx="4">
                  <c:v>1.1768838940724016</c:v>
                </c:pt>
                <c:pt idx="5">
                  <c:v>0.73260991135089881</c:v>
                </c:pt>
                <c:pt idx="6">
                  <c:v>1.1309843102453647</c:v>
                </c:pt>
                <c:pt idx="7">
                  <c:v>0.15993804771029091</c:v>
                </c:pt>
                <c:pt idx="8">
                  <c:v>-0.32185268974320136</c:v>
                </c:pt>
                <c:pt idx="9">
                  <c:v>-0.30512916964802844</c:v>
                </c:pt>
                <c:pt idx="10">
                  <c:v>-0.97407463154620033</c:v>
                </c:pt>
                <c:pt idx="11">
                  <c:v>-3.9701171551173531E-2</c:v>
                </c:pt>
                <c:pt idx="12">
                  <c:v>0.31377104389497573</c:v>
                </c:pt>
                <c:pt idx="13">
                  <c:v>-1.6010940767108721</c:v>
                </c:pt>
                <c:pt idx="14">
                  <c:v>-5.0886354263985356E-3</c:v>
                </c:pt>
                <c:pt idx="15">
                  <c:v>-0.12175513984550231</c:v>
                </c:pt>
                <c:pt idx="16">
                  <c:v>-2.1128761312970146E-3</c:v>
                </c:pt>
                <c:pt idx="17">
                  <c:v>3.2182826185149889</c:v>
                </c:pt>
                <c:pt idx="18">
                  <c:v>1.5227369240206821</c:v>
                </c:pt>
                <c:pt idx="19">
                  <c:v>1.1735580757843487</c:v>
                </c:pt>
                <c:pt idx="20">
                  <c:v>1.6949563990634429</c:v>
                </c:pt>
                <c:pt idx="21">
                  <c:v>0.27470000381588033</c:v>
                </c:pt>
                <c:pt idx="22">
                  <c:v>-1.6667213846762752</c:v>
                </c:pt>
                <c:pt idx="23">
                  <c:v>-1.5269932606404839</c:v>
                </c:pt>
                <c:pt idx="24">
                  <c:v>-3.3261450575018028</c:v>
                </c:pt>
                <c:pt idx="25">
                  <c:v>-3.5878313003538334</c:v>
                </c:pt>
                <c:pt idx="26">
                  <c:v>-1.8071756863987505</c:v>
                </c:pt>
                <c:pt idx="27">
                  <c:v>-1.6144210415769553</c:v>
                </c:pt>
                <c:pt idx="28">
                  <c:v>0.13077401211331544</c:v>
                </c:pt>
                <c:pt idx="29">
                  <c:v>0.27796430392454941</c:v>
                </c:pt>
                <c:pt idx="30">
                  <c:v>-0.19589531851693803</c:v>
                </c:pt>
                <c:pt idx="31">
                  <c:v>0.25803068209411495</c:v>
                </c:pt>
                <c:pt idx="32">
                  <c:v>0.39218706834499417</c:v>
                </c:pt>
                <c:pt idx="33">
                  <c:v>0.68187785973882531</c:v>
                </c:pt>
                <c:pt idx="34">
                  <c:v>0.24157709889443785</c:v>
                </c:pt>
                <c:pt idx="35">
                  <c:v>0.6635577314478216</c:v>
                </c:pt>
              </c:numCache>
            </c:numRef>
          </c:val>
          <c:extLst>
            <c:ext xmlns:c16="http://schemas.microsoft.com/office/drawing/2014/chart" uri="{C3380CC4-5D6E-409C-BE32-E72D297353CC}">
              <c16:uniqueId val="{00000006-7BB5-4B83-AA79-1EA2C6440CF6}"/>
            </c:ext>
          </c:extLst>
        </c:ser>
        <c:ser>
          <c:idx val="7"/>
          <c:order val="7"/>
          <c:tx>
            <c:strRef>
              <c:f>'GRAF příspěvky IPP'!$A$34</c:f>
              <c:strCache>
                <c:ptCount val="1"/>
                <c:pt idx="0">
                  <c:v>Mining and energetics (B, D)</c:v>
                </c:pt>
              </c:strCache>
            </c:strRef>
          </c:tx>
          <c:spPr>
            <a:solidFill>
              <a:srgbClr val="86BF5E"/>
            </a:solidFill>
          </c:spPr>
          <c:invertIfNegative val="0"/>
          <c:cat>
            <c:multiLvlStrRef>
              <c:f>'GRAF příspěvky IPP'!$Z$25:$BI$26</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IPP'!$Z$34:$BI$34</c:f>
              <c:numCache>
                <c:formatCode>0.0</c:formatCode>
                <c:ptCount val="36"/>
                <c:pt idx="0">
                  <c:v>0.68579685044543348</c:v>
                </c:pt>
                <c:pt idx="1">
                  <c:v>-0.21786071250878586</c:v>
                </c:pt>
                <c:pt idx="2">
                  <c:v>0.74762012671732325</c:v>
                </c:pt>
                <c:pt idx="3">
                  <c:v>0.67922569430551583</c:v>
                </c:pt>
                <c:pt idx="4">
                  <c:v>-0.54241645010765449</c:v>
                </c:pt>
                <c:pt idx="5">
                  <c:v>-1.8631527880888649E-3</c:v>
                </c:pt>
                <c:pt idx="6">
                  <c:v>0.78670127678843149</c:v>
                </c:pt>
                <c:pt idx="7">
                  <c:v>0.32960713526562863</c:v>
                </c:pt>
                <c:pt idx="8">
                  <c:v>6.8904910133199077E-2</c:v>
                </c:pt>
                <c:pt idx="9">
                  <c:v>0.12170682001164354</c:v>
                </c:pt>
                <c:pt idx="10">
                  <c:v>-0.5109816723970585</c:v>
                </c:pt>
                <c:pt idx="11">
                  <c:v>-0.36784640528649537</c:v>
                </c:pt>
                <c:pt idx="12">
                  <c:v>-1.0379724863245821</c:v>
                </c:pt>
                <c:pt idx="13">
                  <c:v>-1.638329285379571</c:v>
                </c:pt>
                <c:pt idx="14">
                  <c:v>-0.82494325172790062</c:v>
                </c:pt>
                <c:pt idx="15">
                  <c:v>-0.74239007583737793</c:v>
                </c:pt>
                <c:pt idx="16">
                  <c:v>0.59189490518500398</c:v>
                </c:pt>
                <c:pt idx="17">
                  <c:v>0.52656327821300353</c:v>
                </c:pt>
                <c:pt idx="18">
                  <c:v>0.31374008907545176</c:v>
                </c:pt>
                <c:pt idx="19">
                  <c:v>0.81659894104306607</c:v>
                </c:pt>
                <c:pt idx="20">
                  <c:v>-0.20894060705088399</c:v>
                </c:pt>
                <c:pt idx="21">
                  <c:v>0.24268235052886977</c:v>
                </c:pt>
                <c:pt idx="22">
                  <c:v>0.41441971307033448</c:v>
                </c:pt>
                <c:pt idx="23">
                  <c:v>-1.2878566765612138</c:v>
                </c:pt>
                <c:pt idx="24">
                  <c:v>-1.3045936982821111</c:v>
                </c:pt>
                <c:pt idx="25">
                  <c:v>-1.5790684974454656</c:v>
                </c:pt>
                <c:pt idx="26">
                  <c:v>-1.6278225134133213</c:v>
                </c:pt>
                <c:pt idx="27">
                  <c:v>-1.1076317448864703</c:v>
                </c:pt>
                <c:pt idx="28">
                  <c:v>-0.77646516844666147</c:v>
                </c:pt>
                <c:pt idx="29">
                  <c:v>-8.0819445457593481E-2</c:v>
                </c:pt>
                <c:pt idx="30">
                  <c:v>4.8663335749503378E-3</c:v>
                </c:pt>
                <c:pt idx="31">
                  <c:v>-0.18709046803243062</c:v>
                </c:pt>
                <c:pt idx="32">
                  <c:v>0.97128306287519417</c:v>
                </c:pt>
                <c:pt idx="33">
                  <c:v>0.41779064863331256</c:v>
                </c:pt>
                <c:pt idx="34">
                  <c:v>-0.21688938377580066</c:v>
                </c:pt>
                <c:pt idx="35">
                  <c:v>-6.8429938893444536E-2</c:v>
                </c:pt>
              </c:numCache>
            </c:numRef>
          </c:val>
          <c:extLst>
            <c:ext xmlns:c16="http://schemas.microsoft.com/office/drawing/2014/chart" uri="{C3380CC4-5D6E-409C-BE32-E72D297353CC}">
              <c16:uniqueId val="{00000007-7BB5-4B83-AA79-1EA2C6440CF6}"/>
            </c:ext>
          </c:extLst>
        </c:ser>
        <c:dLbls>
          <c:showLegendKey val="0"/>
          <c:showVal val="0"/>
          <c:showCatName val="0"/>
          <c:showSerName val="0"/>
          <c:showPercent val="0"/>
          <c:showBubbleSize val="0"/>
        </c:dLbls>
        <c:gapWidth val="15"/>
        <c:overlap val="100"/>
        <c:axId val="112768128"/>
        <c:axId val="112769664"/>
      </c:barChart>
      <c:lineChart>
        <c:grouping val="standard"/>
        <c:varyColors val="0"/>
        <c:ser>
          <c:idx val="8"/>
          <c:order val="8"/>
          <c:tx>
            <c:strRef>
              <c:f>'GRAF příspěvky IPP'!$A$35</c:f>
              <c:strCache>
                <c:ptCount val="1"/>
                <c:pt idx="0">
                  <c:v>Total output in industry (NACE B to D)</c:v>
                </c:pt>
              </c:strCache>
            </c:strRef>
          </c:tx>
          <c:spPr>
            <a:ln w="19050">
              <a:noFill/>
            </a:ln>
          </c:spPr>
          <c:marker>
            <c:symbol val="circle"/>
            <c:size val="4"/>
            <c:spPr>
              <a:solidFill>
                <a:schemeClr val="bg1"/>
              </a:solidFill>
              <a:ln>
                <a:solidFill>
                  <a:schemeClr val="tx1">
                    <a:lumMod val="95000"/>
                    <a:lumOff val="5000"/>
                  </a:schemeClr>
                </a:solidFill>
              </a:ln>
            </c:spPr>
          </c:marker>
          <c:cat>
            <c:multiLvlStrRef>
              <c:f>'GRAF příspěvky IPP'!$Z$25:$BI$26</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IPP'!$Z$35:$BI$35</c:f>
              <c:numCache>
                <c:formatCode>0.0</c:formatCode>
                <c:ptCount val="36"/>
                <c:pt idx="0">
                  <c:v>4.4694819295000059</c:v>
                </c:pt>
                <c:pt idx="1">
                  <c:v>8.0757287747999982</c:v>
                </c:pt>
                <c:pt idx="2">
                  <c:v>6.471008530800006</c:v>
                </c:pt>
                <c:pt idx="3">
                  <c:v>7.2646448002000028</c:v>
                </c:pt>
                <c:pt idx="4">
                  <c:v>4.3462152320000058</c:v>
                </c:pt>
                <c:pt idx="5">
                  <c:v>2.4365124655000017</c:v>
                </c:pt>
                <c:pt idx="6">
                  <c:v>3.7641930207000058</c:v>
                </c:pt>
                <c:pt idx="7">
                  <c:v>1.5933483905999992</c:v>
                </c:pt>
                <c:pt idx="8">
                  <c:v>0.47230060009999875</c:v>
                </c:pt>
                <c:pt idx="9">
                  <c:v>0.71920116619999419</c:v>
                </c:pt>
                <c:pt idx="10">
                  <c:v>-1.5414330485999983</c:v>
                </c:pt>
                <c:pt idx="11">
                  <c:v>-1.7724070997000041</c:v>
                </c:pt>
                <c:pt idx="12">
                  <c:v>-4.2521142571000041</c:v>
                </c:pt>
                <c:pt idx="13">
                  <c:v>-21.785210571700006</c:v>
                </c:pt>
                <c:pt idx="14">
                  <c:v>-3.0649898566999951</c:v>
                </c:pt>
                <c:pt idx="15">
                  <c:v>1.6725311281000046</c:v>
                </c:pt>
                <c:pt idx="16">
                  <c:v>4.1174119536999996</c:v>
                </c:pt>
                <c:pt idx="17">
                  <c:v>26.268254018299999</c:v>
                </c:pt>
                <c:pt idx="18">
                  <c:v>0.54114127859999428</c:v>
                </c:pt>
                <c:pt idx="19">
                  <c:v>-1.5297446146000055</c:v>
                </c:pt>
                <c:pt idx="20">
                  <c:v>0.52361874490000559</c:v>
                </c:pt>
                <c:pt idx="21">
                  <c:v>0.58451641290000111</c:v>
                </c:pt>
                <c:pt idx="22">
                  <c:v>5.0290963806999969</c:v>
                </c:pt>
                <c:pt idx="23">
                  <c:v>2.3854549381999988</c:v>
                </c:pt>
                <c:pt idx="24">
                  <c:v>0.55320583489999819</c:v>
                </c:pt>
                <c:pt idx="25">
                  <c:v>0.24798005489999753</c:v>
                </c:pt>
                <c:pt idx="26">
                  <c:v>-3.4438227770999958</c:v>
                </c:pt>
                <c:pt idx="27">
                  <c:v>-0.73339093280000611</c:v>
                </c:pt>
                <c:pt idx="28">
                  <c:v>-1.0652607465000017</c:v>
                </c:pt>
                <c:pt idx="29">
                  <c:v>-1.5502067685000043</c:v>
                </c:pt>
                <c:pt idx="30">
                  <c:v>0.78718104870000616</c:v>
                </c:pt>
                <c:pt idx="31">
                  <c:v>-2.2018162348999937</c:v>
                </c:pt>
                <c:pt idx="32">
                  <c:v>1.0735013311000046</c:v>
                </c:pt>
                <c:pt idx="33">
                  <c:v>2.2220366938000069</c:v>
                </c:pt>
                <c:pt idx="34">
                  <c:v>1.1392490149000025</c:v>
                </c:pt>
                <c:pt idx="35">
                  <c:v>4.214512543400005</c:v>
                </c:pt>
              </c:numCache>
            </c:numRef>
          </c:val>
          <c:smooth val="0"/>
          <c:extLst>
            <c:ext xmlns:c16="http://schemas.microsoft.com/office/drawing/2014/chart" uri="{C3380CC4-5D6E-409C-BE32-E72D297353CC}">
              <c16:uniqueId val="{00000008-7BB5-4B83-AA79-1EA2C6440CF6}"/>
            </c:ext>
          </c:extLst>
        </c:ser>
        <c:dLbls>
          <c:showLegendKey val="0"/>
          <c:showVal val="0"/>
          <c:showCatName val="0"/>
          <c:showSerName val="0"/>
          <c:showPercent val="0"/>
          <c:showBubbleSize val="0"/>
        </c:dLbls>
        <c:marker val="1"/>
        <c:smooth val="0"/>
        <c:axId val="112768128"/>
        <c:axId val="112769664"/>
      </c:lineChart>
      <c:lineChart>
        <c:grouping val="standard"/>
        <c:varyColors val="0"/>
        <c:ser>
          <c:idx val="9"/>
          <c:order val="9"/>
          <c:tx>
            <c:strRef>
              <c:f>'GRAF příspěvky IPP'!$A$36</c:f>
              <c:strCache>
                <c:ptCount val="1"/>
              </c:strCache>
            </c:strRef>
          </c:tx>
          <c:spPr>
            <a:ln w="15875">
              <a:noFill/>
              <a:prstDash val="sysDot"/>
            </a:ln>
          </c:spPr>
          <c:marker>
            <c:symbol val="none"/>
          </c:marker>
          <c:cat>
            <c:multiLvlStrRef>
              <c:f>'GRAF příspěvky IPP'!$Z$25:$BI$26</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IPP'!$Z$36:$BI$36</c:f>
              <c:numCache>
                <c:formatCode>General</c:formatCode>
                <c:ptCount val="36"/>
              </c:numCache>
            </c:numRef>
          </c:val>
          <c:smooth val="0"/>
          <c:extLst>
            <c:ext xmlns:c16="http://schemas.microsoft.com/office/drawing/2014/chart" uri="{C3380CC4-5D6E-409C-BE32-E72D297353CC}">
              <c16:uniqueId val="{00000009-7BB5-4B83-AA79-1EA2C6440CF6}"/>
            </c:ext>
          </c:extLst>
        </c:ser>
        <c:ser>
          <c:idx val="10"/>
          <c:order val="10"/>
          <c:tx>
            <c:strRef>
              <c:f>'GRAF příspěvky IPP'!$A$37</c:f>
              <c:strCache>
                <c:ptCount val="1"/>
                <c:pt idx="0">
                  <c:v>Output, total industry CR (basis 2021=100)</c:v>
                </c:pt>
              </c:strCache>
            </c:strRef>
          </c:tx>
          <c:spPr>
            <a:ln w="15875">
              <a:solidFill>
                <a:srgbClr val="174F70"/>
              </a:solidFill>
            </a:ln>
          </c:spPr>
          <c:marker>
            <c:symbol val="none"/>
          </c:marker>
          <c:cat>
            <c:multiLvlStrRef>
              <c:f>'GRAF příspěvky IPP'!$Z$25:$BI$26</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IPP'!$Z$37:$BI$37</c:f>
              <c:numCache>
                <c:formatCode>#\ ##0.#</c:formatCode>
                <c:ptCount val="36"/>
                <c:pt idx="0">
                  <c:v>95.6</c:v>
                </c:pt>
                <c:pt idx="1">
                  <c:v>98.6</c:v>
                </c:pt>
                <c:pt idx="2">
                  <c:v>98.2</c:v>
                </c:pt>
                <c:pt idx="3">
                  <c:v>100.1</c:v>
                </c:pt>
                <c:pt idx="4">
                  <c:v>100.1</c:v>
                </c:pt>
                <c:pt idx="5">
                  <c:v>101.1</c:v>
                </c:pt>
                <c:pt idx="6">
                  <c:v>102</c:v>
                </c:pt>
                <c:pt idx="7">
                  <c:v>101.3</c:v>
                </c:pt>
                <c:pt idx="8">
                  <c:v>100.6</c:v>
                </c:pt>
                <c:pt idx="9">
                  <c:v>102.2</c:v>
                </c:pt>
                <c:pt idx="10">
                  <c:v>100.1</c:v>
                </c:pt>
                <c:pt idx="11">
                  <c:v>99.4</c:v>
                </c:pt>
                <c:pt idx="12">
                  <c:v>96.7</c:v>
                </c:pt>
                <c:pt idx="13">
                  <c:v>80.2</c:v>
                </c:pt>
                <c:pt idx="14">
                  <c:v>97</c:v>
                </c:pt>
                <c:pt idx="15">
                  <c:v>101.1</c:v>
                </c:pt>
                <c:pt idx="16">
                  <c:v>99.6</c:v>
                </c:pt>
                <c:pt idx="17">
                  <c:v>100.6</c:v>
                </c:pt>
                <c:pt idx="18">
                  <c:v>98.6</c:v>
                </c:pt>
                <c:pt idx="19">
                  <c:v>99.2</c:v>
                </c:pt>
                <c:pt idx="20">
                  <c:v>100.7</c:v>
                </c:pt>
                <c:pt idx="21">
                  <c:v>101.3</c:v>
                </c:pt>
                <c:pt idx="22">
                  <c:v>102.9</c:v>
                </c:pt>
                <c:pt idx="23">
                  <c:v>101.8</c:v>
                </c:pt>
                <c:pt idx="24">
                  <c:v>101.3</c:v>
                </c:pt>
                <c:pt idx="25">
                  <c:v>101.4</c:v>
                </c:pt>
                <c:pt idx="26">
                  <c:v>99.3</c:v>
                </c:pt>
                <c:pt idx="27">
                  <c:v>101.4</c:v>
                </c:pt>
                <c:pt idx="28">
                  <c:v>100.2</c:v>
                </c:pt>
                <c:pt idx="29">
                  <c:v>99.9</c:v>
                </c:pt>
                <c:pt idx="30">
                  <c:v>100</c:v>
                </c:pt>
                <c:pt idx="31">
                  <c:v>99.1</c:v>
                </c:pt>
                <c:pt idx="32">
                  <c:v>101.2</c:v>
                </c:pt>
                <c:pt idx="33">
                  <c:v>101.9</c:v>
                </c:pt>
                <c:pt idx="34" formatCode="#\ ##0.##########">
                  <c:v>101.2</c:v>
                </c:pt>
                <c:pt idx="35" formatCode="#\ ##0.##########">
                  <c:v>103.4</c:v>
                </c:pt>
              </c:numCache>
            </c:numRef>
          </c:val>
          <c:smooth val="0"/>
          <c:extLst>
            <c:ext xmlns:c16="http://schemas.microsoft.com/office/drawing/2014/chart" uri="{C3380CC4-5D6E-409C-BE32-E72D297353CC}">
              <c16:uniqueId val="{0000000A-7BB5-4B83-AA79-1EA2C6440CF6}"/>
            </c:ext>
          </c:extLst>
        </c:ser>
        <c:ser>
          <c:idx val="11"/>
          <c:order val="11"/>
          <c:tx>
            <c:strRef>
              <c:f>'GRAF příspěvky IPP'!$A$38</c:f>
              <c:strCache>
                <c:ptCount val="1"/>
                <c:pt idx="0">
                  <c:v>Output, total industry EU27 (2021=100)</c:v>
                </c:pt>
              </c:strCache>
            </c:strRef>
          </c:tx>
          <c:spPr>
            <a:ln w="15875">
              <a:solidFill>
                <a:srgbClr val="85938E"/>
              </a:solidFill>
              <a:prstDash val="sysDash"/>
            </a:ln>
          </c:spPr>
          <c:marker>
            <c:symbol val="none"/>
          </c:marker>
          <c:cat>
            <c:multiLvlStrRef>
              <c:f>'GRAF příspěvky IPP'!$Z$25:$BI$26</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IPP'!$Z$38:$BI$38</c:f>
              <c:numCache>
                <c:formatCode>#\ ##0.##########</c:formatCode>
                <c:ptCount val="36"/>
                <c:pt idx="0">
                  <c:v>96</c:v>
                </c:pt>
                <c:pt idx="1">
                  <c:v>97.2</c:v>
                </c:pt>
                <c:pt idx="2">
                  <c:v>98.6</c:v>
                </c:pt>
                <c:pt idx="3">
                  <c:v>100.4</c:v>
                </c:pt>
                <c:pt idx="4">
                  <c:v>99.1</c:v>
                </c:pt>
                <c:pt idx="5">
                  <c:v>99.6</c:v>
                </c:pt>
                <c:pt idx="6">
                  <c:v>99.3</c:v>
                </c:pt>
                <c:pt idx="7">
                  <c:v>99</c:v>
                </c:pt>
                <c:pt idx="8">
                  <c:v>99.3</c:v>
                </c:pt>
                <c:pt idx="9">
                  <c:v>99.2</c:v>
                </c:pt>
                <c:pt idx="10">
                  <c:v>98.6</c:v>
                </c:pt>
                <c:pt idx="11" formatCode="#\ ##0.0">
                  <c:v>97.9</c:v>
                </c:pt>
                <c:pt idx="12" formatCode="#\ ##0.0">
                  <c:v>94.9</c:v>
                </c:pt>
                <c:pt idx="13">
                  <c:v>80.3</c:v>
                </c:pt>
                <c:pt idx="14">
                  <c:v>93.4</c:v>
                </c:pt>
                <c:pt idx="15" formatCode="#\ ##0.0">
                  <c:v>98</c:v>
                </c:pt>
                <c:pt idx="16">
                  <c:v>99.4</c:v>
                </c:pt>
                <c:pt idx="17">
                  <c:v>100</c:v>
                </c:pt>
                <c:pt idx="18">
                  <c:v>99.8</c:v>
                </c:pt>
                <c:pt idx="19">
                  <c:v>100.8</c:v>
                </c:pt>
                <c:pt idx="20">
                  <c:v>101.8</c:v>
                </c:pt>
                <c:pt idx="21">
                  <c:v>102.4</c:v>
                </c:pt>
                <c:pt idx="22">
                  <c:v>103</c:v>
                </c:pt>
                <c:pt idx="23">
                  <c:v>102.8</c:v>
                </c:pt>
                <c:pt idx="24">
                  <c:v>102.8</c:v>
                </c:pt>
                <c:pt idx="25">
                  <c:v>102</c:v>
                </c:pt>
                <c:pt idx="26">
                  <c:v>99.7</c:v>
                </c:pt>
                <c:pt idx="27">
                  <c:v>99.8</c:v>
                </c:pt>
                <c:pt idx="28">
                  <c:v>98.8</c:v>
                </c:pt>
                <c:pt idx="29">
                  <c:v>98.7</c:v>
                </c:pt>
                <c:pt idx="30">
                  <c:v>98.5</c:v>
                </c:pt>
                <c:pt idx="31">
                  <c:v>98.5</c:v>
                </c:pt>
                <c:pt idx="32">
                  <c:v>99.9</c:v>
                </c:pt>
                <c:pt idx="33">
                  <c:v>100</c:v>
                </c:pt>
                <c:pt idx="34">
                  <c:v>100.2</c:v>
                </c:pt>
                <c:pt idx="35">
                  <c:v>100.5</c:v>
                </c:pt>
              </c:numCache>
            </c:numRef>
          </c:val>
          <c:smooth val="0"/>
          <c:extLst>
            <c:ext xmlns:c16="http://schemas.microsoft.com/office/drawing/2014/chart" uri="{C3380CC4-5D6E-409C-BE32-E72D297353CC}">
              <c16:uniqueId val="{0000000B-7BB5-4B83-AA79-1EA2C6440CF6}"/>
            </c:ext>
          </c:extLst>
        </c:ser>
        <c:ser>
          <c:idx val="12"/>
          <c:order val="12"/>
          <c:tx>
            <c:strRef>
              <c:f>'GRAF příspěvky IPP'!$A$39</c:f>
              <c:strCache>
                <c:ptCount val="1"/>
                <c:pt idx="0">
                  <c:v>Output, total industry Germany (2021=100)</c:v>
                </c:pt>
              </c:strCache>
            </c:strRef>
          </c:tx>
          <c:spPr>
            <a:ln w="15875">
              <a:solidFill>
                <a:srgbClr val="B8BBC0"/>
              </a:solidFill>
              <a:prstDash val="dash"/>
            </a:ln>
          </c:spPr>
          <c:marker>
            <c:symbol val="none"/>
          </c:marker>
          <c:cat>
            <c:multiLvlStrRef>
              <c:f>'GRAF příspěvky IPP'!$Z$25:$BI$26</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IPP'!$Z$39:$BI$39</c:f>
              <c:numCache>
                <c:formatCode>#\ ##0.0</c:formatCode>
                <c:ptCount val="36"/>
                <c:pt idx="0">
                  <c:v>105</c:v>
                </c:pt>
                <c:pt idx="1">
                  <c:v>107</c:v>
                </c:pt>
                <c:pt idx="2" formatCode="#\ ##0.##########">
                  <c:v>108.8</c:v>
                </c:pt>
                <c:pt idx="3" formatCode="#\ ##0.##########">
                  <c:v>109.6</c:v>
                </c:pt>
                <c:pt idx="4">
                  <c:v>109</c:v>
                </c:pt>
                <c:pt idx="5" formatCode="#\ ##0.##########">
                  <c:v>109.8</c:v>
                </c:pt>
                <c:pt idx="6" formatCode="#\ ##0.##########">
                  <c:v>108.8</c:v>
                </c:pt>
                <c:pt idx="7" formatCode="#\ ##0.##########">
                  <c:v>107.2</c:v>
                </c:pt>
                <c:pt idx="8">
                  <c:v>107</c:v>
                </c:pt>
                <c:pt idx="9" formatCode="#\ ##0.##########">
                  <c:v>105.8</c:v>
                </c:pt>
                <c:pt idx="10" formatCode="#\ ##0.##########">
                  <c:v>104.6</c:v>
                </c:pt>
                <c:pt idx="11" formatCode="#\ ##0.##########">
                  <c:v>102.9</c:v>
                </c:pt>
                <c:pt idx="12" formatCode="#\ ##0.##########">
                  <c:v>101.3</c:v>
                </c:pt>
                <c:pt idx="13" formatCode="#\ ##0.##########">
                  <c:v>82.9</c:v>
                </c:pt>
                <c:pt idx="14" formatCode="#\ ##0.##########">
                  <c:v>94.8</c:v>
                </c:pt>
                <c:pt idx="15" formatCode="#\ ##0.##########">
                  <c:v>100.9</c:v>
                </c:pt>
                <c:pt idx="16" formatCode="#\ ##0.##########">
                  <c:v>100.7</c:v>
                </c:pt>
                <c:pt idx="17" formatCode="#\ ##0.##########">
                  <c:v>99.9</c:v>
                </c:pt>
                <c:pt idx="18">
                  <c:v>97.1</c:v>
                </c:pt>
                <c:pt idx="19">
                  <c:v>100</c:v>
                </c:pt>
                <c:pt idx="20" formatCode="#\ ##0.##########">
                  <c:v>99.2</c:v>
                </c:pt>
                <c:pt idx="21" formatCode="#\ ##0.##########">
                  <c:v>98.7</c:v>
                </c:pt>
                <c:pt idx="22" formatCode="#\ ##0.##########">
                  <c:v>99.5</c:v>
                </c:pt>
                <c:pt idx="23">
                  <c:v>99</c:v>
                </c:pt>
                <c:pt idx="24" formatCode="#\ ##0.##########">
                  <c:v>99.8</c:v>
                </c:pt>
                <c:pt idx="25" formatCode="#\ ##0.##########">
                  <c:v>98.3</c:v>
                </c:pt>
                <c:pt idx="26">
                  <c:v>96.1</c:v>
                </c:pt>
                <c:pt idx="27" formatCode="#\ ##0.##########">
                  <c:v>94.6</c:v>
                </c:pt>
                <c:pt idx="28" formatCode="#\ ##0.##########">
                  <c:v>94.3</c:v>
                </c:pt>
                <c:pt idx="29" formatCode="#\ ##0.##########">
                  <c:v>93.2</c:v>
                </c:pt>
                <c:pt idx="30">
                  <c:v>92.1</c:v>
                </c:pt>
                <c:pt idx="31" formatCode="#\ ##0.##########">
                  <c:v>91.5</c:v>
                </c:pt>
                <c:pt idx="32" formatCode="#\ ##0.##########">
                  <c:v>92.2</c:v>
                </c:pt>
                <c:pt idx="33" formatCode="#\ ##0.##########">
                  <c:v>91.8</c:v>
                </c:pt>
                <c:pt idx="34" formatCode="#\ ##0.##########">
                  <c:v>91.3</c:v>
                </c:pt>
                <c:pt idx="35" formatCode="#\ ##0.##########">
                  <c:v>92.3</c:v>
                </c:pt>
              </c:numCache>
            </c:numRef>
          </c:val>
          <c:smooth val="0"/>
          <c:extLst>
            <c:ext xmlns:c16="http://schemas.microsoft.com/office/drawing/2014/chart" uri="{C3380CC4-5D6E-409C-BE32-E72D297353CC}">
              <c16:uniqueId val="{0000000C-7BB5-4B83-AA79-1EA2C6440CF6}"/>
            </c:ext>
          </c:extLst>
        </c:ser>
        <c:dLbls>
          <c:showLegendKey val="0"/>
          <c:showVal val="0"/>
          <c:showCatName val="0"/>
          <c:showSerName val="0"/>
          <c:showPercent val="0"/>
          <c:showBubbleSize val="0"/>
        </c:dLbls>
        <c:marker val="1"/>
        <c:smooth val="0"/>
        <c:axId val="1513731104"/>
        <c:axId val="1513729024"/>
      </c:lineChart>
      <c:catAx>
        <c:axId val="112768128"/>
        <c:scaling>
          <c:orientation val="minMax"/>
        </c:scaling>
        <c:delete val="0"/>
        <c:axPos val="b"/>
        <c:numFmt formatCode="General" sourceLinked="1"/>
        <c:majorTickMark val="none"/>
        <c:minorTickMark val="none"/>
        <c:tickLblPos val="low"/>
        <c:txPr>
          <a:bodyPr/>
          <a:lstStyle/>
          <a:p>
            <a:pPr>
              <a:defRPr sz="800">
                <a:latin typeface="Arial" pitchFamily="34" charset="0"/>
                <a:cs typeface="Arial" pitchFamily="34" charset="0"/>
              </a:defRPr>
            </a:pPr>
            <a:endParaRPr lang="cs-CZ"/>
          </a:p>
        </c:txPr>
        <c:crossAx val="112769664"/>
        <c:crosses val="autoZero"/>
        <c:auto val="1"/>
        <c:lblAlgn val="ctr"/>
        <c:lblOffset val="0"/>
        <c:noMultiLvlLbl val="0"/>
      </c:catAx>
      <c:valAx>
        <c:axId val="112769664"/>
        <c:scaling>
          <c:orientation val="minMax"/>
          <c:max val="28"/>
          <c:min val="-24"/>
        </c:scaling>
        <c:delete val="0"/>
        <c:axPos val="l"/>
        <c:majorGridlines>
          <c:spPr>
            <a:ln>
              <a:solidFill>
                <a:srgbClr val="BEBEBE"/>
              </a:solidFill>
            </a:ln>
          </c:spPr>
        </c:majorGridlines>
        <c:title>
          <c:tx>
            <c:rich>
              <a:bodyPr/>
              <a:lstStyle/>
              <a:p>
                <a:pPr>
                  <a:defRPr sz="700" b="0" i="1">
                    <a:latin typeface="Arial" panose="020B0604020202020204" pitchFamily="34" charset="0"/>
                    <a:cs typeface="Arial" panose="020B0604020202020204" pitchFamily="34" charset="0"/>
                  </a:defRPr>
                </a:pPr>
                <a:r>
                  <a:rPr lang="cs-CZ" sz="700" b="0" i="1">
                    <a:latin typeface="Arial" panose="020B0604020202020204" pitchFamily="34" charset="0"/>
                    <a:cs typeface="Arial" panose="020B0604020202020204" pitchFamily="34" charset="0"/>
                  </a:rPr>
                  <a:t>Industrial production (contribution to growth)</a:t>
                </a:r>
              </a:p>
            </c:rich>
          </c:tx>
          <c:layout>
            <c:manualLayout>
              <c:xMode val="edge"/>
              <c:yMode val="edge"/>
              <c:x val="0"/>
              <c:y val="0.1165198004318692"/>
            </c:manualLayout>
          </c:layout>
          <c:overlay val="0"/>
        </c:title>
        <c:numFmt formatCode="0" sourceLinked="0"/>
        <c:majorTickMark val="out"/>
        <c:minorTickMark val="none"/>
        <c:tickLblPos val="nextTo"/>
        <c:txPr>
          <a:bodyPr/>
          <a:lstStyle/>
          <a:p>
            <a:pPr>
              <a:defRPr sz="800">
                <a:latin typeface="Arial" pitchFamily="34" charset="0"/>
                <a:cs typeface="Arial" pitchFamily="34" charset="0"/>
              </a:defRPr>
            </a:pPr>
            <a:endParaRPr lang="cs-CZ"/>
          </a:p>
        </c:txPr>
        <c:crossAx val="112768128"/>
        <c:crosses val="autoZero"/>
        <c:crossBetween val="between"/>
        <c:majorUnit val="4"/>
      </c:valAx>
      <c:valAx>
        <c:axId val="1513729024"/>
        <c:scaling>
          <c:orientation val="minMax"/>
          <c:max val="115"/>
          <c:min val="50"/>
        </c:scaling>
        <c:delete val="0"/>
        <c:axPos val="r"/>
        <c:title>
          <c:tx>
            <c:rich>
              <a:bodyPr/>
              <a:lstStyle/>
              <a:p>
                <a:pPr>
                  <a:defRPr sz="700" b="0" i="1">
                    <a:latin typeface="Arial" panose="020B0604020202020204" pitchFamily="34" charset="0"/>
                    <a:cs typeface="Arial" panose="020B0604020202020204" pitchFamily="34" charset="0"/>
                  </a:defRPr>
                </a:pPr>
                <a:r>
                  <a:rPr lang="cs-CZ" sz="700" b="0" i="1">
                    <a:latin typeface="Arial" panose="020B0604020202020204" pitchFamily="34" charset="0"/>
                    <a:cs typeface="Arial" panose="020B0604020202020204" pitchFamily="34" charset="0"/>
                  </a:rPr>
                  <a:t>Output in industry (basis 2021=100)</a:t>
                </a:r>
              </a:p>
            </c:rich>
          </c:tx>
          <c:layout>
            <c:manualLayout>
              <c:xMode val="edge"/>
              <c:yMode val="edge"/>
              <c:x val="0.97040158454025283"/>
              <c:y val="0.16649922312229412"/>
            </c:manualLayout>
          </c:layout>
          <c:overlay val="0"/>
        </c:title>
        <c:numFmt formatCode="0" sourceLinked="0"/>
        <c:majorTickMark val="out"/>
        <c:minorTickMark val="none"/>
        <c:tickLblPos val="nextTo"/>
        <c:txPr>
          <a:bodyPr/>
          <a:lstStyle/>
          <a:p>
            <a:pPr>
              <a:defRPr sz="800">
                <a:latin typeface="Arial" panose="020B0604020202020204" pitchFamily="34" charset="0"/>
                <a:cs typeface="Arial" panose="020B0604020202020204" pitchFamily="34" charset="0"/>
              </a:defRPr>
            </a:pPr>
            <a:endParaRPr lang="cs-CZ"/>
          </a:p>
        </c:txPr>
        <c:crossAx val="1513731104"/>
        <c:crosses val="max"/>
        <c:crossBetween val="between"/>
        <c:majorUnit val="5"/>
      </c:valAx>
      <c:catAx>
        <c:axId val="1513731104"/>
        <c:scaling>
          <c:orientation val="minMax"/>
        </c:scaling>
        <c:delete val="1"/>
        <c:axPos val="b"/>
        <c:numFmt formatCode="General" sourceLinked="1"/>
        <c:majorTickMark val="out"/>
        <c:minorTickMark val="none"/>
        <c:tickLblPos val="nextTo"/>
        <c:crossAx val="1513729024"/>
        <c:crosses val="autoZero"/>
        <c:auto val="1"/>
        <c:lblAlgn val="ctr"/>
        <c:lblOffset val="100"/>
        <c:noMultiLvlLbl val="0"/>
      </c:catAx>
      <c:spPr>
        <a:noFill/>
        <a:ln w="6350">
          <a:solidFill>
            <a:prstClr val="black">
              <a:lumMod val="95000"/>
              <a:lumOff val="5000"/>
            </a:prstClr>
          </a:solidFill>
        </a:ln>
      </c:spPr>
    </c:plotArea>
    <c:legend>
      <c:legendPos val="r"/>
      <c:layout>
        <c:manualLayout>
          <c:xMode val="edge"/>
          <c:yMode val="edge"/>
          <c:x val="2.5422495495726866E-2"/>
          <c:y val="0.7932567443166475"/>
          <c:w val="0.95335913646574755"/>
          <c:h val="0.20355147830569023"/>
        </c:manualLayout>
      </c:layout>
      <c:overlay val="0"/>
      <c:spPr>
        <a:ln w="6350">
          <a:solidFill>
            <a:prstClr val="black">
              <a:lumMod val="95000"/>
              <a:lumOff val="5000"/>
            </a:prstClr>
          </a:solidFill>
        </a:ln>
      </c:spPr>
      <c:txPr>
        <a:bodyPr/>
        <a:lstStyle/>
        <a:p>
          <a:pPr>
            <a:defRPr sz="720">
              <a:latin typeface="Arial" pitchFamily="34" charset="0"/>
              <a:cs typeface="Arial" pitchFamily="34" charset="0"/>
            </a:defRPr>
          </a:pPr>
          <a:endParaRPr lang="cs-CZ"/>
        </a:p>
      </c:txPr>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3688042665536843E-2"/>
          <c:y val="1.5647041011259352E-2"/>
          <c:w val="0.84974974879787502"/>
          <c:h val="0.750636022143085"/>
        </c:manualLayout>
      </c:layout>
      <c:barChart>
        <c:barDir val="col"/>
        <c:grouping val="clustered"/>
        <c:varyColors val="0"/>
        <c:ser>
          <c:idx val="0"/>
          <c:order val="0"/>
          <c:tx>
            <c:strRef>
              <c:f>'výkonnost odvětví 2'!$A$36</c:f>
              <c:strCache>
                <c:ptCount val="1"/>
                <c:pt idx="0">
                  <c:v>Total orders (all industry)</c:v>
                </c:pt>
              </c:strCache>
            </c:strRef>
          </c:tx>
          <c:spPr>
            <a:solidFill>
              <a:srgbClr val="86BF5E"/>
            </a:solidFill>
            <a:ln>
              <a:noFill/>
            </a:ln>
          </c:spPr>
          <c:invertIfNegative val="0"/>
          <c:cat>
            <c:multiLvlStrRef>
              <c:f>'výkonnost odvětví 2'!$AD$34:$BJ$35</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'výkonnost odvětví 2'!$AD$36:$BJ$36</c:f>
              <c:numCache>
                <c:formatCode>##0.0</c:formatCode>
                <c:ptCount val="33"/>
                <c:pt idx="0">
                  <c:v>3.2993551214999997</c:v>
                </c:pt>
                <c:pt idx="1">
                  <c:v>2.9773571834000023</c:v>
                </c:pt>
                <c:pt idx="2">
                  <c:v>3.5300064828000046</c:v>
                </c:pt>
                <c:pt idx="3">
                  <c:v>2.4324207204000032</c:v>
                </c:pt>
                <c:pt idx="4">
                  <c:v>3.2234606388999936</c:v>
                </c:pt>
                <c:pt idx="5">
                  <c:v>2.1291359181000047</c:v>
                </c:pt>
                <c:pt idx="6">
                  <c:v>-1.1496242270000039</c:v>
                </c:pt>
                <c:pt idx="7">
                  <c:v>-2.8233445845000062</c:v>
                </c:pt>
                <c:pt idx="8">
                  <c:v>-4.1421474552000035</c:v>
                </c:pt>
                <c:pt idx="9">
                  <c:v>-27.261303375300002</c:v>
                </c:pt>
                <c:pt idx="10">
                  <c:v>-0.61408028729999842</c:v>
                </c:pt>
                <c:pt idx="11">
                  <c:v>6.5219093458999993</c:v>
                </c:pt>
                <c:pt idx="12">
                  <c:v>10.602066683199993</c:v>
                </c:pt>
                <c:pt idx="13">
                  <c:v>46.734027953999998</c:v>
                </c:pt>
                <c:pt idx="14">
                  <c:v>7.4414460278999996</c:v>
                </c:pt>
                <c:pt idx="15">
                  <c:v>4.0145458960000013</c:v>
                </c:pt>
                <c:pt idx="16">
                  <c:v>6.3629553604999955</c:v>
                </c:pt>
                <c:pt idx="17">
                  <c:v>10.097910523699994</c:v>
                </c:pt>
                <c:pt idx="18">
                  <c:v>15.277525986499995</c:v>
                </c:pt>
                <c:pt idx="19">
                  <c:v>12.575771332200006</c:v>
                </c:pt>
                <c:pt idx="20">
                  <c:v>3.1337316676000029</c:v>
                </c:pt>
                <c:pt idx="21">
                  <c:v>-2.2599865078999954</c:v>
                </c:pt>
                <c:pt idx="22">
                  <c:v>-3.8402894136000043</c:v>
                </c:pt>
                <c:pt idx="23">
                  <c:v>-0.93949183089999622</c:v>
                </c:pt>
                <c:pt idx="24">
                  <c:v>4.4754830751000014</c:v>
                </c:pt>
                <c:pt idx="25">
                  <c:v>4.485315818700002</c:v>
                </c:pt>
                <c:pt idx="26">
                  <c:v>4.3869355584999994</c:v>
                </c:pt>
                <c:pt idx="27">
                  <c:v>1.2151640171999958</c:v>
                </c:pt>
                <c:pt idx="28">
                  <c:v>-0.12799306670000021</c:v>
                </c:pt>
                <c:pt idx="29" formatCode="#\ ##0.0">
                  <c:v>3.3995345226000069</c:v>
                </c:pt>
                <c:pt idx="30" formatCode="#\ ##0.0">
                  <c:v>2.2450201407000066</c:v>
                </c:pt>
                <c:pt idx="31" formatCode="#\ ##0.0">
                  <c:v>10.2945626602</c:v>
                </c:pt>
              </c:numCache>
            </c:numRef>
          </c:val>
          <c:extLst>
            <c:ext xmlns:c16="http://schemas.microsoft.com/office/drawing/2014/chart" uri="{C3380CC4-5D6E-409C-BE32-E72D297353CC}">
              <c16:uniqueId val="{00000000-4878-4ADC-B62E-8D37D35D8C73}"/>
            </c:ext>
          </c:extLst>
        </c:ser>
        <c:dLbls>
          <c:showLegendKey val="0"/>
          <c:showVal val="0"/>
          <c:showCatName val="0"/>
          <c:showSerName val="0"/>
          <c:showPercent val="0"/>
          <c:showBubbleSize val="0"/>
        </c:dLbls>
        <c:gapWidth val="30"/>
        <c:axId val="112768128"/>
        <c:axId val="112769664"/>
      </c:barChart>
      <c:lineChart>
        <c:grouping val="standard"/>
        <c:varyColors val="0"/>
        <c:ser>
          <c:idx val="1"/>
          <c:order val="1"/>
          <c:tx>
            <c:strRef>
              <c:f>'výkonnost odvětví 2'!$A$37</c:f>
              <c:strCache>
                <c:ptCount val="1"/>
                <c:pt idx="0">
                  <c:v>In that: domestic orders</c:v>
                </c:pt>
              </c:strCache>
            </c:strRef>
          </c:tx>
          <c:spPr>
            <a:ln w="15875">
              <a:noFill/>
              <a:prstDash val="sysDot"/>
            </a:ln>
          </c:spPr>
          <c:marker>
            <c:symbol val="circle"/>
            <c:size val="5"/>
            <c:spPr>
              <a:solidFill>
                <a:schemeClr val="bg1"/>
              </a:solidFill>
              <a:ln w="12700">
                <a:solidFill>
                  <a:srgbClr val="85BF5E"/>
                </a:solidFill>
              </a:ln>
            </c:spPr>
          </c:marker>
          <c:cat>
            <c:multiLvlStrRef>
              <c:f>'výkonnost odvětví 2'!$AD$34:$BJ$35</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'výkonnost odvětví 2'!$AD$37:$BJ$37</c:f>
              <c:numCache>
                <c:formatCode>##0.0</c:formatCode>
                <c:ptCount val="33"/>
                <c:pt idx="0">
                  <c:v>2.1530605192999985</c:v>
                </c:pt>
                <c:pt idx="1">
                  <c:v>2.440306231799994</c:v>
                </c:pt>
                <c:pt idx="2">
                  <c:v>4.7510172912000002</c:v>
                </c:pt>
                <c:pt idx="3">
                  <c:v>3.3084884759999937</c:v>
                </c:pt>
                <c:pt idx="4">
                  <c:v>7.6964313707999992</c:v>
                </c:pt>
                <c:pt idx="5">
                  <c:v>5.9656126075999936</c:v>
                </c:pt>
                <c:pt idx="6">
                  <c:v>0.2850715043000065</c:v>
                </c:pt>
                <c:pt idx="7">
                  <c:v>-0.84674153630000148</c:v>
                </c:pt>
                <c:pt idx="8">
                  <c:v>0.84542569580000304</c:v>
                </c:pt>
                <c:pt idx="9">
                  <c:v>-25.680778364399998</c:v>
                </c:pt>
                <c:pt idx="10">
                  <c:v>-3.379983194199994</c:v>
                </c:pt>
                <c:pt idx="11">
                  <c:v>5.566224000099993</c:v>
                </c:pt>
                <c:pt idx="12">
                  <c:v>2.2000447382000061</c:v>
                </c:pt>
                <c:pt idx="13">
                  <c:v>42.216312892800005</c:v>
                </c:pt>
                <c:pt idx="14">
                  <c:v>9.2699996399000071</c:v>
                </c:pt>
                <c:pt idx="15">
                  <c:v>5.7633315440999979</c:v>
                </c:pt>
                <c:pt idx="16">
                  <c:v>8.7211151614999949</c:v>
                </c:pt>
                <c:pt idx="17">
                  <c:v>15.4518467276</c:v>
                </c:pt>
                <c:pt idx="18">
                  <c:v>26.230113619700006</c:v>
                </c:pt>
                <c:pt idx="19">
                  <c:v>19.294974516799996</c:v>
                </c:pt>
                <c:pt idx="20">
                  <c:v>11.970278561000001</c:v>
                </c:pt>
                <c:pt idx="21">
                  <c:v>2.3758644261999962</c:v>
                </c:pt>
                <c:pt idx="22">
                  <c:v>-6.7655627147999979</c:v>
                </c:pt>
                <c:pt idx="23">
                  <c:v>-0.67711067199999775</c:v>
                </c:pt>
                <c:pt idx="24">
                  <c:v>3.4837125815000007</c:v>
                </c:pt>
                <c:pt idx="25">
                  <c:v>3.0828713233999991</c:v>
                </c:pt>
                <c:pt idx="26">
                  <c:v>7.8595010221000052</c:v>
                </c:pt>
                <c:pt idx="27">
                  <c:v>2.419199062399997</c:v>
                </c:pt>
                <c:pt idx="28">
                  <c:v>0.47666051660000619</c:v>
                </c:pt>
                <c:pt idx="29" formatCode="#\ ##0.0">
                  <c:v>2.3801168512000004</c:v>
                </c:pt>
                <c:pt idx="30" formatCode="#\ ##0.0">
                  <c:v>4.4991561675000042</c:v>
                </c:pt>
                <c:pt idx="31" formatCode="#\ ##0.0">
                  <c:v>0.18329621809999708</c:v>
                </c:pt>
              </c:numCache>
            </c:numRef>
          </c:val>
          <c:smooth val="0"/>
          <c:extLst>
            <c:ext xmlns:c16="http://schemas.microsoft.com/office/drawing/2014/chart" uri="{C3380CC4-5D6E-409C-BE32-E72D297353CC}">
              <c16:uniqueId val="{00000001-4878-4ADC-B62E-8D37D35D8C73}"/>
            </c:ext>
          </c:extLst>
        </c:ser>
        <c:dLbls>
          <c:showLegendKey val="0"/>
          <c:showVal val="0"/>
          <c:showCatName val="0"/>
          <c:showSerName val="0"/>
          <c:showPercent val="0"/>
          <c:showBubbleSize val="0"/>
        </c:dLbls>
        <c:marker val="1"/>
        <c:smooth val="0"/>
        <c:axId val="112768128"/>
        <c:axId val="112769664"/>
      </c:lineChart>
      <c:lineChart>
        <c:grouping val="standard"/>
        <c:varyColors val="0"/>
        <c:ser>
          <c:idx val="2"/>
          <c:order val="2"/>
          <c:tx>
            <c:strRef>
              <c:f>'výkonnost odvětví 2'!$A$38</c:f>
              <c:strCache>
                <c:ptCount val="1"/>
                <c:pt idx="0">
                  <c:v>Utilisation of capacities (all industry)</c:v>
                </c:pt>
              </c:strCache>
            </c:strRef>
          </c:tx>
          <c:spPr>
            <a:ln w="15875">
              <a:solidFill>
                <a:srgbClr val="CC9610"/>
              </a:solidFill>
            </a:ln>
          </c:spPr>
          <c:marker>
            <c:symbol val="none"/>
          </c:marker>
          <c:cat>
            <c:multiLvlStrRef>
              <c:f>'výkonnost odvětví 2'!$AD$34:$BJ$35</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'výkonnost odvětví 2'!$AD$38:$BJ$38</c:f>
              <c:numCache>
                <c:formatCode>##0.0</c:formatCode>
                <c:ptCount val="33"/>
                <c:pt idx="0">
                  <c:v>85.33</c:v>
                </c:pt>
                <c:pt idx="1">
                  <c:v>84.89</c:v>
                </c:pt>
                <c:pt idx="2">
                  <c:v>85.13</c:v>
                </c:pt>
                <c:pt idx="3">
                  <c:v>84.76</c:v>
                </c:pt>
                <c:pt idx="4">
                  <c:v>84.93</c:v>
                </c:pt>
                <c:pt idx="5">
                  <c:v>85.19</c:v>
                </c:pt>
                <c:pt idx="6">
                  <c:v>83.6</c:v>
                </c:pt>
                <c:pt idx="7">
                  <c:v>83.7</c:v>
                </c:pt>
                <c:pt idx="8">
                  <c:v>84.2</c:v>
                </c:pt>
                <c:pt idx="9">
                  <c:v>70.400000000000006</c:v>
                </c:pt>
                <c:pt idx="10">
                  <c:v>76.3</c:v>
                </c:pt>
                <c:pt idx="11">
                  <c:v>82.7</c:v>
                </c:pt>
                <c:pt idx="12">
                  <c:v>85.8</c:v>
                </c:pt>
                <c:pt idx="13">
                  <c:v>84.4</c:v>
                </c:pt>
                <c:pt idx="14">
                  <c:v>86.41</c:v>
                </c:pt>
                <c:pt idx="15">
                  <c:v>77.599999999999994</c:v>
                </c:pt>
                <c:pt idx="16">
                  <c:v>83.6</c:v>
                </c:pt>
                <c:pt idx="17">
                  <c:v>82.17</c:v>
                </c:pt>
                <c:pt idx="18">
                  <c:v>83.5</c:v>
                </c:pt>
                <c:pt idx="19">
                  <c:v>81.099999999999994</c:v>
                </c:pt>
                <c:pt idx="20">
                  <c:v>81.400000000000006</c:v>
                </c:pt>
                <c:pt idx="21">
                  <c:v>83.7</c:v>
                </c:pt>
                <c:pt idx="22">
                  <c:v>83.5</c:v>
                </c:pt>
                <c:pt idx="23">
                  <c:v>83.6</c:v>
                </c:pt>
                <c:pt idx="24">
                  <c:v>83.1</c:v>
                </c:pt>
                <c:pt idx="25">
                  <c:v>83</c:v>
                </c:pt>
                <c:pt idx="26">
                  <c:v>80.599999999999994</c:v>
                </c:pt>
                <c:pt idx="27">
                  <c:v>82.47</c:v>
                </c:pt>
                <c:pt idx="28">
                  <c:v>82.7</c:v>
                </c:pt>
                <c:pt idx="29">
                  <c:v>83.36</c:v>
                </c:pt>
                <c:pt idx="30">
                  <c:v>84.2</c:v>
                </c:pt>
                <c:pt idx="31">
                  <c:v>84.334999999999994</c:v>
                </c:pt>
                <c:pt idx="32">
                  <c:v>81.96</c:v>
                </c:pt>
              </c:numCache>
            </c:numRef>
          </c:val>
          <c:smooth val="0"/>
          <c:extLst>
            <c:ext xmlns:c16="http://schemas.microsoft.com/office/drawing/2014/chart" uri="{C3380CC4-5D6E-409C-BE32-E72D297353CC}">
              <c16:uniqueId val="{00000002-4878-4ADC-B62E-8D37D35D8C73}"/>
            </c:ext>
          </c:extLst>
        </c:ser>
        <c:ser>
          <c:idx val="3"/>
          <c:order val="3"/>
          <c:tx>
            <c:strRef>
              <c:f>'výkonnost odvětví 2'!$A$39</c:f>
              <c:strCache>
                <c:ptCount val="1"/>
                <c:pt idx="0">
                  <c:v>Utilisation of capacities (motor vehicles ind.)</c:v>
                </c:pt>
              </c:strCache>
            </c:strRef>
          </c:tx>
          <c:spPr>
            <a:ln w="15875">
              <a:solidFill>
                <a:srgbClr val="E6C45B"/>
              </a:solidFill>
              <a:prstDash val="sysDash"/>
            </a:ln>
          </c:spPr>
          <c:marker>
            <c:symbol val="none"/>
          </c:marker>
          <c:cat>
            <c:multiLvlStrRef>
              <c:f>'výkonnost odvětví 2'!$AD$34:$BJ$35</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'výkonnost odvětví 2'!$AD$39:$BJ$39</c:f>
              <c:numCache>
                <c:formatCode>##0.0</c:formatCode>
                <c:ptCount val="33"/>
                <c:pt idx="0">
                  <c:v>91.4</c:v>
                </c:pt>
                <c:pt idx="1">
                  <c:v>91.3</c:v>
                </c:pt>
                <c:pt idx="2">
                  <c:v>92.9</c:v>
                </c:pt>
                <c:pt idx="3">
                  <c:v>92.5</c:v>
                </c:pt>
                <c:pt idx="4">
                  <c:v>92.9</c:v>
                </c:pt>
                <c:pt idx="5">
                  <c:v>92.7</c:v>
                </c:pt>
                <c:pt idx="6">
                  <c:v>92.8</c:v>
                </c:pt>
                <c:pt idx="7">
                  <c:v>93</c:v>
                </c:pt>
                <c:pt idx="8">
                  <c:v>90.6</c:v>
                </c:pt>
                <c:pt idx="9">
                  <c:v>45</c:v>
                </c:pt>
                <c:pt idx="10">
                  <c:v>79.099999999999994</c:v>
                </c:pt>
                <c:pt idx="11">
                  <c:v>96.9</c:v>
                </c:pt>
                <c:pt idx="12">
                  <c:v>94.9</c:v>
                </c:pt>
                <c:pt idx="13">
                  <c:v>89.6</c:v>
                </c:pt>
                <c:pt idx="14">
                  <c:v>95.3</c:v>
                </c:pt>
                <c:pt idx="15">
                  <c:v>55.8</c:v>
                </c:pt>
                <c:pt idx="16">
                  <c:v>84.5</c:v>
                </c:pt>
                <c:pt idx="17">
                  <c:v>76.7</c:v>
                </c:pt>
                <c:pt idx="18">
                  <c:v>79</c:v>
                </c:pt>
                <c:pt idx="19">
                  <c:v>74.099999999999994</c:v>
                </c:pt>
                <c:pt idx="20">
                  <c:v>79.400000000000006</c:v>
                </c:pt>
                <c:pt idx="21">
                  <c:v>92.7</c:v>
                </c:pt>
                <c:pt idx="22">
                  <c:v>92.2</c:v>
                </c:pt>
                <c:pt idx="23">
                  <c:v>92.2</c:v>
                </c:pt>
                <c:pt idx="24">
                  <c:v>92.7</c:v>
                </c:pt>
                <c:pt idx="25">
                  <c:v>93.5</c:v>
                </c:pt>
                <c:pt idx="26">
                  <c:v>89.9</c:v>
                </c:pt>
                <c:pt idx="27">
                  <c:v>92.9</c:v>
                </c:pt>
                <c:pt idx="28">
                  <c:v>93.100000000000009</c:v>
                </c:pt>
                <c:pt idx="29">
                  <c:v>91.5</c:v>
                </c:pt>
                <c:pt idx="30">
                  <c:v>99.9</c:v>
                </c:pt>
                <c:pt idx="31">
                  <c:v>99.4</c:v>
                </c:pt>
                <c:pt idx="32">
                  <c:v>89.6</c:v>
                </c:pt>
              </c:numCache>
            </c:numRef>
          </c:val>
          <c:smooth val="0"/>
          <c:extLst>
            <c:ext xmlns:c16="http://schemas.microsoft.com/office/drawing/2014/chart" uri="{C3380CC4-5D6E-409C-BE32-E72D297353CC}">
              <c16:uniqueId val="{00000003-4878-4ADC-B62E-8D37D35D8C73}"/>
            </c:ext>
          </c:extLst>
        </c:ser>
        <c:ser>
          <c:idx val="4"/>
          <c:order val="4"/>
          <c:tx>
            <c:strRef>
              <c:f>'výkonnost odvětví 2'!$A$40</c:f>
              <c:strCache>
                <c:ptCount val="1"/>
                <c:pt idx="0">
                  <c:v>Barrier: inadequate demand</c:v>
                </c:pt>
              </c:strCache>
            </c:strRef>
          </c:tx>
          <c:spPr>
            <a:ln w="15875">
              <a:solidFill>
                <a:srgbClr val="8390A7"/>
              </a:solidFill>
              <a:prstDash val="solid"/>
            </a:ln>
          </c:spPr>
          <c:marker>
            <c:symbol val="none"/>
          </c:marker>
          <c:cat>
            <c:multiLvlStrRef>
              <c:f>'výkonnost odvětví 2'!$AD$34:$BJ$35</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'výkonnost odvětví 2'!$AD$40:$BJ$40</c:f>
              <c:numCache>
                <c:formatCode>#\ ##0.0</c:formatCode>
                <c:ptCount val="33"/>
                <c:pt idx="0">
                  <c:v>35.4</c:v>
                </c:pt>
                <c:pt idx="1">
                  <c:v>36.299999999999997</c:v>
                </c:pt>
                <c:pt idx="2">
                  <c:v>32.4</c:v>
                </c:pt>
                <c:pt idx="3">
                  <c:v>32.9</c:v>
                </c:pt>
                <c:pt idx="4">
                  <c:v>33.799999999999997</c:v>
                </c:pt>
                <c:pt idx="5">
                  <c:v>36.200000000000003</c:v>
                </c:pt>
                <c:pt idx="6">
                  <c:v>41</c:v>
                </c:pt>
                <c:pt idx="7">
                  <c:v>47.1</c:v>
                </c:pt>
                <c:pt idx="8">
                  <c:v>49.8</c:v>
                </c:pt>
                <c:pt idx="9">
                  <c:v>58.8</c:v>
                </c:pt>
                <c:pt idx="10">
                  <c:v>63</c:v>
                </c:pt>
                <c:pt idx="11">
                  <c:v>44.4</c:v>
                </c:pt>
                <c:pt idx="12">
                  <c:v>46.9</c:v>
                </c:pt>
                <c:pt idx="13">
                  <c:v>38.700000000000003</c:v>
                </c:pt>
                <c:pt idx="14">
                  <c:v>25.4</c:v>
                </c:pt>
                <c:pt idx="15">
                  <c:v>27.9</c:v>
                </c:pt>
                <c:pt idx="16">
                  <c:v>29.9</c:v>
                </c:pt>
                <c:pt idx="17">
                  <c:v>21.3</c:v>
                </c:pt>
                <c:pt idx="18">
                  <c:v>18.7</c:v>
                </c:pt>
                <c:pt idx="19">
                  <c:v>29.4</c:v>
                </c:pt>
                <c:pt idx="20">
                  <c:v>42.5</c:v>
                </c:pt>
                <c:pt idx="21">
                  <c:v>42</c:v>
                </c:pt>
                <c:pt idx="22">
                  <c:v>44.3</c:v>
                </c:pt>
                <c:pt idx="23">
                  <c:v>46.2</c:v>
                </c:pt>
                <c:pt idx="24">
                  <c:v>47.5</c:v>
                </c:pt>
                <c:pt idx="25">
                  <c:v>49.8</c:v>
                </c:pt>
                <c:pt idx="26">
                  <c:v>52</c:v>
                </c:pt>
                <c:pt idx="27">
                  <c:v>49</c:v>
                </c:pt>
                <c:pt idx="28">
                  <c:v>63.5</c:v>
                </c:pt>
                <c:pt idx="29">
                  <c:v>51.7</c:v>
                </c:pt>
                <c:pt idx="30">
                  <c:v>52.7</c:v>
                </c:pt>
                <c:pt idx="31">
                  <c:v>54.2</c:v>
                </c:pt>
                <c:pt idx="32">
                  <c:v>53</c:v>
                </c:pt>
              </c:numCache>
            </c:numRef>
          </c:val>
          <c:smooth val="0"/>
          <c:extLst>
            <c:ext xmlns:c16="http://schemas.microsoft.com/office/drawing/2014/chart" uri="{C3380CC4-5D6E-409C-BE32-E72D297353CC}">
              <c16:uniqueId val="{00000004-4878-4ADC-B62E-8D37D35D8C73}"/>
            </c:ext>
          </c:extLst>
        </c:ser>
        <c:ser>
          <c:idx val="5"/>
          <c:order val="5"/>
          <c:tx>
            <c:strRef>
              <c:f>'výkonnost odvětví 2'!$A$41</c:f>
              <c:strCache>
                <c:ptCount val="1"/>
                <c:pt idx="0">
                  <c:v>Barrier: lack of workers</c:v>
                </c:pt>
              </c:strCache>
            </c:strRef>
          </c:tx>
          <c:spPr>
            <a:ln w="15875">
              <a:solidFill>
                <a:srgbClr val="858972"/>
              </a:solidFill>
              <a:prstDash val="sysDash"/>
            </a:ln>
          </c:spPr>
          <c:marker>
            <c:symbol val="none"/>
          </c:marker>
          <c:cat>
            <c:multiLvlStrRef>
              <c:f>'výkonnost odvětví 2'!$AD$34:$BJ$35</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'výkonnost odvětví 2'!$AD$41:$BJ$41</c:f>
              <c:numCache>
                <c:formatCode>#\ ##0.0</c:formatCode>
                <c:ptCount val="33"/>
                <c:pt idx="0">
                  <c:v>43.5</c:v>
                </c:pt>
                <c:pt idx="1">
                  <c:v>42.3</c:v>
                </c:pt>
                <c:pt idx="2">
                  <c:v>43.2</c:v>
                </c:pt>
                <c:pt idx="3">
                  <c:v>46.3</c:v>
                </c:pt>
                <c:pt idx="4">
                  <c:v>39</c:v>
                </c:pt>
                <c:pt idx="5">
                  <c:v>35.1</c:v>
                </c:pt>
                <c:pt idx="6">
                  <c:v>40.200000000000003</c:v>
                </c:pt>
                <c:pt idx="7">
                  <c:v>39.200000000000003</c:v>
                </c:pt>
                <c:pt idx="8">
                  <c:v>27.7</c:v>
                </c:pt>
                <c:pt idx="9">
                  <c:v>13.5</c:v>
                </c:pt>
                <c:pt idx="10">
                  <c:v>16.7</c:v>
                </c:pt>
                <c:pt idx="11">
                  <c:v>17.600000000000001</c:v>
                </c:pt>
                <c:pt idx="12">
                  <c:v>22</c:v>
                </c:pt>
                <c:pt idx="13">
                  <c:v>18.399999999999999</c:v>
                </c:pt>
                <c:pt idx="14">
                  <c:v>27.6</c:v>
                </c:pt>
                <c:pt idx="15">
                  <c:v>22.6</c:v>
                </c:pt>
                <c:pt idx="16">
                  <c:v>24.9</c:v>
                </c:pt>
                <c:pt idx="17">
                  <c:v>18.600000000000001</c:v>
                </c:pt>
                <c:pt idx="18">
                  <c:v>26.1</c:v>
                </c:pt>
                <c:pt idx="19">
                  <c:v>24.9</c:v>
                </c:pt>
                <c:pt idx="20">
                  <c:v>16.600000000000001</c:v>
                </c:pt>
                <c:pt idx="21">
                  <c:v>20.6</c:v>
                </c:pt>
                <c:pt idx="22">
                  <c:v>18.899999999999999</c:v>
                </c:pt>
                <c:pt idx="23">
                  <c:v>22.5</c:v>
                </c:pt>
                <c:pt idx="24">
                  <c:v>14.6</c:v>
                </c:pt>
                <c:pt idx="25">
                  <c:v>11.8</c:v>
                </c:pt>
                <c:pt idx="26">
                  <c:v>12.8</c:v>
                </c:pt>
                <c:pt idx="27">
                  <c:v>17.8</c:v>
                </c:pt>
                <c:pt idx="28">
                  <c:v>13.2</c:v>
                </c:pt>
                <c:pt idx="29">
                  <c:v>10.6</c:v>
                </c:pt>
                <c:pt idx="30">
                  <c:v>9.6</c:v>
                </c:pt>
                <c:pt idx="31">
                  <c:v>11.8</c:v>
                </c:pt>
                <c:pt idx="32">
                  <c:v>10.7</c:v>
                </c:pt>
              </c:numCache>
            </c:numRef>
          </c:val>
          <c:smooth val="0"/>
          <c:extLst>
            <c:ext xmlns:c16="http://schemas.microsoft.com/office/drawing/2014/chart" uri="{C3380CC4-5D6E-409C-BE32-E72D297353CC}">
              <c16:uniqueId val="{00000005-4878-4ADC-B62E-8D37D35D8C73}"/>
            </c:ext>
          </c:extLst>
        </c:ser>
        <c:ser>
          <c:idx val="6"/>
          <c:order val="6"/>
          <c:tx>
            <c:strRef>
              <c:f>'výkonnost odvětví 2'!$A$42</c:f>
              <c:strCache>
                <c:ptCount val="1"/>
                <c:pt idx="0">
                  <c:v>Barrier: shortage of material/equipment</c:v>
                </c:pt>
              </c:strCache>
            </c:strRef>
          </c:tx>
          <c:spPr>
            <a:ln w="15875">
              <a:solidFill>
                <a:srgbClr val="B8BBC0"/>
              </a:solidFill>
              <a:prstDash val="dash"/>
            </a:ln>
          </c:spPr>
          <c:marker>
            <c:symbol val="none"/>
          </c:marker>
          <c:cat>
            <c:multiLvlStrRef>
              <c:f>'výkonnost odvětví 2'!$AD$34:$BJ$35</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'výkonnost odvětví 2'!$AD$42:$BJ$42</c:f>
              <c:numCache>
                <c:formatCode>#\ ##0.0</c:formatCode>
                <c:ptCount val="33"/>
                <c:pt idx="0">
                  <c:v>11.9</c:v>
                </c:pt>
                <c:pt idx="1">
                  <c:v>11.7</c:v>
                </c:pt>
                <c:pt idx="2">
                  <c:v>13.9</c:v>
                </c:pt>
                <c:pt idx="3">
                  <c:v>23.5</c:v>
                </c:pt>
                <c:pt idx="4">
                  <c:v>26.4</c:v>
                </c:pt>
                <c:pt idx="5">
                  <c:v>24.7</c:v>
                </c:pt>
                <c:pt idx="6">
                  <c:v>22</c:v>
                </c:pt>
                <c:pt idx="7">
                  <c:v>10.5</c:v>
                </c:pt>
                <c:pt idx="8">
                  <c:v>17.899999999999999</c:v>
                </c:pt>
                <c:pt idx="9">
                  <c:v>10.199999999999999</c:v>
                </c:pt>
                <c:pt idx="10">
                  <c:v>6.7</c:v>
                </c:pt>
                <c:pt idx="11">
                  <c:v>10.9</c:v>
                </c:pt>
                <c:pt idx="12">
                  <c:v>23.1</c:v>
                </c:pt>
                <c:pt idx="13">
                  <c:v>32.1</c:v>
                </c:pt>
                <c:pt idx="14">
                  <c:v>45.9</c:v>
                </c:pt>
                <c:pt idx="15">
                  <c:v>41.2</c:v>
                </c:pt>
                <c:pt idx="16">
                  <c:v>39.299999999999997</c:v>
                </c:pt>
                <c:pt idx="17">
                  <c:v>47.8</c:v>
                </c:pt>
                <c:pt idx="18">
                  <c:v>53.4</c:v>
                </c:pt>
                <c:pt idx="19">
                  <c:v>46.4</c:v>
                </c:pt>
                <c:pt idx="20">
                  <c:v>37.4</c:v>
                </c:pt>
                <c:pt idx="21">
                  <c:v>32.5</c:v>
                </c:pt>
                <c:pt idx="22">
                  <c:v>20.6</c:v>
                </c:pt>
                <c:pt idx="23">
                  <c:v>17.100000000000001</c:v>
                </c:pt>
                <c:pt idx="24">
                  <c:v>32.700000000000003</c:v>
                </c:pt>
                <c:pt idx="25">
                  <c:v>28.1</c:v>
                </c:pt>
                <c:pt idx="26">
                  <c:v>13</c:v>
                </c:pt>
                <c:pt idx="27">
                  <c:v>24.7</c:v>
                </c:pt>
                <c:pt idx="28">
                  <c:v>11.9</c:v>
                </c:pt>
                <c:pt idx="29">
                  <c:v>25</c:v>
                </c:pt>
                <c:pt idx="30">
                  <c:v>11</c:v>
                </c:pt>
                <c:pt idx="31">
                  <c:v>11.2</c:v>
                </c:pt>
                <c:pt idx="32">
                  <c:v>11.4</c:v>
                </c:pt>
              </c:numCache>
            </c:numRef>
          </c:val>
          <c:smooth val="0"/>
          <c:extLst>
            <c:ext xmlns:c16="http://schemas.microsoft.com/office/drawing/2014/chart" uri="{C3380CC4-5D6E-409C-BE32-E72D297353CC}">
              <c16:uniqueId val="{00000006-4878-4ADC-B62E-8D37D35D8C73}"/>
            </c:ext>
          </c:extLst>
        </c:ser>
        <c:ser>
          <c:idx val="7"/>
          <c:order val="7"/>
          <c:tx>
            <c:strRef>
              <c:f>'výkonnost odvětví 2'!$A$43</c:f>
              <c:strCache>
                <c:ptCount val="1"/>
                <c:pt idx="0">
                  <c:v>Total confidence indicator in industry</c:v>
                </c:pt>
              </c:strCache>
            </c:strRef>
          </c:tx>
          <c:spPr>
            <a:ln w="15875">
              <a:solidFill>
                <a:schemeClr val="bg2">
                  <a:lumMod val="50000"/>
                </a:schemeClr>
              </a:solidFill>
              <a:prstDash val="sysDot"/>
            </a:ln>
          </c:spPr>
          <c:marker>
            <c:symbol val="diamond"/>
            <c:size val="5"/>
            <c:spPr>
              <a:solidFill>
                <a:srgbClr val="E6C45B"/>
              </a:solidFill>
              <a:ln>
                <a:solidFill>
                  <a:srgbClr val="E6C45B"/>
                </a:solidFill>
              </a:ln>
            </c:spPr>
          </c:marker>
          <c:cat>
            <c:multiLvlStrRef>
              <c:f>'výkonnost odvětví 2'!$AD$34:$BJ$35</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'výkonnost odvětví 2'!$AD$43:$BJ$43</c:f>
              <c:numCache>
                <c:formatCode>#\ ##0.0</c:formatCode>
                <c:ptCount val="33"/>
                <c:pt idx="0">
                  <c:v>3.7</c:v>
                </c:pt>
                <c:pt idx="1">
                  <c:v>2</c:v>
                </c:pt>
                <c:pt idx="2">
                  <c:v>2.2999999999999998</c:v>
                </c:pt>
                <c:pt idx="3">
                  <c:v>2.2999999999999998</c:v>
                </c:pt>
                <c:pt idx="4">
                  <c:v>0.3</c:v>
                </c:pt>
                <c:pt idx="5">
                  <c:v>-2</c:v>
                </c:pt>
                <c:pt idx="6">
                  <c:v>-3</c:v>
                </c:pt>
                <c:pt idx="7">
                  <c:v>-6.7</c:v>
                </c:pt>
                <c:pt idx="8">
                  <c:v>-5</c:v>
                </c:pt>
                <c:pt idx="9">
                  <c:v>-25</c:v>
                </c:pt>
                <c:pt idx="10">
                  <c:v>-6.3</c:v>
                </c:pt>
                <c:pt idx="11">
                  <c:v>-10</c:v>
                </c:pt>
                <c:pt idx="12">
                  <c:v>-1.3</c:v>
                </c:pt>
                <c:pt idx="13">
                  <c:v>5.3</c:v>
                </c:pt>
                <c:pt idx="14">
                  <c:v>-1.3</c:v>
                </c:pt>
                <c:pt idx="15">
                  <c:v>-5.3</c:v>
                </c:pt>
                <c:pt idx="16">
                  <c:v>-0.3</c:v>
                </c:pt>
                <c:pt idx="17">
                  <c:v>8.3000000000000007</c:v>
                </c:pt>
                <c:pt idx="18">
                  <c:v>-1.7</c:v>
                </c:pt>
                <c:pt idx="19">
                  <c:v>-8.3000000000000007</c:v>
                </c:pt>
                <c:pt idx="20">
                  <c:v>-10.1</c:v>
                </c:pt>
                <c:pt idx="21">
                  <c:v>-7</c:v>
                </c:pt>
                <c:pt idx="22">
                  <c:v>-7</c:v>
                </c:pt>
                <c:pt idx="23">
                  <c:v>-6</c:v>
                </c:pt>
                <c:pt idx="24">
                  <c:v>-14</c:v>
                </c:pt>
                <c:pt idx="25">
                  <c:v>-8.6999999999999993</c:v>
                </c:pt>
                <c:pt idx="26">
                  <c:v>-7.7</c:v>
                </c:pt>
                <c:pt idx="27">
                  <c:v>-8.3000000000000007</c:v>
                </c:pt>
                <c:pt idx="28">
                  <c:v>-6</c:v>
                </c:pt>
                <c:pt idx="29">
                  <c:v>-5.3</c:v>
                </c:pt>
                <c:pt idx="30">
                  <c:v>-6</c:v>
                </c:pt>
                <c:pt idx="31">
                  <c:v>-6.3</c:v>
                </c:pt>
                <c:pt idx="32">
                  <c:v>-2.2999999999999998</c:v>
                </c:pt>
              </c:numCache>
            </c:numRef>
          </c:val>
          <c:smooth val="0"/>
          <c:extLst>
            <c:ext xmlns:c16="http://schemas.microsoft.com/office/drawing/2014/chart" uri="{C3380CC4-5D6E-409C-BE32-E72D297353CC}">
              <c16:uniqueId val="{00000007-4878-4ADC-B62E-8D37D35D8C73}"/>
            </c:ext>
          </c:extLst>
        </c:ser>
        <c:dLbls>
          <c:showLegendKey val="0"/>
          <c:showVal val="0"/>
          <c:showCatName val="0"/>
          <c:showSerName val="0"/>
          <c:showPercent val="0"/>
          <c:showBubbleSize val="0"/>
        </c:dLbls>
        <c:marker val="1"/>
        <c:smooth val="0"/>
        <c:axId val="1239819375"/>
        <c:axId val="1239826863"/>
      </c:lineChart>
      <c:catAx>
        <c:axId val="112768128"/>
        <c:scaling>
          <c:orientation val="minMax"/>
        </c:scaling>
        <c:delete val="0"/>
        <c:axPos val="b"/>
        <c:numFmt formatCode="General" sourceLinked="1"/>
        <c:majorTickMark val="out"/>
        <c:minorTickMark val="none"/>
        <c:tickLblPos val="low"/>
        <c:crossAx val="112769664"/>
        <c:crosses val="autoZero"/>
        <c:auto val="1"/>
        <c:lblAlgn val="ctr"/>
        <c:lblOffset val="0"/>
        <c:noMultiLvlLbl val="0"/>
      </c:catAx>
      <c:valAx>
        <c:axId val="112769664"/>
        <c:scaling>
          <c:orientation val="minMax"/>
          <c:max val="100"/>
          <c:min val="-30"/>
        </c:scaling>
        <c:delete val="0"/>
        <c:axPos val="l"/>
        <c:majorGridlines>
          <c:spPr>
            <a:ln>
              <a:solidFill>
                <a:srgbClr val="BEBEBE"/>
              </a:solidFill>
            </a:ln>
          </c:spPr>
        </c:majorGridlines>
        <c:title>
          <c:tx>
            <c:rich>
              <a:bodyPr/>
              <a:lstStyle/>
              <a:p>
                <a:pPr>
                  <a:defRPr sz="700" b="0" i="1"/>
                </a:pPr>
                <a:r>
                  <a:rPr lang="cs-CZ" sz="700" b="0" i="1"/>
                  <a:t>Orders</a:t>
                </a:r>
              </a:p>
            </c:rich>
          </c:tx>
          <c:overlay val="0"/>
        </c:title>
        <c:numFmt formatCode="0" sourceLinked="0"/>
        <c:majorTickMark val="out"/>
        <c:minorTickMark val="none"/>
        <c:tickLblPos val="nextTo"/>
        <c:crossAx val="112768128"/>
        <c:crosses val="autoZero"/>
        <c:crossBetween val="between"/>
        <c:majorUnit val="10"/>
      </c:valAx>
      <c:valAx>
        <c:axId val="1239826863"/>
        <c:scaling>
          <c:orientation val="minMax"/>
          <c:max val="100"/>
          <c:min val="-30"/>
        </c:scaling>
        <c:delete val="0"/>
        <c:axPos val="r"/>
        <c:title>
          <c:tx>
            <c:rich>
              <a:bodyPr/>
              <a:lstStyle/>
              <a:p>
                <a:pPr marL="0" marR="0" lvl="0" indent="0" algn="ctr" defTabSz="914400" rtl="0" eaLnBrk="1" fontAlgn="auto" latinLnBrk="0" hangingPunct="1">
                  <a:lnSpc>
                    <a:spcPct val="100000"/>
                  </a:lnSpc>
                  <a:spcBef>
                    <a:spcPts val="0"/>
                  </a:spcBef>
                  <a:spcAft>
                    <a:spcPts val="0"/>
                  </a:spcAft>
                  <a:buClrTx/>
                  <a:buSzTx/>
                  <a:buFontTx/>
                  <a:buNone/>
                  <a:tabLst/>
                  <a:defRPr sz="700" b="0" i="1"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cs-CZ" sz="700" i="1">
                    <a:effectLst/>
                  </a:rPr>
                  <a:t>Utilisation of capacities, Growth barriers, Confidence</a:t>
                </a:r>
              </a:p>
            </c:rich>
          </c:tx>
          <c:overlay val="0"/>
        </c:title>
        <c:numFmt formatCode="#,##0" sourceLinked="0"/>
        <c:majorTickMark val="out"/>
        <c:minorTickMark val="none"/>
        <c:tickLblPos val="nextTo"/>
        <c:crossAx val="1239819375"/>
        <c:crosses val="max"/>
        <c:crossBetween val="between"/>
        <c:majorUnit val="10"/>
      </c:valAx>
      <c:catAx>
        <c:axId val="1239819375"/>
        <c:scaling>
          <c:orientation val="minMax"/>
        </c:scaling>
        <c:delete val="1"/>
        <c:axPos val="b"/>
        <c:numFmt formatCode="General" sourceLinked="1"/>
        <c:majorTickMark val="out"/>
        <c:minorTickMark val="none"/>
        <c:tickLblPos val="nextTo"/>
        <c:crossAx val="1239826863"/>
        <c:crosses val="autoZero"/>
        <c:auto val="1"/>
        <c:lblAlgn val="ctr"/>
        <c:lblOffset val="100"/>
        <c:noMultiLvlLbl val="0"/>
      </c:catAx>
      <c:spPr>
        <a:noFill/>
        <a:ln w="6350">
          <a:solidFill>
            <a:prstClr val="black">
              <a:lumMod val="95000"/>
              <a:lumOff val="5000"/>
            </a:prstClr>
          </a:solidFill>
        </a:ln>
      </c:spPr>
    </c:plotArea>
    <c:legend>
      <c:legendPos val="r"/>
      <c:layout>
        <c:manualLayout>
          <c:xMode val="edge"/>
          <c:yMode val="edge"/>
          <c:x val="0"/>
          <c:y val="0.85237242835695315"/>
          <c:w val="0.9918210452108337"/>
          <c:h val="0.14064337133398228"/>
        </c:manualLayout>
      </c:layout>
      <c:overlay val="0"/>
      <c:spPr>
        <a:ln w="6350">
          <a:solidFill>
            <a:prstClr val="black">
              <a:lumMod val="95000"/>
              <a:lumOff val="5000"/>
            </a:prstClr>
          </a:solidFill>
        </a:ln>
      </c:spPr>
      <c:txPr>
        <a:bodyPr/>
        <a:lstStyle/>
        <a:p>
          <a:pPr>
            <a:defRPr sz="780"/>
          </a:pPr>
          <a:endParaRPr lang="cs-CZ"/>
        </a:p>
      </c:txPr>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3695346289980312E-2"/>
          <c:y val="1.5663550999370279E-2"/>
          <c:w val="0.85237839893753009"/>
          <c:h val="0.75413191483370345"/>
        </c:manualLayout>
      </c:layout>
      <c:barChart>
        <c:barDir val="col"/>
        <c:grouping val="stacked"/>
        <c:varyColors val="0"/>
        <c:ser>
          <c:idx val="1"/>
          <c:order val="1"/>
          <c:tx>
            <c:strRef>
              <c:f>'výkonnost odvětví 3'!$Y$10</c:f>
              <c:strCache>
                <c:ptCount val="1"/>
                <c:pt idx="0">
                  <c:v>Building construction (contribution in p.p.)</c:v>
                </c:pt>
              </c:strCache>
            </c:strRef>
          </c:tx>
          <c:spPr>
            <a:solidFill>
              <a:srgbClr val="9FC9D7"/>
            </a:solidFill>
            <a:ln>
              <a:noFill/>
            </a:ln>
          </c:spPr>
          <c:invertIfNegative val="0"/>
          <c:cat>
            <c:multiLvlStrRef>
              <c:f>'výkonnost odvětví 3'!$V$39:$W$75</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'výkonnost odvětví 3'!$Y$39:$Y$75</c:f>
              <c:numCache>
                <c:formatCode>0.0</c:formatCode>
                <c:ptCount val="37"/>
                <c:pt idx="0">
                  <c:v>1.818439140996319</c:v>
                </c:pt>
                <c:pt idx="1">
                  <c:v>9.5161866462127662</c:v>
                </c:pt>
                <c:pt idx="2">
                  <c:v>3.2650480956647083</c:v>
                </c:pt>
                <c:pt idx="3">
                  <c:v>2.30805126241866</c:v>
                </c:pt>
                <c:pt idx="4">
                  <c:v>13.039459362857237</c:v>
                </c:pt>
                <c:pt idx="5">
                  <c:v>5.6850806062932753</c:v>
                </c:pt>
                <c:pt idx="6">
                  <c:v>7.036028465591686</c:v>
                </c:pt>
                <c:pt idx="7">
                  <c:v>2.3869078764089537</c:v>
                </c:pt>
                <c:pt idx="8">
                  <c:v>2.4727635166988868</c:v>
                </c:pt>
                <c:pt idx="9">
                  <c:v>2.9341574628565144</c:v>
                </c:pt>
                <c:pt idx="10">
                  <c:v>-0.67535503037810629</c:v>
                </c:pt>
                <c:pt idx="11">
                  <c:v>1.7116954805541678</c:v>
                </c:pt>
                <c:pt idx="12">
                  <c:v>-0.69584828605035332</c:v>
                </c:pt>
                <c:pt idx="13">
                  <c:v>-7.7523651360071959</c:v>
                </c:pt>
                <c:pt idx="14">
                  <c:v>-7.0746218433619372</c:v>
                </c:pt>
                <c:pt idx="15">
                  <c:v>-7.7412313848499075</c:v>
                </c:pt>
                <c:pt idx="16">
                  <c:v>-5.0660837283894127</c:v>
                </c:pt>
                <c:pt idx="17">
                  <c:v>2.4656819622014705</c:v>
                </c:pt>
                <c:pt idx="18">
                  <c:v>2.7078036992242112</c:v>
                </c:pt>
                <c:pt idx="19">
                  <c:v>5.3885116062898586</c:v>
                </c:pt>
                <c:pt idx="20">
                  <c:v>7.2599370375691361</c:v>
                </c:pt>
                <c:pt idx="21">
                  <c:v>3.5228521802835968</c:v>
                </c:pt>
                <c:pt idx="22">
                  <c:v>-0.76086526249632169</c:v>
                </c:pt>
                <c:pt idx="23">
                  <c:v>-1.4422238162798067</c:v>
                </c:pt>
                <c:pt idx="24">
                  <c:v>2.0785501415796661</c:v>
                </c:pt>
                <c:pt idx="25">
                  <c:v>-1.7940004523509017</c:v>
                </c:pt>
                <c:pt idx="26">
                  <c:v>-0.44420059250800503</c:v>
                </c:pt>
                <c:pt idx="27">
                  <c:v>-2.3463867721548444</c:v>
                </c:pt>
                <c:pt idx="28">
                  <c:v>-5.1543406570414874</c:v>
                </c:pt>
                <c:pt idx="29">
                  <c:v>-3.1463977386870448</c:v>
                </c:pt>
                <c:pt idx="30">
                  <c:v>-1.8872107153037683</c:v>
                </c:pt>
                <c:pt idx="31">
                  <c:v>1.6874158785106754</c:v>
                </c:pt>
                <c:pt idx="32">
                  <c:v>7.1050689620756158</c:v>
                </c:pt>
                <c:pt idx="33">
                  <c:v>7.3083691806545366</c:v>
                </c:pt>
                <c:pt idx="34">
                  <c:v>8.1561639741042313</c:v>
                </c:pt>
                <c:pt idx="35">
                  <c:v>4.934183736192943</c:v>
                </c:pt>
              </c:numCache>
            </c:numRef>
          </c:val>
          <c:extLst>
            <c:ext xmlns:c16="http://schemas.microsoft.com/office/drawing/2014/chart" uri="{C3380CC4-5D6E-409C-BE32-E72D297353CC}">
              <c16:uniqueId val="{00000000-4D0B-49EF-BB88-BFCEBAE15EB8}"/>
            </c:ext>
          </c:extLst>
        </c:ser>
        <c:ser>
          <c:idx val="2"/>
          <c:order val="2"/>
          <c:tx>
            <c:strRef>
              <c:f>'výkonnost odvětví 3'!$Z$10</c:f>
              <c:strCache>
                <c:ptCount val="1"/>
                <c:pt idx="0">
                  <c:v>Civil engineering works (contribution)</c:v>
                </c:pt>
              </c:strCache>
            </c:strRef>
          </c:tx>
          <c:spPr>
            <a:solidFill>
              <a:srgbClr val="009CB5"/>
            </a:solidFill>
            <a:ln>
              <a:noFill/>
            </a:ln>
          </c:spPr>
          <c:invertIfNegative val="0"/>
          <c:cat>
            <c:multiLvlStrRef>
              <c:f>'výkonnost odvětví 3'!$V$39:$W$75</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'výkonnost odvětví 3'!$Z$39:$Z$75</c:f>
              <c:numCache>
                <c:formatCode>0.0</c:formatCode>
                <c:ptCount val="37"/>
                <c:pt idx="0">
                  <c:v>-4.1473356084740605</c:v>
                </c:pt>
                <c:pt idx="1">
                  <c:v>-1.1362269417632547</c:v>
                </c:pt>
                <c:pt idx="2">
                  <c:v>-1.6997694917449739</c:v>
                </c:pt>
                <c:pt idx="3">
                  <c:v>0.18912136047288933</c:v>
                </c:pt>
                <c:pt idx="4">
                  <c:v>2.313855161184069</c:v>
                </c:pt>
                <c:pt idx="5">
                  <c:v>1.4433818342413158</c:v>
                </c:pt>
                <c:pt idx="6">
                  <c:v>5.805340800033207</c:v>
                </c:pt>
                <c:pt idx="7">
                  <c:v>2.0257219814852485</c:v>
                </c:pt>
                <c:pt idx="8">
                  <c:v>2.8832113797347176</c:v>
                </c:pt>
                <c:pt idx="9">
                  <c:v>2.2916559515195796</c:v>
                </c:pt>
                <c:pt idx="10">
                  <c:v>0.1275103650053056</c:v>
                </c:pt>
                <c:pt idx="11">
                  <c:v>0.80716183036284428</c:v>
                </c:pt>
                <c:pt idx="12">
                  <c:v>2.6239701687748576</c:v>
                </c:pt>
                <c:pt idx="13">
                  <c:v>0.26317263154607262</c:v>
                </c:pt>
                <c:pt idx="14">
                  <c:v>-3.3347590514483532</c:v>
                </c:pt>
                <c:pt idx="15">
                  <c:v>-0.42839190612109307</c:v>
                </c:pt>
                <c:pt idx="16">
                  <c:v>-0.39522301308242569</c:v>
                </c:pt>
                <c:pt idx="17">
                  <c:v>1.8600290235434405</c:v>
                </c:pt>
                <c:pt idx="18">
                  <c:v>0.52162218280948758</c:v>
                </c:pt>
                <c:pt idx="19">
                  <c:v>-1.0553579383328437</c:v>
                </c:pt>
                <c:pt idx="20">
                  <c:v>5.3542662490461961</c:v>
                </c:pt>
                <c:pt idx="21">
                  <c:v>1.3478592062038046</c:v>
                </c:pt>
                <c:pt idx="22">
                  <c:v>0.66736359398673328</c:v>
                </c:pt>
                <c:pt idx="23">
                  <c:v>1.4188446024940988</c:v>
                </c:pt>
                <c:pt idx="24">
                  <c:v>-3.8410888445248759</c:v>
                </c:pt>
                <c:pt idx="25">
                  <c:v>-2.3631236527439059</c:v>
                </c:pt>
                <c:pt idx="26">
                  <c:v>-0.13182183197812178</c:v>
                </c:pt>
                <c:pt idx="27">
                  <c:v>-0.56534456319622506</c:v>
                </c:pt>
                <c:pt idx="28">
                  <c:v>1.1608192067090914</c:v>
                </c:pt>
                <c:pt idx="29">
                  <c:v>-1.4573196686113525</c:v>
                </c:pt>
                <c:pt idx="30">
                  <c:v>0.30856458109758472</c:v>
                </c:pt>
                <c:pt idx="31">
                  <c:v>1.5095691516466947</c:v>
                </c:pt>
                <c:pt idx="32">
                  <c:v>2.8429452920484981</c:v>
                </c:pt>
                <c:pt idx="33">
                  <c:v>4.6745610681433529</c:v>
                </c:pt>
                <c:pt idx="34">
                  <c:v>5.5844079848996229</c:v>
                </c:pt>
                <c:pt idx="35">
                  <c:v>2.8341560537560264</c:v>
                </c:pt>
              </c:numCache>
            </c:numRef>
          </c:val>
          <c:extLst>
            <c:ext xmlns:c16="http://schemas.microsoft.com/office/drawing/2014/chart" uri="{C3380CC4-5D6E-409C-BE32-E72D297353CC}">
              <c16:uniqueId val="{00000001-4D0B-49EF-BB88-BFCEBAE15EB8}"/>
            </c:ext>
          </c:extLst>
        </c:ser>
        <c:dLbls>
          <c:showLegendKey val="0"/>
          <c:showVal val="0"/>
          <c:showCatName val="0"/>
          <c:showSerName val="0"/>
          <c:showPercent val="0"/>
          <c:showBubbleSize val="0"/>
        </c:dLbls>
        <c:gapWidth val="30"/>
        <c:overlap val="100"/>
        <c:axId val="112768128"/>
        <c:axId val="112769664"/>
      </c:barChart>
      <c:lineChart>
        <c:grouping val="standard"/>
        <c:varyColors val="0"/>
        <c:ser>
          <c:idx val="0"/>
          <c:order val="0"/>
          <c:tx>
            <c:strRef>
              <c:f>'výkonnost odvětví 3'!$X$10</c:f>
              <c:strCache>
                <c:ptCount val="1"/>
                <c:pt idx="0">
                  <c:v>Total construction output</c:v>
                </c:pt>
              </c:strCache>
            </c:strRef>
          </c:tx>
          <c:spPr>
            <a:ln>
              <a:noFill/>
            </a:ln>
          </c:spPr>
          <c:marker>
            <c:symbol val="dash"/>
            <c:size val="5"/>
            <c:spPr>
              <a:solidFill>
                <a:schemeClr val="bg1"/>
              </a:solidFill>
              <a:ln>
                <a:solidFill>
                  <a:schemeClr val="tx1">
                    <a:lumMod val="95000"/>
                    <a:lumOff val="5000"/>
                  </a:schemeClr>
                </a:solidFill>
              </a:ln>
            </c:spPr>
          </c:marker>
          <c:cat>
            <c:multiLvlStrRef>
              <c:f>'výkonnost odvětví 3'!$V$39:$W$75</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'výkonnost odvětví 3'!$X$39:$X$75</c:f>
              <c:numCache>
                <c:formatCode>0.0</c:formatCode>
                <c:ptCount val="37"/>
                <c:pt idx="0">
                  <c:v>-2.3288964674777333</c:v>
                </c:pt>
                <c:pt idx="1">
                  <c:v>8.3799597044495187</c:v>
                </c:pt>
                <c:pt idx="2">
                  <c:v>1.5652786039197082</c:v>
                </c:pt>
                <c:pt idx="3">
                  <c:v>2.4971726228915543</c:v>
                </c:pt>
                <c:pt idx="4">
                  <c:v>15.353314524041323</c:v>
                </c:pt>
                <c:pt idx="5">
                  <c:v>7.1284624405346051</c:v>
                </c:pt>
                <c:pt idx="6">
                  <c:v>12.84136926562492</c:v>
                </c:pt>
                <c:pt idx="7">
                  <c:v>4.4126298578942169</c:v>
                </c:pt>
                <c:pt idx="8">
                  <c:v>5.355974896433608</c:v>
                </c:pt>
                <c:pt idx="9">
                  <c:v>5.2258134143760628</c:v>
                </c:pt>
                <c:pt idx="10">
                  <c:v>-0.54784466537280707</c:v>
                </c:pt>
                <c:pt idx="11">
                  <c:v>2.5188573109169852</c:v>
                </c:pt>
                <c:pt idx="12">
                  <c:v>1.9281218528000039</c:v>
                </c:pt>
                <c:pt idx="13">
                  <c:v>-7.489192773100001</c:v>
                </c:pt>
                <c:pt idx="14">
                  <c:v>-10.409380949899997</c:v>
                </c:pt>
                <c:pt idx="15">
                  <c:v>-8.1696229805999963</c:v>
                </c:pt>
                <c:pt idx="16">
                  <c:v>-5.448363291299998</c:v>
                </c:pt>
                <c:pt idx="17">
                  <c:v>4.340077427500006</c:v>
                </c:pt>
                <c:pt idx="18">
                  <c:v>3.2436634414000025</c:v>
                </c:pt>
                <c:pt idx="19">
                  <c:v>4.3475266303999973</c:v>
                </c:pt>
                <c:pt idx="20">
                  <c:v>12.614194286399993</c:v>
                </c:pt>
                <c:pt idx="21">
                  <c:v>4.8707077411999933</c:v>
                </c:pt>
                <c:pt idx="22">
                  <c:v>-9.3499784900004101E-2</c:v>
                </c:pt>
                <c:pt idx="23">
                  <c:v>-2.3343182600001455E-2</c:v>
                </c:pt>
                <c:pt idx="24">
                  <c:v>-1.7625549866999961</c:v>
                </c:pt>
                <c:pt idx="25">
                  <c:v>-4.1571301672999965</c:v>
                </c:pt>
                <c:pt idx="26">
                  <c:v>-0.57602261179999914</c:v>
                </c:pt>
                <c:pt idx="27">
                  <c:v>-2.9117254235000019</c:v>
                </c:pt>
                <c:pt idx="28">
                  <c:v>-3.993495977799995</c:v>
                </c:pt>
                <c:pt idx="29">
                  <c:v>-4.6037206132999984</c:v>
                </c:pt>
                <c:pt idx="30">
                  <c:v>-1.5786533195999937</c:v>
                </c:pt>
                <c:pt idx="31">
                  <c:v>3.1969845301999982</c:v>
                </c:pt>
                <c:pt idx="32">
                  <c:v>9.9480144370999994</c:v>
                </c:pt>
                <c:pt idx="33">
                  <c:v>11.982931347600001</c:v>
                </c:pt>
                <c:pt idx="34">
                  <c:v>13.740578300300001</c:v>
                </c:pt>
                <c:pt idx="35">
                  <c:v>7.7683406686000041</c:v>
                </c:pt>
              </c:numCache>
            </c:numRef>
          </c:val>
          <c:smooth val="0"/>
          <c:extLst>
            <c:ext xmlns:c16="http://schemas.microsoft.com/office/drawing/2014/chart" uri="{C3380CC4-5D6E-409C-BE32-E72D297353CC}">
              <c16:uniqueId val="{00000002-4D0B-49EF-BB88-BFCEBAE15EB8}"/>
            </c:ext>
          </c:extLst>
        </c:ser>
        <c:ser>
          <c:idx val="3"/>
          <c:order val="3"/>
          <c:tx>
            <c:strRef>
              <c:f>'výkonnost odvětví 3'!$AA$10</c:f>
              <c:strCache>
                <c:ptCount val="1"/>
                <c:pt idx="0">
                  <c:v>New domestic construction orders </c:v>
                </c:pt>
              </c:strCache>
            </c:strRef>
          </c:tx>
          <c:spPr>
            <a:ln w="9525">
              <a:solidFill>
                <a:schemeClr val="bg2">
                  <a:lumMod val="50000"/>
                </a:schemeClr>
              </a:solidFill>
              <a:prstDash val="sysDot"/>
            </a:ln>
          </c:spPr>
          <c:marker>
            <c:symbol val="circle"/>
            <c:size val="5"/>
            <c:spPr>
              <a:solidFill>
                <a:srgbClr val="85BF5E"/>
              </a:solidFill>
              <a:ln>
                <a:noFill/>
              </a:ln>
            </c:spPr>
          </c:marker>
          <c:cat>
            <c:multiLvlStrRef>
              <c:f>'výkonnost odvětví 3'!$V$39:$W$75</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'výkonnost odvětví 3'!$AA$39:$AA$75</c:f>
              <c:numCache>
                <c:formatCode>0.0</c:formatCode>
                <c:ptCount val="37"/>
                <c:pt idx="0">
                  <c:v>16.173746788552307</c:v>
                </c:pt>
                <c:pt idx="1">
                  <c:v>9.5373244037895972</c:v>
                </c:pt>
                <c:pt idx="2">
                  <c:v>-1.2817324431350698</c:v>
                </c:pt>
                <c:pt idx="3">
                  <c:v>15.620806693503823</c:v>
                </c:pt>
                <c:pt idx="4">
                  <c:v>30.10697387368856</c:v>
                </c:pt>
                <c:pt idx="5">
                  <c:v>32.836878110611963</c:v>
                </c:pt>
                <c:pt idx="6">
                  <c:v>5.2768249907951201</c:v>
                </c:pt>
                <c:pt idx="7">
                  <c:v>1.8944565811032277</c:v>
                </c:pt>
                <c:pt idx="8">
                  <c:v>14.157231796980014</c:v>
                </c:pt>
                <c:pt idx="9">
                  <c:v>-9.3844758149390373</c:v>
                </c:pt>
                <c:pt idx="10">
                  <c:v>17.407475242057217</c:v>
                </c:pt>
                <c:pt idx="11">
                  <c:v>5.8323004254463768</c:v>
                </c:pt>
                <c:pt idx="12">
                  <c:v>-12.441624458376552</c:v>
                </c:pt>
                <c:pt idx="13">
                  <c:v>7.4967780657944729</c:v>
                </c:pt>
                <c:pt idx="14">
                  <c:v>2.0603176860339403</c:v>
                </c:pt>
                <c:pt idx="15">
                  <c:v>7.5507850088630164</c:v>
                </c:pt>
                <c:pt idx="16">
                  <c:v>28.856340981154375</c:v>
                </c:pt>
                <c:pt idx="17">
                  <c:v>22.0478670382426</c:v>
                </c:pt>
                <c:pt idx="18">
                  <c:v>10.015015612184257</c:v>
                </c:pt>
                <c:pt idx="19">
                  <c:v>1.0053213537781147</c:v>
                </c:pt>
                <c:pt idx="20">
                  <c:v>13.067478460417888</c:v>
                </c:pt>
                <c:pt idx="21">
                  <c:v>17.619167772184284</c:v>
                </c:pt>
                <c:pt idx="22">
                  <c:v>12.421954480552543</c:v>
                </c:pt>
                <c:pt idx="23">
                  <c:v>13.031852753748723</c:v>
                </c:pt>
                <c:pt idx="24">
                  <c:v>-10.144501025957553</c:v>
                </c:pt>
                <c:pt idx="25">
                  <c:v>-18.697561390531931</c:v>
                </c:pt>
                <c:pt idx="26">
                  <c:v>27.514816854662854</c:v>
                </c:pt>
                <c:pt idx="27">
                  <c:v>9.3063425617587683</c:v>
                </c:pt>
                <c:pt idx="28">
                  <c:v>30.48574840110382</c:v>
                </c:pt>
                <c:pt idx="29">
                  <c:v>24.810378988741093</c:v>
                </c:pt>
                <c:pt idx="30">
                  <c:v>-2.1445567903011948</c:v>
                </c:pt>
                <c:pt idx="31">
                  <c:v>17.246427278094785</c:v>
                </c:pt>
                <c:pt idx="32">
                  <c:v>14.966548023920552</c:v>
                </c:pt>
                <c:pt idx="33">
                  <c:v>18.397953312123349</c:v>
                </c:pt>
                <c:pt idx="34">
                  <c:v>8.8509967247769197</c:v>
                </c:pt>
                <c:pt idx="35">
                  <c:v>-2.6142731987564503</c:v>
                </c:pt>
              </c:numCache>
            </c:numRef>
          </c:val>
          <c:smooth val="0"/>
          <c:extLst>
            <c:ext xmlns:c16="http://schemas.microsoft.com/office/drawing/2014/chart" uri="{C3380CC4-5D6E-409C-BE32-E72D297353CC}">
              <c16:uniqueId val="{00000003-4D0B-49EF-BB88-BFCEBAE15EB8}"/>
            </c:ext>
          </c:extLst>
        </c:ser>
        <c:dLbls>
          <c:showLegendKey val="0"/>
          <c:showVal val="0"/>
          <c:showCatName val="0"/>
          <c:showSerName val="0"/>
          <c:showPercent val="0"/>
          <c:showBubbleSize val="0"/>
        </c:dLbls>
        <c:marker val="1"/>
        <c:smooth val="0"/>
        <c:axId val="112768128"/>
        <c:axId val="112769664"/>
      </c:lineChart>
      <c:lineChart>
        <c:grouping val="standard"/>
        <c:varyColors val="0"/>
        <c:ser>
          <c:idx val="4"/>
          <c:order val="4"/>
          <c:tx>
            <c:strRef>
              <c:f>'výkonnost odvětví 3'!$AB$10</c:f>
              <c:strCache>
                <c:ptCount val="1"/>
                <c:pt idx="0">
                  <c:v>Barrier: inadequate demand </c:v>
                </c:pt>
              </c:strCache>
            </c:strRef>
          </c:tx>
          <c:spPr>
            <a:ln w="15875">
              <a:solidFill>
                <a:srgbClr val="8390A7"/>
              </a:solidFill>
              <a:prstDash val="solid"/>
            </a:ln>
          </c:spPr>
          <c:marker>
            <c:symbol val="none"/>
          </c:marker>
          <c:cat>
            <c:multiLvlStrRef>
              <c:f>'výkonnost odvětví 3'!$V$39:$W$75</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'výkonnost odvětví 3'!$AB$39:$AB$75</c:f>
              <c:numCache>
                <c:formatCode>0.0</c:formatCode>
                <c:ptCount val="37"/>
                <c:pt idx="0">
                  <c:v>56</c:v>
                </c:pt>
                <c:pt idx="1">
                  <c:v>54</c:v>
                </c:pt>
                <c:pt idx="2">
                  <c:v>49.4</c:v>
                </c:pt>
                <c:pt idx="3">
                  <c:v>46.9</c:v>
                </c:pt>
                <c:pt idx="4">
                  <c:v>40</c:v>
                </c:pt>
                <c:pt idx="5">
                  <c:v>38.299999999999997</c:v>
                </c:pt>
                <c:pt idx="6">
                  <c:v>33.1</c:v>
                </c:pt>
                <c:pt idx="7">
                  <c:v>24.9</c:v>
                </c:pt>
                <c:pt idx="8">
                  <c:v>25.9</c:v>
                </c:pt>
                <c:pt idx="9">
                  <c:v>25.3</c:v>
                </c:pt>
                <c:pt idx="10">
                  <c:v>19.899999999999999</c:v>
                </c:pt>
                <c:pt idx="11">
                  <c:v>20.7</c:v>
                </c:pt>
                <c:pt idx="12">
                  <c:v>29.7</c:v>
                </c:pt>
                <c:pt idx="13">
                  <c:v>30.3</c:v>
                </c:pt>
                <c:pt idx="14">
                  <c:v>37.9</c:v>
                </c:pt>
                <c:pt idx="15">
                  <c:v>38.200000000000003</c:v>
                </c:pt>
                <c:pt idx="16">
                  <c:v>30.4</c:v>
                </c:pt>
                <c:pt idx="17">
                  <c:v>33.5</c:v>
                </c:pt>
                <c:pt idx="18">
                  <c:v>23.7</c:v>
                </c:pt>
                <c:pt idx="19">
                  <c:v>20</c:v>
                </c:pt>
                <c:pt idx="20">
                  <c:v>21.1</c:v>
                </c:pt>
                <c:pt idx="21">
                  <c:v>20.2</c:v>
                </c:pt>
                <c:pt idx="22">
                  <c:v>19.8</c:v>
                </c:pt>
                <c:pt idx="23">
                  <c:v>22.2</c:v>
                </c:pt>
                <c:pt idx="24">
                  <c:v>30.5</c:v>
                </c:pt>
                <c:pt idx="25">
                  <c:v>31.5</c:v>
                </c:pt>
                <c:pt idx="26">
                  <c:v>34.4</c:v>
                </c:pt>
                <c:pt idx="27">
                  <c:v>29.2</c:v>
                </c:pt>
                <c:pt idx="28">
                  <c:v>22.6</c:v>
                </c:pt>
                <c:pt idx="29">
                  <c:v>22.5</c:v>
                </c:pt>
                <c:pt idx="30">
                  <c:v>23.3</c:v>
                </c:pt>
                <c:pt idx="31">
                  <c:v>25.2</c:v>
                </c:pt>
                <c:pt idx="32">
                  <c:v>26</c:v>
                </c:pt>
                <c:pt idx="33">
                  <c:v>34</c:v>
                </c:pt>
                <c:pt idx="34">
                  <c:v>31.6</c:v>
                </c:pt>
                <c:pt idx="35">
                  <c:v>32.9</c:v>
                </c:pt>
                <c:pt idx="36">
                  <c:v>31.5</c:v>
                </c:pt>
              </c:numCache>
            </c:numRef>
          </c:val>
          <c:smooth val="0"/>
          <c:extLst>
            <c:ext xmlns:c16="http://schemas.microsoft.com/office/drawing/2014/chart" uri="{C3380CC4-5D6E-409C-BE32-E72D297353CC}">
              <c16:uniqueId val="{00000004-4D0B-49EF-BB88-BFCEBAE15EB8}"/>
            </c:ext>
          </c:extLst>
        </c:ser>
        <c:ser>
          <c:idx val="5"/>
          <c:order val="5"/>
          <c:tx>
            <c:strRef>
              <c:f>'výkonnost odvětví 3'!$AC$10</c:f>
              <c:strCache>
                <c:ptCount val="1"/>
                <c:pt idx="0">
                  <c:v>Growth barrier: lack of workers</c:v>
                </c:pt>
              </c:strCache>
            </c:strRef>
          </c:tx>
          <c:spPr>
            <a:ln w="15875">
              <a:solidFill>
                <a:srgbClr val="858972"/>
              </a:solidFill>
              <a:prstDash val="sysDash"/>
            </a:ln>
          </c:spPr>
          <c:marker>
            <c:symbol val="none"/>
          </c:marker>
          <c:cat>
            <c:multiLvlStrRef>
              <c:f>'výkonnost odvětví 3'!$V$39:$W$75</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'výkonnost odvětví 3'!$AC$39:$AC$75</c:f>
              <c:numCache>
                <c:formatCode>0.0</c:formatCode>
                <c:ptCount val="37"/>
                <c:pt idx="0">
                  <c:v>13.6</c:v>
                </c:pt>
                <c:pt idx="1">
                  <c:v>14.8</c:v>
                </c:pt>
                <c:pt idx="2">
                  <c:v>21.9</c:v>
                </c:pt>
                <c:pt idx="3">
                  <c:v>21.5</c:v>
                </c:pt>
                <c:pt idx="4">
                  <c:v>26.4</c:v>
                </c:pt>
                <c:pt idx="5">
                  <c:v>30.1</c:v>
                </c:pt>
                <c:pt idx="6">
                  <c:v>28.8</c:v>
                </c:pt>
                <c:pt idx="7">
                  <c:v>38.9</c:v>
                </c:pt>
                <c:pt idx="8">
                  <c:v>35.6</c:v>
                </c:pt>
                <c:pt idx="9">
                  <c:v>43.4</c:v>
                </c:pt>
                <c:pt idx="10">
                  <c:v>51</c:v>
                </c:pt>
                <c:pt idx="11">
                  <c:v>47</c:v>
                </c:pt>
                <c:pt idx="12">
                  <c:v>50.5</c:v>
                </c:pt>
                <c:pt idx="13">
                  <c:v>46</c:v>
                </c:pt>
                <c:pt idx="14">
                  <c:v>36.299999999999997</c:v>
                </c:pt>
                <c:pt idx="15">
                  <c:v>32.6</c:v>
                </c:pt>
                <c:pt idx="16">
                  <c:v>46.6</c:v>
                </c:pt>
                <c:pt idx="17">
                  <c:v>31.7</c:v>
                </c:pt>
                <c:pt idx="18">
                  <c:v>41.9</c:v>
                </c:pt>
                <c:pt idx="19">
                  <c:v>43.2</c:v>
                </c:pt>
                <c:pt idx="20">
                  <c:v>55.6</c:v>
                </c:pt>
                <c:pt idx="21">
                  <c:v>44.3</c:v>
                </c:pt>
                <c:pt idx="22">
                  <c:v>40</c:v>
                </c:pt>
                <c:pt idx="23">
                  <c:v>48.1</c:v>
                </c:pt>
                <c:pt idx="24">
                  <c:v>38.4</c:v>
                </c:pt>
                <c:pt idx="25">
                  <c:v>35.5</c:v>
                </c:pt>
                <c:pt idx="26">
                  <c:v>30.8</c:v>
                </c:pt>
                <c:pt idx="27">
                  <c:v>31.5</c:v>
                </c:pt>
                <c:pt idx="28">
                  <c:v>52.8</c:v>
                </c:pt>
                <c:pt idx="29">
                  <c:v>46.7</c:v>
                </c:pt>
                <c:pt idx="30">
                  <c:v>42.8</c:v>
                </c:pt>
                <c:pt idx="31">
                  <c:v>42.6</c:v>
                </c:pt>
                <c:pt idx="32">
                  <c:v>53.7</c:v>
                </c:pt>
                <c:pt idx="33">
                  <c:v>49.3</c:v>
                </c:pt>
                <c:pt idx="34">
                  <c:v>46.7</c:v>
                </c:pt>
                <c:pt idx="35">
                  <c:v>43.8</c:v>
                </c:pt>
                <c:pt idx="36">
                  <c:v>56.6</c:v>
                </c:pt>
              </c:numCache>
            </c:numRef>
          </c:val>
          <c:smooth val="0"/>
          <c:extLst>
            <c:ext xmlns:c16="http://schemas.microsoft.com/office/drawing/2014/chart" uri="{C3380CC4-5D6E-409C-BE32-E72D297353CC}">
              <c16:uniqueId val="{00000005-4D0B-49EF-BB88-BFCEBAE15EB8}"/>
            </c:ext>
          </c:extLst>
        </c:ser>
        <c:ser>
          <c:idx val="6"/>
          <c:order val="6"/>
          <c:tx>
            <c:strRef>
              <c:f>'výkonnost odvětví 3'!$AD$10</c:f>
              <c:strCache>
                <c:ptCount val="1"/>
                <c:pt idx="0">
                  <c:v>Barrier: shortage of material/equipment</c:v>
                </c:pt>
              </c:strCache>
            </c:strRef>
          </c:tx>
          <c:spPr>
            <a:ln w="15875">
              <a:solidFill>
                <a:srgbClr val="B8BBC0"/>
              </a:solidFill>
              <a:prstDash val="dash"/>
            </a:ln>
          </c:spPr>
          <c:marker>
            <c:symbol val="none"/>
          </c:marker>
          <c:cat>
            <c:multiLvlStrRef>
              <c:f>'výkonnost odvětví 3'!$V$39:$W$75</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'výkonnost odvětví 3'!$AD$39:$AD$75</c:f>
              <c:numCache>
                <c:formatCode>0.0</c:formatCode>
                <c:ptCount val="37"/>
                <c:pt idx="0">
                  <c:v>0.8</c:v>
                </c:pt>
                <c:pt idx="1">
                  <c:v>0.3</c:v>
                </c:pt>
                <c:pt idx="2">
                  <c:v>2.8</c:v>
                </c:pt>
                <c:pt idx="3">
                  <c:v>4</c:v>
                </c:pt>
                <c:pt idx="4">
                  <c:v>6</c:v>
                </c:pt>
                <c:pt idx="5">
                  <c:v>1.2</c:v>
                </c:pt>
                <c:pt idx="6">
                  <c:v>6.3</c:v>
                </c:pt>
                <c:pt idx="7">
                  <c:v>3.3</c:v>
                </c:pt>
                <c:pt idx="8">
                  <c:v>4.8</c:v>
                </c:pt>
                <c:pt idx="9">
                  <c:v>5.7</c:v>
                </c:pt>
                <c:pt idx="10">
                  <c:v>4.8</c:v>
                </c:pt>
                <c:pt idx="11">
                  <c:v>3.8</c:v>
                </c:pt>
                <c:pt idx="12">
                  <c:v>2.4</c:v>
                </c:pt>
                <c:pt idx="13">
                  <c:v>3.4</c:v>
                </c:pt>
                <c:pt idx="14">
                  <c:v>0.8</c:v>
                </c:pt>
                <c:pt idx="15">
                  <c:v>0.6</c:v>
                </c:pt>
                <c:pt idx="16">
                  <c:v>1.8</c:v>
                </c:pt>
                <c:pt idx="17">
                  <c:v>4.3</c:v>
                </c:pt>
                <c:pt idx="18">
                  <c:v>15.8</c:v>
                </c:pt>
                <c:pt idx="19">
                  <c:v>22.6</c:v>
                </c:pt>
                <c:pt idx="20">
                  <c:v>25.2</c:v>
                </c:pt>
                <c:pt idx="21">
                  <c:v>41.3</c:v>
                </c:pt>
                <c:pt idx="22">
                  <c:v>38.1</c:v>
                </c:pt>
                <c:pt idx="23">
                  <c:v>23.2</c:v>
                </c:pt>
                <c:pt idx="24">
                  <c:v>20</c:v>
                </c:pt>
                <c:pt idx="25">
                  <c:v>17</c:v>
                </c:pt>
                <c:pt idx="26">
                  <c:v>12.5</c:v>
                </c:pt>
                <c:pt idx="27">
                  <c:v>13.8</c:v>
                </c:pt>
                <c:pt idx="28">
                  <c:v>23</c:v>
                </c:pt>
                <c:pt idx="29">
                  <c:v>22.2</c:v>
                </c:pt>
                <c:pt idx="30">
                  <c:v>21.7</c:v>
                </c:pt>
                <c:pt idx="31">
                  <c:v>17.899999999999999</c:v>
                </c:pt>
                <c:pt idx="32">
                  <c:v>16</c:v>
                </c:pt>
                <c:pt idx="33">
                  <c:v>5.3</c:v>
                </c:pt>
                <c:pt idx="34">
                  <c:v>5.3</c:v>
                </c:pt>
                <c:pt idx="35">
                  <c:v>4.2</c:v>
                </c:pt>
                <c:pt idx="36">
                  <c:v>4.3</c:v>
                </c:pt>
              </c:numCache>
            </c:numRef>
          </c:val>
          <c:smooth val="0"/>
          <c:extLst>
            <c:ext xmlns:c16="http://schemas.microsoft.com/office/drawing/2014/chart" uri="{C3380CC4-5D6E-409C-BE32-E72D297353CC}">
              <c16:uniqueId val="{00000006-4D0B-49EF-BB88-BFCEBAE15EB8}"/>
            </c:ext>
          </c:extLst>
        </c:ser>
        <c:ser>
          <c:idx val="7"/>
          <c:order val="7"/>
          <c:tx>
            <c:strRef>
              <c:f>'výkonnost odvětví 3'!$AE$10</c:f>
              <c:strCache>
                <c:ptCount val="1"/>
                <c:pt idx="0">
                  <c:v>Confidence indicator in construction </c:v>
                </c:pt>
              </c:strCache>
            </c:strRef>
          </c:tx>
          <c:spPr>
            <a:ln w="15875">
              <a:solidFill>
                <a:schemeClr val="bg2">
                  <a:lumMod val="50000"/>
                </a:schemeClr>
              </a:solidFill>
              <a:prstDash val="sysDot"/>
            </a:ln>
          </c:spPr>
          <c:marker>
            <c:symbol val="diamond"/>
            <c:size val="5"/>
            <c:spPr>
              <a:solidFill>
                <a:srgbClr val="E6C45B"/>
              </a:solidFill>
              <a:ln>
                <a:solidFill>
                  <a:srgbClr val="E6C45B"/>
                </a:solidFill>
              </a:ln>
            </c:spPr>
          </c:marker>
          <c:cat>
            <c:multiLvlStrRef>
              <c:f>'výkonnost odvětví 3'!$V$39:$W$75</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'výkonnost odvětví 3'!$AE$39:$AE$75</c:f>
              <c:numCache>
                <c:formatCode>0.0</c:formatCode>
                <c:ptCount val="37"/>
                <c:pt idx="0">
                  <c:v>-22.5</c:v>
                </c:pt>
                <c:pt idx="1">
                  <c:v>-24.5</c:v>
                </c:pt>
                <c:pt idx="2">
                  <c:v>-18.5</c:v>
                </c:pt>
                <c:pt idx="3">
                  <c:v>-15</c:v>
                </c:pt>
                <c:pt idx="4">
                  <c:v>-9</c:v>
                </c:pt>
                <c:pt idx="5">
                  <c:v>-6</c:v>
                </c:pt>
                <c:pt idx="6">
                  <c:v>-2</c:v>
                </c:pt>
                <c:pt idx="7">
                  <c:v>1</c:v>
                </c:pt>
                <c:pt idx="8">
                  <c:v>3.5</c:v>
                </c:pt>
                <c:pt idx="9">
                  <c:v>4</c:v>
                </c:pt>
                <c:pt idx="10">
                  <c:v>-1</c:v>
                </c:pt>
                <c:pt idx="11">
                  <c:v>1</c:v>
                </c:pt>
                <c:pt idx="12">
                  <c:v>-3</c:v>
                </c:pt>
                <c:pt idx="13">
                  <c:v>-15</c:v>
                </c:pt>
                <c:pt idx="14">
                  <c:v>-13</c:v>
                </c:pt>
                <c:pt idx="15">
                  <c:v>-11.5</c:v>
                </c:pt>
                <c:pt idx="16">
                  <c:v>-6</c:v>
                </c:pt>
                <c:pt idx="17">
                  <c:v>-5.5</c:v>
                </c:pt>
                <c:pt idx="18">
                  <c:v>-4.5</c:v>
                </c:pt>
                <c:pt idx="19">
                  <c:v>-6.5</c:v>
                </c:pt>
                <c:pt idx="20">
                  <c:v>6.5</c:v>
                </c:pt>
                <c:pt idx="21">
                  <c:v>-2</c:v>
                </c:pt>
                <c:pt idx="22">
                  <c:v>-9</c:v>
                </c:pt>
                <c:pt idx="23">
                  <c:v>-4.5</c:v>
                </c:pt>
                <c:pt idx="24">
                  <c:v>-11.5</c:v>
                </c:pt>
                <c:pt idx="25">
                  <c:v>-15.5</c:v>
                </c:pt>
                <c:pt idx="26">
                  <c:v>-16.5</c:v>
                </c:pt>
                <c:pt idx="27">
                  <c:v>-11</c:v>
                </c:pt>
                <c:pt idx="28">
                  <c:v>-7</c:v>
                </c:pt>
                <c:pt idx="29">
                  <c:v>-14</c:v>
                </c:pt>
                <c:pt idx="30">
                  <c:v>-12</c:v>
                </c:pt>
                <c:pt idx="31">
                  <c:v>-5</c:v>
                </c:pt>
                <c:pt idx="32">
                  <c:v>-4</c:v>
                </c:pt>
                <c:pt idx="33">
                  <c:v>-4</c:v>
                </c:pt>
                <c:pt idx="34">
                  <c:v>2.5</c:v>
                </c:pt>
                <c:pt idx="35">
                  <c:v>-4.5</c:v>
                </c:pt>
                <c:pt idx="36">
                  <c:v>-2</c:v>
                </c:pt>
              </c:numCache>
            </c:numRef>
          </c:val>
          <c:smooth val="0"/>
          <c:extLst>
            <c:ext xmlns:c16="http://schemas.microsoft.com/office/drawing/2014/chart" uri="{C3380CC4-5D6E-409C-BE32-E72D297353CC}">
              <c16:uniqueId val="{00000007-4D0B-49EF-BB88-BFCEBAE15EB8}"/>
            </c:ext>
          </c:extLst>
        </c:ser>
        <c:dLbls>
          <c:showLegendKey val="0"/>
          <c:showVal val="0"/>
          <c:showCatName val="0"/>
          <c:showSerName val="0"/>
          <c:showPercent val="0"/>
          <c:showBubbleSize val="0"/>
        </c:dLbls>
        <c:marker val="1"/>
        <c:smooth val="0"/>
        <c:axId val="1118074639"/>
        <c:axId val="1118080463"/>
      </c:lineChart>
      <c:catAx>
        <c:axId val="112768128"/>
        <c:scaling>
          <c:orientation val="minMax"/>
        </c:scaling>
        <c:delete val="0"/>
        <c:axPos val="b"/>
        <c:numFmt formatCode="General" sourceLinked="1"/>
        <c:majorTickMark val="out"/>
        <c:minorTickMark val="none"/>
        <c:tickLblPos val="low"/>
        <c:txPr>
          <a:bodyPr/>
          <a:lstStyle/>
          <a:p>
            <a:pPr>
              <a:defRPr sz="800">
                <a:latin typeface="Arial" pitchFamily="34" charset="0"/>
                <a:cs typeface="Arial" pitchFamily="34" charset="0"/>
              </a:defRPr>
            </a:pPr>
            <a:endParaRPr lang="cs-CZ"/>
          </a:p>
        </c:txPr>
        <c:crossAx val="112769664"/>
        <c:crosses val="autoZero"/>
        <c:auto val="1"/>
        <c:lblAlgn val="ctr"/>
        <c:lblOffset val="0"/>
        <c:noMultiLvlLbl val="0"/>
      </c:catAx>
      <c:valAx>
        <c:axId val="112769664"/>
        <c:scaling>
          <c:orientation val="minMax"/>
          <c:max val="70"/>
          <c:min val="-20"/>
        </c:scaling>
        <c:delete val="0"/>
        <c:axPos val="l"/>
        <c:majorGridlines>
          <c:spPr>
            <a:ln>
              <a:solidFill>
                <a:srgbClr val="BEBEBE"/>
              </a:solidFill>
            </a:ln>
          </c:spPr>
        </c:majorGridlines>
        <c:title>
          <c:tx>
            <c:rich>
              <a:bodyPr/>
              <a:lstStyle/>
              <a:p>
                <a:pPr>
                  <a:defRPr sz="700" b="0" i="1">
                    <a:latin typeface="Arial" panose="020B0604020202020204" pitchFamily="34" charset="0"/>
                    <a:cs typeface="Arial" panose="020B0604020202020204" pitchFamily="34" charset="0"/>
                  </a:defRPr>
                </a:pPr>
                <a:r>
                  <a:rPr lang="cs-CZ" sz="700" b="0" i="1">
                    <a:latin typeface="Arial" panose="020B0604020202020204" pitchFamily="34" charset="0"/>
                    <a:cs typeface="Arial" panose="020B0604020202020204" pitchFamily="34" charset="0"/>
                  </a:rPr>
                  <a:t>Orders, Contribution to change of construction output</a:t>
                </a:r>
              </a:p>
            </c:rich>
          </c:tx>
          <c:overlay val="0"/>
        </c:title>
        <c:numFmt formatCode="0" sourceLinked="0"/>
        <c:majorTickMark val="out"/>
        <c:minorTickMark val="none"/>
        <c:tickLblPos val="nextTo"/>
        <c:txPr>
          <a:bodyPr/>
          <a:lstStyle/>
          <a:p>
            <a:pPr>
              <a:defRPr sz="800">
                <a:latin typeface="Arial" pitchFamily="34" charset="0"/>
                <a:cs typeface="Arial" pitchFamily="34" charset="0"/>
              </a:defRPr>
            </a:pPr>
            <a:endParaRPr lang="cs-CZ"/>
          </a:p>
        </c:txPr>
        <c:crossAx val="112768128"/>
        <c:crosses val="autoZero"/>
        <c:crossBetween val="between"/>
        <c:majorUnit val="10"/>
      </c:valAx>
      <c:valAx>
        <c:axId val="1118080463"/>
        <c:scaling>
          <c:orientation val="minMax"/>
          <c:max val="80"/>
          <c:min val="-100"/>
        </c:scaling>
        <c:delete val="0"/>
        <c:axPos val="r"/>
        <c:title>
          <c:tx>
            <c:rich>
              <a:bodyPr/>
              <a:lstStyle/>
              <a:p>
                <a:pPr>
                  <a:defRPr sz="700" b="0" i="1">
                    <a:latin typeface="Arial" panose="020B0604020202020204" pitchFamily="34" charset="0"/>
                    <a:cs typeface="Arial" panose="020B0604020202020204" pitchFamily="34" charset="0"/>
                  </a:defRPr>
                </a:pPr>
                <a:r>
                  <a:rPr lang="cs-CZ" sz="700" b="0" i="1">
                    <a:latin typeface="Arial" panose="020B0604020202020204" pitchFamily="34" charset="0"/>
                    <a:cs typeface="Arial" panose="020B0604020202020204" pitchFamily="34" charset="0"/>
                  </a:rPr>
                  <a:t>Confidence indicator, Growth barriers</a:t>
                </a:r>
              </a:p>
            </c:rich>
          </c:tx>
          <c:layout>
            <c:manualLayout>
              <c:xMode val="edge"/>
              <c:yMode val="edge"/>
              <c:x val="0.97089424469906493"/>
              <c:y val="0.16190152230971128"/>
            </c:manualLayout>
          </c:layout>
          <c:overlay val="0"/>
        </c:title>
        <c:numFmt formatCode="0" sourceLinked="0"/>
        <c:majorTickMark val="out"/>
        <c:minorTickMark val="none"/>
        <c:tickLblPos val="nextTo"/>
        <c:txPr>
          <a:bodyPr/>
          <a:lstStyle/>
          <a:p>
            <a:pPr>
              <a:defRPr sz="800">
                <a:latin typeface="Arial" panose="020B0604020202020204" pitchFamily="34" charset="0"/>
                <a:cs typeface="Arial" panose="020B0604020202020204" pitchFamily="34" charset="0"/>
              </a:defRPr>
            </a:pPr>
            <a:endParaRPr lang="cs-CZ"/>
          </a:p>
        </c:txPr>
        <c:crossAx val="1118074639"/>
        <c:crosses val="max"/>
        <c:crossBetween val="between"/>
        <c:majorUnit val="20"/>
      </c:valAx>
      <c:catAx>
        <c:axId val="1118074639"/>
        <c:scaling>
          <c:orientation val="minMax"/>
        </c:scaling>
        <c:delete val="1"/>
        <c:axPos val="b"/>
        <c:numFmt formatCode="General" sourceLinked="1"/>
        <c:majorTickMark val="out"/>
        <c:minorTickMark val="none"/>
        <c:tickLblPos val="nextTo"/>
        <c:crossAx val="1118080463"/>
        <c:crosses val="autoZero"/>
        <c:auto val="1"/>
        <c:lblAlgn val="ctr"/>
        <c:lblOffset val="100"/>
        <c:noMultiLvlLbl val="0"/>
      </c:catAx>
      <c:spPr>
        <a:noFill/>
        <a:ln w="6350">
          <a:solidFill>
            <a:prstClr val="black">
              <a:lumMod val="95000"/>
              <a:lumOff val="5000"/>
            </a:prstClr>
          </a:solidFill>
        </a:ln>
      </c:spPr>
    </c:plotArea>
    <c:legend>
      <c:legendPos val="r"/>
      <c:layout>
        <c:manualLayout>
          <c:xMode val="edge"/>
          <c:yMode val="edge"/>
          <c:x val="7.6126793553942364E-3"/>
          <c:y val="0.85936703322638608"/>
          <c:w val="0.9801437714811797"/>
          <c:h val="0.13362821778942557"/>
        </c:manualLayout>
      </c:layout>
      <c:overlay val="0"/>
      <c:spPr>
        <a:ln w="6350">
          <a:solidFill>
            <a:prstClr val="black">
              <a:lumMod val="95000"/>
              <a:lumOff val="5000"/>
            </a:prstClr>
          </a:solidFill>
        </a:ln>
      </c:spPr>
      <c:txPr>
        <a:bodyPr/>
        <a:lstStyle/>
        <a:p>
          <a:pPr>
            <a:defRPr sz="750">
              <a:latin typeface="Arial" pitchFamily="34" charset="0"/>
              <a:cs typeface="Arial" pitchFamily="34" charset="0"/>
            </a:defRPr>
          </a:pPr>
          <a:endParaRPr lang="cs-CZ"/>
        </a:p>
      </c:txPr>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3695346289980312E-2"/>
          <c:y val="1.5663550999370279E-2"/>
          <c:w val="0.84705426627949598"/>
          <c:h val="0.72173975637017407"/>
        </c:manualLayout>
      </c:layout>
      <c:barChart>
        <c:barDir val="col"/>
        <c:grouping val="stacked"/>
        <c:varyColors val="0"/>
        <c:ser>
          <c:idx val="1"/>
          <c:order val="1"/>
          <c:tx>
            <c:strRef>
              <c:f>'Služby-příspěvky k růstu-4'!$D$33</c:f>
              <c:strCache>
                <c:ptCount val="1"/>
                <c:pt idx="0">
                  <c:v>Transportation and storage (p.p.)</c:v>
                </c:pt>
              </c:strCache>
            </c:strRef>
          </c:tx>
          <c:spPr>
            <a:solidFill>
              <a:srgbClr val="85BF5E"/>
            </a:solidFill>
            <a:ln>
              <a:noFill/>
            </a:ln>
          </c:spPr>
          <c:invertIfNegative val="0"/>
          <c:cat>
            <c:multiLvlStrRef>
              <c:f>'Služby-příspěvky k růstu-4'!$A$54:$B$90</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'Služby-příspěvky k růstu-4'!$D$54:$D$90</c:f>
              <c:numCache>
                <c:formatCode>0.0</c:formatCode>
                <c:ptCount val="37"/>
                <c:pt idx="0">
                  <c:v>1.5263972119400016</c:v>
                </c:pt>
                <c:pt idx="1">
                  <c:v>1.1521454566619995</c:v>
                </c:pt>
                <c:pt idx="2">
                  <c:v>1.0720497862294982</c:v>
                </c:pt>
                <c:pt idx="3">
                  <c:v>0.58918413629500188</c:v>
                </c:pt>
                <c:pt idx="4">
                  <c:v>1.7082299710979987</c:v>
                </c:pt>
                <c:pt idx="5">
                  <c:v>1.8083069263660012</c:v>
                </c:pt>
                <c:pt idx="6">
                  <c:v>1.4974720441600007</c:v>
                </c:pt>
                <c:pt idx="7">
                  <c:v>0.47561421751099942</c:v>
                </c:pt>
                <c:pt idx="8">
                  <c:v>8.7578802067999673E-2</c:v>
                </c:pt>
                <c:pt idx="9">
                  <c:v>-0.12479570965699863</c:v>
                </c:pt>
                <c:pt idx="10">
                  <c:v>-0.33009412391300075</c:v>
                </c:pt>
                <c:pt idx="11">
                  <c:v>-6.4047576908001405E-2</c:v>
                </c:pt>
                <c:pt idx="12">
                  <c:v>-1.5377184525560006</c:v>
                </c:pt>
                <c:pt idx="13">
                  <c:v>-6.3637634696130005</c:v>
                </c:pt>
                <c:pt idx="14">
                  <c:v>-3.934521076104728</c:v>
                </c:pt>
                <c:pt idx="15">
                  <c:v>-1.3585310721215986</c:v>
                </c:pt>
                <c:pt idx="16">
                  <c:v>0.3485705495405001</c:v>
                </c:pt>
                <c:pt idx="17">
                  <c:v>6.4654016349024008</c:v>
                </c:pt>
                <c:pt idx="18">
                  <c:v>3.6945235606700009</c:v>
                </c:pt>
                <c:pt idx="19">
                  <c:v>3.3121137866018078</c:v>
                </c:pt>
                <c:pt idx="20">
                  <c:v>3.941437873437065</c:v>
                </c:pt>
                <c:pt idx="21">
                  <c:v>4.0146538354025321</c:v>
                </c:pt>
                <c:pt idx="22">
                  <c:v>3.2327008007835936</c:v>
                </c:pt>
                <c:pt idx="23">
                  <c:v>0.6986528346455998</c:v>
                </c:pt>
                <c:pt idx="24">
                  <c:v>-1.2205103635839987</c:v>
                </c:pt>
                <c:pt idx="25">
                  <c:v>-3.0846310875990697</c:v>
                </c:pt>
                <c:pt idx="26">
                  <c:v>-3.4620811413295405</c:v>
                </c:pt>
                <c:pt idx="27">
                  <c:v>-2.6102747168486595</c:v>
                </c:pt>
                <c:pt idx="28">
                  <c:v>0.23136625295890914</c:v>
                </c:pt>
                <c:pt idx="29">
                  <c:v>1.1297570185805759</c:v>
                </c:pt>
                <c:pt idx="30">
                  <c:v>1.5852865187527032</c:v>
                </c:pt>
                <c:pt idx="31">
                  <c:v>1.3972952454802492</c:v>
                </c:pt>
                <c:pt idx="32">
                  <c:v>0.6661817143952623</c:v>
                </c:pt>
                <c:pt idx="33">
                  <c:v>0.53419753849083862</c:v>
                </c:pt>
                <c:pt idx="34" formatCode="##0.0">
                  <c:v>-0.25868732280307255</c:v>
                </c:pt>
                <c:pt idx="35" formatCode="##0.0">
                  <c:v>0.32743900783037311</c:v>
                </c:pt>
              </c:numCache>
            </c:numRef>
          </c:val>
          <c:extLst>
            <c:ext xmlns:c16="http://schemas.microsoft.com/office/drawing/2014/chart" uri="{C3380CC4-5D6E-409C-BE32-E72D297353CC}">
              <c16:uniqueId val="{00000000-E6DF-445E-B9D2-E2FCCA299BA7}"/>
            </c:ext>
          </c:extLst>
        </c:ser>
        <c:ser>
          <c:idx val="2"/>
          <c:order val="2"/>
          <c:tx>
            <c:strRef>
              <c:f>'Služby-příspěvky k růstu-4'!$E$33</c:f>
              <c:strCache>
                <c:ptCount val="1"/>
                <c:pt idx="0">
                  <c:v>Accommodation, food service activities (p.p.)</c:v>
                </c:pt>
              </c:strCache>
            </c:strRef>
          </c:tx>
          <c:spPr>
            <a:solidFill>
              <a:srgbClr val="9FC9D7"/>
            </a:solidFill>
            <a:ln>
              <a:noFill/>
            </a:ln>
          </c:spPr>
          <c:invertIfNegative val="0"/>
          <c:cat>
            <c:multiLvlStrRef>
              <c:f>'Služby-příspěvky k růstu-4'!$A$54:$B$90</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'Služby-příspěvky k růstu-4'!$E$54:$E$90</c:f>
              <c:numCache>
                <c:formatCode>0.0</c:formatCode>
                <c:ptCount val="37"/>
                <c:pt idx="0">
                  <c:v>0.91096663563750013</c:v>
                </c:pt>
                <c:pt idx="1">
                  <c:v>1.2304877458891996</c:v>
                </c:pt>
                <c:pt idx="2">
                  <c:v>0.55493142006040053</c:v>
                </c:pt>
                <c:pt idx="3">
                  <c:v>0.45642475154119982</c:v>
                </c:pt>
                <c:pt idx="4">
                  <c:v>0.20160703635719993</c:v>
                </c:pt>
                <c:pt idx="5">
                  <c:v>5.4186477104800478E-2</c:v>
                </c:pt>
                <c:pt idx="6">
                  <c:v>6.304785530440038E-2</c:v>
                </c:pt>
                <c:pt idx="7">
                  <c:v>-3.5769700815199798E-2</c:v>
                </c:pt>
                <c:pt idx="8">
                  <c:v>-0.36389872223099973</c:v>
                </c:pt>
                <c:pt idx="9">
                  <c:v>-0.67075056773680031</c:v>
                </c:pt>
                <c:pt idx="10">
                  <c:v>0.56238486272900035</c:v>
                </c:pt>
                <c:pt idx="11">
                  <c:v>0.81049357889639961</c:v>
                </c:pt>
                <c:pt idx="12">
                  <c:v>-1.0128920367128378</c:v>
                </c:pt>
                <c:pt idx="13">
                  <c:v>-4.7570396620580002</c:v>
                </c:pt>
                <c:pt idx="14">
                  <c:v>-1.8801498047572016</c:v>
                </c:pt>
                <c:pt idx="15">
                  <c:v>-4.4950874362854814</c:v>
                </c:pt>
                <c:pt idx="16">
                  <c:v>-3.6427251882312501</c:v>
                </c:pt>
                <c:pt idx="17">
                  <c:v>1.4037378448911324</c:v>
                </c:pt>
                <c:pt idx="18">
                  <c:v>0.65956457504429966</c:v>
                </c:pt>
                <c:pt idx="19">
                  <c:v>2.8954177718329572</c:v>
                </c:pt>
                <c:pt idx="20">
                  <c:v>2.8323902906459999</c:v>
                </c:pt>
                <c:pt idx="21">
                  <c:v>2.435136189891193</c:v>
                </c:pt>
                <c:pt idx="22">
                  <c:v>-0.4578613660474572</c:v>
                </c:pt>
                <c:pt idx="23">
                  <c:v>0.56715158973689961</c:v>
                </c:pt>
                <c:pt idx="24">
                  <c:v>0.47226803810000034</c:v>
                </c:pt>
                <c:pt idx="25">
                  <c:v>-2.9181983171386136E-2</c:v>
                </c:pt>
                <c:pt idx="26">
                  <c:v>0.13057911183302909</c:v>
                </c:pt>
                <c:pt idx="27">
                  <c:v>7.6430683538271954E-2</c:v>
                </c:pt>
                <c:pt idx="28">
                  <c:v>0.20156376207540999</c:v>
                </c:pt>
                <c:pt idx="29">
                  <c:v>0.17225875056711848</c:v>
                </c:pt>
                <c:pt idx="30" formatCode="0.00">
                  <c:v>-0.15262614105368355</c:v>
                </c:pt>
                <c:pt idx="31">
                  <c:v>-2.0668311154938869E-3</c:v>
                </c:pt>
                <c:pt idx="32">
                  <c:v>-7.5031381527710161E-2</c:v>
                </c:pt>
                <c:pt idx="33">
                  <c:v>0.2055030621485589</c:v>
                </c:pt>
                <c:pt idx="34" formatCode="##0.0">
                  <c:v>0.15989323625132368</c:v>
                </c:pt>
                <c:pt idx="35" formatCode="##0.0">
                  <c:v>0.10355033886342234</c:v>
                </c:pt>
              </c:numCache>
            </c:numRef>
          </c:val>
          <c:extLst>
            <c:ext xmlns:c16="http://schemas.microsoft.com/office/drawing/2014/chart" uri="{C3380CC4-5D6E-409C-BE32-E72D297353CC}">
              <c16:uniqueId val="{00000001-E6DF-445E-B9D2-E2FCCA299BA7}"/>
            </c:ext>
          </c:extLst>
        </c:ser>
        <c:ser>
          <c:idx val="3"/>
          <c:order val="3"/>
          <c:tx>
            <c:strRef>
              <c:f>'Služby-příspěvky k růstu-4'!$F$33</c:f>
              <c:strCache>
                <c:ptCount val="1"/>
                <c:pt idx="0">
                  <c:v>Information and communication (p.p.)</c:v>
                </c:pt>
              </c:strCache>
            </c:strRef>
          </c:tx>
          <c:spPr>
            <a:solidFill>
              <a:srgbClr val="E6C45B"/>
            </a:solidFill>
            <a:ln w="9525">
              <a:noFill/>
              <a:prstDash val="sysDot"/>
            </a:ln>
          </c:spPr>
          <c:invertIfNegative val="0"/>
          <c:cat>
            <c:multiLvlStrRef>
              <c:f>'Služby-příspěvky k růstu-4'!$A$54:$B$90</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'Služby-příspěvky k růstu-4'!$F$54:$F$90</c:f>
              <c:numCache>
                <c:formatCode>0.0</c:formatCode>
                <c:ptCount val="37"/>
                <c:pt idx="0">
                  <c:v>0.79975113924000141</c:v>
                </c:pt>
                <c:pt idx="1">
                  <c:v>0.86680100254300019</c:v>
                </c:pt>
                <c:pt idx="2">
                  <c:v>0.7085217628999998</c:v>
                </c:pt>
                <c:pt idx="3">
                  <c:v>0.58371605800999971</c:v>
                </c:pt>
                <c:pt idx="4">
                  <c:v>1.4561011044459988</c:v>
                </c:pt>
                <c:pt idx="5">
                  <c:v>0.80755492679599916</c:v>
                </c:pt>
                <c:pt idx="6">
                  <c:v>1.4696943404520006</c:v>
                </c:pt>
                <c:pt idx="7">
                  <c:v>1.0851966136360012</c:v>
                </c:pt>
                <c:pt idx="8">
                  <c:v>0.5897957895590008</c:v>
                </c:pt>
                <c:pt idx="9">
                  <c:v>1.4271581528860011</c:v>
                </c:pt>
                <c:pt idx="10">
                  <c:v>1.6628200479000008</c:v>
                </c:pt>
                <c:pt idx="11">
                  <c:v>0.8045399962857992</c:v>
                </c:pt>
                <c:pt idx="12">
                  <c:v>0.70533263821849879</c:v>
                </c:pt>
                <c:pt idx="13">
                  <c:v>-0.13049924960159906</c:v>
                </c:pt>
                <c:pt idx="14">
                  <c:v>-0.44751399710599854</c:v>
                </c:pt>
                <c:pt idx="15">
                  <c:v>-0.76987000599350008</c:v>
                </c:pt>
                <c:pt idx="16">
                  <c:v>0.73358769341499996</c:v>
                </c:pt>
                <c:pt idx="17">
                  <c:v>1.7119328870655743</c:v>
                </c:pt>
                <c:pt idx="18">
                  <c:v>1.7410146380858</c:v>
                </c:pt>
                <c:pt idx="19">
                  <c:v>2.1117441102410957</c:v>
                </c:pt>
                <c:pt idx="20">
                  <c:v>1.7465138285348005</c:v>
                </c:pt>
                <c:pt idx="21">
                  <c:v>0.98444175225600128</c:v>
                </c:pt>
                <c:pt idx="22">
                  <c:v>0.77334822417096716</c:v>
                </c:pt>
                <c:pt idx="23">
                  <c:v>0.38113921743529455</c:v>
                </c:pt>
                <c:pt idx="24">
                  <c:v>0.58132404699840079</c:v>
                </c:pt>
                <c:pt idx="25">
                  <c:v>-5.2521499900483508E-3</c:v>
                </c:pt>
                <c:pt idx="26">
                  <c:v>-0.79116739152140025</c:v>
                </c:pt>
                <c:pt idx="27">
                  <c:v>-0.79112125742080253</c:v>
                </c:pt>
                <c:pt idx="28">
                  <c:v>0.10721773848414559</c:v>
                </c:pt>
                <c:pt idx="29">
                  <c:v>0.47802774306016416</c:v>
                </c:pt>
                <c:pt idx="30">
                  <c:v>0.83818270799786943</c:v>
                </c:pt>
                <c:pt idx="31">
                  <c:v>0.51256005892858814</c:v>
                </c:pt>
                <c:pt idx="32">
                  <c:v>1.0857122876110599</c:v>
                </c:pt>
                <c:pt idx="33">
                  <c:v>0.85005223291211862</c:v>
                </c:pt>
                <c:pt idx="34" formatCode="##0.0">
                  <c:v>0.1514982763667867</c:v>
                </c:pt>
                <c:pt idx="35" formatCode="##0.0">
                  <c:v>0.50891073060391012</c:v>
                </c:pt>
              </c:numCache>
            </c:numRef>
          </c:val>
          <c:extLst>
            <c:ext xmlns:c16="http://schemas.microsoft.com/office/drawing/2014/chart" uri="{C3380CC4-5D6E-409C-BE32-E72D297353CC}">
              <c16:uniqueId val="{00000002-E6DF-445E-B9D2-E2FCCA299BA7}"/>
            </c:ext>
          </c:extLst>
        </c:ser>
        <c:ser>
          <c:idx val="4"/>
          <c:order val="4"/>
          <c:tx>
            <c:strRef>
              <c:f>'Služby-příspěvky k růstu-4'!$G$33</c:f>
              <c:strCache>
                <c:ptCount val="1"/>
                <c:pt idx="0">
                  <c:v>Real estate activities (p.p.)</c:v>
                </c:pt>
              </c:strCache>
            </c:strRef>
          </c:tx>
          <c:spPr>
            <a:solidFill>
              <a:srgbClr val="8390A7"/>
            </a:solidFill>
            <a:ln w="15875">
              <a:noFill/>
              <a:prstDash val="solid"/>
            </a:ln>
          </c:spPr>
          <c:invertIfNegative val="0"/>
          <c:cat>
            <c:multiLvlStrRef>
              <c:f>'Služby-příspěvky k růstu-4'!$A$54:$B$90</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'Služby-příspěvky k růstu-4'!$G$54:$G$90</c:f>
              <c:numCache>
                <c:formatCode>0.0</c:formatCode>
                <c:ptCount val="37"/>
                <c:pt idx="0">
                  <c:v>0.21404222779400017</c:v>
                </c:pt>
                <c:pt idx="1">
                  <c:v>0.44428056703740071</c:v>
                </c:pt>
                <c:pt idx="2">
                  <c:v>-2.3313403729999609E-2</c:v>
                </c:pt>
                <c:pt idx="3">
                  <c:v>0.1397148328565998</c:v>
                </c:pt>
                <c:pt idx="4">
                  <c:v>2.4371524468799519E-2</c:v>
                </c:pt>
                <c:pt idx="5">
                  <c:v>-0.24750495341219952</c:v>
                </c:pt>
                <c:pt idx="6">
                  <c:v>-0.12632001451980002</c:v>
                </c:pt>
                <c:pt idx="7">
                  <c:v>-0.22280827277219931</c:v>
                </c:pt>
                <c:pt idx="8">
                  <c:v>-0.59230499212500043</c:v>
                </c:pt>
                <c:pt idx="9">
                  <c:v>-0.14963028671039991</c:v>
                </c:pt>
                <c:pt idx="10">
                  <c:v>0.15919844821020035</c:v>
                </c:pt>
                <c:pt idx="11">
                  <c:v>0.41214543758999994</c:v>
                </c:pt>
                <c:pt idx="12">
                  <c:v>0.4376088325236</c:v>
                </c:pt>
                <c:pt idx="13">
                  <c:v>-0.3129705582585004</c:v>
                </c:pt>
                <c:pt idx="14">
                  <c:v>-0.26042458979333294</c:v>
                </c:pt>
                <c:pt idx="15">
                  <c:v>-0.23202769506919951</c:v>
                </c:pt>
                <c:pt idx="16">
                  <c:v>-0.20493642480289984</c:v>
                </c:pt>
                <c:pt idx="17">
                  <c:v>0.49389763410824949</c:v>
                </c:pt>
                <c:pt idx="18">
                  <c:v>-1.3480794651999375E-2</c:v>
                </c:pt>
                <c:pt idx="19">
                  <c:v>0.25760149947839961</c:v>
                </c:pt>
                <c:pt idx="20">
                  <c:v>0.96345448971199943</c:v>
                </c:pt>
                <c:pt idx="21">
                  <c:v>0.47159042328799955</c:v>
                </c:pt>
                <c:pt idx="22">
                  <c:v>0.2185622188815784</c:v>
                </c:pt>
                <c:pt idx="23">
                  <c:v>0.33309446355833333</c:v>
                </c:pt>
                <c:pt idx="24">
                  <c:v>0.16012954609680044</c:v>
                </c:pt>
                <c:pt idx="25">
                  <c:v>-0.18624032886239958</c:v>
                </c:pt>
                <c:pt idx="26">
                  <c:v>-0.27795457738857821</c:v>
                </c:pt>
                <c:pt idx="27">
                  <c:v>-0.2089599685726716</c:v>
                </c:pt>
                <c:pt idx="28">
                  <c:v>-0.20651327563660776</c:v>
                </c:pt>
                <c:pt idx="29">
                  <c:v>0.27793895598753937</c:v>
                </c:pt>
                <c:pt idx="30">
                  <c:v>-0.11784164354918217</c:v>
                </c:pt>
                <c:pt idx="31">
                  <c:v>-4.2577128381585134E-3</c:v>
                </c:pt>
                <c:pt idx="32">
                  <c:v>0.1818355616434188</c:v>
                </c:pt>
                <c:pt idx="33">
                  <c:v>8.696184408716532E-3</c:v>
                </c:pt>
                <c:pt idx="34" formatCode="##0.00">
                  <c:v>9.4366681134455607E-2</c:v>
                </c:pt>
                <c:pt idx="35" formatCode="##0.00">
                  <c:v>-3.3115462482613281E-2</c:v>
                </c:pt>
              </c:numCache>
            </c:numRef>
          </c:val>
          <c:extLst>
            <c:ext xmlns:c16="http://schemas.microsoft.com/office/drawing/2014/chart" uri="{C3380CC4-5D6E-409C-BE32-E72D297353CC}">
              <c16:uniqueId val="{00000003-E6DF-445E-B9D2-E2FCCA299BA7}"/>
            </c:ext>
          </c:extLst>
        </c:ser>
        <c:ser>
          <c:idx val="5"/>
          <c:order val="5"/>
          <c:tx>
            <c:strRef>
              <c:f>'Služby-příspěvky k růstu-4'!$H$33</c:f>
              <c:strCache>
                <c:ptCount val="1"/>
                <c:pt idx="0">
                  <c:v>Professional, scientific, technical act. (p.p.)</c:v>
                </c:pt>
              </c:strCache>
            </c:strRef>
          </c:tx>
          <c:spPr>
            <a:solidFill>
              <a:srgbClr val="D8A7B7"/>
            </a:solidFill>
            <a:ln w="15875">
              <a:noFill/>
              <a:prstDash val="sysDash"/>
            </a:ln>
          </c:spPr>
          <c:invertIfNegative val="0"/>
          <c:cat>
            <c:multiLvlStrRef>
              <c:f>'Služby-příspěvky k růstu-4'!$A$54:$B$90</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'Služby-příspěvky k růstu-4'!$H$54:$H$90</c:f>
              <c:numCache>
                <c:formatCode>0.0</c:formatCode>
                <c:ptCount val="37"/>
                <c:pt idx="0">
                  <c:v>0.98301471473999991</c:v>
                </c:pt>
                <c:pt idx="1">
                  <c:v>0.60289217538800066</c:v>
                </c:pt>
                <c:pt idx="2">
                  <c:v>0.29296090665239971</c:v>
                </c:pt>
                <c:pt idx="3">
                  <c:v>0.39545347720550122</c:v>
                </c:pt>
                <c:pt idx="4">
                  <c:v>1.0377388749657004</c:v>
                </c:pt>
                <c:pt idx="5">
                  <c:v>0.52795912771610132</c:v>
                </c:pt>
                <c:pt idx="6">
                  <c:v>0.33128275319889955</c:v>
                </c:pt>
                <c:pt idx="7">
                  <c:v>-0.32335157261830122</c:v>
                </c:pt>
                <c:pt idx="8">
                  <c:v>-0.22442800317910014</c:v>
                </c:pt>
                <c:pt idx="9">
                  <c:v>0.92864418130900139</c:v>
                </c:pt>
                <c:pt idx="10">
                  <c:v>-1.1905556335669008</c:v>
                </c:pt>
                <c:pt idx="11">
                  <c:v>0.12967121395800008</c:v>
                </c:pt>
                <c:pt idx="12">
                  <c:v>-1.2594010229457007</c:v>
                </c:pt>
                <c:pt idx="13">
                  <c:v>-3.4364785420139987</c:v>
                </c:pt>
                <c:pt idx="14">
                  <c:v>-1.730371529016393</c:v>
                </c:pt>
                <c:pt idx="15">
                  <c:v>-1.6762623702279009</c:v>
                </c:pt>
                <c:pt idx="16">
                  <c:v>-1.8460033079172407</c:v>
                </c:pt>
                <c:pt idx="17">
                  <c:v>2.6347487878244005</c:v>
                </c:pt>
                <c:pt idx="18">
                  <c:v>1.7641259138861987</c:v>
                </c:pt>
                <c:pt idx="19">
                  <c:v>2.2229354426597943</c:v>
                </c:pt>
                <c:pt idx="20">
                  <c:v>2.2737358553676001</c:v>
                </c:pt>
                <c:pt idx="21">
                  <c:v>1.3856227896222229</c:v>
                </c:pt>
                <c:pt idx="22">
                  <c:v>0.99391885813043546</c:v>
                </c:pt>
                <c:pt idx="23">
                  <c:v>0.1421335534285707</c:v>
                </c:pt>
                <c:pt idx="24">
                  <c:v>0.81953126781209973</c:v>
                </c:pt>
                <c:pt idx="25">
                  <c:v>0.82106868193752403</c:v>
                </c:pt>
                <c:pt idx="26">
                  <c:v>0.12923231255105044</c:v>
                </c:pt>
                <c:pt idx="27">
                  <c:v>0.83751215536408319</c:v>
                </c:pt>
                <c:pt idx="28">
                  <c:v>0.47506983729129498</c:v>
                </c:pt>
                <c:pt idx="29">
                  <c:v>0.68160503891420543</c:v>
                </c:pt>
                <c:pt idx="30">
                  <c:v>0.2657026600157707</c:v>
                </c:pt>
                <c:pt idx="31">
                  <c:v>5.2509565434282257E-2</c:v>
                </c:pt>
                <c:pt idx="32">
                  <c:v>1.0187352245648782</c:v>
                </c:pt>
                <c:pt idx="33">
                  <c:v>0.64776463658830552</c:v>
                </c:pt>
                <c:pt idx="34" formatCode="##0.0">
                  <c:v>0.14925378338401288</c:v>
                </c:pt>
                <c:pt idx="35" formatCode="##0.0">
                  <c:v>0.84956706743569599</c:v>
                </c:pt>
              </c:numCache>
            </c:numRef>
          </c:val>
          <c:extLst>
            <c:ext xmlns:c16="http://schemas.microsoft.com/office/drawing/2014/chart" uri="{C3380CC4-5D6E-409C-BE32-E72D297353CC}">
              <c16:uniqueId val="{00000004-E6DF-445E-B9D2-E2FCCA299BA7}"/>
            </c:ext>
          </c:extLst>
        </c:ser>
        <c:ser>
          <c:idx val="6"/>
          <c:order val="6"/>
          <c:tx>
            <c:strRef>
              <c:f>'Služby-příspěvky k růstu-4'!$I$33</c:f>
              <c:strCache>
                <c:ptCount val="1"/>
                <c:pt idx="0">
                  <c:v>Admin., support service act. (contrib. in p.p.)</c:v>
                </c:pt>
              </c:strCache>
            </c:strRef>
          </c:tx>
          <c:spPr>
            <a:solidFill>
              <a:srgbClr val="BC5B80"/>
            </a:solidFill>
            <a:ln w="15875">
              <a:noFill/>
              <a:prstDash val="dash"/>
            </a:ln>
          </c:spPr>
          <c:invertIfNegative val="0"/>
          <c:cat>
            <c:multiLvlStrRef>
              <c:f>'Služby-příspěvky k růstu-4'!$A$54:$B$90</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'Služby-příspěvky k růstu-4'!$I$54:$I$90</c:f>
              <c:numCache>
                <c:formatCode>0.0</c:formatCode>
                <c:ptCount val="37"/>
                <c:pt idx="0">
                  <c:v>1.2711366665920003</c:v>
                </c:pt>
                <c:pt idx="1">
                  <c:v>1.1146800750025008</c:v>
                </c:pt>
                <c:pt idx="2">
                  <c:v>0.67890344957800031</c:v>
                </c:pt>
                <c:pt idx="3">
                  <c:v>0.27956598839150021</c:v>
                </c:pt>
                <c:pt idx="4">
                  <c:v>0.54934461190249961</c:v>
                </c:pt>
                <c:pt idx="5">
                  <c:v>0.38115955639220078</c:v>
                </c:pt>
                <c:pt idx="6">
                  <c:v>0.39493334022210069</c:v>
                </c:pt>
                <c:pt idx="7">
                  <c:v>-3.4631397924000239E-2</c:v>
                </c:pt>
                <c:pt idx="8">
                  <c:v>-1.2005370156462005</c:v>
                </c:pt>
                <c:pt idx="9">
                  <c:v>0.45407540916639949</c:v>
                </c:pt>
                <c:pt idx="10">
                  <c:v>-0.39889254166379967</c:v>
                </c:pt>
                <c:pt idx="11">
                  <c:v>1.3109329456980003</c:v>
                </c:pt>
                <c:pt idx="12">
                  <c:v>-1.1343690284759997</c:v>
                </c:pt>
                <c:pt idx="13">
                  <c:v>-5.28274232805955</c:v>
                </c:pt>
                <c:pt idx="14">
                  <c:v>-4.9394629012368423</c:v>
                </c:pt>
                <c:pt idx="15">
                  <c:v>-2.9777822451920004</c:v>
                </c:pt>
                <c:pt idx="16">
                  <c:v>-1.4090224874890003</c:v>
                </c:pt>
                <c:pt idx="17">
                  <c:v>2.2489366135893936</c:v>
                </c:pt>
                <c:pt idx="18">
                  <c:v>2.1176111028400002</c:v>
                </c:pt>
                <c:pt idx="19">
                  <c:v>1.4315715582961834</c:v>
                </c:pt>
                <c:pt idx="20">
                  <c:v>1.7141956457703218</c:v>
                </c:pt>
                <c:pt idx="21">
                  <c:v>3.1132718885355142</c:v>
                </c:pt>
                <c:pt idx="22">
                  <c:v>2.2147560104235504</c:v>
                </c:pt>
                <c:pt idx="23">
                  <c:v>0.75873802832519943</c:v>
                </c:pt>
                <c:pt idx="24">
                  <c:v>0.44446992933960033</c:v>
                </c:pt>
                <c:pt idx="25">
                  <c:v>0.17274794169589636</c:v>
                </c:pt>
                <c:pt idx="26">
                  <c:v>-0.14160160109817077</c:v>
                </c:pt>
                <c:pt idx="27">
                  <c:v>-4.4406367348499426E-2</c:v>
                </c:pt>
                <c:pt idx="28">
                  <c:v>0.38639916772040217</c:v>
                </c:pt>
                <c:pt idx="29">
                  <c:v>0.14229025552145014</c:v>
                </c:pt>
                <c:pt idx="30">
                  <c:v>0.42489637821976656</c:v>
                </c:pt>
                <c:pt idx="31">
                  <c:v>0.17528601156412052</c:v>
                </c:pt>
                <c:pt idx="32">
                  <c:v>0.18087313563116425</c:v>
                </c:pt>
                <c:pt idx="33">
                  <c:v>-2.3334741662060565E-2</c:v>
                </c:pt>
                <c:pt idx="34" formatCode="##0.0">
                  <c:v>-0.2545327762724946</c:v>
                </c:pt>
                <c:pt idx="35" formatCode="##0.0">
                  <c:v>0.21739803964656432</c:v>
                </c:pt>
              </c:numCache>
            </c:numRef>
          </c:val>
          <c:extLst>
            <c:ext xmlns:c16="http://schemas.microsoft.com/office/drawing/2014/chart" uri="{C3380CC4-5D6E-409C-BE32-E72D297353CC}">
              <c16:uniqueId val="{00000005-E6DF-445E-B9D2-E2FCCA299BA7}"/>
            </c:ext>
          </c:extLst>
        </c:ser>
        <c:dLbls>
          <c:showLegendKey val="0"/>
          <c:showVal val="0"/>
          <c:showCatName val="0"/>
          <c:showSerName val="0"/>
          <c:showPercent val="0"/>
          <c:showBubbleSize val="0"/>
        </c:dLbls>
        <c:gapWidth val="30"/>
        <c:overlap val="100"/>
        <c:axId val="112768128"/>
        <c:axId val="112769664"/>
      </c:barChart>
      <c:lineChart>
        <c:grouping val="standard"/>
        <c:varyColors val="0"/>
        <c:ser>
          <c:idx val="0"/>
          <c:order val="0"/>
          <c:tx>
            <c:strRef>
              <c:f>'Služby-příspěvky k růstu-4'!$C$33</c:f>
              <c:strCache>
                <c:ptCount val="1"/>
                <c:pt idx="0">
                  <c:v>Total services sales (y-o-y in %)</c:v>
                </c:pt>
              </c:strCache>
            </c:strRef>
          </c:tx>
          <c:spPr>
            <a:ln>
              <a:noFill/>
            </a:ln>
          </c:spPr>
          <c:marker>
            <c:symbol val="diamond"/>
            <c:size val="4"/>
            <c:spPr>
              <a:solidFill>
                <a:schemeClr val="bg1"/>
              </a:solidFill>
              <a:ln>
                <a:solidFill>
                  <a:schemeClr val="tx1">
                    <a:lumMod val="95000"/>
                    <a:lumOff val="5000"/>
                  </a:schemeClr>
                </a:solidFill>
              </a:ln>
            </c:spPr>
          </c:marker>
          <c:cat>
            <c:multiLvlStrRef>
              <c:f>'Služby-příspěvky k růstu-4'!$A$54:$B$90</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'Služby-příspěvky k růstu-4'!$C$54:$C$90</c:f>
              <c:numCache>
                <c:formatCode>0.0</c:formatCode>
                <c:ptCount val="37"/>
                <c:pt idx="0">
                  <c:v>5.6487960982999965</c:v>
                </c:pt>
                <c:pt idx="1">
                  <c:v>5.6026545363999958</c:v>
                </c:pt>
                <c:pt idx="2">
                  <c:v>3.3153176139999943</c:v>
                </c:pt>
                <c:pt idx="3">
                  <c:v>2.439509263000005</c:v>
                </c:pt>
                <c:pt idx="4">
                  <c:v>4.8946535392999948</c:v>
                </c:pt>
                <c:pt idx="5">
                  <c:v>3.1352798691000032</c:v>
                </c:pt>
                <c:pt idx="6">
                  <c:v>3.5086986100999979</c:v>
                </c:pt>
                <c:pt idx="7">
                  <c:v>0.94159026420000203</c:v>
                </c:pt>
                <c:pt idx="8" formatCode="##0.0">
                  <c:v>-2.0671054031000011</c:v>
                </c:pt>
                <c:pt idx="9" formatCode="##0.0">
                  <c:v>2.0209180144999976</c:v>
                </c:pt>
                <c:pt idx="10" formatCode="##0.0">
                  <c:v>0.44120109739999691</c:v>
                </c:pt>
                <c:pt idx="11" formatCode="##0.0">
                  <c:v>3.686095991000002</c:v>
                </c:pt>
                <c:pt idx="12" formatCode="##0.0">
                  <c:v>-3.6978715759999972</c:v>
                </c:pt>
                <c:pt idx="13" formatCode="##0.0">
                  <c:v>-20.484078348699995</c:v>
                </c:pt>
                <c:pt idx="14" formatCode="##0.0">
                  <c:v>-13.812204700500004</c:v>
                </c:pt>
                <c:pt idx="15" formatCode="##0.0">
                  <c:v>-12.694419719300001</c:v>
                </c:pt>
                <c:pt idx="16" formatCode="##0.0">
                  <c:v>-6.467716225700002</c:v>
                </c:pt>
                <c:pt idx="17" formatCode="##0.0">
                  <c:v>14.458404609200002</c:v>
                </c:pt>
                <c:pt idx="18" formatCode="##0.0">
                  <c:v>9.8502116662999981</c:v>
                </c:pt>
                <c:pt idx="19" formatCode="##0.0">
                  <c:v>12.463651950599996</c:v>
                </c:pt>
                <c:pt idx="20" formatCode="##0.0">
                  <c:v>13.602561910999995</c:v>
                </c:pt>
                <c:pt idx="21" formatCode="##0.0">
                  <c:v>12.572844053799997</c:v>
                </c:pt>
                <c:pt idx="22" formatCode="##0.0">
                  <c:v>6.8795108350000049</c:v>
                </c:pt>
                <c:pt idx="23" formatCode="##0.0">
                  <c:v>3.1325392952000044</c:v>
                </c:pt>
                <c:pt idx="24" formatCode="##0.0">
                  <c:v>1.6122650880000009</c:v>
                </c:pt>
                <c:pt idx="25" formatCode="##0.0">
                  <c:v>-1.6476933472000042</c:v>
                </c:pt>
                <c:pt idx="26" formatCode="##0.0">
                  <c:v>-3.8527730071999997</c:v>
                </c:pt>
                <c:pt idx="27" formatCode="##0.0">
                  <c:v>-2.1940673088000011</c:v>
                </c:pt>
                <c:pt idx="28" formatCode="##0.0">
                  <c:v>1.1786387057999974</c:v>
                </c:pt>
                <c:pt idx="29" formatCode="##0.0">
                  <c:v>2.8861691131999976</c:v>
                </c:pt>
                <c:pt idx="30" formatCode="##0.0">
                  <c:v>2.8626728256000007</c:v>
                </c:pt>
                <c:pt idx="31" formatCode="##0.0">
                  <c:v>2.1312336663000053</c:v>
                </c:pt>
                <c:pt idx="32" formatCode="##0.0">
                  <c:v>3.0592117117000015</c:v>
                </c:pt>
                <c:pt idx="33" formatCode="##0.0">
                  <c:v>2.2198928915999971</c:v>
                </c:pt>
                <c:pt idx="34" formatCode="##0.0">
                  <c:v>4.3773752000006994E-2</c:v>
                </c:pt>
                <c:pt idx="35" formatCode="##0.0">
                  <c:v>1.9737497236999957</c:v>
                </c:pt>
              </c:numCache>
            </c:numRef>
          </c:val>
          <c:smooth val="0"/>
          <c:extLst>
            <c:ext xmlns:c16="http://schemas.microsoft.com/office/drawing/2014/chart" uri="{C3380CC4-5D6E-409C-BE32-E72D297353CC}">
              <c16:uniqueId val="{00000006-E6DF-445E-B9D2-E2FCCA299BA7}"/>
            </c:ext>
          </c:extLst>
        </c:ser>
        <c:dLbls>
          <c:showLegendKey val="0"/>
          <c:showVal val="0"/>
          <c:showCatName val="0"/>
          <c:showSerName val="0"/>
          <c:showPercent val="0"/>
          <c:showBubbleSize val="0"/>
        </c:dLbls>
        <c:marker val="1"/>
        <c:smooth val="0"/>
        <c:axId val="112768128"/>
        <c:axId val="112769664"/>
      </c:lineChart>
      <c:lineChart>
        <c:grouping val="standard"/>
        <c:varyColors val="0"/>
        <c:ser>
          <c:idx val="7"/>
          <c:order val="7"/>
          <c:tx>
            <c:strRef>
              <c:f>'Služby-příspěvky k růstu-4'!$J$33</c:f>
              <c:strCache>
                <c:ptCount val="1"/>
                <c:pt idx="0">
                  <c:v>Confidence indicator in services</c:v>
                </c:pt>
              </c:strCache>
            </c:strRef>
          </c:tx>
          <c:spPr>
            <a:ln w="15875">
              <a:solidFill>
                <a:srgbClr val="CC9610"/>
              </a:solidFill>
              <a:prstDash val="sysDot"/>
            </a:ln>
          </c:spPr>
          <c:marker>
            <c:symbol val="diamond"/>
            <c:size val="5"/>
            <c:spPr>
              <a:solidFill>
                <a:srgbClr val="E6C45B"/>
              </a:solidFill>
              <a:ln>
                <a:solidFill>
                  <a:srgbClr val="E6C45B"/>
                </a:solidFill>
              </a:ln>
            </c:spPr>
          </c:marker>
          <c:cat>
            <c:multiLvlStrRef>
              <c:f>'Služby-příspěvky k růstu-4'!$A$54:$B$90</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'Služby-příspěvky k růstu-4'!$J$54:$J$90</c:f>
              <c:numCache>
                <c:formatCode>#\ ##0.0</c:formatCode>
                <c:ptCount val="37"/>
                <c:pt idx="0">
                  <c:v>35.299999999999997</c:v>
                </c:pt>
                <c:pt idx="1">
                  <c:v>37.700000000000003</c:v>
                </c:pt>
                <c:pt idx="2">
                  <c:v>37.299999999999997</c:v>
                </c:pt>
                <c:pt idx="3">
                  <c:v>35.700000000000003</c:v>
                </c:pt>
                <c:pt idx="4">
                  <c:v>38.299999999999997</c:v>
                </c:pt>
                <c:pt idx="5">
                  <c:v>37</c:v>
                </c:pt>
                <c:pt idx="6">
                  <c:v>38.299999999999997</c:v>
                </c:pt>
                <c:pt idx="7">
                  <c:v>40.700000000000003</c:v>
                </c:pt>
                <c:pt idx="8">
                  <c:v>39.299999999999997</c:v>
                </c:pt>
                <c:pt idx="9">
                  <c:v>33.700000000000003</c:v>
                </c:pt>
                <c:pt idx="10">
                  <c:v>35</c:v>
                </c:pt>
                <c:pt idx="11">
                  <c:v>32.700000000000003</c:v>
                </c:pt>
                <c:pt idx="12">
                  <c:v>29</c:v>
                </c:pt>
                <c:pt idx="13">
                  <c:v>-13.3</c:v>
                </c:pt>
                <c:pt idx="14">
                  <c:v>1</c:v>
                </c:pt>
                <c:pt idx="15">
                  <c:v>-5</c:v>
                </c:pt>
                <c:pt idx="16">
                  <c:v>8</c:v>
                </c:pt>
                <c:pt idx="17">
                  <c:v>22.3</c:v>
                </c:pt>
                <c:pt idx="18">
                  <c:v>24.3</c:v>
                </c:pt>
                <c:pt idx="19">
                  <c:v>27</c:v>
                </c:pt>
                <c:pt idx="20">
                  <c:v>31</c:v>
                </c:pt>
                <c:pt idx="21">
                  <c:v>40</c:v>
                </c:pt>
                <c:pt idx="22">
                  <c:v>27.7</c:v>
                </c:pt>
                <c:pt idx="23">
                  <c:v>21.3</c:v>
                </c:pt>
                <c:pt idx="24">
                  <c:v>24</c:v>
                </c:pt>
                <c:pt idx="25" formatCode="0.0">
                  <c:v>28</c:v>
                </c:pt>
                <c:pt idx="26" formatCode="0.0">
                  <c:v>25.7</c:v>
                </c:pt>
                <c:pt idx="27" formatCode="0.0">
                  <c:v>22.7</c:v>
                </c:pt>
                <c:pt idx="28" formatCode="0.0">
                  <c:v>21.3</c:v>
                </c:pt>
                <c:pt idx="29" formatCode="0.0">
                  <c:v>30.1</c:v>
                </c:pt>
                <c:pt idx="30" formatCode="0.0">
                  <c:v>21.7</c:v>
                </c:pt>
                <c:pt idx="31" formatCode="0.0">
                  <c:v>33.700000000000003</c:v>
                </c:pt>
                <c:pt idx="32" formatCode="0.0">
                  <c:v>31.3</c:v>
                </c:pt>
                <c:pt idx="33" formatCode="0.0">
                  <c:v>39.700000000000003</c:v>
                </c:pt>
                <c:pt idx="34" formatCode="0.0">
                  <c:v>41</c:v>
                </c:pt>
                <c:pt idx="35" formatCode="0.0">
                  <c:v>38</c:v>
                </c:pt>
                <c:pt idx="36" formatCode="0.0">
                  <c:v>32</c:v>
                </c:pt>
              </c:numCache>
            </c:numRef>
          </c:val>
          <c:smooth val="0"/>
          <c:extLst>
            <c:ext xmlns:c16="http://schemas.microsoft.com/office/drawing/2014/chart" uri="{C3380CC4-5D6E-409C-BE32-E72D297353CC}">
              <c16:uniqueId val="{00000007-E6DF-445E-B9D2-E2FCCA299BA7}"/>
            </c:ext>
          </c:extLst>
        </c:ser>
        <c:ser>
          <c:idx val="8"/>
          <c:order val="8"/>
          <c:tx>
            <c:strRef>
              <c:f>'Služby-příspěvky k růstu-4'!$K$33</c:f>
              <c:strCache>
                <c:ptCount val="1"/>
                <c:pt idx="0">
                  <c:v>Growth barrier: inadequate demand</c:v>
                </c:pt>
              </c:strCache>
            </c:strRef>
          </c:tx>
          <c:spPr>
            <a:ln w="15875">
              <a:solidFill>
                <a:srgbClr val="85BF5E"/>
              </a:solidFill>
            </a:ln>
          </c:spPr>
          <c:marker>
            <c:symbol val="none"/>
          </c:marker>
          <c:cat>
            <c:multiLvlStrRef>
              <c:f>'Služby-příspěvky k růstu-4'!$A$54:$B$90</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'Služby-příspěvky k růstu-4'!$K$54:$K$90</c:f>
              <c:numCache>
                <c:formatCode>#\ ##0.0</c:formatCode>
                <c:ptCount val="37"/>
                <c:pt idx="0">
                  <c:v>25.8</c:v>
                </c:pt>
                <c:pt idx="1">
                  <c:v>20.5</c:v>
                </c:pt>
                <c:pt idx="2">
                  <c:v>18.399999999999999</c:v>
                </c:pt>
                <c:pt idx="3">
                  <c:v>21.6</c:v>
                </c:pt>
                <c:pt idx="4">
                  <c:v>16.899999999999999</c:v>
                </c:pt>
                <c:pt idx="5">
                  <c:v>19.399999999999999</c:v>
                </c:pt>
                <c:pt idx="6">
                  <c:v>17.899999999999999</c:v>
                </c:pt>
                <c:pt idx="7">
                  <c:v>20.7</c:v>
                </c:pt>
                <c:pt idx="8">
                  <c:v>20.6</c:v>
                </c:pt>
                <c:pt idx="9">
                  <c:v>16.899999999999999</c:v>
                </c:pt>
                <c:pt idx="10">
                  <c:v>20.5</c:v>
                </c:pt>
                <c:pt idx="11">
                  <c:v>14.4</c:v>
                </c:pt>
                <c:pt idx="12">
                  <c:v>21.3</c:v>
                </c:pt>
                <c:pt idx="13">
                  <c:v>30.2</c:v>
                </c:pt>
                <c:pt idx="14">
                  <c:v>30.4</c:v>
                </c:pt>
                <c:pt idx="15">
                  <c:v>39.200000000000003</c:v>
                </c:pt>
                <c:pt idx="16">
                  <c:v>34.799999999999997</c:v>
                </c:pt>
                <c:pt idx="17">
                  <c:v>36.799999999999997</c:v>
                </c:pt>
                <c:pt idx="18">
                  <c:v>28.9</c:v>
                </c:pt>
                <c:pt idx="19">
                  <c:v>26.3</c:v>
                </c:pt>
                <c:pt idx="20">
                  <c:v>31.6</c:v>
                </c:pt>
                <c:pt idx="21">
                  <c:v>15</c:v>
                </c:pt>
                <c:pt idx="22">
                  <c:v>30.2</c:v>
                </c:pt>
                <c:pt idx="23">
                  <c:v>17.600000000000001</c:v>
                </c:pt>
                <c:pt idx="24">
                  <c:v>25.4</c:v>
                </c:pt>
                <c:pt idx="25">
                  <c:v>19.100000000000001</c:v>
                </c:pt>
                <c:pt idx="26">
                  <c:v>26</c:v>
                </c:pt>
                <c:pt idx="27">
                  <c:v>23</c:v>
                </c:pt>
                <c:pt idx="28">
                  <c:v>18.5</c:v>
                </c:pt>
                <c:pt idx="29">
                  <c:v>19.2</c:v>
                </c:pt>
                <c:pt idx="30">
                  <c:v>17.8</c:v>
                </c:pt>
                <c:pt idx="31">
                  <c:v>29.6</c:v>
                </c:pt>
                <c:pt idx="32">
                  <c:v>24.4</c:v>
                </c:pt>
                <c:pt idx="33">
                  <c:v>17.5</c:v>
                </c:pt>
                <c:pt idx="34">
                  <c:v>17</c:v>
                </c:pt>
                <c:pt idx="35">
                  <c:v>15</c:v>
                </c:pt>
                <c:pt idx="36">
                  <c:v>16.899999999999999</c:v>
                </c:pt>
              </c:numCache>
            </c:numRef>
          </c:val>
          <c:smooth val="0"/>
          <c:extLst>
            <c:ext xmlns:c16="http://schemas.microsoft.com/office/drawing/2014/chart" uri="{C3380CC4-5D6E-409C-BE32-E72D297353CC}">
              <c16:uniqueId val="{00000008-E6DF-445E-B9D2-E2FCCA299BA7}"/>
            </c:ext>
          </c:extLst>
        </c:ser>
        <c:ser>
          <c:idx val="9"/>
          <c:order val="9"/>
          <c:tx>
            <c:strRef>
              <c:f>'Služby-příspěvky k růstu-4'!$L$33</c:f>
              <c:strCache>
                <c:ptCount val="1"/>
                <c:pt idx="0">
                  <c:v>Growth barrier: lack of workers</c:v>
                </c:pt>
              </c:strCache>
            </c:strRef>
          </c:tx>
          <c:spPr>
            <a:ln w="15875">
              <a:solidFill>
                <a:srgbClr val="85BF5E"/>
              </a:solidFill>
              <a:prstDash val="sysDash"/>
            </a:ln>
          </c:spPr>
          <c:marker>
            <c:symbol val="none"/>
          </c:marker>
          <c:cat>
            <c:multiLvlStrRef>
              <c:f>'Služby-příspěvky k růstu-4'!$A$54:$B$90</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'Služby-příspěvky k růstu-4'!$L$54:$L$90</c:f>
              <c:numCache>
                <c:formatCode>#\ ##0.0</c:formatCode>
                <c:ptCount val="37"/>
                <c:pt idx="0">
                  <c:v>9.4</c:v>
                </c:pt>
                <c:pt idx="1">
                  <c:v>9.6999999999999993</c:v>
                </c:pt>
                <c:pt idx="2">
                  <c:v>9.8000000000000007</c:v>
                </c:pt>
                <c:pt idx="3">
                  <c:v>12.8</c:v>
                </c:pt>
                <c:pt idx="4">
                  <c:v>13.9</c:v>
                </c:pt>
                <c:pt idx="5">
                  <c:v>16.3</c:v>
                </c:pt>
                <c:pt idx="6">
                  <c:v>17.5</c:v>
                </c:pt>
                <c:pt idx="7">
                  <c:v>18.899999999999999</c:v>
                </c:pt>
                <c:pt idx="8">
                  <c:v>19.3</c:v>
                </c:pt>
                <c:pt idx="9">
                  <c:v>15</c:v>
                </c:pt>
                <c:pt idx="10">
                  <c:v>21.5</c:v>
                </c:pt>
                <c:pt idx="11">
                  <c:v>19.8</c:v>
                </c:pt>
                <c:pt idx="12">
                  <c:v>19.5</c:v>
                </c:pt>
                <c:pt idx="13">
                  <c:v>10</c:v>
                </c:pt>
                <c:pt idx="14">
                  <c:v>10</c:v>
                </c:pt>
                <c:pt idx="15">
                  <c:v>12.6</c:v>
                </c:pt>
                <c:pt idx="16">
                  <c:v>12.7</c:v>
                </c:pt>
                <c:pt idx="17">
                  <c:v>8.5</c:v>
                </c:pt>
                <c:pt idx="18">
                  <c:v>17.399999999999999</c:v>
                </c:pt>
                <c:pt idx="19">
                  <c:v>20.6</c:v>
                </c:pt>
                <c:pt idx="20">
                  <c:v>20.2</c:v>
                </c:pt>
                <c:pt idx="21">
                  <c:v>10.9</c:v>
                </c:pt>
                <c:pt idx="22">
                  <c:v>17.899999999999999</c:v>
                </c:pt>
                <c:pt idx="23">
                  <c:v>6.6</c:v>
                </c:pt>
                <c:pt idx="24">
                  <c:v>9.3000000000000007</c:v>
                </c:pt>
                <c:pt idx="25">
                  <c:v>9.7000000000000011</c:v>
                </c:pt>
                <c:pt idx="26">
                  <c:v>9.2000000000000011</c:v>
                </c:pt>
                <c:pt idx="27">
                  <c:v>12.3</c:v>
                </c:pt>
                <c:pt idx="28">
                  <c:v>8.3000000000000007</c:v>
                </c:pt>
                <c:pt idx="29">
                  <c:v>8.1</c:v>
                </c:pt>
                <c:pt idx="30">
                  <c:v>8.3000000000000007</c:v>
                </c:pt>
                <c:pt idx="31">
                  <c:v>15.3</c:v>
                </c:pt>
                <c:pt idx="32">
                  <c:v>12.9</c:v>
                </c:pt>
                <c:pt idx="33">
                  <c:v>10.4</c:v>
                </c:pt>
                <c:pt idx="34">
                  <c:v>11.1</c:v>
                </c:pt>
                <c:pt idx="35">
                  <c:v>12.4</c:v>
                </c:pt>
                <c:pt idx="36">
                  <c:v>15.4</c:v>
                </c:pt>
              </c:numCache>
            </c:numRef>
          </c:val>
          <c:smooth val="0"/>
          <c:extLst>
            <c:ext xmlns:c16="http://schemas.microsoft.com/office/drawing/2014/chart" uri="{C3380CC4-5D6E-409C-BE32-E72D297353CC}">
              <c16:uniqueId val="{00000009-E6DF-445E-B9D2-E2FCCA299BA7}"/>
            </c:ext>
          </c:extLst>
        </c:ser>
        <c:ser>
          <c:idx val="10"/>
          <c:order val="10"/>
          <c:tx>
            <c:strRef>
              <c:f>'Služby-příspěvky k růstu-4'!$M$33</c:f>
              <c:strCache>
                <c:ptCount val="1"/>
                <c:pt idx="0">
                  <c:v>Total sales (2021=100), constant prices)</c:v>
                </c:pt>
              </c:strCache>
            </c:strRef>
          </c:tx>
          <c:spPr>
            <a:ln w="15875">
              <a:solidFill>
                <a:srgbClr val="8390A7"/>
              </a:solidFill>
            </a:ln>
          </c:spPr>
          <c:marker>
            <c:symbol val="none"/>
          </c:marker>
          <c:cat>
            <c:multiLvlStrRef>
              <c:f>'Služby-příspěvky k růstu-4'!$A$54:$B$90</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'Služby-příspěvky k růstu-4'!$M$54:$M$90</c:f>
              <c:numCache>
                <c:formatCode>0.0</c:formatCode>
                <c:ptCount val="37"/>
                <c:pt idx="0">
                  <c:v>101.4219604533</c:v>
                </c:pt>
                <c:pt idx="1">
                  <c:v>102.49538191000001</c:v>
                </c:pt>
                <c:pt idx="2">
                  <c:v>102.1840512567</c:v>
                </c:pt>
                <c:pt idx="3">
                  <c:v>103.20163698</c:v>
                </c:pt>
                <c:pt idx="4">
                  <c:v>106.6503331867</c:v>
                </c:pt>
                <c:pt idx="5">
                  <c:v>105.31944761</c:v>
                </c:pt>
                <c:pt idx="6">
                  <c:v>105.3929269967</c:v>
                </c:pt>
                <c:pt idx="7">
                  <c:v>103.7491798467</c:v>
                </c:pt>
                <c:pt idx="8">
                  <c:v>104.6832218533</c:v>
                </c:pt>
                <c:pt idx="9">
                  <c:v>107.16559399330001</c:v>
                </c:pt>
                <c:pt idx="10">
                  <c:v>106.1436901867</c:v>
                </c:pt>
                <c:pt idx="11">
                  <c:v>106.27043888670001</c:v>
                </c:pt>
                <c:pt idx="12">
                  <c:v>100.6979508733</c:v>
                </c:pt>
                <c:pt idx="13">
                  <c:v>86.618830439999996</c:v>
                </c:pt>
                <c:pt idx="14">
                  <c:v>93.9929513867</c:v>
                </c:pt>
                <c:pt idx="15">
                  <c:v>92.232927896700005</c:v>
                </c:pt>
                <c:pt idx="16">
                  <c:v>92.786789859999999</c:v>
                </c:pt>
                <c:pt idx="17">
                  <c:v>97.948086113299993</c:v>
                </c:pt>
                <c:pt idx="18">
                  <c:v>102.4063048167</c:v>
                </c:pt>
                <c:pt idx="19">
                  <c:v>104.39529096</c:v>
                </c:pt>
                <c:pt idx="20">
                  <c:v>106.24280353</c:v>
                </c:pt>
                <c:pt idx="21">
                  <c:v>108.9271046933</c:v>
                </c:pt>
                <c:pt idx="22">
                  <c:v>109.5310635667</c:v>
                </c:pt>
                <c:pt idx="23">
                  <c:v>108.8450993733</c:v>
                </c:pt>
                <c:pt idx="24">
                  <c:v>107.8809082467</c:v>
                </c:pt>
                <c:pt idx="25">
                  <c:v>106.51996574330001</c:v>
                </c:pt>
                <c:pt idx="26">
                  <c:v>106.05899452</c:v>
                </c:pt>
                <c:pt idx="27">
                  <c:v>106.70810295</c:v>
                </c:pt>
                <c:pt idx="28">
                  <c:v>108.51071845</c:v>
                </c:pt>
                <c:pt idx="29">
                  <c:v>109.23073263329999</c:v>
                </c:pt>
                <c:pt idx="30">
                  <c:v>109.5167355367</c:v>
                </c:pt>
                <c:pt idx="31">
                  <c:v>109.4677120633</c:v>
                </c:pt>
                <c:pt idx="32">
                  <c:v>111.14203422</c:v>
                </c:pt>
                <c:pt idx="33">
                  <c:v>111.22342573669999</c:v>
                </c:pt>
                <c:pt idx="34">
                  <c:v>110.6474284833</c:v>
                </c:pt>
                <c:pt idx="35">
                  <c:v>111.74878313000001</c:v>
                </c:pt>
              </c:numCache>
            </c:numRef>
          </c:val>
          <c:smooth val="0"/>
          <c:extLst>
            <c:ext xmlns:c16="http://schemas.microsoft.com/office/drawing/2014/chart" uri="{C3380CC4-5D6E-409C-BE32-E72D297353CC}">
              <c16:uniqueId val="{0000000A-E6DF-445E-B9D2-E2FCCA299BA7}"/>
            </c:ext>
          </c:extLst>
        </c:ser>
        <c:ser>
          <c:idx val="11"/>
          <c:order val="11"/>
          <c:tx>
            <c:strRef>
              <c:f>'Služby-příspěvky k růstu-4'!$N$33</c:f>
              <c:strCache>
                <c:ptCount val="1"/>
                <c:pt idx="0">
                  <c:v>Total sales (basis 2021=100, current prices)</c:v>
                </c:pt>
              </c:strCache>
            </c:strRef>
          </c:tx>
          <c:spPr>
            <a:ln w="15875">
              <a:solidFill>
                <a:srgbClr val="8390A7"/>
              </a:solidFill>
              <a:prstDash val="sysDash"/>
            </a:ln>
          </c:spPr>
          <c:marker>
            <c:symbol val="none"/>
          </c:marker>
          <c:cat>
            <c:multiLvlStrRef>
              <c:f>'Služby-příspěvky k růstu-4'!$A$54:$B$90</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'Služby-příspěvky k růstu-4'!$N$54:$N$90</c:f>
              <c:numCache>
                <c:formatCode>0.0</c:formatCode>
                <c:ptCount val="37"/>
                <c:pt idx="0">
                  <c:v>92.831140320000003</c:v>
                </c:pt>
                <c:pt idx="1">
                  <c:v>94.084719190000001</c:v>
                </c:pt>
                <c:pt idx="2">
                  <c:v>94.352925536699999</c:v>
                </c:pt>
                <c:pt idx="3">
                  <c:v>95.836781003300004</c:v>
                </c:pt>
                <c:pt idx="4">
                  <c:v>99.320277939999997</c:v>
                </c:pt>
                <c:pt idx="5">
                  <c:v>98.6848122233</c:v>
                </c:pt>
                <c:pt idx="6">
                  <c:v>99.610745516700007</c:v>
                </c:pt>
                <c:pt idx="7">
                  <c:v>98.775679409999995</c:v>
                </c:pt>
                <c:pt idx="8">
                  <c:v>99.816231270000003</c:v>
                </c:pt>
                <c:pt idx="9">
                  <c:v>103.18033488330001</c:v>
                </c:pt>
                <c:pt idx="10">
                  <c:v>102.9398626967</c:v>
                </c:pt>
                <c:pt idx="11">
                  <c:v>103.5312898067</c:v>
                </c:pt>
                <c:pt idx="12">
                  <c:v>98.588248460000003</c:v>
                </c:pt>
                <c:pt idx="13">
                  <c:v>84.899543543299998</c:v>
                </c:pt>
                <c:pt idx="14">
                  <c:v>92.649802966699994</c:v>
                </c:pt>
                <c:pt idx="15">
                  <c:v>91.452913469999999</c:v>
                </c:pt>
                <c:pt idx="16">
                  <c:v>92.146131513300006</c:v>
                </c:pt>
                <c:pt idx="17">
                  <c:v>97.120905896699995</c:v>
                </c:pt>
                <c:pt idx="18">
                  <c:v>102.3932020267</c:v>
                </c:pt>
                <c:pt idx="19">
                  <c:v>105.9446589833</c:v>
                </c:pt>
                <c:pt idx="20">
                  <c:v>109.8219077967</c:v>
                </c:pt>
                <c:pt idx="21">
                  <c:v>114.9436810867</c:v>
                </c:pt>
                <c:pt idx="22">
                  <c:v>118.08718283330001</c:v>
                </c:pt>
                <c:pt idx="23">
                  <c:v>119.4468270433</c:v>
                </c:pt>
                <c:pt idx="24">
                  <c:v>120.58584654329999</c:v>
                </c:pt>
                <c:pt idx="25">
                  <c:v>121.1325077433</c:v>
                </c:pt>
                <c:pt idx="26">
                  <c:v>121.94884146</c:v>
                </c:pt>
                <c:pt idx="27">
                  <c:v>124.05081602670001</c:v>
                </c:pt>
                <c:pt idx="28">
                  <c:v>127.03688299</c:v>
                </c:pt>
                <c:pt idx="29">
                  <c:v>128.64600111670001</c:v>
                </c:pt>
                <c:pt idx="30">
                  <c:v>130.13481359330001</c:v>
                </c:pt>
                <c:pt idx="31">
                  <c:v>131.36666542</c:v>
                </c:pt>
                <c:pt idx="32">
                  <c:v>133.92219630330001</c:v>
                </c:pt>
                <c:pt idx="33">
                  <c:v>135.02505167000001</c:v>
                </c:pt>
                <c:pt idx="34">
                  <c:v>135.44793453669999</c:v>
                </c:pt>
                <c:pt idx="35">
                  <c:v>137.50098247</c:v>
                </c:pt>
              </c:numCache>
            </c:numRef>
          </c:val>
          <c:smooth val="0"/>
          <c:extLst>
            <c:ext xmlns:c16="http://schemas.microsoft.com/office/drawing/2014/chart" uri="{C3380CC4-5D6E-409C-BE32-E72D297353CC}">
              <c16:uniqueId val="{0000000B-E6DF-445E-B9D2-E2FCCA299BA7}"/>
            </c:ext>
          </c:extLst>
        </c:ser>
        <c:dLbls>
          <c:showLegendKey val="0"/>
          <c:showVal val="0"/>
          <c:showCatName val="0"/>
          <c:showSerName val="0"/>
          <c:showPercent val="0"/>
          <c:showBubbleSize val="0"/>
        </c:dLbls>
        <c:marker val="1"/>
        <c:smooth val="0"/>
        <c:axId val="1118074639"/>
        <c:axId val="1118080463"/>
      </c:lineChart>
      <c:catAx>
        <c:axId val="112768128"/>
        <c:scaling>
          <c:orientation val="minMax"/>
        </c:scaling>
        <c:delete val="0"/>
        <c:axPos val="b"/>
        <c:numFmt formatCode="General" sourceLinked="1"/>
        <c:majorTickMark val="out"/>
        <c:minorTickMark val="none"/>
        <c:tickLblPos val="low"/>
        <c:txPr>
          <a:bodyPr/>
          <a:lstStyle/>
          <a:p>
            <a:pPr>
              <a:defRPr sz="800">
                <a:latin typeface="Arial" pitchFamily="34" charset="0"/>
                <a:cs typeface="Arial" pitchFamily="34" charset="0"/>
              </a:defRPr>
            </a:pPr>
            <a:endParaRPr lang="cs-CZ"/>
          </a:p>
        </c:txPr>
        <c:crossAx val="112769664"/>
        <c:crosses val="autoZero"/>
        <c:auto val="1"/>
        <c:lblAlgn val="ctr"/>
        <c:lblOffset val="0"/>
        <c:noMultiLvlLbl val="0"/>
      </c:catAx>
      <c:valAx>
        <c:axId val="112769664"/>
        <c:scaling>
          <c:orientation val="minMax"/>
          <c:max val="15"/>
          <c:min val="-30"/>
        </c:scaling>
        <c:delete val="0"/>
        <c:axPos val="l"/>
        <c:majorGridlines>
          <c:spPr>
            <a:ln>
              <a:solidFill>
                <a:srgbClr val="BEBEBE"/>
              </a:solidFill>
            </a:ln>
          </c:spPr>
        </c:majorGridlines>
        <c:title>
          <c:tx>
            <c:rich>
              <a:bodyPr/>
              <a:lstStyle/>
              <a:p>
                <a:pPr marL="0" marR="0" lvl="0" indent="0" algn="ctr" defTabSz="914400" rtl="0" eaLnBrk="1" fontAlgn="auto" latinLnBrk="0" hangingPunct="1">
                  <a:lnSpc>
                    <a:spcPct val="100000"/>
                  </a:lnSpc>
                  <a:spcBef>
                    <a:spcPts val="0"/>
                  </a:spcBef>
                  <a:spcAft>
                    <a:spcPts val="0"/>
                  </a:spcAft>
                  <a:buClrTx/>
                  <a:buSzTx/>
                  <a:buFontTx/>
                  <a:buNone/>
                  <a:tabLst/>
                  <a:defRPr sz="700" b="0" i="1"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cs-CZ" sz="700" b="0" i="1" u="none" strike="noStrike" kern="1200" baseline="0">
                    <a:solidFill>
                      <a:sysClr val="windowText" lastClr="000000"/>
                    </a:solidFill>
                    <a:latin typeface="Arial" pitchFamily="34" charset="0"/>
                  </a:rPr>
                  <a:t>Contribution to the change of sales in services</a:t>
                </a:r>
              </a:p>
            </c:rich>
          </c:tx>
          <c:overlay val="0"/>
        </c:title>
        <c:numFmt formatCode="0" sourceLinked="0"/>
        <c:majorTickMark val="out"/>
        <c:minorTickMark val="none"/>
        <c:tickLblPos val="nextTo"/>
        <c:txPr>
          <a:bodyPr/>
          <a:lstStyle/>
          <a:p>
            <a:pPr>
              <a:defRPr sz="800">
                <a:latin typeface="Arial" pitchFamily="34" charset="0"/>
                <a:cs typeface="Arial" pitchFamily="34" charset="0"/>
              </a:defRPr>
            </a:pPr>
            <a:endParaRPr lang="cs-CZ"/>
          </a:p>
        </c:txPr>
        <c:crossAx val="112768128"/>
        <c:crosses val="autoZero"/>
        <c:crossBetween val="between"/>
        <c:majorUnit val="5"/>
      </c:valAx>
      <c:valAx>
        <c:axId val="1118080463"/>
        <c:scaling>
          <c:orientation val="minMax"/>
          <c:max val="150"/>
          <c:min val="-30"/>
        </c:scaling>
        <c:delete val="0"/>
        <c:axPos val="r"/>
        <c:title>
          <c:tx>
            <c:rich>
              <a:bodyPr/>
              <a:lstStyle/>
              <a:p>
                <a:pPr>
                  <a:defRPr sz="700" b="0" i="1">
                    <a:latin typeface="Arial" panose="020B0604020202020204" pitchFamily="34" charset="0"/>
                    <a:cs typeface="Arial" panose="020B0604020202020204" pitchFamily="34" charset="0"/>
                  </a:defRPr>
                </a:pPr>
                <a:r>
                  <a:rPr lang="cs-CZ" sz="700" b="0" i="1" u="none" strike="noStrike" kern="1200" baseline="0">
                    <a:solidFill>
                      <a:sysClr val="windowText" lastClr="000000"/>
                    </a:solidFill>
                    <a:latin typeface="Arial" pitchFamily="34" charset="0"/>
                  </a:rPr>
                  <a:t>Sales (basis 2021=100), Confidence indicator, Growth barriers</a:t>
                </a:r>
              </a:p>
            </c:rich>
          </c:tx>
          <c:overlay val="0"/>
        </c:title>
        <c:numFmt formatCode="0" sourceLinked="0"/>
        <c:majorTickMark val="out"/>
        <c:minorTickMark val="none"/>
        <c:tickLblPos val="nextTo"/>
        <c:txPr>
          <a:bodyPr/>
          <a:lstStyle/>
          <a:p>
            <a:pPr>
              <a:defRPr sz="800">
                <a:latin typeface="Arial" panose="020B0604020202020204" pitchFamily="34" charset="0"/>
                <a:cs typeface="Arial" panose="020B0604020202020204" pitchFamily="34" charset="0"/>
              </a:defRPr>
            </a:pPr>
            <a:endParaRPr lang="cs-CZ"/>
          </a:p>
        </c:txPr>
        <c:crossAx val="1118074639"/>
        <c:crosses val="max"/>
        <c:crossBetween val="between"/>
        <c:majorUnit val="20"/>
      </c:valAx>
      <c:catAx>
        <c:axId val="1118074639"/>
        <c:scaling>
          <c:orientation val="minMax"/>
        </c:scaling>
        <c:delete val="1"/>
        <c:axPos val="b"/>
        <c:numFmt formatCode="General" sourceLinked="1"/>
        <c:majorTickMark val="out"/>
        <c:minorTickMark val="none"/>
        <c:tickLblPos val="nextTo"/>
        <c:crossAx val="1118080463"/>
        <c:crosses val="autoZero"/>
        <c:auto val="1"/>
        <c:lblAlgn val="ctr"/>
        <c:lblOffset val="100"/>
        <c:noMultiLvlLbl val="0"/>
      </c:catAx>
      <c:spPr>
        <a:noFill/>
        <a:ln w="6350">
          <a:solidFill>
            <a:prstClr val="black">
              <a:lumMod val="95000"/>
              <a:lumOff val="5000"/>
            </a:prstClr>
          </a:solidFill>
        </a:ln>
      </c:spPr>
    </c:plotArea>
    <c:legend>
      <c:legendPos val="r"/>
      <c:layout>
        <c:manualLayout>
          <c:xMode val="edge"/>
          <c:yMode val="edge"/>
          <c:x val="0"/>
          <c:y val="0.81977661598035723"/>
          <c:w val="0.99257862455218637"/>
          <c:h val="0.17302512701806255"/>
        </c:manualLayout>
      </c:layout>
      <c:overlay val="0"/>
      <c:spPr>
        <a:ln w="6350">
          <a:solidFill>
            <a:prstClr val="black">
              <a:lumMod val="95000"/>
              <a:lumOff val="5000"/>
            </a:prstClr>
          </a:solidFill>
        </a:ln>
      </c:spPr>
      <c:txPr>
        <a:bodyPr/>
        <a:lstStyle/>
        <a:p>
          <a:pPr>
            <a:defRPr sz="750">
              <a:latin typeface="Arial" pitchFamily="34" charset="0"/>
              <a:cs typeface="Arial" pitchFamily="34" charset="0"/>
            </a:defRPr>
          </a:pPr>
          <a:endParaRPr lang="cs-CZ"/>
        </a:p>
      </c:txPr>
    </c:legend>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461666861125732E-2"/>
          <c:y val="1.5803328678987455E-2"/>
          <c:w val="0.85342510714508102"/>
          <c:h val="0.73450553497678983"/>
        </c:manualLayout>
      </c:layout>
      <c:barChart>
        <c:barDir val="col"/>
        <c:grouping val="stacked"/>
        <c:varyColors val="0"/>
        <c:ser>
          <c:idx val="0"/>
          <c:order val="1"/>
          <c:tx>
            <c:strRef>
              <c:f>'výkonnost odvětví 5a'!$E$66</c:f>
              <c:strCache>
                <c:ptCount val="1"/>
                <c:pt idx="0">
                  <c:v>Retail with food (contribution)</c:v>
                </c:pt>
              </c:strCache>
            </c:strRef>
          </c:tx>
          <c:spPr>
            <a:solidFill>
              <a:srgbClr val="85BF5E"/>
            </a:solidFill>
            <a:ln w="15875">
              <a:noFill/>
            </a:ln>
          </c:spPr>
          <c:invertIfNegative val="0"/>
          <c:cat>
            <c:multiLvlStrRef>
              <c:f>'výkonnost odvětví 5a'!$B$75:$C$111</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'výkonnost odvětví 5a'!$E$75:$E$111</c:f>
              <c:numCache>
                <c:formatCode>#\ ##0.0</c:formatCode>
                <c:ptCount val="37"/>
                <c:pt idx="0">
                  <c:v>0.7787154164630542</c:v>
                </c:pt>
                <c:pt idx="1">
                  <c:v>1.3597766994116862</c:v>
                </c:pt>
                <c:pt idx="2">
                  <c:v>1.1134773635066046</c:v>
                </c:pt>
                <c:pt idx="3">
                  <c:v>0.91970740736417533</c:v>
                </c:pt>
                <c:pt idx="4">
                  <c:v>1.4645333800973857</c:v>
                </c:pt>
                <c:pt idx="5">
                  <c:v>0.53144446548435409</c:v>
                </c:pt>
                <c:pt idx="6">
                  <c:v>0.92792683035692236</c:v>
                </c:pt>
                <c:pt idx="7">
                  <c:v>0.3824919135762459</c:v>
                </c:pt>
                <c:pt idx="8">
                  <c:v>-0.28208291529256013</c:v>
                </c:pt>
                <c:pt idx="9">
                  <c:v>1.4115794519944731</c:v>
                </c:pt>
                <c:pt idx="10">
                  <c:v>0.11831212805240382</c:v>
                </c:pt>
                <c:pt idx="11">
                  <c:v>1.4252185624438525</c:v>
                </c:pt>
                <c:pt idx="12">
                  <c:v>0.67533313612495505</c:v>
                </c:pt>
                <c:pt idx="13">
                  <c:v>-1.8574665817037352</c:v>
                </c:pt>
                <c:pt idx="14">
                  <c:v>-0.62665283397019778</c:v>
                </c:pt>
                <c:pt idx="15">
                  <c:v>-0.29163181920678832</c:v>
                </c:pt>
                <c:pt idx="16">
                  <c:v>-0.58981119530139359</c:v>
                </c:pt>
                <c:pt idx="17">
                  <c:v>0.47977238631556823</c:v>
                </c:pt>
                <c:pt idx="18">
                  <c:v>-0.29613887538851708</c:v>
                </c:pt>
                <c:pt idx="19">
                  <c:v>5.7492953561629999E-3</c:v>
                </c:pt>
                <c:pt idx="20">
                  <c:v>-6.1771867521522507E-2</c:v>
                </c:pt>
                <c:pt idx="21">
                  <c:v>-1.0998698303159358</c:v>
                </c:pt>
                <c:pt idx="22">
                  <c:v>-2.2861415343585234</c:v>
                </c:pt>
                <c:pt idx="23">
                  <c:v>-3.2426153488344589</c:v>
                </c:pt>
                <c:pt idx="24">
                  <c:v>-3.1022150783753899</c:v>
                </c:pt>
                <c:pt idx="25">
                  <c:v>-2.8564398509761104</c:v>
                </c:pt>
                <c:pt idx="26">
                  <c:v>-1.6912477810336981</c:v>
                </c:pt>
                <c:pt idx="27">
                  <c:v>-0.73753431737079767</c:v>
                </c:pt>
                <c:pt idx="28">
                  <c:v>0.86417034268935311</c:v>
                </c:pt>
                <c:pt idx="29">
                  <c:v>1.1155969948499775</c:v>
                </c:pt>
                <c:pt idx="30">
                  <c:v>0.85751571271998039</c:v>
                </c:pt>
                <c:pt idx="31">
                  <c:v>0.65176459175223633</c:v>
                </c:pt>
                <c:pt idx="32">
                  <c:v>0.3856349695123813</c:v>
                </c:pt>
                <c:pt idx="33">
                  <c:v>0.52295521079652285</c:v>
                </c:pt>
                <c:pt idx="34">
                  <c:v>-0.15402258127242624</c:v>
                </c:pt>
                <c:pt idx="35">
                  <c:v>0.20890018369138594</c:v>
                </c:pt>
              </c:numCache>
            </c:numRef>
          </c:val>
          <c:extLst>
            <c:ext xmlns:c16="http://schemas.microsoft.com/office/drawing/2014/chart" uri="{C3380CC4-5D6E-409C-BE32-E72D297353CC}">
              <c16:uniqueId val="{00000000-DC42-4785-A62C-5BD1F5E94A52}"/>
            </c:ext>
          </c:extLst>
        </c:ser>
        <c:ser>
          <c:idx val="1"/>
          <c:order val="2"/>
          <c:tx>
            <c:strRef>
              <c:f>'výkonnost odvětví 5a'!$F$66</c:f>
              <c:strCache>
                <c:ptCount val="1"/>
                <c:pt idx="0">
                  <c:v>Retail with non-food goods (contribution)</c:v>
                </c:pt>
              </c:strCache>
            </c:strRef>
          </c:tx>
          <c:spPr>
            <a:solidFill>
              <a:srgbClr val="9FC9D7"/>
            </a:solidFill>
            <a:ln w="15875">
              <a:noFill/>
            </a:ln>
          </c:spPr>
          <c:invertIfNegative val="0"/>
          <c:cat>
            <c:multiLvlStrRef>
              <c:f>'výkonnost odvětví 5a'!$B$75:$C$111</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'výkonnost odvětví 5a'!$F$75:$F$111</c:f>
              <c:numCache>
                <c:formatCode>#\ ##0.0</c:formatCode>
                <c:ptCount val="37"/>
                <c:pt idx="0">
                  <c:v>4.1557103248201761</c:v>
                </c:pt>
                <c:pt idx="1">
                  <c:v>4.4104045377999981</c:v>
                </c:pt>
                <c:pt idx="2">
                  <c:v>4.0615248531372536</c:v>
                </c:pt>
                <c:pt idx="3">
                  <c:v>4.5700952864311759</c:v>
                </c:pt>
                <c:pt idx="4">
                  <c:v>3.9569950425480003</c:v>
                </c:pt>
                <c:pt idx="5">
                  <c:v>3.3604477912859934</c:v>
                </c:pt>
                <c:pt idx="6">
                  <c:v>2.5771913471975827</c:v>
                </c:pt>
                <c:pt idx="7">
                  <c:v>3.7155262619248499</c:v>
                </c:pt>
                <c:pt idx="8">
                  <c:v>1.3112819503208197</c:v>
                </c:pt>
                <c:pt idx="9">
                  <c:v>2.4465088482732695</c:v>
                </c:pt>
                <c:pt idx="10">
                  <c:v>4.2913372796389373</c:v>
                </c:pt>
                <c:pt idx="11">
                  <c:v>5.6716868879358282</c:v>
                </c:pt>
                <c:pt idx="12">
                  <c:v>-3.6631018019599199E-2</c:v>
                </c:pt>
                <c:pt idx="13">
                  <c:v>-0.33215999960599885</c:v>
                </c:pt>
                <c:pt idx="14">
                  <c:v>1.4205055117393666</c:v>
                </c:pt>
                <c:pt idx="15">
                  <c:v>-1.8466010560035075</c:v>
                </c:pt>
                <c:pt idx="16">
                  <c:v>5.4188407588059186E-2</c:v>
                </c:pt>
                <c:pt idx="17">
                  <c:v>5.5750956334383126</c:v>
                </c:pt>
                <c:pt idx="18">
                  <c:v>3.6268681305614554</c:v>
                </c:pt>
                <c:pt idx="19">
                  <c:v>5.6710600052321718</c:v>
                </c:pt>
                <c:pt idx="20">
                  <c:v>5.9908700249658944</c:v>
                </c:pt>
                <c:pt idx="21">
                  <c:v>-0.95237997326933577</c:v>
                </c:pt>
                <c:pt idx="22">
                  <c:v>-3.9413032868435312</c:v>
                </c:pt>
                <c:pt idx="23">
                  <c:v>-5.639842051660632</c:v>
                </c:pt>
                <c:pt idx="24">
                  <c:v>-4.7855416823007664</c:v>
                </c:pt>
                <c:pt idx="25">
                  <c:v>-4.4898674075345379</c:v>
                </c:pt>
                <c:pt idx="26">
                  <c:v>-2.4585123810968508</c:v>
                </c:pt>
                <c:pt idx="27">
                  <c:v>0.45216956769806738</c:v>
                </c:pt>
                <c:pt idx="28">
                  <c:v>2.7892579332510348</c:v>
                </c:pt>
                <c:pt idx="29">
                  <c:v>2.5922742934852696</c:v>
                </c:pt>
                <c:pt idx="30">
                  <c:v>3.3674545769450015</c:v>
                </c:pt>
                <c:pt idx="31">
                  <c:v>3.5075790535238283</c:v>
                </c:pt>
                <c:pt idx="32">
                  <c:v>2.1476322473323077</c:v>
                </c:pt>
                <c:pt idx="33">
                  <c:v>2.9856994448149163</c:v>
                </c:pt>
                <c:pt idx="34">
                  <c:v>1.7198061105482132</c:v>
                </c:pt>
                <c:pt idx="35">
                  <c:v>2.1705604577352404</c:v>
                </c:pt>
              </c:numCache>
            </c:numRef>
          </c:val>
          <c:extLst>
            <c:ext xmlns:c16="http://schemas.microsoft.com/office/drawing/2014/chart" uri="{C3380CC4-5D6E-409C-BE32-E72D297353CC}">
              <c16:uniqueId val="{00000001-DC42-4785-A62C-5BD1F5E94A52}"/>
            </c:ext>
          </c:extLst>
        </c:ser>
        <c:ser>
          <c:idx val="4"/>
          <c:order val="3"/>
          <c:tx>
            <c:strRef>
              <c:f>'výkonnost odvětví 5a'!$G$66</c:f>
              <c:strCache>
                <c:ptCount val="1"/>
                <c:pt idx="0">
                  <c:v>Retail sale of fuels (contribution)</c:v>
                </c:pt>
              </c:strCache>
            </c:strRef>
          </c:tx>
          <c:spPr>
            <a:solidFill>
              <a:srgbClr val="D8A7B7"/>
            </a:solidFill>
            <a:ln w="15875">
              <a:noFill/>
            </a:ln>
          </c:spPr>
          <c:invertIfNegative val="0"/>
          <c:cat>
            <c:multiLvlStrRef>
              <c:f>'výkonnost odvětví 5a'!$B$75:$C$111</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'výkonnost odvětví 5a'!$G$75:$G$111</c:f>
              <c:numCache>
                <c:formatCode>#\ ##0.0</c:formatCode>
                <c:ptCount val="37"/>
                <c:pt idx="0">
                  <c:v>0.53580078847826029</c:v>
                </c:pt>
                <c:pt idx="1">
                  <c:v>0.7481442662741048</c:v>
                </c:pt>
                <c:pt idx="2">
                  <c:v>0.8417253716696228</c:v>
                </c:pt>
                <c:pt idx="3">
                  <c:v>0.68556061136853796</c:v>
                </c:pt>
                <c:pt idx="4">
                  <c:v>0.66247010505524628</c:v>
                </c:pt>
                <c:pt idx="5">
                  <c:v>0.59636844485642493</c:v>
                </c:pt>
                <c:pt idx="6">
                  <c:v>0.37391568004396541</c:v>
                </c:pt>
                <c:pt idx="7">
                  <c:v>0.43417919027381618</c:v>
                </c:pt>
                <c:pt idx="8">
                  <c:v>0.17803327368097366</c:v>
                </c:pt>
                <c:pt idx="9">
                  <c:v>0.36784802555092327</c:v>
                </c:pt>
                <c:pt idx="10">
                  <c:v>0.27496327062133352</c:v>
                </c:pt>
                <c:pt idx="11">
                  <c:v>0.19541841116417427</c:v>
                </c:pt>
                <c:pt idx="12">
                  <c:v>-0.74276417427034591</c:v>
                </c:pt>
                <c:pt idx="13">
                  <c:v>-1.9735846666989318</c:v>
                </c:pt>
                <c:pt idx="14">
                  <c:v>8.3771201076499296E-2</c:v>
                </c:pt>
                <c:pt idx="15">
                  <c:v>-1.0746973279715013</c:v>
                </c:pt>
                <c:pt idx="16">
                  <c:v>-0.72672808216014084</c:v>
                </c:pt>
                <c:pt idx="17">
                  <c:v>1.0691449329655009</c:v>
                </c:pt>
                <c:pt idx="18">
                  <c:v>0.36915023925499946</c:v>
                </c:pt>
                <c:pt idx="19">
                  <c:v>0.92394527520819436</c:v>
                </c:pt>
                <c:pt idx="20">
                  <c:v>1.2437216256630685</c:v>
                </c:pt>
                <c:pt idx="21">
                  <c:v>-0.71068528854266821</c:v>
                </c:pt>
                <c:pt idx="22">
                  <c:v>-1.4489977343474914</c:v>
                </c:pt>
                <c:pt idx="23">
                  <c:v>-0.43096752092822549</c:v>
                </c:pt>
                <c:pt idx="24">
                  <c:v>9.716301537191542E-2</c:v>
                </c:pt>
                <c:pt idx="25">
                  <c:v>1.0460023880331566</c:v>
                </c:pt>
                <c:pt idx="26">
                  <c:v>1.0243146599657493</c:v>
                </c:pt>
                <c:pt idx="27">
                  <c:v>0.21079297994756399</c:v>
                </c:pt>
                <c:pt idx="28">
                  <c:v>0.60059820540901987</c:v>
                </c:pt>
                <c:pt idx="29">
                  <c:v>0.25001607496531281</c:v>
                </c:pt>
                <c:pt idx="30">
                  <c:v>0.43695179266471901</c:v>
                </c:pt>
                <c:pt idx="31">
                  <c:v>1.0777735581578292</c:v>
                </c:pt>
                <c:pt idx="32">
                  <c:v>0.90810508482705865</c:v>
                </c:pt>
                <c:pt idx="33">
                  <c:v>1.4845120672403898</c:v>
                </c:pt>
                <c:pt idx="34">
                  <c:v>1.2019246568281869</c:v>
                </c:pt>
                <c:pt idx="35">
                  <c:v>0.52590906691451378</c:v>
                </c:pt>
              </c:numCache>
            </c:numRef>
          </c:val>
          <c:extLst>
            <c:ext xmlns:c16="http://schemas.microsoft.com/office/drawing/2014/chart" uri="{C3380CC4-5D6E-409C-BE32-E72D297353CC}">
              <c16:uniqueId val="{00000002-DC42-4785-A62C-5BD1F5E94A52}"/>
            </c:ext>
          </c:extLst>
        </c:ser>
        <c:dLbls>
          <c:showLegendKey val="0"/>
          <c:showVal val="0"/>
          <c:showCatName val="0"/>
          <c:showSerName val="0"/>
          <c:showPercent val="0"/>
          <c:showBubbleSize val="0"/>
        </c:dLbls>
        <c:gapWidth val="31"/>
        <c:overlap val="100"/>
        <c:axId val="156100864"/>
        <c:axId val="156573696"/>
      </c:barChart>
      <c:lineChart>
        <c:grouping val="standard"/>
        <c:varyColors val="0"/>
        <c:ser>
          <c:idx val="3"/>
          <c:order val="0"/>
          <c:tx>
            <c:strRef>
              <c:f>'výkonnost odvětví 5a'!$D$66</c:f>
              <c:strCache>
                <c:ptCount val="1"/>
                <c:pt idx="0">
                  <c:v>Total retail sales (y-o-y change)</c:v>
                </c:pt>
              </c:strCache>
            </c:strRef>
          </c:tx>
          <c:spPr>
            <a:ln>
              <a:noFill/>
            </a:ln>
          </c:spPr>
          <c:marker>
            <c:symbol val="dash"/>
            <c:size val="6"/>
            <c:spPr>
              <a:solidFill>
                <a:schemeClr val="tx1">
                  <a:lumMod val="85000"/>
                  <a:lumOff val="15000"/>
                </a:schemeClr>
              </a:solidFill>
              <a:ln w="6350">
                <a:solidFill>
                  <a:schemeClr val="tx1">
                    <a:lumMod val="95000"/>
                    <a:lumOff val="5000"/>
                  </a:schemeClr>
                </a:solidFill>
              </a:ln>
            </c:spPr>
          </c:marker>
          <c:cat>
            <c:multiLvlStrRef>
              <c:f>'výkonnost odvětví 5a'!$B$75:$C$111</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'výkonnost odvětví 5a'!$D$75:$D$111</c:f>
              <c:numCache>
                <c:formatCode>#\ ##0.0</c:formatCode>
                <c:ptCount val="37"/>
                <c:pt idx="0">
                  <c:v>5.0535287627999992</c:v>
                </c:pt>
                <c:pt idx="1">
                  <c:v>6.1902167670999972</c:v>
                </c:pt>
                <c:pt idx="2">
                  <c:v>5.697321019499995</c:v>
                </c:pt>
                <c:pt idx="3">
                  <c:v>5.817258804399998</c:v>
                </c:pt>
                <c:pt idx="4">
                  <c:v>5.9494249259000043</c:v>
                </c:pt>
                <c:pt idx="5">
                  <c:v>4.3932899649999939</c:v>
                </c:pt>
                <c:pt idx="6">
                  <c:v>3.8341696340999931</c:v>
                </c:pt>
                <c:pt idx="7">
                  <c:v>4.3513172139000034</c:v>
                </c:pt>
                <c:pt idx="8">
                  <c:v>1.1251737248000069</c:v>
                </c:pt>
                <c:pt idx="9">
                  <c:v>4.1948322156000017</c:v>
                </c:pt>
                <c:pt idx="10">
                  <c:v>4.5011575139999991</c:v>
                </c:pt>
                <c:pt idx="11">
                  <c:v>7.2209563681000049</c:v>
                </c:pt>
                <c:pt idx="12">
                  <c:v>-0.13540494859999797</c:v>
                </c:pt>
                <c:pt idx="13">
                  <c:v>-4.2764857787000068</c:v>
                </c:pt>
                <c:pt idx="14">
                  <c:v>0.83746199809999666</c:v>
                </c:pt>
                <c:pt idx="15">
                  <c:v>-3.1481122935000059</c:v>
                </c:pt>
                <c:pt idx="16">
                  <c:v>-1.3268745743000068</c:v>
                </c:pt>
                <c:pt idx="17">
                  <c:v>6.9543169326999958</c:v>
                </c:pt>
                <c:pt idx="18">
                  <c:v>3.5838330864000056</c:v>
                </c:pt>
                <c:pt idx="19">
                  <c:v>6.5015064329000012</c:v>
                </c:pt>
                <c:pt idx="20">
                  <c:v>6.7663624924999937</c:v>
                </c:pt>
                <c:pt idx="21">
                  <c:v>-2.8032819613000015</c:v>
                </c:pt>
                <c:pt idx="22">
                  <c:v>-7.6555071207999958</c:v>
                </c:pt>
                <c:pt idx="23">
                  <c:v>-9.3142468274999999</c:v>
                </c:pt>
                <c:pt idx="24">
                  <c:v>-7.7721276373000023</c:v>
                </c:pt>
                <c:pt idx="25">
                  <c:v>-6.2867503864000014</c:v>
                </c:pt>
                <c:pt idx="26">
                  <c:v>-3.1433619481999955</c:v>
                </c:pt>
                <c:pt idx="27">
                  <c:v>-0.13807116739999969</c:v>
                </c:pt>
                <c:pt idx="28">
                  <c:v>4.2505003481000045</c:v>
                </c:pt>
                <c:pt idx="29">
                  <c:v>3.9584809474000053</c:v>
                </c:pt>
                <c:pt idx="30">
                  <c:v>4.6616093849000038</c:v>
                </c:pt>
                <c:pt idx="31">
                  <c:v>5.2361522332000021</c:v>
                </c:pt>
                <c:pt idx="32">
                  <c:v>3.4405345864000054</c:v>
                </c:pt>
                <c:pt idx="33">
                  <c:v>4.9934755807999949</c:v>
                </c:pt>
                <c:pt idx="34">
                  <c:v>2.7674095548999986</c:v>
                </c:pt>
                <c:pt idx="35">
                  <c:v>2.9060873030000067</c:v>
                </c:pt>
              </c:numCache>
            </c:numRef>
          </c:val>
          <c:smooth val="0"/>
          <c:extLst>
            <c:ext xmlns:c16="http://schemas.microsoft.com/office/drawing/2014/chart" uri="{C3380CC4-5D6E-409C-BE32-E72D297353CC}">
              <c16:uniqueId val="{00000003-DC42-4785-A62C-5BD1F5E94A52}"/>
            </c:ext>
          </c:extLst>
        </c:ser>
        <c:dLbls>
          <c:showLegendKey val="0"/>
          <c:showVal val="0"/>
          <c:showCatName val="0"/>
          <c:showSerName val="0"/>
          <c:showPercent val="0"/>
          <c:showBubbleSize val="0"/>
        </c:dLbls>
        <c:marker val="1"/>
        <c:smooth val="0"/>
        <c:axId val="156100864"/>
        <c:axId val="156573696"/>
      </c:lineChart>
      <c:lineChart>
        <c:grouping val="standard"/>
        <c:varyColors val="0"/>
        <c:ser>
          <c:idx val="5"/>
          <c:order val="4"/>
          <c:tx>
            <c:strRef>
              <c:f>'výkonnost odvětví 5a'!$H$66</c:f>
              <c:strCache>
                <c:ptCount val="1"/>
                <c:pt idx="0">
                  <c:v>Retail, without motor. segment (2021=100)</c:v>
                </c:pt>
              </c:strCache>
            </c:strRef>
          </c:tx>
          <c:spPr>
            <a:ln w="15875">
              <a:solidFill>
                <a:srgbClr val="8390A7"/>
              </a:solidFill>
              <a:prstDash val="solid"/>
            </a:ln>
          </c:spPr>
          <c:marker>
            <c:symbol val="none"/>
          </c:marker>
          <c:cat>
            <c:multiLvlStrRef>
              <c:f>'výkonnost odvětví 5a'!$B$75:$C$111</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'výkonnost odvětví 5a'!$H$75:$H$111</c:f>
              <c:numCache>
                <c:formatCode>#\ ##0.0</c:formatCode>
                <c:ptCount val="37"/>
                <c:pt idx="0">
                  <c:v>87.495099866700002</c:v>
                </c:pt>
                <c:pt idx="1">
                  <c:v>89.138431163299998</c:v>
                </c:pt>
                <c:pt idx="2">
                  <c:v>90.161633323299995</c:v>
                </c:pt>
                <c:pt idx="3">
                  <c:v>90.497394953300002</c:v>
                </c:pt>
                <c:pt idx="4">
                  <c:v>93.094801029999999</c:v>
                </c:pt>
                <c:pt idx="5">
                  <c:v>93.18768412</c:v>
                </c:pt>
                <c:pt idx="6">
                  <c:v>93.508700056699993</c:v>
                </c:pt>
                <c:pt idx="7">
                  <c:v>93.474682340000001</c:v>
                </c:pt>
                <c:pt idx="8">
                  <c:v>95.051863356699997</c:v>
                </c:pt>
                <c:pt idx="9">
                  <c:v>97.727929486700006</c:v>
                </c:pt>
                <c:pt idx="10">
                  <c:v>97.382384529999996</c:v>
                </c:pt>
                <c:pt idx="11">
                  <c:v>98.750010893300001</c:v>
                </c:pt>
                <c:pt idx="12">
                  <c:v>95.168453310000004</c:v>
                </c:pt>
                <c:pt idx="13">
                  <c:v>94.223485960000005</c:v>
                </c:pt>
                <c:pt idx="14">
                  <c:v>98.290064009999995</c:v>
                </c:pt>
                <c:pt idx="15">
                  <c:v>95.235280143300002</c:v>
                </c:pt>
                <c:pt idx="16">
                  <c:v>92.920483326699994</c:v>
                </c:pt>
                <c:pt idx="17">
                  <c:v>100.65330114</c:v>
                </c:pt>
                <c:pt idx="18">
                  <c:v>102.1060885667</c:v>
                </c:pt>
                <c:pt idx="19">
                  <c:v>101.60269841669999</c:v>
                </c:pt>
                <c:pt idx="20">
                  <c:v>99.528561633300001</c:v>
                </c:pt>
                <c:pt idx="21">
                  <c:v>97.737440950000007</c:v>
                </c:pt>
                <c:pt idx="22">
                  <c:v>94.932715766699999</c:v>
                </c:pt>
                <c:pt idx="23">
                  <c:v>92.883624879999999</c:v>
                </c:pt>
                <c:pt idx="24">
                  <c:v>91.5756240467</c:v>
                </c:pt>
                <c:pt idx="25">
                  <c:v>91.305277553300002</c:v>
                </c:pt>
                <c:pt idx="26">
                  <c:v>91.912835970000003</c:v>
                </c:pt>
                <c:pt idx="27">
                  <c:v>92.823717930000001</c:v>
                </c:pt>
                <c:pt idx="28">
                  <c:v>94.953522696700006</c:v>
                </c:pt>
                <c:pt idx="29">
                  <c:v>95.138218236699998</c:v>
                </c:pt>
                <c:pt idx="30">
                  <c:v>96.609929219999998</c:v>
                </c:pt>
                <c:pt idx="31">
                  <c:v>97.439621496699999</c:v>
                </c:pt>
                <c:pt idx="32">
                  <c:v>98.172009706699995</c:v>
                </c:pt>
                <c:pt idx="33">
                  <c:v>99.553064689999999</c:v>
                </c:pt>
                <c:pt idx="34">
                  <c:v>99.456273060000001</c:v>
                </c:pt>
                <c:pt idx="35">
                  <c:v>100.2800472667</c:v>
                </c:pt>
              </c:numCache>
            </c:numRef>
          </c:val>
          <c:smooth val="0"/>
          <c:extLst>
            <c:ext xmlns:c16="http://schemas.microsoft.com/office/drawing/2014/chart" uri="{C3380CC4-5D6E-409C-BE32-E72D297353CC}">
              <c16:uniqueId val="{00000004-DC42-4785-A62C-5BD1F5E94A52}"/>
            </c:ext>
          </c:extLst>
        </c:ser>
        <c:ser>
          <c:idx val="2"/>
          <c:order val="5"/>
          <c:tx>
            <c:strRef>
              <c:f>'výkonnost odvětví 5a'!$I$66</c:f>
              <c:strCache>
                <c:ptCount val="1"/>
                <c:pt idx="0">
                  <c:v>In that: Retail sale of fuels (2021=100)</c:v>
                </c:pt>
              </c:strCache>
            </c:strRef>
          </c:tx>
          <c:spPr>
            <a:ln w="15875">
              <a:solidFill>
                <a:srgbClr val="8390A7"/>
              </a:solidFill>
              <a:prstDash val="sysDash"/>
            </a:ln>
          </c:spPr>
          <c:marker>
            <c:symbol val="none"/>
          </c:marker>
          <c:cat>
            <c:multiLvlStrRef>
              <c:f>'výkonnost odvětví 5a'!$B$75:$C$111</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'výkonnost odvětví 5a'!$I$75:$I$111</c:f>
              <c:numCache>
                <c:formatCode>#\ ##0.0</c:formatCode>
                <c:ptCount val="37"/>
                <c:pt idx="0">
                  <c:v>96.055973429999995</c:v>
                </c:pt>
                <c:pt idx="1">
                  <c:v>97.663561083299996</c:v>
                </c:pt>
                <c:pt idx="2">
                  <c:v>99.232546576700003</c:v>
                </c:pt>
                <c:pt idx="3">
                  <c:v>100.27997863669999</c:v>
                </c:pt>
                <c:pt idx="4">
                  <c:v>101.92380869669999</c:v>
                </c:pt>
                <c:pt idx="5">
                  <c:v>102.3573869567</c:v>
                </c:pt>
                <c:pt idx="6">
                  <c:v>101.9803127767</c:v>
                </c:pt>
                <c:pt idx="7">
                  <c:v>101.9116452767</c:v>
                </c:pt>
                <c:pt idx="8">
                  <c:v>105.5158907133</c:v>
                </c:pt>
                <c:pt idx="9">
                  <c:v>106.7628022633</c:v>
                </c:pt>
                <c:pt idx="10">
                  <c:v>102.2787380533</c:v>
                </c:pt>
                <c:pt idx="11">
                  <c:v>102.40340343</c:v>
                </c:pt>
                <c:pt idx="12">
                  <c:v>101.81614777999999</c:v>
                </c:pt>
                <c:pt idx="13">
                  <c:v>89.515623356700004</c:v>
                </c:pt>
                <c:pt idx="14">
                  <c:v>98.569475176699996</c:v>
                </c:pt>
                <c:pt idx="15">
                  <c:v>92.226775443299999</c:v>
                </c:pt>
                <c:pt idx="16">
                  <c:v>96.031526409999998</c:v>
                </c:pt>
                <c:pt idx="17">
                  <c:v>100.9494518133</c:v>
                </c:pt>
                <c:pt idx="18">
                  <c:v>102.17485456670001</c:v>
                </c:pt>
                <c:pt idx="19">
                  <c:v>100.0307774533</c:v>
                </c:pt>
                <c:pt idx="20">
                  <c:v>100.54507547670001</c:v>
                </c:pt>
                <c:pt idx="21">
                  <c:v>95.843290120000006</c:v>
                </c:pt>
                <c:pt idx="22">
                  <c:v>95.154062596700001</c:v>
                </c:pt>
                <c:pt idx="23">
                  <c:v>97.975070919999993</c:v>
                </c:pt>
                <c:pt idx="24">
                  <c:v>98.909540379999996</c:v>
                </c:pt>
                <c:pt idx="25">
                  <c:v>101.97729902</c:v>
                </c:pt>
                <c:pt idx="26">
                  <c:v>102.90693492</c:v>
                </c:pt>
                <c:pt idx="27">
                  <c:v>101.77511366</c:v>
                </c:pt>
                <c:pt idx="28">
                  <c:v>104.31488638</c:v>
                </c:pt>
                <c:pt idx="29">
                  <c:v>104.52197760999999</c:v>
                </c:pt>
                <c:pt idx="30">
                  <c:v>107.0251773067</c:v>
                </c:pt>
                <c:pt idx="31">
                  <c:v>111.1879870633</c:v>
                </c:pt>
                <c:pt idx="32">
                  <c:v>112.5120264033</c:v>
                </c:pt>
                <c:pt idx="33">
                  <c:v>115.4743812167</c:v>
                </c:pt>
                <c:pt idx="34">
                  <c:v>116.7253209033</c:v>
                </c:pt>
                <c:pt idx="35">
                  <c:v>117.50884574</c:v>
                </c:pt>
              </c:numCache>
            </c:numRef>
          </c:val>
          <c:smooth val="0"/>
          <c:extLst>
            <c:ext xmlns:c16="http://schemas.microsoft.com/office/drawing/2014/chart" uri="{C3380CC4-5D6E-409C-BE32-E72D297353CC}">
              <c16:uniqueId val="{00000005-DC42-4785-A62C-5BD1F5E94A52}"/>
            </c:ext>
          </c:extLst>
        </c:ser>
        <c:ser>
          <c:idx val="6"/>
          <c:order val="6"/>
          <c:tx>
            <c:strRef>
              <c:f>'výkonnost odvětví 5a'!$J$66</c:f>
              <c:strCache>
                <c:ptCount val="1"/>
                <c:pt idx="0">
                  <c:v>Sale, repair of motor vehicles (2021=100)</c:v>
                </c:pt>
              </c:strCache>
            </c:strRef>
          </c:tx>
          <c:spPr>
            <a:ln w="15875">
              <a:solidFill>
                <a:srgbClr val="B8BBC0"/>
              </a:solidFill>
              <a:prstDash val="lgDash"/>
            </a:ln>
          </c:spPr>
          <c:marker>
            <c:symbol val="none"/>
          </c:marker>
          <c:cat>
            <c:multiLvlStrRef>
              <c:f>'výkonnost odvětví 5a'!$B$75:$C$111</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'výkonnost odvětví 5a'!$J$75:$J$111</c:f>
              <c:numCache>
                <c:formatCode>#\ ##0.0</c:formatCode>
                <c:ptCount val="37"/>
                <c:pt idx="0">
                  <c:v>109.6931493133</c:v>
                </c:pt>
                <c:pt idx="1">
                  <c:v>110.1404259533</c:v>
                </c:pt>
                <c:pt idx="2">
                  <c:v>109.35124661330001</c:v>
                </c:pt>
                <c:pt idx="3">
                  <c:v>110.30069229670001</c:v>
                </c:pt>
                <c:pt idx="4">
                  <c:v>108.8070253133</c:v>
                </c:pt>
                <c:pt idx="5">
                  <c:v>108.53626257000001</c:v>
                </c:pt>
                <c:pt idx="6">
                  <c:v>108.41447377999999</c:v>
                </c:pt>
                <c:pt idx="7">
                  <c:v>106.84909192000001</c:v>
                </c:pt>
                <c:pt idx="8">
                  <c:v>108.70853031670001</c:v>
                </c:pt>
                <c:pt idx="9">
                  <c:v>109.27449573</c:v>
                </c:pt>
                <c:pt idx="10">
                  <c:v>107.5435867133</c:v>
                </c:pt>
                <c:pt idx="11">
                  <c:v>107.39297555</c:v>
                </c:pt>
                <c:pt idx="12">
                  <c:v>95.102227563300005</c:v>
                </c:pt>
                <c:pt idx="13">
                  <c:v>78.841400570000005</c:v>
                </c:pt>
                <c:pt idx="14">
                  <c:v>99.650671279999997</c:v>
                </c:pt>
                <c:pt idx="15">
                  <c:v>99.510519133299994</c:v>
                </c:pt>
                <c:pt idx="16">
                  <c:v>101.4062312633</c:v>
                </c:pt>
                <c:pt idx="17">
                  <c:v>101.24653163329999</c:v>
                </c:pt>
                <c:pt idx="18">
                  <c:v>98.615529446699995</c:v>
                </c:pt>
                <c:pt idx="19">
                  <c:v>97.3728937833</c:v>
                </c:pt>
                <c:pt idx="20">
                  <c:v>96.582684296699995</c:v>
                </c:pt>
                <c:pt idx="21">
                  <c:v>95.549954633300004</c:v>
                </c:pt>
                <c:pt idx="22">
                  <c:v>95.566899176700005</c:v>
                </c:pt>
                <c:pt idx="23">
                  <c:v>96.054700819999994</c:v>
                </c:pt>
                <c:pt idx="24">
                  <c:v>98.784595899999999</c:v>
                </c:pt>
                <c:pt idx="25">
                  <c:v>99.541679433300004</c:v>
                </c:pt>
                <c:pt idx="26">
                  <c:v>100.9435793</c:v>
                </c:pt>
                <c:pt idx="27">
                  <c:v>101.4908727033</c:v>
                </c:pt>
                <c:pt idx="28">
                  <c:v>101.27150124000001</c:v>
                </c:pt>
                <c:pt idx="29">
                  <c:v>100.9720487833</c:v>
                </c:pt>
                <c:pt idx="30">
                  <c:v>100.40530766000001</c:v>
                </c:pt>
                <c:pt idx="31">
                  <c:v>101.75487791330001</c:v>
                </c:pt>
                <c:pt idx="32">
                  <c:v>102.79213961329999</c:v>
                </c:pt>
                <c:pt idx="33">
                  <c:v>103.32215393</c:v>
                </c:pt>
                <c:pt idx="34">
                  <c:v>104.4071128433</c:v>
                </c:pt>
                <c:pt idx="35">
                  <c:v>104.12958114</c:v>
                </c:pt>
              </c:numCache>
            </c:numRef>
          </c:val>
          <c:smooth val="0"/>
          <c:extLst>
            <c:ext xmlns:c16="http://schemas.microsoft.com/office/drawing/2014/chart" uri="{C3380CC4-5D6E-409C-BE32-E72D297353CC}">
              <c16:uniqueId val="{00000006-DC42-4785-A62C-5BD1F5E94A52}"/>
            </c:ext>
          </c:extLst>
        </c:ser>
        <c:ser>
          <c:idx val="7"/>
          <c:order val="7"/>
          <c:tx>
            <c:strRef>
              <c:f>'výkonnost odvětví 5a'!$K$66</c:f>
              <c:strCache>
                <c:ptCount val="1"/>
              </c:strCache>
            </c:strRef>
          </c:tx>
          <c:spPr>
            <a:ln w="3175">
              <a:noFill/>
              <a:prstDash val="sysDash"/>
            </a:ln>
          </c:spPr>
          <c:marker>
            <c:symbol val="none"/>
          </c:marker>
          <c:cat>
            <c:multiLvlStrRef>
              <c:f>'výkonnost odvětví 5a'!$B$75:$C$111</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'výkonnost odvětví 5a'!$K$75:$K$111</c:f>
              <c:numCache>
                <c:formatCode>#\ ##0.0</c:formatCode>
                <c:ptCount val="37"/>
                <c:pt idx="0">
                  <c:v>-0.41669776696149152</c:v>
                </c:pt>
                <c:pt idx="1">
                  <c:v>-0.32810873638579163</c:v>
                </c:pt>
                <c:pt idx="2">
                  <c:v>-0.31940656881348628</c:v>
                </c:pt>
                <c:pt idx="3">
                  <c:v>-0.358104500763891</c:v>
                </c:pt>
                <c:pt idx="4">
                  <c:v>-0.13457360180062816</c:v>
                </c:pt>
                <c:pt idx="5">
                  <c:v>-9.4970736626778574E-2</c:v>
                </c:pt>
                <c:pt idx="6">
                  <c:v>-4.4864223498477129E-2</c:v>
                </c:pt>
                <c:pt idx="7">
                  <c:v>-0.18088015187490841</c:v>
                </c:pt>
                <c:pt idx="8">
                  <c:v>-8.2058583909226379E-2</c:v>
                </c:pt>
                <c:pt idx="9">
                  <c:v>-3.110411021866416E-2</c:v>
                </c:pt>
                <c:pt idx="10">
                  <c:v>-0.1834551643126755</c:v>
                </c:pt>
                <c:pt idx="11">
                  <c:v>-7.13674934438501E-2</c:v>
                </c:pt>
                <c:pt idx="12">
                  <c:v>-3.1342892435007874E-2</c:v>
                </c:pt>
                <c:pt idx="13">
                  <c:v>-0.11327453069134075</c:v>
                </c:pt>
                <c:pt idx="14">
                  <c:v>-4.0161880745671424E-2</c:v>
                </c:pt>
                <c:pt idx="15">
                  <c:v>6.4817909681791352E-2</c:v>
                </c:pt>
                <c:pt idx="16">
                  <c:v>-6.4523704426531547E-2</c:v>
                </c:pt>
                <c:pt idx="17">
                  <c:v>-0.16969602001938622</c:v>
                </c:pt>
                <c:pt idx="18">
                  <c:v>-0.11604640802793198</c:v>
                </c:pt>
                <c:pt idx="19">
                  <c:v>-9.924814289652828E-2</c:v>
                </c:pt>
                <c:pt idx="20">
                  <c:v>-0.40645729060744684</c:v>
                </c:pt>
                <c:pt idx="21">
                  <c:v>-4.0346869172061761E-2</c:v>
                </c:pt>
                <c:pt idx="22">
                  <c:v>2.0935434749550064E-2</c:v>
                </c:pt>
                <c:pt idx="23">
                  <c:v>-8.2190607668347626E-4</c:v>
                </c:pt>
                <c:pt idx="24">
                  <c:v>1.8466108004238521E-2</c:v>
                </c:pt>
                <c:pt idx="25">
                  <c:v>1.3554484077490381E-2</c:v>
                </c:pt>
                <c:pt idx="26">
                  <c:v>-1.7916446035195932E-2</c:v>
                </c:pt>
                <c:pt idx="27">
                  <c:v>-6.3499397674833397E-2</c:v>
                </c:pt>
                <c:pt idx="28">
                  <c:v>-3.5261332494030961E-3</c:v>
                </c:pt>
                <c:pt idx="29">
                  <c:v>5.9358409944537671E-4</c:v>
                </c:pt>
                <c:pt idx="30">
                  <c:v>-3.1269742969691761E-4</c:v>
                </c:pt>
                <c:pt idx="31">
                  <c:v>-9.6497023389185976E-4</c:v>
                </c:pt>
              </c:numCache>
            </c:numRef>
          </c:val>
          <c:smooth val="0"/>
          <c:extLst>
            <c:ext xmlns:c16="http://schemas.microsoft.com/office/drawing/2014/chart" uri="{C3380CC4-5D6E-409C-BE32-E72D297353CC}">
              <c16:uniqueId val="{00000007-DC42-4785-A62C-5BD1F5E94A52}"/>
            </c:ext>
          </c:extLst>
        </c:ser>
        <c:ser>
          <c:idx val="8"/>
          <c:order val="8"/>
          <c:tx>
            <c:strRef>
              <c:f>'výkonnost odvětví 5a'!$L$66</c:f>
              <c:strCache>
                <c:ptCount val="1"/>
                <c:pt idx="0">
                  <c:v>Consumer confidence indicator</c:v>
                </c:pt>
              </c:strCache>
            </c:strRef>
          </c:tx>
          <c:spPr>
            <a:ln w="12700">
              <a:noFill/>
              <a:prstDash val="sysDot"/>
            </a:ln>
          </c:spPr>
          <c:marker>
            <c:symbol val="circle"/>
            <c:size val="5"/>
            <c:spPr>
              <a:solidFill>
                <a:srgbClr val="E6C45B"/>
              </a:solidFill>
              <a:ln>
                <a:solidFill>
                  <a:srgbClr val="E6C45B"/>
                </a:solidFill>
              </a:ln>
            </c:spPr>
          </c:marker>
          <c:cat>
            <c:multiLvlStrRef>
              <c:f>'výkonnost odvětví 5a'!$B$75:$C$111</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'výkonnost odvětví 5a'!$L$75:$L$111</c:f>
              <c:numCache>
                <c:formatCode>0.0</c:formatCode>
                <c:ptCount val="37"/>
                <c:pt idx="0">
                  <c:v>1.25</c:v>
                </c:pt>
                <c:pt idx="1">
                  <c:v>-0.5</c:v>
                </c:pt>
                <c:pt idx="2">
                  <c:v>0.5</c:v>
                </c:pt>
                <c:pt idx="3">
                  <c:v>5</c:v>
                </c:pt>
                <c:pt idx="4">
                  <c:v>3.75</c:v>
                </c:pt>
                <c:pt idx="5">
                  <c:v>6</c:v>
                </c:pt>
                <c:pt idx="6">
                  <c:v>4</c:v>
                </c:pt>
                <c:pt idx="7">
                  <c:v>1</c:v>
                </c:pt>
                <c:pt idx="8">
                  <c:v>3.25</c:v>
                </c:pt>
                <c:pt idx="9">
                  <c:v>0</c:v>
                </c:pt>
                <c:pt idx="10">
                  <c:v>2.25</c:v>
                </c:pt>
                <c:pt idx="11">
                  <c:v>-0.5</c:v>
                </c:pt>
                <c:pt idx="12">
                  <c:v>-1.75</c:v>
                </c:pt>
                <c:pt idx="13">
                  <c:v>-9.25</c:v>
                </c:pt>
                <c:pt idx="14">
                  <c:v>-8.75</c:v>
                </c:pt>
                <c:pt idx="15">
                  <c:v>-18.5</c:v>
                </c:pt>
                <c:pt idx="16">
                  <c:v>-16.25</c:v>
                </c:pt>
                <c:pt idx="17">
                  <c:v>-6.75</c:v>
                </c:pt>
                <c:pt idx="18">
                  <c:v>-4.5</c:v>
                </c:pt>
                <c:pt idx="19">
                  <c:v>-17</c:v>
                </c:pt>
                <c:pt idx="20">
                  <c:v>-16.5</c:v>
                </c:pt>
                <c:pt idx="21">
                  <c:v>-31</c:v>
                </c:pt>
                <c:pt idx="22">
                  <c:v>-29.8</c:v>
                </c:pt>
                <c:pt idx="23">
                  <c:v>-30.8</c:v>
                </c:pt>
                <c:pt idx="24">
                  <c:v>-21</c:v>
                </c:pt>
                <c:pt idx="25">
                  <c:v>-20.3</c:v>
                </c:pt>
                <c:pt idx="26">
                  <c:v>-18</c:v>
                </c:pt>
                <c:pt idx="27">
                  <c:v>-18.3</c:v>
                </c:pt>
                <c:pt idx="28">
                  <c:v>-15.8</c:v>
                </c:pt>
                <c:pt idx="29">
                  <c:v>-9</c:v>
                </c:pt>
                <c:pt idx="30">
                  <c:v>-12.8</c:v>
                </c:pt>
                <c:pt idx="31">
                  <c:v>-9</c:v>
                </c:pt>
                <c:pt idx="32">
                  <c:v>-13.5</c:v>
                </c:pt>
                <c:pt idx="33">
                  <c:v>-9.8000000000000007</c:v>
                </c:pt>
                <c:pt idx="34">
                  <c:v>-11.3</c:v>
                </c:pt>
                <c:pt idx="35">
                  <c:v>0</c:v>
                </c:pt>
                <c:pt idx="36">
                  <c:v>-3.5</c:v>
                </c:pt>
              </c:numCache>
            </c:numRef>
          </c:val>
          <c:smooth val="0"/>
          <c:extLst>
            <c:ext xmlns:c16="http://schemas.microsoft.com/office/drawing/2014/chart" uri="{C3380CC4-5D6E-409C-BE32-E72D297353CC}">
              <c16:uniqueId val="{00000008-DC42-4785-A62C-5BD1F5E94A52}"/>
            </c:ext>
          </c:extLst>
        </c:ser>
        <c:ser>
          <c:idx val="9"/>
          <c:order val="9"/>
          <c:tx>
            <c:strRef>
              <c:f>'výkonnost odvětví 5a'!$M$66</c:f>
              <c:strCache>
                <c:ptCount val="1"/>
                <c:pt idx="0">
                  <c:v>Confidence indicator in retail</c:v>
                </c:pt>
              </c:strCache>
            </c:strRef>
          </c:tx>
          <c:spPr>
            <a:ln w="6350">
              <a:solidFill>
                <a:schemeClr val="bg1">
                  <a:lumMod val="65000"/>
                </a:schemeClr>
              </a:solidFill>
              <a:prstDash val="sysDash"/>
            </a:ln>
          </c:spPr>
          <c:marker>
            <c:symbol val="triangle"/>
            <c:size val="5"/>
            <c:spPr>
              <a:solidFill>
                <a:schemeClr val="bg1"/>
              </a:solidFill>
              <a:ln>
                <a:solidFill>
                  <a:schemeClr val="bg1">
                    <a:lumMod val="50000"/>
                  </a:schemeClr>
                </a:solidFill>
              </a:ln>
            </c:spPr>
          </c:marker>
          <c:cat>
            <c:multiLvlStrRef>
              <c:f>'výkonnost odvětví 5a'!$B$75:$C$111</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'výkonnost odvětví 5a'!$M$75:$M$111</c:f>
              <c:numCache>
                <c:formatCode>0.0</c:formatCode>
                <c:ptCount val="37"/>
                <c:pt idx="0">
                  <c:v>24.3</c:v>
                </c:pt>
                <c:pt idx="1">
                  <c:v>17.3</c:v>
                </c:pt>
                <c:pt idx="2">
                  <c:v>22.7</c:v>
                </c:pt>
                <c:pt idx="3">
                  <c:v>21.7</c:v>
                </c:pt>
                <c:pt idx="4">
                  <c:v>23.3</c:v>
                </c:pt>
                <c:pt idx="5">
                  <c:v>17.3</c:v>
                </c:pt>
                <c:pt idx="6">
                  <c:v>15.6</c:v>
                </c:pt>
                <c:pt idx="7">
                  <c:v>15</c:v>
                </c:pt>
                <c:pt idx="8">
                  <c:v>12.7</c:v>
                </c:pt>
                <c:pt idx="9">
                  <c:v>12.3</c:v>
                </c:pt>
                <c:pt idx="10">
                  <c:v>14.7</c:v>
                </c:pt>
                <c:pt idx="11">
                  <c:v>14.7</c:v>
                </c:pt>
                <c:pt idx="12">
                  <c:v>18.7</c:v>
                </c:pt>
                <c:pt idx="13">
                  <c:v>-1</c:v>
                </c:pt>
                <c:pt idx="14">
                  <c:v>12</c:v>
                </c:pt>
                <c:pt idx="15">
                  <c:v>7</c:v>
                </c:pt>
                <c:pt idx="16">
                  <c:v>1.3</c:v>
                </c:pt>
                <c:pt idx="17">
                  <c:v>15</c:v>
                </c:pt>
                <c:pt idx="18">
                  <c:v>18.3</c:v>
                </c:pt>
                <c:pt idx="19">
                  <c:v>21.3</c:v>
                </c:pt>
                <c:pt idx="20">
                  <c:v>19.7</c:v>
                </c:pt>
                <c:pt idx="21">
                  <c:v>19.600000000000001</c:v>
                </c:pt>
                <c:pt idx="22">
                  <c:v>10.3</c:v>
                </c:pt>
                <c:pt idx="23">
                  <c:v>14.7</c:v>
                </c:pt>
                <c:pt idx="24">
                  <c:v>9.3000000000000007</c:v>
                </c:pt>
                <c:pt idx="25">
                  <c:v>13.3</c:v>
                </c:pt>
                <c:pt idx="26">
                  <c:v>5.7</c:v>
                </c:pt>
                <c:pt idx="27">
                  <c:v>3.3</c:v>
                </c:pt>
                <c:pt idx="28">
                  <c:v>1.7</c:v>
                </c:pt>
                <c:pt idx="29">
                  <c:v>11.3</c:v>
                </c:pt>
                <c:pt idx="30">
                  <c:v>9.3000000000000007</c:v>
                </c:pt>
                <c:pt idx="31">
                  <c:v>11.3</c:v>
                </c:pt>
                <c:pt idx="32">
                  <c:v>15</c:v>
                </c:pt>
                <c:pt idx="33">
                  <c:v>13.3</c:v>
                </c:pt>
                <c:pt idx="34">
                  <c:v>13.3</c:v>
                </c:pt>
                <c:pt idx="35">
                  <c:v>11.7</c:v>
                </c:pt>
                <c:pt idx="36">
                  <c:v>11.3</c:v>
                </c:pt>
              </c:numCache>
            </c:numRef>
          </c:val>
          <c:smooth val="0"/>
          <c:extLst>
            <c:ext xmlns:c16="http://schemas.microsoft.com/office/drawing/2014/chart" uri="{C3380CC4-5D6E-409C-BE32-E72D297353CC}">
              <c16:uniqueId val="{00000009-DC42-4785-A62C-5BD1F5E94A52}"/>
            </c:ext>
          </c:extLst>
        </c:ser>
        <c:dLbls>
          <c:showLegendKey val="0"/>
          <c:showVal val="0"/>
          <c:showCatName val="0"/>
          <c:showSerName val="0"/>
          <c:showPercent val="0"/>
          <c:showBubbleSize val="0"/>
        </c:dLbls>
        <c:marker val="1"/>
        <c:smooth val="0"/>
        <c:axId val="1875570767"/>
        <c:axId val="1875563695"/>
      </c:lineChart>
      <c:catAx>
        <c:axId val="156100864"/>
        <c:scaling>
          <c:orientation val="minMax"/>
        </c:scaling>
        <c:delete val="0"/>
        <c:axPos val="b"/>
        <c:numFmt formatCode="General" sourceLinked="0"/>
        <c:majorTickMark val="out"/>
        <c:minorTickMark val="none"/>
        <c:tickLblPos val="low"/>
        <c:txPr>
          <a:bodyPr/>
          <a:lstStyle/>
          <a:p>
            <a:pPr>
              <a:defRPr sz="800"/>
            </a:pPr>
            <a:endParaRPr lang="cs-CZ"/>
          </a:p>
        </c:txPr>
        <c:crossAx val="156573696"/>
        <c:crosses val="autoZero"/>
        <c:auto val="1"/>
        <c:lblAlgn val="ctr"/>
        <c:lblOffset val="0"/>
        <c:noMultiLvlLbl val="0"/>
      </c:catAx>
      <c:valAx>
        <c:axId val="156573696"/>
        <c:scaling>
          <c:orientation val="minMax"/>
          <c:max val="12"/>
          <c:min val="-10"/>
        </c:scaling>
        <c:delete val="0"/>
        <c:axPos val="l"/>
        <c:majorGridlines>
          <c:spPr>
            <a:ln w="6350">
              <a:solidFill>
                <a:schemeClr val="bg1">
                  <a:lumMod val="75000"/>
                </a:schemeClr>
              </a:solidFill>
            </a:ln>
          </c:spPr>
        </c:majorGridlines>
        <c:title>
          <c:tx>
            <c:rich>
              <a:bodyPr/>
              <a:lstStyle/>
              <a:p>
                <a:pPr>
                  <a:defRPr sz="750" b="0" i="1"/>
                </a:pPr>
                <a:r>
                  <a:rPr lang="cs-CZ" sz="750" b="0" i="1"/>
                  <a:t>Contribution to the change of sales in retail </a:t>
                </a:r>
              </a:p>
            </c:rich>
          </c:tx>
          <c:layout>
            <c:manualLayout>
              <c:xMode val="edge"/>
              <c:yMode val="edge"/>
              <c:x val="5.289236312288466E-3"/>
              <c:y val="0.11950508568350091"/>
            </c:manualLayout>
          </c:layout>
          <c:overlay val="0"/>
        </c:title>
        <c:numFmt formatCode="0" sourceLinked="0"/>
        <c:majorTickMark val="out"/>
        <c:minorTickMark val="none"/>
        <c:tickLblPos val="nextTo"/>
        <c:txPr>
          <a:bodyPr/>
          <a:lstStyle/>
          <a:p>
            <a:pPr>
              <a:defRPr sz="800"/>
            </a:pPr>
            <a:endParaRPr lang="cs-CZ"/>
          </a:p>
        </c:txPr>
        <c:crossAx val="156100864"/>
        <c:crosses val="autoZero"/>
        <c:crossBetween val="between"/>
        <c:majorUnit val="2"/>
      </c:valAx>
      <c:valAx>
        <c:axId val="1875563695"/>
        <c:scaling>
          <c:orientation val="minMax"/>
          <c:max val="125"/>
          <c:min val="-40"/>
        </c:scaling>
        <c:delete val="0"/>
        <c:axPos val="r"/>
        <c:title>
          <c:tx>
            <c:rich>
              <a:bodyPr/>
              <a:lstStyle/>
              <a:p>
                <a:pPr>
                  <a:defRPr sz="750" b="0" i="1"/>
                </a:pPr>
                <a:r>
                  <a:rPr lang="cs-CZ" sz="750" b="0" i="1">
                    <a:latin typeface="Arial" panose="020B0604020202020204" pitchFamily="34" charset="0"/>
                    <a:cs typeface="Arial" panose="020B0604020202020204" pitchFamily="34" charset="0"/>
                  </a:rPr>
                  <a:t>Sales (year 2021=100), Confidence indicator</a:t>
                </a:r>
              </a:p>
            </c:rich>
          </c:tx>
          <c:layout>
            <c:manualLayout>
              <c:xMode val="edge"/>
              <c:yMode val="edge"/>
              <c:x val="0.96883785184270543"/>
              <c:y val="0.13674673409186683"/>
            </c:manualLayout>
          </c:layout>
          <c:overlay val="0"/>
        </c:title>
        <c:numFmt formatCode="#,##0" sourceLinked="0"/>
        <c:majorTickMark val="out"/>
        <c:minorTickMark val="none"/>
        <c:tickLblPos val="nextTo"/>
        <c:txPr>
          <a:bodyPr/>
          <a:lstStyle/>
          <a:p>
            <a:pPr>
              <a:defRPr sz="800"/>
            </a:pPr>
            <a:endParaRPr lang="cs-CZ"/>
          </a:p>
        </c:txPr>
        <c:crossAx val="1875570767"/>
        <c:crosses val="max"/>
        <c:crossBetween val="between"/>
        <c:majorUnit val="15"/>
      </c:valAx>
      <c:catAx>
        <c:axId val="1875570767"/>
        <c:scaling>
          <c:orientation val="minMax"/>
        </c:scaling>
        <c:delete val="1"/>
        <c:axPos val="b"/>
        <c:numFmt formatCode="General" sourceLinked="1"/>
        <c:majorTickMark val="out"/>
        <c:minorTickMark val="none"/>
        <c:tickLblPos val="nextTo"/>
        <c:crossAx val="1875563695"/>
        <c:crosses val="autoZero"/>
        <c:auto val="1"/>
        <c:lblAlgn val="ctr"/>
        <c:lblOffset val="100"/>
        <c:noMultiLvlLbl val="0"/>
      </c:catAx>
      <c:spPr>
        <a:ln>
          <a:solidFill>
            <a:schemeClr val="tx1"/>
          </a:solidFill>
        </a:ln>
      </c:spPr>
    </c:plotArea>
    <c:legend>
      <c:legendPos val="r"/>
      <c:layout>
        <c:manualLayout>
          <c:xMode val="edge"/>
          <c:yMode val="edge"/>
          <c:x val="2.468684205823891E-3"/>
          <c:y val="0.83361077339309464"/>
          <c:w val="0.98989464522781667"/>
          <c:h val="0.1593663064520556"/>
        </c:manualLayout>
      </c:layout>
      <c:overlay val="0"/>
      <c:spPr>
        <a:ln w="6350">
          <a:solidFill>
            <a:schemeClr val="tx1"/>
          </a:solidFill>
        </a:ln>
      </c:spPr>
      <c:txPr>
        <a:bodyPr/>
        <a:lstStyle/>
        <a:p>
          <a:pPr>
            <a:defRPr sz="750"/>
          </a:pPr>
          <a:endParaRPr lang="cs-CZ"/>
        </a:p>
      </c:txPr>
    </c:legend>
    <c:plotVisOnly val="1"/>
    <c:dispBlanksAs val="gap"/>
    <c:showDLblsOverMax val="0"/>
  </c:chart>
  <c:spPr>
    <a:ln>
      <a:noFill/>
    </a:ln>
  </c:spPr>
  <c:txPr>
    <a:bodyPr/>
    <a:lstStyle/>
    <a:p>
      <a:pPr>
        <a:defRPr sz="1500" baseline="0">
          <a:latin typeface="Arial" pitchFamily="34" charset="0"/>
        </a:defRPr>
      </a:pPr>
      <a:endParaRPr lang="cs-CZ"/>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3069916774474014E-2"/>
          <c:y val="4.15424531457926E-2"/>
          <c:w val="0.88202003907252513"/>
          <c:h val="0.83555297762624581"/>
        </c:manualLayout>
      </c:layout>
      <c:barChart>
        <c:barDir val="col"/>
        <c:grouping val="clustered"/>
        <c:varyColors val="0"/>
        <c:ser>
          <c:idx val="2"/>
          <c:order val="2"/>
          <c:tx>
            <c:strRef>
              <c:f>'Vnější vztahy_a'!$D$4</c:f>
              <c:strCache>
                <c:ptCount val="1"/>
                <c:pt idx="0">
                  <c:v>Balance</c:v>
                </c:pt>
              </c:strCache>
            </c:strRef>
          </c:tx>
          <c:spPr>
            <a:solidFill>
              <a:srgbClr val="85898E"/>
            </a:solidFill>
            <a:ln>
              <a:noFill/>
            </a:ln>
            <a:effectLst/>
          </c:spPr>
          <c:invertIfNegative val="0"/>
          <c:cat>
            <c:strRef>
              <c:f>'Vnější vztahy_a'!$A$10:$A$24</c:f>
              <c:strCache>
                <c:ptCount val="15"/>
                <c:pt idx="0">
                  <c:v>2011</c:v>
                </c:pt>
                <c:pt idx="1">
                  <c:v>2012</c:v>
                </c:pt>
                <c:pt idx="2">
                  <c:v>2013</c:v>
                </c:pt>
                <c:pt idx="3">
                  <c:v>2014</c:v>
                </c:pt>
                <c:pt idx="4">
                  <c:v> 2015</c:v>
                </c:pt>
                <c:pt idx="5">
                  <c:v>2016</c:v>
                </c:pt>
                <c:pt idx="6">
                  <c:v>2017</c:v>
                </c:pt>
                <c:pt idx="7">
                  <c:v>2018</c:v>
                </c:pt>
                <c:pt idx="8">
                  <c:v>2019</c:v>
                </c:pt>
                <c:pt idx="9">
                  <c:v>2020</c:v>
                </c:pt>
                <c:pt idx="10">
                  <c:v>2021</c:v>
                </c:pt>
                <c:pt idx="11">
                  <c:v>2022</c:v>
                </c:pt>
                <c:pt idx="12">
                  <c:v>2023</c:v>
                </c:pt>
                <c:pt idx="13">
                  <c:v>2024</c:v>
                </c:pt>
                <c:pt idx="14">
                  <c:v>2025</c:v>
                </c:pt>
              </c:strCache>
            </c:strRef>
          </c:cat>
          <c:val>
            <c:numRef>
              <c:f>'Vnější vztahy_a'!$D$10:$D$24</c:f>
              <c:numCache>
                <c:formatCode>General</c:formatCode>
                <c:ptCount val="15"/>
                <c:pt idx="0">
                  <c:v>11.977</c:v>
                </c:pt>
                <c:pt idx="1">
                  <c:v>64.41</c:v>
                </c:pt>
                <c:pt idx="2">
                  <c:v>106.518</c:v>
                </c:pt>
                <c:pt idx="3">
                  <c:v>146.00899999999999</c:v>
                </c:pt>
                <c:pt idx="4">
                  <c:v>130.97677807700001</c:v>
                </c:pt>
                <c:pt idx="5">
                  <c:v>163.65449183600001</c:v>
                </c:pt>
                <c:pt idx="6">
                  <c:v>163.466347926</c:v>
                </c:pt>
                <c:pt idx="7">
                  <c:v>98.465823833000002</c:v>
                </c:pt>
                <c:pt idx="8">
                  <c:v>145.69471741100003</c:v>
                </c:pt>
                <c:pt idx="9">
                  <c:v>179.640176981</c:v>
                </c:pt>
                <c:pt idx="10">
                  <c:v>-9.2046428370000104</c:v>
                </c:pt>
                <c:pt idx="11">
                  <c:v>-204.81458465799997</c:v>
                </c:pt>
                <c:pt idx="12">
                  <c:v>122.50250792899999</c:v>
                </c:pt>
                <c:pt idx="13">
                  <c:v>220.48893297799998</c:v>
                </c:pt>
                <c:pt idx="14">
                  <c:v>212.849708921</c:v>
                </c:pt>
              </c:numCache>
            </c:numRef>
          </c:val>
          <c:extLst>
            <c:ext xmlns:c16="http://schemas.microsoft.com/office/drawing/2014/chart" uri="{C3380CC4-5D6E-409C-BE32-E72D297353CC}">
              <c16:uniqueId val="{00000000-89E8-4666-91A8-891580D8885E}"/>
            </c:ext>
          </c:extLst>
        </c:ser>
        <c:dLbls>
          <c:showLegendKey val="0"/>
          <c:showVal val="0"/>
          <c:showCatName val="0"/>
          <c:showSerName val="0"/>
          <c:showPercent val="0"/>
          <c:showBubbleSize val="0"/>
        </c:dLbls>
        <c:gapWidth val="100"/>
        <c:axId val="1171842912"/>
        <c:axId val="1599917024"/>
      </c:barChart>
      <c:lineChart>
        <c:grouping val="standard"/>
        <c:varyColors val="0"/>
        <c:ser>
          <c:idx val="0"/>
          <c:order val="0"/>
          <c:tx>
            <c:strRef>
              <c:f>'Vnější vztahy_a'!$B$4</c:f>
              <c:strCache>
                <c:ptCount val="1"/>
                <c:pt idx="0">
                  <c:v>Export</c:v>
                </c:pt>
              </c:strCache>
            </c:strRef>
          </c:tx>
          <c:spPr>
            <a:ln w="28575" cap="rnd">
              <a:noFill/>
              <a:round/>
            </a:ln>
            <a:effectLst/>
          </c:spPr>
          <c:marker>
            <c:symbol val="dash"/>
            <c:size val="10"/>
            <c:spPr>
              <a:solidFill>
                <a:srgbClr val="174F70"/>
              </a:solidFill>
              <a:ln w="9525">
                <a:solidFill>
                  <a:srgbClr val="0070C0"/>
                </a:solidFill>
              </a:ln>
              <a:effectLst/>
            </c:spPr>
          </c:marker>
          <c:cat>
            <c:strRef>
              <c:f>'Vnější vztahy_a'!$A$10:$A$24</c:f>
              <c:strCache>
                <c:ptCount val="15"/>
                <c:pt idx="0">
                  <c:v>2011</c:v>
                </c:pt>
                <c:pt idx="1">
                  <c:v>2012</c:v>
                </c:pt>
                <c:pt idx="2">
                  <c:v>2013</c:v>
                </c:pt>
                <c:pt idx="3">
                  <c:v>2014</c:v>
                </c:pt>
                <c:pt idx="4">
                  <c:v> 2015</c:v>
                </c:pt>
                <c:pt idx="5">
                  <c:v>2016</c:v>
                </c:pt>
                <c:pt idx="6">
                  <c:v>2017</c:v>
                </c:pt>
                <c:pt idx="7">
                  <c:v>2018</c:v>
                </c:pt>
                <c:pt idx="8">
                  <c:v>2019</c:v>
                </c:pt>
                <c:pt idx="9">
                  <c:v>2020</c:v>
                </c:pt>
                <c:pt idx="10">
                  <c:v>2021</c:v>
                </c:pt>
                <c:pt idx="11">
                  <c:v>2022</c:v>
                </c:pt>
                <c:pt idx="12">
                  <c:v>2023</c:v>
                </c:pt>
                <c:pt idx="13">
                  <c:v>2024</c:v>
                </c:pt>
                <c:pt idx="14">
                  <c:v>2025</c:v>
                </c:pt>
              </c:strCache>
            </c:strRef>
          </c:cat>
          <c:val>
            <c:numRef>
              <c:f>'Vnější vztahy_a'!$B$10:$B$24</c:f>
              <c:numCache>
                <c:formatCode>0.0_ ;[Red]\-0.0\ </c:formatCode>
                <c:ptCount val="15"/>
                <c:pt idx="0">
                  <c:v>10.112037607700053</c:v>
                </c:pt>
                <c:pt idx="1">
                  <c:v>6.0251090942966021</c:v>
                </c:pt>
                <c:pt idx="2">
                  <c:v>2.2153513610284965</c:v>
                </c:pt>
                <c:pt idx="3">
                  <c:v>13.027208809035864</c:v>
                </c:pt>
                <c:pt idx="4">
                  <c:v>3.612768163576892</c:v>
                </c:pt>
                <c:pt idx="5">
                  <c:v>1.1074296541764621</c:v>
                </c:pt>
                <c:pt idx="6">
                  <c:v>6.4802705295808352</c:v>
                </c:pt>
                <c:pt idx="7">
                  <c:v>2.9418083571864679</c:v>
                </c:pt>
                <c:pt idx="8">
                  <c:v>2.0884439685547518</c:v>
                </c:pt>
                <c:pt idx="9">
                  <c:v>-7.0747075448299643</c:v>
                </c:pt>
                <c:pt idx="10">
                  <c:v>13.140723420675538</c:v>
                </c:pt>
                <c:pt idx="11">
                  <c:v>13.550170704130682</c:v>
                </c:pt>
                <c:pt idx="12">
                  <c:v>0.79694469771656307</c:v>
                </c:pt>
                <c:pt idx="13">
                  <c:v>4.9690195136451756</c:v>
                </c:pt>
                <c:pt idx="14">
                  <c:v>2.7096717287192265</c:v>
                </c:pt>
              </c:numCache>
            </c:numRef>
          </c:val>
          <c:smooth val="0"/>
          <c:extLst>
            <c:ext xmlns:c16="http://schemas.microsoft.com/office/drawing/2014/chart" uri="{C3380CC4-5D6E-409C-BE32-E72D297353CC}">
              <c16:uniqueId val="{00000001-89E8-4666-91A8-891580D8885E}"/>
            </c:ext>
          </c:extLst>
        </c:ser>
        <c:ser>
          <c:idx val="1"/>
          <c:order val="1"/>
          <c:tx>
            <c:strRef>
              <c:f>'Vnější vztahy_a'!$C$4</c:f>
              <c:strCache>
                <c:ptCount val="1"/>
                <c:pt idx="0">
                  <c:v>Import</c:v>
                </c:pt>
              </c:strCache>
            </c:strRef>
          </c:tx>
          <c:spPr>
            <a:ln w="28575" cap="rnd">
              <a:noFill/>
              <a:round/>
            </a:ln>
            <a:effectLst/>
          </c:spPr>
          <c:marker>
            <c:symbol val="dash"/>
            <c:size val="10"/>
            <c:spPr>
              <a:solidFill>
                <a:srgbClr val="BC5B80"/>
              </a:solidFill>
              <a:ln w="9525">
                <a:solidFill>
                  <a:srgbClr val="BD1B21"/>
                </a:solidFill>
              </a:ln>
              <a:effectLst/>
            </c:spPr>
          </c:marker>
          <c:cat>
            <c:strRef>
              <c:f>'Vnější vztahy_a'!$A$10:$A$24</c:f>
              <c:strCache>
                <c:ptCount val="15"/>
                <c:pt idx="0">
                  <c:v>2011</c:v>
                </c:pt>
                <c:pt idx="1">
                  <c:v>2012</c:v>
                </c:pt>
                <c:pt idx="2">
                  <c:v>2013</c:v>
                </c:pt>
                <c:pt idx="3">
                  <c:v>2014</c:v>
                </c:pt>
                <c:pt idx="4">
                  <c:v> 2015</c:v>
                </c:pt>
                <c:pt idx="5">
                  <c:v>2016</c:v>
                </c:pt>
                <c:pt idx="6">
                  <c:v>2017</c:v>
                </c:pt>
                <c:pt idx="7">
                  <c:v>2018</c:v>
                </c:pt>
                <c:pt idx="8">
                  <c:v>2019</c:v>
                </c:pt>
                <c:pt idx="9">
                  <c:v>2020</c:v>
                </c:pt>
                <c:pt idx="10">
                  <c:v>2021</c:v>
                </c:pt>
                <c:pt idx="11">
                  <c:v>2022</c:v>
                </c:pt>
                <c:pt idx="12">
                  <c:v>2023</c:v>
                </c:pt>
                <c:pt idx="13">
                  <c:v>2024</c:v>
                </c:pt>
                <c:pt idx="14">
                  <c:v>2025</c:v>
                </c:pt>
              </c:strCache>
            </c:strRef>
          </c:cat>
          <c:val>
            <c:numRef>
              <c:f>'Vnější vztahy_a'!$C$10:$C$24</c:f>
              <c:numCache>
                <c:formatCode>0.0_ ;[Red]\-0.0\ </c:formatCode>
                <c:ptCount val="15"/>
                <c:pt idx="0">
                  <c:v>8.6415161627225725</c:v>
                </c:pt>
                <c:pt idx="1">
                  <c:v>4.0042767307394715</c:v>
                </c:pt>
                <c:pt idx="2">
                  <c:v>0.68681070942259659</c:v>
                </c:pt>
                <c:pt idx="3">
                  <c:v>12.071376353644107</c:v>
                </c:pt>
                <c:pt idx="4">
                  <c:v>4.2889556626306211</c:v>
                </c:pt>
                <c:pt idx="5">
                  <c:v>0.11038963287046219</c:v>
                </c:pt>
                <c:pt idx="6">
                  <c:v>6.8245079237178157</c:v>
                </c:pt>
                <c:pt idx="7">
                  <c:v>5.0260247733996914</c:v>
                </c:pt>
                <c:pt idx="8">
                  <c:v>0.80432261722676923</c:v>
                </c:pt>
                <c:pt idx="9">
                  <c:v>-8.3226511448622933</c:v>
                </c:pt>
                <c:pt idx="10">
                  <c:v>19.675778990593603</c:v>
                </c:pt>
                <c:pt idx="11">
                  <c:v>18.545883799731584</c:v>
                </c:pt>
                <c:pt idx="12">
                  <c:v>-6.3353146664739706</c:v>
                </c:pt>
                <c:pt idx="13">
                  <c:v>2.8416928227328686</c:v>
                </c:pt>
                <c:pt idx="14">
                  <c:v>3.0161013750529522</c:v>
                </c:pt>
              </c:numCache>
            </c:numRef>
          </c:val>
          <c:smooth val="0"/>
          <c:extLst>
            <c:ext xmlns:c16="http://schemas.microsoft.com/office/drawing/2014/chart" uri="{C3380CC4-5D6E-409C-BE32-E72D297353CC}">
              <c16:uniqueId val="{00000002-89E8-4666-91A8-891580D8885E}"/>
            </c:ext>
          </c:extLst>
        </c:ser>
        <c:dLbls>
          <c:showLegendKey val="0"/>
          <c:showVal val="0"/>
          <c:showCatName val="0"/>
          <c:showSerName val="0"/>
          <c:showPercent val="0"/>
          <c:showBubbleSize val="0"/>
        </c:dLbls>
        <c:marker val="1"/>
        <c:smooth val="0"/>
        <c:axId val="1603910352"/>
        <c:axId val="1603910768"/>
      </c:lineChart>
      <c:catAx>
        <c:axId val="160391035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mn-cs"/>
              </a:defRPr>
            </a:pPr>
            <a:endParaRPr lang="cs-CZ"/>
          </a:p>
        </c:txPr>
        <c:crossAx val="1603910768"/>
        <c:crosses val="autoZero"/>
        <c:auto val="1"/>
        <c:lblAlgn val="ctr"/>
        <c:lblOffset val="100"/>
        <c:noMultiLvlLbl val="0"/>
      </c:catAx>
      <c:valAx>
        <c:axId val="1603910768"/>
        <c:scaling>
          <c:orientation val="minMax"/>
          <c:max val="21"/>
          <c:min val="-15"/>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mn-cs"/>
              </a:defRPr>
            </a:pPr>
            <a:endParaRPr lang="cs-CZ"/>
          </a:p>
        </c:txPr>
        <c:crossAx val="1603910352"/>
        <c:crosses val="autoZero"/>
        <c:crossBetween val="between"/>
        <c:majorUnit val="3"/>
      </c:valAx>
      <c:valAx>
        <c:axId val="1599917024"/>
        <c:scaling>
          <c:orientation val="minMax"/>
          <c:max val="240"/>
          <c:min val="-240"/>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mn-cs"/>
              </a:defRPr>
            </a:pPr>
            <a:endParaRPr lang="cs-CZ"/>
          </a:p>
        </c:txPr>
        <c:crossAx val="1171842912"/>
        <c:crosses val="max"/>
        <c:crossBetween val="between"/>
        <c:majorUnit val="40"/>
      </c:valAx>
      <c:catAx>
        <c:axId val="1171842912"/>
        <c:scaling>
          <c:orientation val="minMax"/>
        </c:scaling>
        <c:delete val="1"/>
        <c:axPos val="b"/>
        <c:numFmt formatCode="General" sourceLinked="1"/>
        <c:majorTickMark val="out"/>
        <c:minorTickMark val="none"/>
        <c:tickLblPos val="nextTo"/>
        <c:crossAx val="1599917024"/>
        <c:crosses val="autoZero"/>
        <c:auto val="1"/>
        <c:lblAlgn val="ctr"/>
        <c:lblOffset val="100"/>
        <c:noMultiLvlLbl val="0"/>
      </c:catAx>
      <c:spPr>
        <a:noFill/>
        <a:ln>
          <a:noFill/>
        </a:ln>
        <a:effectLst/>
      </c:spPr>
    </c:plotArea>
    <c:legend>
      <c:legendPos val="b"/>
      <c:layout>
        <c:manualLayout>
          <c:xMode val="edge"/>
          <c:yMode val="edge"/>
          <c:x val="6.7324160543034778E-2"/>
          <c:y val="0.92127482102101654"/>
          <c:w val="0.85470865828300857"/>
          <c:h val="5.6065659081278391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baseline="0">
          <a:solidFill>
            <a:sysClr val="windowText" lastClr="000000"/>
          </a:solidFill>
          <a:latin typeface="Arial" panose="020B0604020202020204" pitchFamily="34" charset="0"/>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83CEA5EB905EA4A80C471566B3EA34E" ma:contentTypeVersion="4" ma:contentTypeDescription="Vytvoří nový dokument" ma:contentTypeScope="" ma:versionID="665595f58a29ebd0fb50f52fd1a3fb16">
  <xsd:schema xmlns:xsd="http://www.w3.org/2001/XMLSchema" xmlns:xs="http://www.w3.org/2001/XMLSchema" xmlns:p="http://schemas.microsoft.com/office/2006/metadata/properties" xmlns:ns2="7af72279-59da-4f02-a702-8316938752d7" targetNamespace="http://schemas.microsoft.com/office/2006/metadata/properties" ma:root="true" ma:fieldsID="8b23c26673a00a9a43ab51476a2e445e" ns2:_="">
    <xsd:import namespace="7af72279-59da-4f02-a702-8316938752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72279-59da-4f02-a702-831693875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CC6C72-FE0A-4006-8736-F1547CB67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72279-59da-4f02-a702-8316938752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508513-78FC-4939-82F8-E0A4971F101B}">
  <ds:schemaRefs>
    <ds:schemaRef ds:uri="http://schemas.openxmlformats.org/officeDocument/2006/bibliography"/>
  </ds:schemaRefs>
</ds:datastoreItem>
</file>

<file path=customXml/itemProps3.xml><?xml version="1.0" encoding="utf-8"?>
<ds:datastoreItem xmlns:ds="http://schemas.openxmlformats.org/officeDocument/2006/customXml" ds:itemID="{DFA8A1E1-1E99-4B4F-B9B5-70567730AA3A}">
  <ds:schemaRefs>
    <ds:schemaRef ds:uri="http://schemas.microsoft.com/sharepoint/v3/contenttype/forms"/>
  </ds:schemaRefs>
</ds:datastoreItem>
</file>

<file path=customXml/itemProps4.xml><?xml version="1.0" encoding="utf-8"?>
<ds:datastoreItem xmlns:ds="http://schemas.openxmlformats.org/officeDocument/2006/customXml" ds:itemID="{1E7681AD-41B0-431A-9D34-CF6700A12F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59</Pages>
  <Words>25220</Words>
  <Characters>148804</Characters>
  <Application>Microsoft Office Word</Application>
  <DocSecurity>0</DocSecurity>
  <Lines>1240</Lines>
  <Paragraphs>347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CSU</Company>
  <LinksUpToDate>false</LinksUpToDate>
  <CharactersWithSpaces>173677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Kučerová Jana</dc:creator>
  <cp:keywords/>
  <cp:lastModifiedBy>Zábojníková Karolína</cp:lastModifiedBy>
  <cp:revision>48</cp:revision>
  <cp:lastPrinted>2014-07-17T14:07:00Z</cp:lastPrinted>
  <dcterms:created xsi:type="dcterms:W3CDTF">2026-04-14T10:07:00Z</dcterms:created>
  <dcterms:modified xsi:type="dcterms:W3CDTF">2026-04-16T10:30:00Z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0x010100A83CEA5EB905EA4A80C471566B3EA34E</vt:lpwstr>
  </property>
  <property fmtid="{D5CDD505-2E9C-101B-9397-08002B2CF9AE}" pid="3" name="Názevformuláře">
    <vt:lpwstr>Publikace CZ barevné - vícetematické analýzy
</vt:lpwstr>
  </property>
  <property fmtid="{D5CDD505-2E9C-101B-9397-08002B2CF9AE}" pid="4" name="Vazbanaprocesnídoménu">
    <vt:lpwstr>;#4. Komunikace a propagace;#</vt:lpwstr>
  </property>
  <property fmtid="{D5CDD505-2E9C-101B-9397-08002B2CF9AE}" pid="5" name="Vazbanadefiničnípředpis">
    <vt:lpwstr>Manuál ke zveřejňování produktů ČSÚ
</vt:lpwstr>
  </property>
  <property fmtid="{D5CDD505-2E9C-101B-9397-08002B2CF9AE}" pid="6" name="Ustanovení">
    <vt:lpwstr>část první čl. 2, odst. 3b,c; část pátá; příloha 1
</vt:lpwstr>
  </property>
  <property fmtid="{D5CDD505-2E9C-101B-9397-08002B2CF9AE}" pid="7" name="Účinnostod">
    <vt:filetime>2018-04-17T07:00:00Z</vt:filetime>
  </property>
  <property fmtid="{D5CDD505-2E9C-101B-9397-08002B2CF9AE}" pid="8" name="Označení">
    <vt:lpwstr>Form_c444</vt:lpwstr>
  </property>
  <property fmtid="{D5CDD505-2E9C-101B-9397-08002B2CF9AE}" pid="9" name="MediaServiceImageTags">
    <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y fmtid="{D5CDD505-2E9C-101B-9397-08002B2CF9AE}" pid="16" name="MSIP_Label_29db9e61-aac5-4f6e-805d-ceb8cb9983a1_Enabled">
    <vt:lpwstr>true</vt:lpwstr>
  </property>
  <property fmtid="{D5CDD505-2E9C-101B-9397-08002B2CF9AE}" pid="17" name="MSIP_Label_29db9e61-aac5-4f6e-805d-ceb8cb9983a1_SetDate">
    <vt:lpwstr>2026-03-20T16:21:23Z</vt:lpwstr>
  </property>
  <property fmtid="{D5CDD505-2E9C-101B-9397-08002B2CF9AE}" pid="18" name="MSIP_Label_29db9e61-aac5-4f6e-805d-ceb8cb9983a1_Method">
    <vt:lpwstr>Standard</vt:lpwstr>
  </property>
  <property fmtid="{D5CDD505-2E9C-101B-9397-08002B2CF9AE}" pid="19" name="MSIP_Label_29db9e61-aac5-4f6e-805d-ceb8cb9983a1_Name">
    <vt:lpwstr>UniCredit - Internal Use Only - no visual markings</vt:lpwstr>
  </property>
  <property fmtid="{D5CDD505-2E9C-101B-9397-08002B2CF9AE}" pid="20" name="MSIP_Label_29db9e61-aac5-4f6e-805d-ceb8cb9983a1_SiteId">
    <vt:lpwstr>2cc49ce9-66a1-41ac-a96b-bdc54247696a</vt:lpwstr>
  </property>
  <property fmtid="{D5CDD505-2E9C-101B-9397-08002B2CF9AE}" pid="21" name="MSIP_Label_29db9e61-aac5-4f6e-805d-ceb8cb9983a1_ActionId">
    <vt:lpwstr>0aa2fcd6-2b26-4770-b8b2-cc6b4d35ce54</vt:lpwstr>
  </property>
  <property fmtid="{D5CDD505-2E9C-101B-9397-08002B2CF9AE}" pid="22" name="MSIP_Label_29db9e61-aac5-4f6e-805d-ceb8cb9983a1_ContentBits">
    <vt:lpwstr>0</vt:lpwstr>
  </property>
  <property fmtid="{D5CDD505-2E9C-101B-9397-08002B2CF9AE}" pid="23" name="MSIP_Label_29db9e61-aac5-4f6e-805d-ceb8cb9983a1_Tag">
    <vt:lpwstr>10, 3, 0, 1</vt:lpwstr>
  </property>
</Properties>
</file>