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741DD7" w:rsidP="00AE6D5B">
      <w:pPr>
        <w:pStyle w:val="Datum"/>
      </w:pPr>
      <w:r>
        <w:t>15. března 2022</w:t>
      </w:r>
    </w:p>
    <w:p w:rsidR="00867569" w:rsidRPr="00AE6D5B" w:rsidRDefault="00741DD7" w:rsidP="00AE6D5B">
      <w:pPr>
        <w:pStyle w:val="Nzev"/>
      </w:pPr>
      <w:r>
        <w:t>Penzijní závazky v čase rostou</w:t>
      </w:r>
    </w:p>
    <w:p w:rsidR="00741DD7" w:rsidRDefault="00741DD7" w:rsidP="00AE6D5B">
      <w:pPr>
        <w:rPr>
          <w:rFonts w:cs="Arial"/>
          <w:b/>
          <w:szCs w:val="18"/>
        </w:rPr>
      </w:pPr>
      <w:r w:rsidRPr="00741DD7">
        <w:rPr>
          <w:rFonts w:cs="Arial"/>
          <w:b/>
          <w:szCs w:val="18"/>
        </w:rPr>
        <w:t>Penzijní nároky českých domácností dosáhly ke konci roku 2019 úrovně 301 % HDP. Představují hodnotu nároku současných i budoucích penzistů ze všech typů penzí, tedy starobní, invalidní, pozůstalostní a sirotčí.</w:t>
      </w:r>
    </w:p>
    <w:p w:rsidR="00741DD7" w:rsidRDefault="00741DD7" w:rsidP="00AE6D5B"/>
    <w:p w:rsidR="00741DD7" w:rsidRDefault="00741DD7" w:rsidP="00741DD7">
      <w:pPr>
        <w:rPr>
          <w:rFonts w:eastAsia="Times New Roman" w:cs="Arial"/>
          <w:szCs w:val="18"/>
          <w:lang w:eastAsia="cs-CZ"/>
        </w:rPr>
      </w:pPr>
      <w:r w:rsidRPr="0078680D">
        <w:rPr>
          <w:rFonts w:eastAsia="Times New Roman" w:cs="Arial"/>
          <w:szCs w:val="18"/>
          <w:lang w:eastAsia="cs-CZ"/>
        </w:rPr>
        <w:t>V České republice vyplývají nároky domácností z prvního důchodového pilíře, tj. průběžného systému financování důchodů a dobrovolného třetího pilíře ve formě naspořených prostředků v</w:t>
      </w:r>
      <w:r>
        <w:rPr>
          <w:rFonts w:eastAsia="Times New Roman" w:cs="Arial"/>
          <w:szCs w:val="18"/>
          <w:lang w:eastAsia="cs-CZ"/>
        </w:rPr>
        <w:t> </w:t>
      </w:r>
      <w:r w:rsidRPr="0078680D">
        <w:rPr>
          <w:rFonts w:eastAsia="Times New Roman" w:cs="Arial"/>
          <w:szCs w:val="18"/>
          <w:lang w:eastAsia="cs-CZ"/>
        </w:rPr>
        <w:t>penzijních fondech</w:t>
      </w:r>
      <w:r w:rsidRPr="00CB6DE1">
        <w:rPr>
          <w:rFonts w:eastAsia="Times New Roman" w:cs="Arial"/>
          <w:szCs w:val="18"/>
          <w:lang w:eastAsia="cs-CZ"/>
        </w:rPr>
        <w:t>.</w:t>
      </w:r>
    </w:p>
    <w:p w:rsidR="00741DD7" w:rsidRPr="009E4A6D" w:rsidRDefault="00741DD7" w:rsidP="00741DD7">
      <w:pPr>
        <w:rPr>
          <w:rFonts w:eastAsia="Times New Roman" w:cs="Arial"/>
          <w:szCs w:val="18"/>
          <w:highlight w:val="yellow"/>
          <w:lang w:eastAsia="cs-CZ"/>
        </w:rPr>
      </w:pPr>
    </w:p>
    <w:p w:rsidR="00741DD7" w:rsidRPr="009F69BC" w:rsidRDefault="00741DD7" w:rsidP="00741DD7">
      <w:pPr>
        <w:rPr>
          <w:rFonts w:eastAsia="Times New Roman" w:cs="Arial"/>
          <w:i/>
          <w:szCs w:val="18"/>
          <w:lang w:eastAsia="cs-CZ"/>
        </w:rPr>
      </w:pPr>
      <w:r>
        <w:rPr>
          <w:rFonts w:eastAsia="Times New Roman" w:cs="Arial"/>
          <w:i/>
          <w:szCs w:val="18"/>
          <w:lang w:eastAsia="cs-CZ"/>
        </w:rPr>
        <w:t>„</w:t>
      </w:r>
      <w:r w:rsidR="00791DF7">
        <w:rPr>
          <w:rFonts w:eastAsia="Times New Roman" w:cs="Arial"/>
          <w:i/>
          <w:szCs w:val="18"/>
          <w:lang w:eastAsia="cs-CZ"/>
        </w:rPr>
        <w:t xml:space="preserve">Celých </w:t>
      </w:r>
      <w:r>
        <w:rPr>
          <w:rFonts w:eastAsia="Times New Roman" w:cs="Arial"/>
          <w:i/>
          <w:szCs w:val="18"/>
          <w:lang w:eastAsia="cs-CZ"/>
        </w:rPr>
        <w:t>97 % penzijních ná</w:t>
      </w:r>
      <w:r w:rsidRPr="009F69BC">
        <w:rPr>
          <w:rFonts w:eastAsia="Times New Roman" w:cs="Arial"/>
          <w:i/>
          <w:szCs w:val="18"/>
          <w:lang w:eastAsia="cs-CZ"/>
        </w:rPr>
        <w:t>roků domácností vzniká v rámci prvního důchodového pilíře</w:t>
      </w:r>
      <w:r>
        <w:rPr>
          <w:rFonts w:eastAsia="Times New Roman" w:cs="Arial"/>
          <w:i/>
          <w:szCs w:val="18"/>
          <w:lang w:eastAsia="cs-CZ"/>
        </w:rPr>
        <w:t>. Ke konci roku 2019 dosáhly výše 16,9 bilionu Kč. Zbylá část p</w:t>
      </w:r>
      <w:r w:rsidRPr="009F69BC">
        <w:rPr>
          <w:rFonts w:eastAsia="Times New Roman" w:cs="Arial"/>
          <w:i/>
          <w:szCs w:val="18"/>
          <w:lang w:eastAsia="cs-CZ"/>
        </w:rPr>
        <w:t>enzijní</w:t>
      </w:r>
      <w:r>
        <w:rPr>
          <w:rFonts w:eastAsia="Times New Roman" w:cs="Arial"/>
          <w:i/>
          <w:szCs w:val="18"/>
          <w:lang w:eastAsia="cs-CZ"/>
        </w:rPr>
        <w:t>ch</w:t>
      </w:r>
      <w:r w:rsidRPr="009F69BC">
        <w:rPr>
          <w:rFonts w:eastAsia="Times New Roman" w:cs="Arial"/>
          <w:i/>
          <w:szCs w:val="18"/>
          <w:lang w:eastAsia="cs-CZ"/>
        </w:rPr>
        <w:t xml:space="preserve"> závazk</w:t>
      </w:r>
      <w:r>
        <w:rPr>
          <w:rFonts w:eastAsia="Times New Roman" w:cs="Arial"/>
          <w:i/>
          <w:szCs w:val="18"/>
          <w:lang w:eastAsia="cs-CZ"/>
        </w:rPr>
        <w:t xml:space="preserve">ů </w:t>
      </w:r>
      <w:r w:rsidR="00791DF7">
        <w:rPr>
          <w:rFonts w:eastAsia="Times New Roman" w:cs="Arial"/>
          <w:i/>
          <w:szCs w:val="18"/>
          <w:lang w:eastAsia="cs-CZ"/>
        </w:rPr>
        <w:t>ve výši půl</w:t>
      </w:r>
      <w:r>
        <w:rPr>
          <w:rFonts w:eastAsia="Times New Roman" w:cs="Arial"/>
          <w:i/>
          <w:szCs w:val="18"/>
          <w:lang w:eastAsia="cs-CZ"/>
        </w:rPr>
        <w:t xml:space="preserve"> bilionu </w:t>
      </w:r>
      <w:r w:rsidR="00791DF7">
        <w:rPr>
          <w:rFonts w:eastAsia="Times New Roman" w:cs="Arial"/>
          <w:i/>
          <w:szCs w:val="18"/>
          <w:lang w:eastAsia="cs-CZ"/>
        </w:rPr>
        <w:t>korun</w:t>
      </w:r>
      <w:r>
        <w:rPr>
          <w:rFonts w:eastAsia="Times New Roman" w:cs="Arial"/>
          <w:i/>
          <w:szCs w:val="18"/>
          <w:lang w:eastAsia="cs-CZ"/>
        </w:rPr>
        <w:t> připadá na</w:t>
      </w:r>
      <w:r w:rsidRPr="009F69BC">
        <w:rPr>
          <w:rFonts w:eastAsia="Times New Roman" w:cs="Arial"/>
          <w:i/>
          <w:szCs w:val="18"/>
          <w:lang w:eastAsia="cs-CZ"/>
        </w:rPr>
        <w:t xml:space="preserve"> dobrovoln</w:t>
      </w:r>
      <w:r>
        <w:rPr>
          <w:rFonts w:eastAsia="Times New Roman" w:cs="Arial"/>
          <w:i/>
          <w:szCs w:val="18"/>
          <w:lang w:eastAsia="cs-CZ"/>
        </w:rPr>
        <w:t>ý</w:t>
      </w:r>
      <w:r w:rsidRPr="009F69BC">
        <w:rPr>
          <w:rFonts w:eastAsia="Times New Roman" w:cs="Arial"/>
          <w:i/>
          <w:szCs w:val="18"/>
          <w:lang w:eastAsia="cs-CZ"/>
        </w:rPr>
        <w:t xml:space="preserve"> třetí důchodov</w:t>
      </w:r>
      <w:r>
        <w:rPr>
          <w:rFonts w:eastAsia="Times New Roman" w:cs="Arial"/>
          <w:i/>
          <w:szCs w:val="18"/>
          <w:lang w:eastAsia="cs-CZ"/>
        </w:rPr>
        <w:t>ý</w:t>
      </w:r>
      <w:r w:rsidRPr="009F69BC">
        <w:rPr>
          <w:rFonts w:eastAsia="Times New Roman" w:cs="Arial"/>
          <w:i/>
          <w:szCs w:val="18"/>
          <w:lang w:eastAsia="cs-CZ"/>
        </w:rPr>
        <w:t xml:space="preserve"> pilíř</w:t>
      </w:r>
      <w:r>
        <w:rPr>
          <w:rFonts w:eastAsia="Times New Roman" w:cs="Arial"/>
          <w:i/>
          <w:szCs w:val="18"/>
          <w:lang w:eastAsia="cs-CZ"/>
        </w:rPr>
        <w:t>,</w:t>
      </w:r>
      <w:r w:rsidRPr="009F69BC">
        <w:rPr>
          <w:rFonts w:eastAsia="Times New Roman" w:cs="Arial"/>
          <w:i/>
          <w:szCs w:val="18"/>
          <w:lang w:eastAsia="cs-CZ"/>
        </w:rPr>
        <w:t xml:space="preserve">“ </w:t>
      </w:r>
      <w:r w:rsidRPr="007D5629">
        <w:rPr>
          <w:rFonts w:eastAsia="Times New Roman" w:cs="Arial"/>
          <w:szCs w:val="18"/>
          <w:lang w:eastAsia="cs-CZ"/>
        </w:rPr>
        <w:t>shrnuje ředitelka odboru vládních a</w:t>
      </w:r>
      <w:r w:rsidR="00A253DB">
        <w:rPr>
          <w:rFonts w:eastAsia="Times New Roman" w:cs="Arial"/>
          <w:szCs w:val="18"/>
          <w:lang w:eastAsia="cs-CZ"/>
        </w:rPr>
        <w:t> </w:t>
      </w:r>
      <w:bookmarkStart w:id="0" w:name="_GoBack"/>
      <w:bookmarkEnd w:id="0"/>
      <w:r w:rsidRPr="007D5629">
        <w:rPr>
          <w:rFonts w:eastAsia="Times New Roman" w:cs="Arial"/>
          <w:szCs w:val="18"/>
          <w:lang w:eastAsia="cs-CZ"/>
        </w:rPr>
        <w:t>finančních účtů Helena Houžvičková.</w:t>
      </w:r>
    </w:p>
    <w:p w:rsidR="00741DD7" w:rsidRDefault="00741DD7" w:rsidP="00741DD7">
      <w:pPr>
        <w:rPr>
          <w:rFonts w:eastAsia="Times New Roman" w:cs="Arial"/>
          <w:szCs w:val="18"/>
          <w:highlight w:val="yellow"/>
          <w:lang w:eastAsia="cs-CZ"/>
        </w:rPr>
      </w:pPr>
    </w:p>
    <w:p w:rsidR="00741DD7" w:rsidRDefault="00741DD7" w:rsidP="00741DD7">
      <w:pPr>
        <w:rPr>
          <w:rFonts w:eastAsia="Times New Roman" w:cs="Arial"/>
          <w:szCs w:val="18"/>
          <w:highlight w:val="yellow"/>
          <w:lang w:eastAsia="cs-CZ"/>
        </w:rPr>
      </w:pPr>
      <w:r>
        <w:rPr>
          <w:rFonts w:eastAsia="Times New Roman" w:cs="Arial"/>
          <w:szCs w:val="18"/>
          <w:lang w:eastAsia="cs-CZ"/>
        </w:rPr>
        <w:t>První důchodový pilíř tvoří závazky z titulu starobních penzí (79 %), invalidních penzí (12 %) a sirotčích a pozůstalostních penzí (9 %).</w:t>
      </w:r>
      <w:r>
        <w:rPr>
          <w:rFonts w:eastAsia="Times New Roman" w:cs="Arial"/>
          <w:szCs w:val="18"/>
          <w:highlight w:val="yellow"/>
          <w:lang w:eastAsia="cs-CZ"/>
        </w:rPr>
        <w:t xml:space="preserve"> </w:t>
      </w:r>
    </w:p>
    <w:p w:rsidR="00741DD7" w:rsidRDefault="00741DD7" w:rsidP="00741DD7">
      <w:pPr>
        <w:rPr>
          <w:rFonts w:eastAsia="Times New Roman" w:cs="Arial"/>
          <w:szCs w:val="18"/>
          <w:highlight w:val="yellow"/>
          <w:lang w:eastAsia="cs-CZ"/>
        </w:rPr>
      </w:pPr>
    </w:p>
    <w:p w:rsidR="00741DD7" w:rsidRPr="006472B2" w:rsidRDefault="00741DD7" w:rsidP="00741DD7">
      <w:pPr>
        <w:rPr>
          <w:rFonts w:eastAsia="Times New Roman" w:cs="Arial"/>
          <w:szCs w:val="18"/>
          <w:lang w:eastAsia="cs-CZ"/>
        </w:rPr>
      </w:pPr>
      <w:r w:rsidRPr="00E70A54">
        <w:rPr>
          <w:rFonts w:eastAsia="Times New Roman" w:cs="Arial"/>
          <w:szCs w:val="18"/>
          <w:lang w:eastAsia="cs-CZ"/>
        </w:rPr>
        <w:t>Stárnutí obyvatelstva, zvyšování věku odchodu do důchodu</w:t>
      </w:r>
      <w:r>
        <w:rPr>
          <w:rFonts w:eastAsia="Times New Roman" w:cs="Arial"/>
          <w:szCs w:val="18"/>
          <w:lang w:eastAsia="cs-CZ"/>
        </w:rPr>
        <w:t>, růst průměrné mzdy</w:t>
      </w:r>
      <w:r w:rsidRPr="00E70A54">
        <w:rPr>
          <w:rFonts w:eastAsia="Times New Roman" w:cs="Arial"/>
          <w:szCs w:val="18"/>
          <w:lang w:eastAsia="cs-CZ"/>
        </w:rPr>
        <w:t xml:space="preserve"> a růst koeficientu valorizace důchodů jsou hlavní příčinou růstu penzijních závazků v roce 2019.</w:t>
      </w:r>
      <w:r>
        <w:rPr>
          <w:rFonts w:eastAsia="Times New Roman" w:cs="Arial"/>
          <w:szCs w:val="18"/>
          <w:lang w:eastAsia="cs-CZ"/>
        </w:rPr>
        <w:t xml:space="preserve"> </w:t>
      </w:r>
      <w:r w:rsidRPr="006472B2">
        <w:rPr>
          <w:rFonts w:eastAsia="Times New Roman" w:cs="Arial"/>
          <w:szCs w:val="18"/>
          <w:lang w:eastAsia="cs-CZ"/>
        </w:rPr>
        <w:t>V roce 2019 došlo k</w:t>
      </w:r>
      <w:r>
        <w:rPr>
          <w:rFonts w:eastAsia="Times New Roman" w:cs="Arial"/>
          <w:szCs w:val="18"/>
          <w:lang w:eastAsia="cs-CZ"/>
        </w:rPr>
        <w:t> </w:t>
      </w:r>
      <w:r w:rsidRPr="0078680D">
        <w:rPr>
          <w:rFonts w:eastAsia="Times New Roman" w:cs="Arial"/>
          <w:szCs w:val="18"/>
          <w:lang w:eastAsia="cs-CZ"/>
        </w:rPr>
        <w:t>čistému</w:t>
      </w:r>
      <w:r>
        <w:rPr>
          <w:rFonts w:eastAsia="Times New Roman" w:cs="Arial"/>
          <w:szCs w:val="18"/>
          <w:lang w:eastAsia="cs-CZ"/>
        </w:rPr>
        <w:t xml:space="preserve"> </w:t>
      </w:r>
      <w:r w:rsidRPr="006472B2">
        <w:rPr>
          <w:rFonts w:eastAsia="Times New Roman" w:cs="Arial"/>
          <w:szCs w:val="18"/>
          <w:lang w:eastAsia="cs-CZ"/>
        </w:rPr>
        <w:t xml:space="preserve">nárůstu penzijních závazků </w:t>
      </w:r>
      <w:r>
        <w:rPr>
          <w:rFonts w:eastAsia="Times New Roman" w:cs="Arial"/>
          <w:szCs w:val="18"/>
          <w:lang w:eastAsia="cs-CZ"/>
        </w:rPr>
        <w:t xml:space="preserve">prvního důchodového pilíře </w:t>
      </w:r>
      <w:r w:rsidRPr="006472B2">
        <w:rPr>
          <w:rFonts w:eastAsia="Times New Roman" w:cs="Arial"/>
          <w:szCs w:val="18"/>
          <w:lang w:eastAsia="cs-CZ"/>
        </w:rPr>
        <w:t xml:space="preserve">o 3 028 mld. Kč. Nejvýznamněji rostly penzijní závazky z titulu starobních důchodů, kde jde o navýšení o 2 846 mld. Kč, </w:t>
      </w:r>
      <w:r>
        <w:rPr>
          <w:rFonts w:eastAsia="Times New Roman" w:cs="Arial"/>
          <w:szCs w:val="18"/>
          <w:lang w:eastAsia="cs-CZ"/>
        </w:rPr>
        <w:t>z toho 2 797 mld. Kč připadá na ženy a 49 mld. Kč na muže</w:t>
      </w:r>
      <w:r w:rsidRPr="006472B2">
        <w:rPr>
          <w:rFonts w:eastAsia="Times New Roman" w:cs="Arial"/>
          <w:szCs w:val="18"/>
          <w:lang w:eastAsia="cs-CZ"/>
        </w:rPr>
        <w:t xml:space="preserve">. </w:t>
      </w:r>
      <w:r>
        <w:rPr>
          <w:rFonts w:eastAsia="Times New Roman" w:cs="Arial"/>
          <w:szCs w:val="18"/>
          <w:lang w:eastAsia="cs-CZ"/>
        </w:rPr>
        <w:t>Téměř celý ná</w:t>
      </w:r>
      <w:r w:rsidRPr="006472B2">
        <w:rPr>
          <w:rFonts w:eastAsia="Times New Roman" w:cs="Arial"/>
          <w:szCs w:val="18"/>
          <w:lang w:eastAsia="cs-CZ"/>
        </w:rPr>
        <w:t xml:space="preserve">růst penzijních nároků žen z titulu starobních důchodů </w:t>
      </w:r>
      <w:r>
        <w:rPr>
          <w:rFonts w:eastAsia="Times New Roman" w:cs="Arial"/>
          <w:szCs w:val="18"/>
          <w:lang w:eastAsia="cs-CZ"/>
        </w:rPr>
        <w:t>(</w:t>
      </w:r>
      <w:r w:rsidRPr="00E70A54">
        <w:rPr>
          <w:rFonts w:eastAsia="Times New Roman" w:cs="Arial"/>
          <w:szCs w:val="18"/>
          <w:lang w:eastAsia="cs-CZ"/>
        </w:rPr>
        <w:t>93 %</w:t>
      </w:r>
      <w:r>
        <w:rPr>
          <w:rFonts w:eastAsia="Times New Roman" w:cs="Arial"/>
          <w:szCs w:val="18"/>
          <w:lang w:eastAsia="cs-CZ"/>
        </w:rPr>
        <w:t>)</w:t>
      </w:r>
      <w:r w:rsidRPr="006472B2">
        <w:rPr>
          <w:rFonts w:eastAsia="Times New Roman" w:cs="Arial"/>
          <w:szCs w:val="18"/>
          <w:lang w:eastAsia="cs-CZ"/>
        </w:rPr>
        <w:t xml:space="preserve"> lze vysvětlit zvýšením maximálního věku odchodu do důchodu </w:t>
      </w:r>
      <w:r>
        <w:rPr>
          <w:rFonts w:eastAsia="Times New Roman" w:cs="Arial"/>
          <w:szCs w:val="18"/>
          <w:lang w:eastAsia="cs-CZ"/>
        </w:rPr>
        <w:t>ve výpočtovém modelu</w:t>
      </w:r>
      <w:r w:rsidRPr="00112B83">
        <w:rPr>
          <w:rFonts w:eastAsia="Times New Roman" w:cs="Arial"/>
          <w:szCs w:val="18"/>
          <w:lang w:eastAsia="cs-CZ"/>
        </w:rPr>
        <w:t xml:space="preserve"> </w:t>
      </w:r>
      <w:r w:rsidRPr="006472B2">
        <w:rPr>
          <w:rFonts w:eastAsia="Times New Roman" w:cs="Arial"/>
          <w:szCs w:val="18"/>
          <w:lang w:eastAsia="cs-CZ"/>
        </w:rPr>
        <w:t>z 60 let na 61 let</w:t>
      </w:r>
      <w:r>
        <w:rPr>
          <w:rFonts w:eastAsia="Times New Roman" w:cs="Arial"/>
          <w:szCs w:val="18"/>
          <w:lang w:eastAsia="cs-CZ"/>
        </w:rPr>
        <w:t>.</w:t>
      </w:r>
      <w:r w:rsidRPr="006472B2">
        <w:rPr>
          <w:rFonts w:eastAsia="Times New Roman" w:cs="Arial"/>
          <w:szCs w:val="18"/>
          <w:lang w:eastAsia="cs-CZ"/>
        </w:rPr>
        <w:t xml:space="preserve">  V ostatních typech důchodů je změna minimální.</w:t>
      </w:r>
    </w:p>
    <w:p w:rsidR="00741DD7" w:rsidRPr="009E4A6D" w:rsidRDefault="00741DD7" w:rsidP="00741DD7">
      <w:pPr>
        <w:rPr>
          <w:rFonts w:eastAsia="Times New Roman" w:cs="Arial"/>
          <w:szCs w:val="18"/>
          <w:highlight w:val="yellow"/>
          <w:lang w:eastAsia="cs-CZ"/>
        </w:rPr>
      </w:pPr>
    </w:p>
    <w:p w:rsidR="00741DD7" w:rsidRPr="0078680D" w:rsidRDefault="00741DD7" w:rsidP="00741DD7">
      <w:pPr>
        <w:pStyle w:val="Datum"/>
        <w:rPr>
          <w:b w:val="0"/>
          <w:sz w:val="20"/>
          <w:szCs w:val="20"/>
        </w:rPr>
      </w:pPr>
      <w:r w:rsidRPr="0078680D">
        <w:rPr>
          <w:rFonts w:eastAsia="Times New Roman"/>
          <w:b w:val="0"/>
          <w:sz w:val="20"/>
          <w:szCs w:val="20"/>
          <w:lang w:eastAsia="cs-CZ"/>
        </w:rPr>
        <w:t xml:space="preserve">Provedené odhady vycházejí z publikace </w:t>
      </w:r>
      <w:proofErr w:type="spellStart"/>
      <w:r w:rsidRPr="0078680D">
        <w:rPr>
          <w:rFonts w:eastAsia="Times New Roman"/>
          <w:b w:val="0"/>
          <w:sz w:val="20"/>
          <w:szCs w:val="20"/>
          <w:lang w:eastAsia="cs-CZ"/>
        </w:rPr>
        <w:t>Technical</w:t>
      </w:r>
      <w:proofErr w:type="spellEnd"/>
      <w:r w:rsidRPr="0078680D">
        <w:rPr>
          <w:rFonts w:eastAsia="Times New Roman"/>
          <w:b w:val="0"/>
          <w:sz w:val="20"/>
          <w:szCs w:val="20"/>
          <w:lang w:eastAsia="cs-CZ"/>
        </w:rPr>
        <w:t xml:space="preserve"> </w:t>
      </w:r>
      <w:proofErr w:type="spellStart"/>
      <w:r w:rsidRPr="0078680D">
        <w:rPr>
          <w:rFonts w:eastAsia="Times New Roman"/>
          <w:b w:val="0"/>
          <w:sz w:val="20"/>
          <w:szCs w:val="20"/>
          <w:lang w:eastAsia="cs-CZ"/>
        </w:rPr>
        <w:t>Compilation</w:t>
      </w:r>
      <w:proofErr w:type="spellEnd"/>
      <w:r w:rsidRPr="0078680D">
        <w:rPr>
          <w:rFonts w:eastAsia="Times New Roman"/>
          <w:b w:val="0"/>
          <w:sz w:val="20"/>
          <w:szCs w:val="20"/>
          <w:lang w:eastAsia="cs-CZ"/>
        </w:rPr>
        <w:t xml:space="preserve"> </w:t>
      </w:r>
      <w:proofErr w:type="spellStart"/>
      <w:r w:rsidRPr="0078680D">
        <w:rPr>
          <w:rFonts w:eastAsia="Times New Roman"/>
          <w:b w:val="0"/>
          <w:sz w:val="20"/>
          <w:szCs w:val="20"/>
          <w:lang w:eastAsia="cs-CZ"/>
        </w:rPr>
        <w:t>Guide</w:t>
      </w:r>
      <w:proofErr w:type="spellEnd"/>
      <w:r w:rsidRPr="0078680D">
        <w:rPr>
          <w:rFonts w:eastAsia="Times New Roman"/>
          <w:b w:val="0"/>
          <w:sz w:val="20"/>
          <w:szCs w:val="20"/>
          <w:lang w:eastAsia="cs-CZ"/>
        </w:rPr>
        <w:t xml:space="preserve"> </w:t>
      </w:r>
      <w:proofErr w:type="spellStart"/>
      <w:r w:rsidRPr="0078680D">
        <w:rPr>
          <w:rFonts w:eastAsia="Times New Roman"/>
          <w:b w:val="0"/>
          <w:sz w:val="20"/>
          <w:szCs w:val="20"/>
          <w:lang w:eastAsia="cs-CZ"/>
        </w:rPr>
        <w:t>for</w:t>
      </w:r>
      <w:proofErr w:type="spellEnd"/>
      <w:r w:rsidRPr="0078680D">
        <w:rPr>
          <w:rFonts w:eastAsia="Times New Roman"/>
          <w:b w:val="0"/>
          <w:sz w:val="20"/>
          <w:szCs w:val="20"/>
          <w:lang w:eastAsia="cs-CZ"/>
        </w:rPr>
        <w:t xml:space="preserve"> Pension Data in </w:t>
      </w:r>
      <w:proofErr w:type="spellStart"/>
      <w:r w:rsidRPr="0078680D">
        <w:rPr>
          <w:rFonts w:eastAsia="Times New Roman"/>
          <w:b w:val="0"/>
          <w:sz w:val="20"/>
          <w:szCs w:val="20"/>
          <w:lang w:eastAsia="cs-CZ"/>
        </w:rPr>
        <w:t>National</w:t>
      </w:r>
      <w:proofErr w:type="spellEnd"/>
      <w:r w:rsidRPr="0078680D">
        <w:rPr>
          <w:rFonts w:eastAsia="Times New Roman"/>
          <w:b w:val="0"/>
          <w:sz w:val="20"/>
          <w:szCs w:val="20"/>
          <w:lang w:eastAsia="cs-CZ"/>
        </w:rPr>
        <w:t xml:space="preserve"> </w:t>
      </w:r>
      <w:proofErr w:type="spellStart"/>
      <w:r w:rsidRPr="0078680D">
        <w:rPr>
          <w:rFonts w:eastAsia="Times New Roman"/>
          <w:b w:val="0"/>
          <w:sz w:val="20"/>
          <w:szCs w:val="20"/>
          <w:lang w:eastAsia="cs-CZ"/>
        </w:rPr>
        <w:t>Accounts</w:t>
      </w:r>
      <w:proofErr w:type="spellEnd"/>
      <w:r w:rsidRPr="0078680D">
        <w:rPr>
          <w:rFonts w:eastAsia="Times New Roman"/>
          <w:b w:val="0"/>
          <w:sz w:val="20"/>
          <w:szCs w:val="20"/>
          <w:lang w:eastAsia="cs-CZ"/>
        </w:rPr>
        <w:t xml:space="preserve">, vydané roku 2020 </w:t>
      </w:r>
      <w:proofErr w:type="spellStart"/>
      <w:r w:rsidRPr="0078680D">
        <w:rPr>
          <w:rFonts w:eastAsia="Times New Roman"/>
          <w:b w:val="0"/>
          <w:sz w:val="20"/>
          <w:szCs w:val="20"/>
          <w:lang w:eastAsia="cs-CZ"/>
        </w:rPr>
        <w:t>Eurostatem</w:t>
      </w:r>
      <w:proofErr w:type="spellEnd"/>
      <w:r w:rsidRPr="0078680D">
        <w:rPr>
          <w:rFonts w:eastAsia="Times New Roman"/>
          <w:b w:val="0"/>
          <w:sz w:val="20"/>
          <w:szCs w:val="20"/>
          <w:lang w:eastAsia="cs-CZ"/>
        </w:rPr>
        <w:t xml:space="preserve">. Dle Transmisního programu </w:t>
      </w:r>
      <w:proofErr w:type="spellStart"/>
      <w:r w:rsidRPr="0078680D">
        <w:rPr>
          <w:rFonts w:eastAsia="Times New Roman"/>
          <w:b w:val="0"/>
          <w:sz w:val="20"/>
          <w:szCs w:val="20"/>
          <w:lang w:eastAsia="cs-CZ"/>
        </w:rPr>
        <w:t>Eurostatu</w:t>
      </w:r>
      <w:proofErr w:type="spellEnd"/>
      <w:r w:rsidRPr="0078680D">
        <w:rPr>
          <w:rFonts w:eastAsia="Times New Roman"/>
          <w:b w:val="0"/>
          <w:sz w:val="20"/>
          <w:szCs w:val="20"/>
          <w:lang w:eastAsia="cs-CZ"/>
        </w:rPr>
        <w:t xml:space="preserve"> jsou členské státy povinny tyto odhady publikovat v tříleté periodicitě. Více informací o celé problematice přináší </w:t>
      </w:r>
      <w:hyperlink r:id="rId7" w:history="1">
        <w:r w:rsidRPr="0078680D">
          <w:rPr>
            <w:rStyle w:val="Hypertextovodkaz"/>
            <w:rFonts w:eastAsia="Times New Roman"/>
            <w:b w:val="0"/>
            <w:sz w:val="20"/>
            <w:szCs w:val="20"/>
            <w:lang w:eastAsia="cs-CZ"/>
          </w:rPr>
          <w:t>aktuální publikace</w:t>
        </w:r>
      </w:hyperlink>
      <w:r w:rsidR="00791DF7">
        <w:rPr>
          <w:rStyle w:val="Hypertextovodkaz"/>
          <w:rFonts w:eastAsia="Times New Roman"/>
          <w:b w:val="0"/>
          <w:sz w:val="20"/>
          <w:szCs w:val="20"/>
          <w:lang w:eastAsia="cs-CZ"/>
        </w:rPr>
        <w:t>.</w:t>
      </w:r>
    </w:p>
    <w:p w:rsidR="00741DD7" w:rsidRDefault="00741DD7" w:rsidP="00741DD7">
      <w:pPr>
        <w:spacing w:line="264" w:lineRule="auto"/>
      </w:pPr>
    </w:p>
    <w:p w:rsidR="00741DD7" w:rsidRDefault="00741DD7" w:rsidP="00741DD7">
      <w:pPr>
        <w:spacing w:line="264" w:lineRule="auto"/>
        <w:rPr>
          <w:rFonts w:cs="Arial"/>
          <w:szCs w:val="18"/>
        </w:rPr>
      </w:pPr>
      <w:bookmarkStart w:id="1" w:name="_Hlk61869670"/>
    </w:p>
    <w:p w:rsidR="00741DD7" w:rsidRPr="00F50BCA" w:rsidRDefault="00741DD7" w:rsidP="00741DD7">
      <w:pPr>
        <w:rPr>
          <w:rFonts w:cs="Arial"/>
          <w:strike/>
          <w:szCs w:val="18"/>
        </w:rPr>
      </w:pPr>
    </w:p>
    <w:bookmarkEnd w:id="1"/>
    <w:p w:rsidR="00741DD7" w:rsidRDefault="00741DD7" w:rsidP="00741DD7">
      <w:pPr>
        <w:rPr>
          <w:b/>
        </w:rPr>
      </w:pPr>
      <w:r>
        <w:rPr>
          <w:b/>
        </w:rPr>
        <w:t>Kontakt:</w:t>
      </w:r>
    </w:p>
    <w:p w:rsidR="00741DD7" w:rsidRDefault="00741DD7" w:rsidP="00741DD7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741DD7" w:rsidRDefault="00741DD7" w:rsidP="00741DD7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:rsidR="00741DD7" w:rsidRDefault="00741DD7" w:rsidP="00741DD7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  <w:proofErr w:type="gramEnd"/>
    </w:p>
    <w:p w:rsidR="00741DD7" w:rsidRDefault="00741DD7" w:rsidP="00741DD7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 w:rsidRPr="006B4614">
        <w:t>jan.cieslar@czso.cz</w:t>
      </w:r>
      <w:r>
        <w:rPr>
          <w:rFonts w:cs="Arial"/>
        </w:rPr>
        <w:t xml:space="preserve">   |   </w:t>
      </w:r>
      <w:proofErr w:type="spellStart"/>
      <w:r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p w:rsidR="004920AD" w:rsidRPr="004920AD" w:rsidRDefault="004920AD" w:rsidP="00741DD7"/>
    <w:sectPr w:rsidR="004920AD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2D" w:rsidRDefault="0041202D" w:rsidP="00BA6370">
      <w:r>
        <w:separator/>
      </w:r>
    </w:p>
  </w:endnote>
  <w:endnote w:type="continuationSeparator" w:id="0">
    <w:p w:rsidR="0041202D" w:rsidRDefault="0041202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</w:t>
                            </w:r>
                            <w:proofErr w:type="gramStart"/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274 052 765 e-mail: </w:t>
                          </w:r>
                          <w:hyperlink r:id="rId2" w:history="1">
                            <w:r w:rsidR="00D018F0" w:rsidRPr="0075210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A253DB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</w:t>
                      </w:r>
                      <w:proofErr w:type="gramStart"/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274 052 765 e-mail: </w:t>
                    </w:r>
                    <w:hyperlink r:id="rId4" w:history="1">
                      <w:r w:rsidR="00D018F0" w:rsidRPr="0075210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A253DB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C4D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2D" w:rsidRDefault="0041202D" w:rsidP="00BA6370">
      <w:r>
        <w:separator/>
      </w:r>
    </w:p>
  </w:footnote>
  <w:footnote w:type="continuationSeparator" w:id="0">
    <w:p w:rsidR="0041202D" w:rsidRDefault="0041202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C5714C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D7"/>
    <w:rsid w:val="00043BF4"/>
    <w:rsid w:val="000842D2"/>
    <w:rsid w:val="000843A5"/>
    <w:rsid w:val="000B6F63"/>
    <w:rsid w:val="000C435D"/>
    <w:rsid w:val="001404AB"/>
    <w:rsid w:val="00146745"/>
    <w:rsid w:val="001658A9"/>
    <w:rsid w:val="0017231D"/>
    <w:rsid w:val="001776E2"/>
    <w:rsid w:val="001810DC"/>
    <w:rsid w:val="00183C7E"/>
    <w:rsid w:val="001A214A"/>
    <w:rsid w:val="001A59BF"/>
    <w:rsid w:val="001B607F"/>
    <w:rsid w:val="001D369A"/>
    <w:rsid w:val="002070FB"/>
    <w:rsid w:val="00213729"/>
    <w:rsid w:val="002272A6"/>
    <w:rsid w:val="002406FA"/>
    <w:rsid w:val="002460EA"/>
    <w:rsid w:val="002848DA"/>
    <w:rsid w:val="002B2E47"/>
    <w:rsid w:val="002D6A6C"/>
    <w:rsid w:val="00322412"/>
    <w:rsid w:val="003301A3"/>
    <w:rsid w:val="0035578A"/>
    <w:rsid w:val="0036777B"/>
    <w:rsid w:val="0038282A"/>
    <w:rsid w:val="00397580"/>
    <w:rsid w:val="003A1794"/>
    <w:rsid w:val="003A45C8"/>
    <w:rsid w:val="003C2DCF"/>
    <w:rsid w:val="003C7FE7"/>
    <w:rsid w:val="003D02AA"/>
    <w:rsid w:val="003D0499"/>
    <w:rsid w:val="003F526A"/>
    <w:rsid w:val="00405244"/>
    <w:rsid w:val="0041202D"/>
    <w:rsid w:val="00413A9D"/>
    <w:rsid w:val="004436EE"/>
    <w:rsid w:val="0045547F"/>
    <w:rsid w:val="004920AD"/>
    <w:rsid w:val="004D05B3"/>
    <w:rsid w:val="004E479E"/>
    <w:rsid w:val="004E583B"/>
    <w:rsid w:val="004F78E6"/>
    <w:rsid w:val="00512D99"/>
    <w:rsid w:val="00531DBB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E024F"/>
    <w:rsid w:val="006E4E81"/>
    <w:rsid w:val="00707F7D"/>
    <w:rsid w:val="00717EC5"/>
    <w:rsid w:val="00727525"/>
    <w:rsid w:val="00737B80"/>
    <w:rsid w:val="00741DD7"/>
    <w:rsid w:val="00752101"/>
    <w:rsid w:val="00791DF7"/>
    <w:rsid w:val="007A539F"/>
    <w:rsid w:val="007A57F2"/>
    <w:rsid w:val="007B1333"/>
    <w:rsid w:val="007D4442"/>
    <w:rsid w:val="007F4AEB"/>
    <w:rsid w:val="007F75B2"/>
    <w:rsid w:val="008043C4"/>
    <w:rsid w:val="00831B1B"/>
    <w:rsid w:val="00861D0E"/>
    <w:rsid w:val="00867569"/>
    <w:rsid w:val="008A750A"/>
    <w:rsid w:val="008C384C"/>
    <w:rsid w:val="008D0F11"/>
    <w:rsid w:val="008F35B4"/>
    <w:rsid w:val="008F73B4"/>
    <w:rsid w:val="009058FC"/>
    <w:rsid w:val="0094402F"/>
    <w:rsid w:val="009668FF"/>
    <w:rsid w:val="009B55B1"/>
    <w:rsid w:val="00A00672"/>
    <w:rsid w:val="00A253DB"/>
    <w:rsid w:val="00A365FE"/>
    <w:rsid w:val="00A4343D"/>
    <w:rsid w:val="00A502F1"/>
    <w:rsid w:val="00A70A83"/>
    <w:rsid w:val="00A81EB3"/>
    <w:rsid w:val="00A842CF"/>
    <w:rsid w:val="00A853A1"/>
    <w:rsid w:val="00AE6D5B"/>
    <w:rsid w:val="00B00C1D"/>
    <w:rsid w:val="00B03E21"/>
    <w:rsid w:val="00B565EB"/>
    <w:rsid w:val="00BA439F"/>
    <w:rsid w:val="00BA6370"/>
    <w:rsid w:val="00C269D4"/>
    <w:rsid w:val="00C4160D"/>
    <w:rsid w:val="00C52466"/>
    <w:rsid w:val="00C8406E"/>
    <w:rsid w:val="00CB2709"/>
    <w:rsid w:val="00CB6F89"/>
    <w:rsid w:val="00CD4431"/>
    <w:rsid w:val="00CE228C"/>
    <w:rsid w:val="00CF545B"/>
    <w:rsid w:val="00D018F0"/>
    <w:rsid w:val="00D27074"/>
    <w:rsid w:val="00D27D69"/>
    <w:rsid w:val="00D448C2"/>
    <w:rsid w:val="00D666C3"/>
    <w:rsid w:val="00DB3587"/>
    <w:rsid w:val="00DC0D7B"/>
    <w:rsid w:val="00DF47FE"/>
    <w:rsid w:val="00E15790"/>
    <w:rsid w:val="00E2374E"/>
    <w:rsid w:val="00E26704"/>
    <w:rsid w:val="00E27C40"/>
    <w:rsid w:val="00E31980"/>
    <w:rsid w:val="00E57646"/>
    <w:rsid w:val="00E6423C"/>
    <w:rsid w:val="00E93830"/>
    <w:rsid w:val="00E93E0E"/>
    <w:rsid w:val="00EB1ED3"/>
    <w:rsid w:val="00EC2D51"/>
    <w:rsid w:val="00F26395"/>
    <w:rsid w:val="00F46D88"/>
    <w:rsid w:val="00F46F18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FB650AE"/>
  <w15:docId w15:val="{5219C57D-6D08-4112-9954-C01C6E66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l.czso.cz/pll/rocenka/rocenkaout.pension_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amecky3167\AppData\Local\Temp\Tiskov&#225;%20zpr&#225;va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DB52-0C62-48E8-ABD1-DE2062FF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CZ_2022-02-08.dotx</Template>
  <TotalTime>105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2077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Chrámecký</dc:creator>
  <cp:lastModifiedBy>Chrámecký</cp:lastModifiedBy>
  <cp:revision>3</cp:revision>
  <dcterms:created xsi:type="dcterms:W3CDTF">2022-03-11T09:28:00Z</dcterms:created>
  <dcterms:modified xsi:type="dcterms:W3CDTF">2022-03-14T08:54:00Z</dcterms:modified>
</cp:coreProperties>
</file>