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F3" w:rsidRDefault="003770A0" w:rsidP="005C7437">
      <w:pPr>
        <w:pStyle w:val="Nzev"/>
      </w:pPr>
      <w:r w:rsidRPr="00211238">
        <w:t>Dokumentace datové sady</w:t>
      </w:r>
      <w:r w:rsidR="005C7437" w:rsidRPr="00211238">
        <w:t xml:space="preserve"> (DS)</w:t>
      </w:r>
    </w:p>
    <w:p w:rsidR="00F45F2C" w:rsidRPr="00942EF2" w:rsidRDefault="00F45F2C" w:rsidP="005C7437">
      <w:pPr>
        <w:pStyle w:val="Nzev"/>
        <w:rPr>
          <w:b w:val="0"/>
          <w:sz w:val="22"/>
          <w:szCs w:val="22"/>
        </w:rPr>
      </w:pPr>
      <w:r w:rsidRPr="00942EF2">
        <w:rPr>
          <w:b w:val="0"/>
          <w:sz w:val="22"/>
          <w:szCs w:val="22"/>
        </w:rPr>
        <w:t>(</w:t>
      </w:r>
      <w:r w:rsidR="002336E5">
        <w:rPr>
          <w:b w:val="0"/>
          <w:sz w:val="22"/>
          <w:szCs w:val="22"/>
        </w:rPr>
        <w:t>A</w:t>
      </w:r>
      <w:r w:rsidRPr="00942EF2">
        <w:rPr>
          <w:b w:val="0"/>
          <w:sz w:val="22"/>
          <w:szCs w:val="22"/>
        </w:rPr>
        <w:t>ktualiz</w:t>
      </w:r>
      <w:r w:rsidR="004123DE">
        <w:rPr>
          <w:b w:val="0"/>
          <w:sz w:val="22"/>
          <w:szCs w:val="22"/>
        </w:rPr>
        <w:t>ováno</w:t>
      </w:r>
      <w:r w:rsidRPr="00942EF2">
        <w:rPr>
          <w:b w:val="0"/>
          <w:sz w:val="22"/>
          <w:szCs w:val="22"/>
        </w:rPr>
        <w:t xml:space="preserve"> </w:t>
      </w:r>
      <w:r w:rsidR="003B0B01">
        <w:rPr>
          <w:b w:val="0"/>
          <w:sz w:val="22"/>
          <w:szCs w:val="22"/>
        </w:rPr>
        <w:t xml:space="preserve">ke dni </w:t>
      </w:r>
      <w:r w:rsidR="00A32721">
        <w:rPr>
          <w:b w:val="0"/>
          <w:sz w:val="22"/>
          <w:szCs w:val="22"/>
        </w:rPr>
        <w:t>10</w:t>
      </w:r>
      <w:r w:rsidRPr="00942EF2">
        <w:rPr>
          <w:b w:val="0"/>
          <w:sz w:val="22"/>
          <w:szCs w:val="22"/>
        </w:rPr>
        <w:t>.</w:t>
      </w:r>
      <w:r w:rsidR="004123DE">
        <w:rPr>
          <w:b w:val="0"/>
          <w:sz w:val="22"/>
          <w:szCs w:val="22"/>
        </w:rPr>
        <w:t xml:space="preserve"> </w:t>
      </w:r>
      <w:r w:rsidR="00A32721">
        <w:rPr>
          <w:b w:val="0"/>
          <w:sz w:val="22"/>
          <w:szCs w:val="22"/>
        </w:rPr>
        <w:t>3</w:t>
      </w:r>
      <w:r w:rsidRPr="00942EF2">
        <w:rPr>
          <w:b w:val="0"/>
          <w:sz w:val="22"/>
          <w:szCs w:val="22"/>
        </w:rPr>
        <w:t>.</w:t>
      </w:r>
      <w:r w:rsidR="004123DE">
        <w:rPr>
          <w:b w:val="0"/>
          <w:sz w:val="22"/>
          <w:szCs w:val="22"/>
        </w:rPr>
        <w:t xml:space="preserve"> </w:t>
      </w:r>
      <w:r w:rsidRPr="00942EF2">
        <w:rPr>
          <w:b w:val="0"/>
          <w:sz w:val="22"/>
          <w:szCs w:val="22"/>
        </w:rPr>
        <w:t>202</w:t>
      </w:r>
      <w:r w:rsidR="004123DE">
        <w:rPr>
          <w:b w:val="0"/>
          <w:sz w:val="22"/>
          <w:szCs w:val="22"/>
        </w:rPr>
        <w:t>3</w:t>
      </w:r>
      <w:r w:rsidRPr="00942EF2">
        <w:rPr>
          <w:b w:val="0"/>
          <w:sz w:val="22"/>
          <w:szCs w:val="22"/>
        </w:rPr>
        <w:t>)</w:t>
      </w:r>
    </w:p>
    <w:p w:rsidR="005C7437" w:rsidRPr="00211238" w:rsidRDefault="005C7437" w:rsidP="005C7437">
      <w:pPr>
        <w:pStyle w:val="Nzev"/>
      </w:pPr>
    </w:p>
    <w:p w:rsidR="003770A0" w:rsidRPr="00211238" w:rsidRDefault="003770A0" w:rsidP="00222387">
      <w:r w:rsidRPr="00211238">
        <w:rPr>
          <w:rStyle w:val="Nadpis2Char"/>
        </w:rPr>
        <w:t>Název DS:</w:t>
      </w:r>
      <w:r w:rsidRPr="00211238">
        <w:t xml:space="preserve"> </w:t>
      </w:r>
    </w:p>
    <w:p w:rsidR="003770A0" w:rsidRPr="00287241" w:rsidRDefault="00F4243C" w:rsidP="00222387">
      <w:pPr>
        <w:pStyle w:val="Nadpis2"/>
        <w:rPr>
          <w:rFonts w:eastAsiaTheme="minorHAnsi" w:cstheme="minorBidi"/>
          <w:bCs w:val="0"/>
          <w:i/>
          <w:color w:val="auto"/>
          <w:sz w:val="28"/>
          <w:szCs w:val="28"/>
          <w:u w:val="single"/>
        </w:rPr>
      </w:pPr>
      <w:r w:rsidRPr="00287241">
        <w:rPr>
          <w:rFonts w:eastAsiaTheme="minorHAnsi" w:cstheme="minorBidi"/>
          <w:bCs w:val="0"/>
          <w:i/>
          <w:color w:val="auto"/>
          <w:sz w:val="28"/>
          <w:szCs w:val="28"/>
          <w:u w:val="single"/>
        </w:rPr>
        <w:t>Stavební povolení</w:t>
      </w:r>
    </w:p>
    <w:p w:rsidR="00DA719B" w:rsidRPr="00211238" w:rsidRDefault="00DA719B" w:rsidP="00DA719B">
      <w:bookmarkStart w:id="0" w:name="_GoBack"/>
      <w:bookmarkEnd w:id="0"/>
    </w:p>
    <w:p w:rsidR="003770A0" w:rsidRPr="00211238" w:rsidRDefault="003770A0" w:rsidP="00222387">
      <w:pPr>
        <w:pStyle w:val="Nadpis2"/>
      </w:pPr>
      <w:r w:rsidRPr="00211238">
        <w:t>Popis datové sady:</w:t>
      </w:r>
    </w:p>
    <w:p w:rsidR="00854ECA" w:rsidRDefault="00F4243C" w:rsidP="00854ECA">
      <w:pPr>
        <w:jc w:val="left"/>
      </w:pPr>
      <w:r w:rsidRPr="00D44CF3">
        <w:t xml:space="preserve">Datová sada obsahuje časovou řadu se statistickými údaji o </w:t>
      </w:r>
      <w:r w:rsidR="002D187E" w:rsidRPr="00D44CF3">
        <w:t xml:space="preserve">počtu </w:t>
      </w:r>
      <w:r w:rsidRPr="00D44CF3">
        <w:t>stavebních povolení</w:t>
      </w:r>
      <w:r w:rsidR="002D187E" w:rsidRPr="00D44CF3">
        <w:t xml:space="preserve"> a orientační hodnotě staveb</w:t>
      </w:r>
      <w:r w:rsidRPr="00D44CF3">
        <w:t xml:space="preserve"> podle krajů České republiky od roku 2005. K dispozici jsou údaje za stavby celkem, </w:t>
      </w:r>
      <w:r w:rsidR="00F447F1">
        <w:t xml:space="preserve">bytové a nebytové </w:t>
      </w:r>
      <w:r w:rsidRPr="00D44CF3">
        <w:t xml:space="preserve">budovy, </w:t>
      </w:r>
      <w:r w:rsidR="00640FC6">
        <w:t xml:space="preserve">do roku 2019 </w:t>
      </w:r>
      <w:r w:rsidRPr="00D44CF3">
        <w:t>stavby na ochranu životního prostředí a ostatní typy staveb</w:t>
      </w:r>
      <w:r w:rsidR="00F447F1">
        <w:t xml:space="preserve">, </w:t>
      </w:r>
      <w:r w:rsidR="00640FC6">
        <w:t xml:space="preserve">od roku 2020 </w:t>
      </w:r>
      <w:r w:rsidR="00F447F1">
        <w:t>inženýrské stavby</w:t>
      </w:r>
      <w:r w:rsidRPr="007B7944">
        <w:t>.</w:t>
      </w:r>
      <w:r w:rsidR="00243D92" w:rsidRPr="007B7944">
        <w:t xml:space="preserve"> </w:t>
      </w:r>
    </w:p>
    <w:p w:rsidR="00854ECA" w:rsidRPr="00D44CF3" w:rsidRDefault="002D187E" w:rsidP="00854ECA">
      <w:pPr>
        <w:jc w:val="left"/>
      </w:pPr>
      <w:r w:rsidRPr="007B7944">
        <w:t xml:space="preserve">Časová řada </w:t>
      </w:r>
      <w:r w:rsidR="00A1606D">
        <w:t xml:space="preserve">do roku 2021 </w:t>
      </w:r>
      <w:r w:rsidRPr="007B7944">
        <w:t>obsahuje kumulativní údaje od počátku příslušného roku do konce sledovaného měsíce</w:t>
      </w:r>
      <w:r w:rsidR="003F72D1">
        <w:t>.</w:t>
      </w:r>
      <w:r w:rsidR="00854ECA">
        <w:t xml:space="preserve"> </w:t>
      </w:r>
      <w:r w:rsidR="003F72D1">
        <w:t>O</w:t>
      </w:r>
      <w:r w:rsidR="00A1606D">
        <w:t xml:space="preserve">d roku 2022 </w:t>
      </w:r>
      <w:r w:rsidR="003F72D1">
        <w:t xml:space="preserve">časová řada </w:t>
      </w:r>
      <w:r w:rsidR="00A1606D">
        <w:t>obsahuje kumulativní údaje od počátku příslušného roku do konce sledovaného čtvrtletí</w:t>
      </w:r>
      <w:r w:rsidR="003F72D1">
        <w:t>.</w:t>
      </w:r>
      <w:r w:rsidR="00854ECA">
        <w:t xml:space="preserve"> </w:t>
      </w:r>
      <w:r w:rsidR="00854ECA">
        <w:rPr>
          <w:rFonts w:eastAsia="Times New Roman" w:cs="Arial"/>
          <w:color w:val="000000"/>
          <w:szCs w:val="20"/>
          <w:lang w:eastAsia="cs-CZ"/>
        </w:rPr>
        <w:t>Následující měsíc jsou zveřejněna revidovaná data za danou čtvrtletní kumulaci. Při zveřejnění revidovaných dat za kumulaci 1. čtvrtletí se zároveň zveřejňují i revidovaná data za celý předchozí rok.</w:t>
      </w:r>
    </w:p>
    <w:p w:rsidR="002D187E" w:rsidRPr="007B7944" w:rsidRDefault="002D187E" w:rsidP="00347443">
      <w:pPr>
        <w:rPr>
          <w:i/>
        </w:rPr>
      </w:pPr>
    </w:p>
    <w:p w:rsidR="005B027B" w:rsidRPr="00211238" w:rsidRDefault="005B027B" w:rsidP="00347443">
      <w:pPr>
        <w:rPr>
          <w:i/>
        </w:rPr>
      </w:pPr>
      <w:r w:rsidRPr="007B7944">
        <w:rPr>
          <w:i/>
        </w:rPr>
        <w:t>Metodick</w:t>
      </w:r>
      <w:r w:rsidR="00573AFB" w:rsidRPr="00211238">
        <w:rPr>
          <w:i/>
        </w:rPr>
        <w:t>é</w:t>
      </w:r>
      <w:r w:rsidRPr="00211238">
        <w:rPr>
          <w:i/>
        </w:rPr>
        <w:t xml:space="preserve"> poznámk</w:t>
      </w:r>
      <w:r w:rsidR="00573AFB" w:rsidRPr="00211238">
        <w:rPr>
          <w:i/>
        </w:rPr>
        <w:t>y</w:t>
      </w:r>
    </w:p>
    <w:p w:rsidR="00BF41AD" w:rsidRPr="00D44CF3" w:rsidRDefault="00BF41AD" w:rsidP="008F1F51">
      <w:pPr>
        <w:spacing w:line="240" w:lineRule="auto"/>
      </w:pPr>
      <w:r w:rsidRPr="00D44CF3">
        <w:t>Zdrojem statistických údajů je měsíční zjišťování STAV 2-12.</w:t>
      </w:r>
    </w:p>
    <w:p w:rsidR="008244BC" w:rsidRPr="00D44CF3" w:rsidRDefault="008244BC" w:rsidP="008F1F51">
      <w:pPr>
        <w:spacing w:line="240" w:lineRule="auto"/>
      </w:pPr>
      <w:r w:rsidRPr="00D44CF3">
        <w:rPr>
          <w:b/>
        </w:rPr>
        <w:t>Stavebním povolením</w:t>
      </w:r>
      <w:r w:rsidRPr="00D44C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44CF3">
        <w:t>se rozumí celkový počet stavebních povolení (včetně společných), stavebních ohlášení, staveb povolených na podkladě veřejnoprávní smlouvy a staveb ve zkráceném stavebním řízení autorizovaným inspektorem, které byly ve smyslu zákona č. 183/2006 Sb., o územním plánování a stavebním řádu (stavební zákon), ve znění pozdějších předpisů, vydány a evidovány příslušným stavebním úřadem.</w:t>
      </w:r>
    </w:p>
    <w:p w:rsidR="008244BC" w:rsidRPr="00D44CF3" w:rsidRDefault="008244BC" w:rsidP="008F1F51">
      <w:pPr>
        <w:spacing w:line="240" w:lineRule="auto"/>
      </w:pPr>
      <w:r w:rsidRPr="00D44CF3">
        <w:rPr>
          <w:b/>
        </w:rPr>
        <w:t>Orientační hodnota staveb</w:t>
      </w:r>
      <w:r w:rsidRPr="00D44C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44CF3">
        <w:t>zahrnuje celkové náklady včetně technologie (v běžných cenách) vynaložené na přípravu, realizaci a uvedení stavby do provozu.</w:t>
      </w:r>
    </w:p>
    <w:p w:rsidR="008244BC" w:rsidRPr="00D44CF3" w:rsidRDefault="008244BC" w:rsidP="008F1F51">
      <w:pPr>
        <w:spacing w:line="240" w:lineRule="auto"/>
      </w:pPr>
      <w:r w:rsidRPr="00D44CF3">
        <w:rPr>
          <w:b/>
        </w:rPr>
        <w:t>Nová výstavba</w:t>
      </w:r>
      <w:r w:rsidRPr="00D44CF3">
        <w:t xml:space="preserve"> představuje zcela novou konstrukci, nové stavební dílo bez ohledu na to, zda už bylo dříve zastavěné a bez zřetele na stavebně technické provedení, účel a dobu trvání.</w:t>
      </w:r>
    </w:p>
    <w:p w:rsidR="008244BC" w:rsidRPr="00D44CF3" w:rsidRDefault="008244BC" w:rsidP="008F1F51">
      <w:pPr>
        <w:spacing w:line="240" w:lineRule="auto"/>
      </w:pPr>
      <w:r w:rsidRPr="00D44CF3">
        <w:rPr>
          <w:b/>
        </w:rPr>
        <w:t>Změnami dokončených staveb</w:t>
      </w:r>
      <w:r w:rsidRPr="00D44C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D44CF3">
        <w:t>jsou:</w:t>
      </w:r>
    </w:p>
    <w:p w:rsidR="008244BC" w:rsidRPr="00D44CF3" w:rsidRDefault="008244BC" w:rsidP="008F1F51">
      <w:pPr>
        <w:spacing w:line="240" w:lineRule="auto"/>
      </w:pPr>
      <w:r w:rsidRPr="00D44CF3">
        <w:t>-nástavby, jimiž se stavby zvyšují;</w:t>
      </w:r>
    </w:p>
    <w:p w:rsidR="008244BC" w:rsidRPr="00D44CF3" w:rsidRDefault="008244BC" w:rsidP="008F1F51">
      <w:pPr>
        <w:spacing w:line="240" w:lineRule="auto"/>
      </w:pPr>
      <w:r w:rsidRPr="00D44CF3">
        <w:t>-přístavby, jimiž se stavby půdorysně rozšiřují a které jsou vzájemně provozně propojeny s dosavadní stavbou;</w:t>
      </w:r>
    </w:p>
    <w:p w:rsidR="008244BC" w:rsidRPr="00D44CF3" w:rsidRDefault="008244BC" w:rsidP="008F1F51">
      <w:pPr>
        <w:spacing w:line="240" w:lineRule="auto"/>
      </w:pPr>
      <w:r w:rsidRPr="00D44CF3">
        <w:t>-stavební úpravy, při nichž se zachovává vnější půdorysné i výškové ohraničení stavby (vestavby).</w:t>
      </w:r>
    </w:p>
    <w:p w:rsidR="008244BC" w:rsidRPr="00A61C09" w:rsidRDefault="008244BC" w:rsidP="008F1F51">
      <w:pPr>
        <w:spacing w:line="240" w:lineRule="auto"/>
        <w:rPr>
          <w:rFonts w:cs="Arial"/>
          <w:szCs w:val="20"/>
        </w:rPr>
      </w:pPr>
      <w:r w:rsidRPr="00A61C09">
        <w:rPr>
          <w:rFonts w:cs="Arial"/>
          <w:b/>
          <w:szCs w:val="20"/>
        </w:rPr>
        <w:t>Budovou</w:t>
      </w:r>
      <w:r w:rsidRPr="00A61C09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A61C09">
        <w:rPr>
          <w:rFonts w:cs="Arial"/>
          <w:szCs w:val="20"/>
        </w:rPr>
        <w:t>se rozumí nadzemní stavba prostorově soustředěná a navenek převážně uzavřená obvodovými stěnami a střešní konstrukcí.</w:t>
      </w:r>
    </w:p>
    <w:p w:rsidR="008244BC" w:rsidRPr="00A61C09" w:rsidRDefault="008244BC" w:rsidP="008F1F51">
      <w:pPr>
        <w:spacing w:line="240" w:lineRule="auto"/>
        <w:rPr>
          <w:rFonts w:cs="Arial"/>
          <w:szCs w:val="20"/>
        </w:rPr>
      </w:pPr>
      <w:r w:rsidRPr="00A61C09">
        <w:rPr>
          <w:rFonts w:cs="Arial"/>
          <w:b/>
          <w:szCs w:val="20"/>
        </w:rPr>
        <w:t>Bytem</w:t>
      </w:r>
      <w:r w:rsidRPr="00A61C09">
        <w:rPr>
          <w:rFonts w:eastAsia="Times New Roman" w:cs="Arial"/>
          <w:szCs w:val="20"/>
          <w:lang w:eastAsia="cs-CZ"/>
        </w:rPr>
        <w:t xml:space="preserve"> </w:t>
      </w:r>
      <w:r w:rsidRPr="00A61C09">
        <w:rPr>
          <w:rFonts w:cs="Arial"/>
          <w:szCs w:val="20"/>
        </w:rPr>
        <w:t>se rozumí místnost nebo soubor místností, které jsou podle rozhodnutí stavebního úřadu určeny k bydlení a mohou tomuto účelu sloužit jako samostatné bytové jednotky.</w:t>
      </w:r>
    </w:p>
    <w:p w:rsidR="008F6FEA" w:rsidRPr="00A61C09" w:rsidRDefault="008F6FEA" w:rsidP="008F1F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1C09">
        <w:rPr>
          <w:rFonts w:cs="Arial"/>
          <w:b/>
          <w:szCs w:val="20"/>
        </w:rPr>
        <w:t xml:space="preserve">Bytové budovy </w:t>
      </w:r>
      <w:r w:rsidR="004801F9" w:rsidRPr="00A61C09">
        <w:rPr>
          <w:rFonts w:cs="Arial"/>
          <w:b/>
          <w:szCs w:val="20"/>
        </w:rPr>
        <w:t>jsou</w:t>
      </w:r>
      <w:r w:rsidR="004801F9" w:rsidRPr="00A61C09">
        <w:rPr>
          <w:rFonts w:cs="Arial"/>
          <w:szCs w:val="20"/>
        </w:rPr>
        <w:t xml:space="preserve"> stavby, v nichž se alespoň polovina podlahové plochy používá pro obytné účely (např. rodinné domy a bytové domy).</w:t>
      </w:r>
    </w:p>
    <w:p w:rsidR="002C0589" w:rsidRPr="00A61C09" w:rsidRDefault="002C0589" w:rsidP="008F1F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4801F9" w:rsidRPr="00A61C09" w:rsidRDefault="004801F9" w:rsidP="008F1F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1C09">
        <w:rPr>
          <w:rFonts w:cs="Arial"/>
          <w:b/>
          <w:szCs w:val="20"/>
        </w:rPr>
        <w:t>Nebytové budovy</w:t>
      </w:r>
      <w:r w:rsidRPr="00A61C09">
        <w:rPr>
          <w:rFonts w:cs="Arial"/>
          <w:szCs w:val="20"/>
        </w:rPr>
        <w:t xml:space="preserve"> jsou stavby, které se používají nebo jsou určeny k jiným úč</w:t>
      </w:r>
      <w:r w:rsidR="002C0589" w:rsidRPr="00A61C09">
        <w:rPr>
          <w:rFonts w:cs="Arial"/>
          <w:szCs w:val="20"/>
        </w:rPr>
        <w:t>elů</w:t>
      </w:r>
      <w:r w:rsidRPr="00A61C09">
        <w:rPr>
          <w:rFonts w:cs="Arial"/>
          <w:szCs w:val="20"/>
        </w:rPr>
        <w:t>m než obytné (např. výrobní prostory, haly, školy, zdrav</w:t>
      </w:r>
      <w:r w:rsidR="00A61C09">
        <w:rPr>
          <w:rFonts w:cs="Arial"/>
          <w:szCs w:val="20"/>
        </w:rPr>
        <w:t xml:space="preserve">otnická </w:t>
      </w:r>
      <w:r w:rsidRPr="00A61C09">
        <w:rPr>
          <w:rFonts w:cs="Arial"/>
          <w:szCs w:val="20"/>
        </w:rPr>
        <w:t>za</w:t>
      </w:r>
      <w:r w:rsidR="002C0589" w:rsidRPr="00A61C09">
        <w:rPr>
          <w:rFonts w:cs="Arial"/>
          <w:szCs w:val="20"/>
        </w:rPr>
        <w:t>ř</w:t>
      </w:r>
      <w:r w:rsidRPr="00A61C09">
        <w:rPr>
          <w:rFonts w:cs="Arial"/>
          <w:szCs w:val="20"/>
        </w:rPr>
        <w:t xml:space="preserve">ízení, </w:t>
      </w:r>
      <w:r w:rsidR="002C0589" w:rsidRPr="00A61C09">
        <w:rPr>
          <w:rFonts w:cs="Arial"/>
          <w:szCs w:val="20"/>
        </w:rPr>
        <w:t>budovy pro obchod nebo administrativu</w:t>
      </w:r>
      <w:r w:rsidRPr="00A61C09">
        <w:rPr>
          <w:rFonts w:cs="Arial"/>
          <w:szCs w:val="20"/>
        </w:rPr>
        <w:t xml:space="preserve">). </w:t>
      </w:r>
    </w:p>
    <w:p w:rsidR="002C0589" w:rsidRPr="00A61C09" w:rsidRDefault="002C0589" w:rsidP="008F1F51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:rsidR="008F6FEA" w:rsidRPr="00A61C09" w:rsidRDefault="008F6FEA" w:rsidP="008F1F51">
      <w:pPr>
        <w:spacing w:line="240" w:lineRule="auto"/>
        <w:rPr>
          <w:rFonts w:cs="Arial"/>
          <w:szCs w:val="20"/>
        </w:rPr>
      </w:pPr>
      <w:r w:rsidRPr="00A61C09">
        <w:rPr>
          <w:rFonts w:cs="Arial"/>
          <w:b/>
          <w:szCs w:val="20"/>
        </w:rPr>
        <w:t>Stavby týkající se ochrany životního prostředí</w:t>
      </w:r>
      <w:r w:rsidRPr="00A61C09">
        <w:rPr>
          <w:rFonts w:cs="Arial"/>
          <w:szCs w:val="20"/>
        </w:rPr>
        <w:t xml:space="preserve"> </w:t>
      </w:r>
      <w:r w:rsidR="00640FC6" w:rsidRPr="00A61C09">
        <w:rPr>
          <w:rFonts w:cs="Arial"/>
          <w:szCs w:val="20"/>
        </w:rPr>
        <w:t xml:space="preserve">(sledovány do konce roku 2019) </w:t>
      </w:r>
      <w:r w:rsidRPr="00A61C09">
        <w:rPr>
          <w:rFonts w:cs="Arial"/>
          <w:szCs w:val="20"/>
        </w:rPr>
        <w:t>jsou stavby k ochraně vody (s výjimkou podzemní); např. čistírny odpadních vod, kanalizační sítě včetně přípojek, septiky</w:t>
      </w:r>
      <w:r w:rsidR="001E4168" w:rsidRPr="00A61C09">
        <w:rPr>
          <w:rFonts w:cs="Arial"/>
          <w:szCs w:val="20"/>
        </w:rPr>
        <w:t>;</w:t>
      </w:r>
      <w:r w:rsidRPr="00A61C09">
        <w:rPr>
          <w:rFonts w:cs="Arial"/>
          <w:szCs w:val="20"/>
        </w:rPr>
        <w:t xml:space="preserve"> k ochraně ovzduší a klimatu, např. plynovody včetně přípojek</w:t>
      </w:r>
      <w:r w:rsidR="001E4168" w:rsidRPr="00A61C09">
        <w:rPr>
          <w:rFonts w:cs="Arial"/>
          <w:szCs w:val="20"/>
        </w:rPr>
        <w:t>;</w:t>
      </w:r>
      <w:r w:rsidRPr="00A61C09">
        <w:rPr>
          <w:rFonts w:cs="Arial"/>
          <w:szCs w:val="20"/>
        </w:rPr>
        <w:t xml:space="preserve"> k ekologickému nakládání s odpady, např. spalovny</w:t>
      </w:r>
      <w:r w:rsidR="001E4168" w:rsidRPr="00A61C09">
        <w:rPr>
          <w:rFonts w:cs="Arial"/>
          <w:szCs w:val="20"/>
        </w:rPr>
        <w:t>;</w:t>
      </w:r>
      <w:r w:rsidRPr="00A61C09">
        <w:rPr>
          <w:rFonts w:cs="Arial"/>
          <w:szCs w:val="20"/>
        </w:rPr>
        <w:t xml:space="preserve"> k ochraně přírody a krajiny</w:t>
      </w:r>
      <w:r w:rsidR="001E4168" w:rsidRPr="00A61C09">
        <w:rPr>
          <w:rFonts w:cs="Arial"/>
          <w:szCs w:val="20"/>
        </w:rPr>
        <w:t>;</w:t>
      </w:r>
      <w:r w:rsidRPr="00A61C09">
        <w:rPr>
          <w:rFonts w:cs="Arial"/>
          <w:szCs w:val="20"/>
        </w:rPr>
        <w:t xml:space="preserve"> k redukci vlivu fyzikálních faktorů</w:t>
      </w:r>
      <w:r w:rsidR="001E4168" w:rsidRPr="00A61C09">
        <w:rPr>
          <w:rFonts w:cs="Arial"/>
          <w:szCs w:val="20"/>
        </w:rPr>
        <w:t>;</w:t>
      </w:r>
      <w:r w:rsidRPr="00A61C09">
        <w:rPr>
          <w:rFonts w:cs="Arial"/>
          <w:szCs w:val="20"/>
        </w:rPr>
        <w:t xml:space="preserve"> k ochraně půdy a podzemní vody.</w:t>
      </w:r>
    </w:p>
    <w:p w:rsidR="008F6FEA" w:rsidRPr="00A61C09" w:rsidRDefault="00287241" w:rsidP="008F1F51">
      <w:pPr>
        <w:spacing w:line="240" w:lineRule="auto"/>
        <w:rPr>
          <w:rFonts w:cs="Arial"/>
          <w:szCs w:val="20"/>
        </w:rPr>
      </w:pPr>
      <w:hyperlink r:id="rId5" w:history="1">
        <w:r w:rsidR="008F6FEA" w:rsidRPr="00A61C09">
          <w:rPr>
            <w:rFonts w:cs="Arial"/>
            <w:b/>
            <w:szCs w:val="20"/>
          </w:rPr>
          <w:t xml:space="preserve">Stavby - ostatní </w:t>
        </w:r>
        <w:r w:rsidR="00640FC6" w:rsidRPr="00A61C09">
          <w:rPr>
            <w:rFonts w:cs="Arial"/>
            <w:b/>
            <w:szCs w:val="20"/>
          </w:rPr>
          <w:t xml:space="preserve">- </w:t>
        </w:r>
        <w:r w:rsidR="008F6FEA" w:rsidRPr="00A61C09">
          <w:rPr>
            <w:rFonts w:cs="Arial"/>
            <w:szCs w:val="20"/>
          </w:rPr>
          <w:t>kromě bytových a nebytových budov a staveb na ochranu životního prostředí</w:t>
        </w:r>
        <w:r w:rsidR="00640FC6" w:rsidRPr="00A61C09">
          <w:rPr>
            <w:rFonts w:cs="Arial"/>
            <w:szCs w:val="20"/>
          </w:rPr>
          <w:t xml:space="preserve"> (sledovány do konce roku 2019)</w:t>
        </w:r>
      </w:hyperlink>
      <w:r w:rsidR="00640FC6" w:rsidRPr="00A61C09">
        <w:rPr>
          <w:rFonts w:cs="Arial"/>
          <w:szCs w:val="20"/>
        </w:rPr>
        <w:t>.</w:t>
      </w:r>
    </w:p>
    <w:p w:rsidR="00F447F1" w:rsidRPr="00A61C09" w:rsidRDefault="00F447F1" w:rsidP="008F1F51">
      <w:pPr>
        <w:spacing w:line="240" w:lineRule="auto"/>
        <w:rPr>
          <w:rFonts w:cs="Arial"/>
          <w:b/>
          <w:szCs w:val="20"/>
        </w:rPr>
      </w:pPr>
      <w:r w:rsidRPr="00A61C09">
        <w:rPr>
          <w:rFonts w:cs="Arial"/>
          <w:b/>
          <w:szCs w:val="20"/>
        </w:rPr>
        <w:t xml:space="preserve">Inženýrské stavby </w:t>
      </w:r>
      <w:r w:rsidR="002C0589" w:rsidRPr="00A61C09">
        <w:rPr>
          <w:rFonts w:cs="Arial"/>
          <w:b/>
          <w:szCs w:val="20"/>
        </w:rPr>
        <w:t xml:space="preserve">jsou např. </w:t>
      </w:r>
      <w:r w:rsidR="002C0589" w:rsidRPr="00A61C09">
        <w:rPr>
          <w:rFonts w:cs="Arial"/>
          <w:szCs w:val="20"/>
        </w:rPr>
        <w:t xml:space="preserve">mosty, komunikace, dráhy, podzemní stavby, vedení trubní a elektrická, </w:t>
      </w:r>
      <w:proofErr w:type="spellStart"/>
      <w:r w:rsidR="002C0589" w:rsidRPr="00A61C09">
        <w:rPr>
          <w:rStyle w:val="spelle"/>
          <w:rFonts w:cs="Arial"/>
          <w:szCs w:val="20"/>
        </w:rPr>
        <w:t>hydromeliorace</w:t>
      </w:r>
      <w:proofErr w:type="spellEnd"/>
      <w:r w:rsidR="002C0589" w:rsidRPr="00A61C09">
        <w:rPr>
          <w:rFonts w:cs="Arial"/>
          <w:szCs w:val="20"/>
        </w:rPr>
        <w:t>, hráze a nádrže na tocích, úpravy toků a kanály.</w:t>
      </w:r>
    </w:p>
    <w:p w:rsidR="00F447F1" w:rsidRPr="00A61C09" w:rsidRDefault="00F447F1" w:rsidP="008F1F51">
      <w:pPr>
        <w:spacing w:line="240" w:lineRule="auto"/>
        <w:rPr>
          <w:rFonts w:cs="Arial"/>
          <w:b/>
          <w:szCs w:val="20"/>
        </w:rPr>
      </w:pPr>
    </w:p>
    <w:p w:rsidR="00D10FFF" w:rsidRPr="00D44CF3" w:rsidRDefault="00D10FFF" w:rsidP="008F1F51">
      <w:pPr>
        <w:rPr>
          <w:rFonts w:cs="Arial"/>
          <w:i/>
          <w:szCs w:val="20"/>
        </w:rPr>
      </w:pPr>
      <w:r w:rsidRPr="00A61C09">
        <w:rPr>
          <w:rFonts w:cs="Arial"/>
          <w:i/>
          <w:szCs w:val="20"/>
        </w:rPr>
        <w:t>Poznámka</w:t>
      </w:r>
      <w:r w:rsidRPr="00D44CF3">
        <w:rPr>
          <w:rFonts w:cs="Arial"/>
          <w:i/>
          <w:szCs w:val="20"/>
        </w:rPr>
        <w:t xml:space="preserve"> k</w:t>
      </w:r>
      <w:r w:rsidR="00715CE1" w:rsidRPr="00D44CF3">
        <w:rPr>
          <w:rFonts w:cs="Arial"/>
          <w:i/>
          <w:szCs w:val="20"/>
        </w:rPr>
        <w:t xml:space="preserve"> </w:t>
      </w:r>
      <w:r w:rsidR="00BF41AD" w:rsidRPr="00D44CF3">
        <w:rPr>
          <w:rFonts w:cs="Arial"/>
          <w:i/>
          <w:szCs w:val="20"/>
        </w:rPr>
        <w:t>agregacím</w:t>
      </w:r>
      <w:r w:rsidRPr="00D44CF3">
        <w:rPr>
          <w:rFonts w:cs="Arial"/>
          <w:i/>
          <w:szCs w:val="20"/>
        </w:rPr>
        <w:t xml:space="preserve"> </w:t>
      </w:r>
    </w:p>
    <w:p w:rsidR="00715CE1" w:rsidRPr="00D44CF3" w:rsidRDefault="00BF41AD" w:rsidP="008F1F51">
      <w:pPr>
        <w:spacing w:after="0" w:line="240" w:lineRule="auto"/>
        <w:rPr>
          <w:rFonts w:eastAsia="Times New Roman" w:cs="Arial"/>
          <w:szCs w:val="20"/>
          <w:lang w:eastAsia="cs-CZ"/>
        </w:rPr>
      </w:pPr>
      <w:r w:rsidRPr="00D44CF3">
        <w:rPr>
          <w:rFonts w:eastAsia="Times New Roman" w:cs="Arial"/>
          <w:szCs w:val="20"/>
          <w:lang w:eastAsia="cs-CZ"/>
        </w:rPr>
        <w:t xml:space="preserve">Údaje za Českou republiku nemusí odpovídat součtu údajů za jednotlivé kraje. Rozdíl představují údaje speciálních stavebních úřadů. </w:t>
      </w:r>
    </w:p>
    <w:p w:rsidR="007B5AA6" w:rsidRPr="00D44CF3" w:rsidRDefault="007B5AA6" w:rsidP="008F1F51">
      <w:pPr>
        <w:spacing w:after="0" w:line="240" w:lineRule="auto"/>
        <w:rPr>
          <w:rFonts w:eastAsia="Times New Roman" w:cs="Arial"/>
          <w:szCs w:val="20"/>
          <w:lang w:eastAsia="cs-CZ"/>
        </w:rPr>
      </w:pPr>
    </w:p>
    <w:p w:rsidR="007B5AA6" w:rsidRPr="00D44CF3" w:rsidRDefault="00A61C09" w:rsidP="008F1F51">
      <w:pPr>
        <w:spacing w:after="0" w:line="240" w:lineRule="auto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N</w:t>
      </w:r>
      <w:r w:rsidR="007B5AA6" w:rsidRPr="00D44CF3">
        <w:rPr>
          <w:rFonts w:eastAsia="Times New Roman" w:cs="Arial"/>
          <w:szCs w:val="20"/>
          <w:lang w:eastAsia="cs-CZ"/>
        </w:rPr>
        <w:t>ejsou publikovány důvěrné údaje.</w:t>
      </w:r>
    </w:p>
    <w:p w:rsidR="00715CE1" w:rsidRPr="00D44CF3" w:rsidRDefault="00715CE1" w:rsidP="008F1F51">
      <w:pPr>
        <w:spacing w:after="0" w:line="240" w:lineRule="auto"/>
        <w:rPr>
          <w:rFonts w:ascii="Segoe UI" w:eastAsia="Times New Roman" w:hAnsi="Segoe UI" w:cs="Segoe UI"/>
          <w:szCs w:val="20"/>
          <w:lang w:eastAsia="cs-CZ"/>
        </w:rPr>
      </w:pPr>
    </w:p>
    <w:p w:rsidR="007B5AA6" w:rsidRPr="00D44CF3" w:rsidRDefault="007B5AA6" w:rsidP="008F1F51">
      <w:pPr>
        <w:spacing w:after="0" w:line="240" w:lineRule="auto"/>
        <w:rPr>
          <w:rFonts w:ascii="Segoe UI" w:eastAsia="Times New Roman" w:hAnsi="Segoe UI" w:cs="Segoe UI"/>
          <w:szCs w:val="20"/>
          <w:lang w:eastAsia="cs-CZ"/>
        </w:rPr>
      </w:pPr>
      <w:r w:rsidRPr="00D44CF3">
        <w:rPr>
          <w:rFonts w:ascii="Segoe UI" w:eastAsia="Times New Roman" w:hAnsi="Segoe UI" w:cs="Segoe UI"/>
          <w:szCs w:val="20"/>
          <w:lang w:eastAsia="cs-CZ"/>
        </w:rPr>
        <w:t>Úhrn počtu stavebních povolení a orientační hodnoty staveb na základě těchto povolení celkem odpovídá součtu za budovy celkem</w:t>
      </w:r>
      <w:r w:rsidR="00640FC6">
        <w:rPr>
          <w:rFonts w:ascii="Segoe UI" w:eastAsia="Times New Roman" w:hAnsi="Segoe UI" w:cs="Segoe UI"/>
          <w:szCs w:val="20"/>
          <w:lang w:eastAsia="cs-CZ"/>
        </w:rPr>
        <w:t xml:space="preserve"> a</w:t>
      </w:r>
      <w:r w:rsidRPr="00D44CF3">
        <w:rPr>
          <w:rFonts w:ascii="Segoe UI" w:eastAsia="Times New Roman" w:hAnsi="Segoe UI" w:cs="Segoe UI"/>
          <w:szCs w:val="20"/>
          <w:lang w:eastAsia="cs-CZ"/>
        </w:rPr>
        <w:t xml:space="preserve"> stavby na </w:t>
      </w:r>
      <w:r w:rsidR="00F447F1" w:rsidRPr="00D44CF3">
        <w:rPr>
          <w:rFonts w:ascii="Segoe UI" w:eastAsia="Times New Roman" w:hAnsi="Segoe UI" w:cs="Segoe UI"/>
          <w:szCs w:val="20"/>
          <w:lang w:eastAsia="cs-CZ"/>
        </w:rPr>
        <w:t>ochr</w:t>
      </w:r>
      <w:r w:rsidR="00F447F1">
        <w:rPr>
          <w:rFonts w:ascii="Segoe UI" w:eastAsia="Times New Roman" w:hAnsi="Segoe UI" w:cs="Segoe UI"/>
          <w:szCs w:val="20"/>
          <w:lang w:eastAsia="cs-CZ"/>
        </w:rPr>
        <w:t>anu</w:t>
      </w:r>
      <w:r w:rsidR="00F447F1" w:rsidRPr="00D44CF3">
        <w:rPr>
          <w:rFonts w:ascii="Segoe UI" w:eastAsia="Times New Roman" w:hAnsi="Segoe UI" w:cs="Segoe UI"/>
          <w:szCs w:val="20"/>
          <w:lang w:eastAsia="cs-CZ"/>
        </w:rPr>
        <w:t xml:space="preserve"> </w:t>
      </w:r>
      <w:r w:rsidRPr="00D44CF3">
        <w:rPr>
          <w:rFonts w:ascii="Segoe UI" w:eastAsia="Times New Roman" w:hAnsi="Segoe UI" w:cs="Segoe UI"/>
          <w:szCs w:val="20"/>
          <w:lang w:eastAsia="cs-CZ"/>
        </w:rPr>
        <w:t>životního prostředí a ostatních staveb</w:t>
      </w:r>
      <w:r w:rsidR="00F447F1">
        <w:rPr>
          <w:rFonts w:ascii="Segoe UI" w:eastAsia="Times New Roman" w:hAnsi="Segoe UI" w:cs="Segoe UI"/>
          <w:szCs w:val="20"/>
          <w:lang w:eastAsia="cs-CZ"/>
        </w:rPr>
        <w:t xml:space="preserve"> nebo </w:t>
      </w:r>
      <w:r w:rsidR="00640FC6">
        <w:rPr>
          <w:rFonts w:ascii="Segoe UI" w:eastAsia="Times New Roman" w:hAnsi="Segoe UI" w:cs="Segoe UI"/>
          <w:szCs w:val="20"/>
          <w:lang w:eastAsia="cs-CZ"/>
        </w:rPr>
        <w:t xml:space="preserve">od roku 2020 </w:t>
      </w:r>
      <w:r w:rsidR="00F447F1">
        <w:rPr>
          <w:rFonts w:ascii="Segoe UI" w:eastAsia="Times New Roman" w:hAnsi="Segoe UI" w:cs="Segoe UI"/>
          <w:szCs w:val="20"/>
          <w:lang w:eastAsia="cs-CZ"/>
        </w:rPr>
        <w:t>součtu za budovy celkem a za inženýrské stavby</w:t>
      </w:r>
      <w:r w:rsidRPr="00D44CF3">
        <w:rPr>
          <w:rFonts w:ascii="Segoe UI" w:eastAsia="Times New Roman" w:hAnsi="Segoe UI" w:cs="Segoe UI"/>
          <w:szCs w:val="20"/>
          <w:lang w:eastAsia="cs-CZ"/>
        </w:rPr>
        <w:t>.</w:t>
      </w:r>
    </w:p>
    <w:p w:rsidR="007B5AA6" w:rsidRPr="00D44CF3" w:rsidRDefault="007B5AA6" w:rsidP="008F1F51">
      <w:pPr>
        <w:spacing w:after="0" w:line="240" w:lineRule="auto"/>
        <w:rPr>
          <w:rFonts w:ascii="Segoe UI" w:eastAsia="Times New Roman" w:hAnsi="Segoe UI" w:cs="Segoe UI"/>
          <w:szCs w:val="20"/>
          <w:lang w:eastAsia="cs-CZ"/>
        </w:rPr>
      </w:pPr>
      <w:r w:rsidRPr="00D44CF3">
        <w:rPr>
          <w:rFonts w:ascii="Segoe UI" w:eastAsia="Times New Roman" w:hAnsi="Segoe UI" w:cs="Segoe UI"/>
          <w:szCs w:val="20"/>
          <w:lang w:eastAsia="cs-CZ"/>
        </w:rPr>
        <w:t>Údaje za budovy celkem odpovídají součtu podle směru jejich výstavby (nová výstavba nebo změna dokončených staveb</w:t>
      </w:r>
      <w:r w:rsidR="00D97D83" w:rsidRPr="00D44CF3">
        <w:rPr>
          <w:rFonts w:ascii="Segoe UI" w:eastAsia="Times New Roman" w:hAnsi="Segoe UI" w:cs="Segoe UI"/>
          <w:szCs w:val="20"/>
          <w:lang w:eastAsia="cs-CZ"/>
        </w:rPr>
        <w:t>)</w:t>
      </w:r>
      <w:r w:rsidRPr="00D44CF3">
        <w:rPr>
          <w:rFonts w:ascii="Segoe UI" w:eastAsia="Times New Roman" w:hAnsi="Segoe UI" w:cs="Segoe UI"/>
          <w:szCs w:val="20"/>
          <w:lang w:eastAsia="cs-CZ"/>
        </w:rPr>
        <w:t>.</w:t>
      </w:r>
    </w:p>
    <w:p w:rsidR="00D97D83" w:rsidRPr="00D44CF3" w:rsidRDefault="00D97D83" w:rsidP="008F1F51">
      <w:pPr>
        <w:spacing w:after="0" w:line="240" w:lineRule="auto"/>
        <w:rPr>
          <w:rFonts w:ascii="Segoe UI" w:eastAsia="Times New Roman" w:hAnsi="Segoe UI" w:cs="Segoe UI"/>
          <w:szCs w:val="20"/>
          <w:lang w:eastAsia="cs-CZ"/>
        </w:rPr>
      </w:pPr>
    </w:p>
    <w:p w:rsidR="00D97D83" w:rsidRPr="00D44CF3" w:rsidRDefault="00D97D83" w:rsidP="008F1F51">
      <w:pPr>
        <w:spacing w:after="0" w:line="240" w:lineRule="auto"/>
        <w:rPr>
          <w:rFonts w:ascii="Segoe UI" w:eastAsia="Times New Roman" w:hAnsi="Segoe UI" w:cs="Segoe UI"/>
          <w:szCs w:val="20"/>
          <w:lang w:eastAsia="cs-CZ"/>
        </w:rPr>
      </w:pPr>
      <w:r w:rsidRPr="00D44CF3">
        <w:rPr>
          <w:rFonts w:ascii="Segoe UI" w:eastAsia="Times New Roman" w:hAnsi="Segoe UI" w:cs="Segoe UI"/>
          <w:szCs w:val="20"/>
          <w:lang w:eastAsia="cs-CZ"/>
        </w:rPr>
        <w:t xml:space="preserve">Pro údaje za budovy jsou zveřejněny i údaje za některé (ne všechny) druhy budovy (bytové, nebytové). </w:t>
      </w:r>
    </w:p>
    <w:p w:rsidR="007B5AA6" w:rsidRPr="00D44CF3" w:rsidRDefault="007B5AA6" w:rsidP="00715CE1">
      <w:pPr>
        <w:spacing w:after="0" w:line="240" w:lineRule="auto"/>
        <w:jc w:val="left"/>
        <w:rPr>
          <w:rFonts w:ascii="Segoe UI" w:eastAsia="Times New Roman" w:hAnsi="Segoe UI" w:cs="Segoe UI"/>
          <w:szCs w:val="20"/>
          <w:lang w:eastAsia="cs-CZ"/>
        </w:rPr>
      </w:pPr>
    </w:p>
    <w:p w:rsidR="00715CE1" w:rsidRPr="007B7944" w:rsidRDefault="00715CE1" w:rsidP="00D10FFF"/>
    <w:p w:rsidR="003770A0" w:rsidRPr="007B7944" w:rsidRDefault="003770A0" w:rsidP="00222387">
      <w:pPr>
        <w:pStyle w:val="Nadpis2"/>
      </w:pPr>
      <w:r w:rsidRPr="007B7944">
        <w:t>Struktura dat:</w:t>
      </w:r>
    </w:p>
    <w:p w:rsidR="00222387" w:rsidRPr="007B7944" w:rsidRDefault="00222387" w:rsidP="00222387">
      <w:r w:rsidRPr="007B7944">
        <w:t>Datovou sadu představuje CSV soubor, jednotlivé položky (tvořící sloupce) jsou zprava i zleva ohraničeny znakem ", oddělovačem položek je čárka.</w:t>
      </w:r>
    </w:p>
    <w:p w:rsidR="003E0ED7" w:rsidRPr="00211238" w:rsidRDefault="003E0ED7" w:rsidP="00222387">
      <w:r w:rsidRPr="007B7944">
        <w:t>Každý statisti</w:t>
      </w:r>
      <w:r w:rsidRPr="00211238">
        <w:t xml:space="preserve">cký údaj tvoří jeden řádek souboru, zjištěná hodnota je ve sloupci </w:t>
      </w:r>
      <w:r w:rsidR="005B027B" w:rsidRPr="00211238">
        <w:rPr>
          <w:i/>
        </w:rPr>
        <w:t>hodnota</w:t>
      </w:r>
      <w:r w:rsidRPr="00211238">
        <w:t>.</w:t>
      </w:r>
    </w:p>
    <w:p w:rsidR="003E0ED7" w:rsidRPr="00211238" w:rsidRDefault="003E0ED7" w:rsidP="00222387">
      <w:r w:rsidRPr="00211238">
        <w:t>Statistický údaj je definován z hlediska věcného (statistická proměnná=ukazatel</w:t>
      </w:r>
      <w:r w:rsidR="00347443" w:rsidRPr="00211238">
        <w:t>)</w:t>
      </w:r>
      <w:r w:rsidRPr="00211238">
        <w:t>, časového (</w:t>
      </w:r>
      <w:r w:rsidR="00347443" w:rsidRPr="00211238">
        <w:t>rozhodný okamžik sčítání</w:t>
      </w:r>
      <w:r w:rsidRPr="00211238">
        <w:t xml:space="preserve"> a územního (území).  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2879"/>
        <w:gridCol w:w="4597"/>
      </w:tblGrid>
      <w:tr w:rsidR="00341F73" w:rsidRPr="00211238" w:rsidTr="000B4CC3">
        <w:trPr>
          <w:cantSplit/>
          <w:trHeight w:val="300"/>
          <w:tblHeader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211238" w:rsidRDefault="00341F73" w:rsidP="00054B5C">
            <w:pPr>
              <w:rPr>
                <w:lang w:eastAsia="cs-CZ"/>
              </w:rPr>
            </w:pPr>
            <w:r w:rsidRPr="00211238">
              <w:rPr>
                <w:lang w:eastAsia="cs-CZ"/>
              </w:rPr>
              <w:t>SLOUPEC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211238" w:rsidRDefault="00341F73" w:rsidP="00054B5C">
            <w:pPr>
              <w:rPr>
                <w:lang w:eastAsia="cs-CZ"/>
              </w:rPr>
            </w:pPr>
            <w:r w:rsidRPr="00211238">
              <w:rPr>
                <w:lang w:eastAsia="cs-CZ"/>
              </w:rPr>
              <w:t>VYZNAM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211238" w:rsidRDefault="00341F73" w:rsidP="00054B5C">
            <w:pPr>
              <w:rPr>
                <w:lang w:eastAsia="cs-CZ"/>
              </w:rPr>
            </w:pPr>
            <w:r w:rsidRPr="00211238">
              <w:rPr>
                <w:lang w:eastAsia="cs-CZ"/>
              </w:rPr>
              <w:t>POZNAMKA</w:t>
            </w:r>
          </w:p>
        </w:tc>
      </w:tr>
      <w:tr w:rsidR="00341F73" w:rsidRPr="00211238" w:rsidTr="000B4CC3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211238" w:rsidRDefault="00341F73" w:rsidP="00054B5C">
            <w:pPr>
              <w:rPr>
                <w:lang w:eastAsia="cs-CZ"/>
              </w:rPr>
            </w:pPr>
            <w:proofErr w:type="spellStart"/>
            <w:r w:rsidRPr="00211238">
              <w:rPr>
                <w:lang w:eastAsia="cs-CZ"/>
              </w:rPr>
              <w:t>idhod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211238" w:rsidRDefault="00341F73" w:rsidP="00054B5C">
            <w:pPr>
              <w:rPr>
                <w:lang w:eastAsia="cs-CZ"/>
              </w:rPr>
            </w:pPr>
            <w:r w:rsidRPr="00211238">
              <w:rPr>
                <w:lang w:eastAsia="cs-CZ"/>
              </w:rPr>
              <w:t>unikátní identifikátor údaje Veřejné databáze ČSÚ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211238" w:rsidRDefault="00341F73" w:rsidP="00054B5C">
            <w:pPr>
              <w:rPr>
                <w:lang w:eastAsia="cs-CZ"/>
              </w:rPr>
            </w:pPr>
            <w:r w:rsidRPr="00211238">
              <w:rPr>
                <w:lang w:eastAsia="cs-CZ"/>
              </w:rPr>
              <w:t xml:space="preserve">využije se v případě dotazu ke konkrétnímu údaji </w:t>
            </w:r>
          </w:p>
        </w:tc>
      </w:tr>
      <w:tr w:rsidR="00341F73" w:rsidRPr="00211238" w:rsidTr="000B4CC3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211238" w:rsidRDefault="00341F73" w:rsidP="00054B5C">
            <w:pPr>
              <w:rPr>
                <w:lang w:eastAsia="cs-CZ"/>
              </w:rPr>
            </w:pPr>
            <w:r w:rsidRPr="00211238">
              <w:rPr>
                <w:lang w:eastAsia="cs-CZ"/>
              </w:rPr>
              <w:t>hodnota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211238" w:rsidRDefault="00341F73" w:rsidP="00054B5C">
            <w:pPr>
              <w:rPr>
                <w:lang w:eastAsia="cs-CZ"/>
              </w:rPr>
            </w:pPr>
            <w:r w:rsidRPr="00211238">
              <w:rPr>
                <w:lang w:eastAsia="cs-CZ"/>
              </w:rPr>
              <w:t xml:space="preserve">zjištěná hodnota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211238" w:rsidRDefault="00341F73" w:rsidP="00054B5C">
            <w:pPr>
              <w:rPr>
                <w:lang w:eastAsia="cs-CZ"/>
              </w:rPr>
            </w:pPr>
            <w:r w:rsidRPr="00211238">
              <w:rPr>
                <w:lang w:eastAsia="cs-CZ"/>
              </w:rPr>
              <w:t>v numerickém formátu</w:t>
            </w:r>
          </w:p>
          <w:p w:rsidR="00341F73" w:rsidRPr="007B7944" w:rsidRDefault="007B7944" w:rsidP="007B7944">
            <w:pPr>
              <w:rPr>
                <w:lang w:eastAsia="cs-CZ"/>
              </w:rPr>
            </w:pPr>
            <w:r>
              <w:rPr>
                <w:lang w:eastAsia="cs-CZ"/>
              </w:rPr>
              <w:t>není uveden, pokud se jedná o důvěrný údaj</w:t>
            </w:r>
          </w:p>
        </w:tc>
      </w:tr>
      <w:tr w:rsidR="00D97D83" w:rsidRPr="00211238" w:rsidTr="000B4CC3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D83" w:rsidRPr="00211238" w:rsidRDefault="00D97D83" w:rsidP="00054B5C">
            <w:pPr>
              <w:rPr>
                <w:lang w:eastAsia="cs-CZ"/>
              </w:rPr>
            </w:pPr>
            <w:proofErr w:type="spellStart"/>
            <w:r w:rsidRPr="00211238">
              <w:rPr>
                <w:lang w:eastAsia="cs-CZ"/>
              </w:rPr>
              <w:t>duvernost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83" w:rsidRPr="00211238" w:rsidRDefault="00D97D83" w:rsidP="007B7944">
            <w:pPr>
              <w:rPr>
                <w:lang w:eastAsia="cs-CZ"/>
              </w:rPr>
            </w:pPr>
            <w:r w:rsidRPr="00211238">
              <w:rPr>
                <w:lang w:eastAsia="cs-CZ"/>
              </w:rPr>
              <w:t>příznak důvěrnosti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83" w:rsidRPr="00D44CF3" w:rsidRDefault="00D97D83" w:rsidP="007B7944">
            <w:pPr>
              <w:rPr>
                <w:lang w:eastAsia="cs-CZ"/>
              </w:rPr>
            </w:pPr>
            <w:r w:rsidRPr="00D44CF3">
              <w:rPr>
                <w:lang w:eastAsia="cs-CZ"/>
              </w:rPr>
              <w:t>uvádí se, zda je údaj veřejný nebo důvěrný</w:t>
            </w:r>
          </w:p>
        </w:tc>
      </w:tr>
      <w:tr w:rsidR="00341F73" w:rsidRPr="00211238" w:rsidTr="000B4CC3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211238" w:rsidRDefault="00341F73" w:rsidP="00054B5C">
            <w:pPr>
              <w:rPr>
                <w:lang w:eastAsia="cs-CZ"/>
              </w:rPr>
            </w:pPr>
            <w:proofErr w:type="spellStart"/>
            <w:r w:rsidRPr="00211238">
              <w:rPr>
                <w:lang w:eastAsia="cs-CZ"/>
              </w:rPr>
              <w:t>stapro_kod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211238" w:rsidRDefault="00341F73" w:rsidP="00D539D1">
            <w:pPr>
              <w:rPr>
                <w:lang w:eastAsia="cs-CZ"/>
              </w:rPr>
            </w:pPr>
            <w:r w:rsidRPr="00211238">
              <w:rPr>
                <w:lang w:eastAsia="cs-CZ"/>
              </w:rPr>
              <w:t xml:space="preserve">kód statistické proměnné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D44CF3" w:rsidRDefault="00D97D83" w:rsidP="00054B5C">
            <w:pPr>
              <w:rPr>
                <w:lang w:eastAsia="cs-CZ"/>
              </w:rPr>
            </w:pPr>
            <w:r w:rsidRPr="00D44CF3">
              <w:rPr>
                <w:lang w:eastAsia="cs-CZ"/>
              </w:rPr>
              <w:t>3030 – počet stavebních povolení,</w:t>
            </w:r>
          </w:p>
          <w:p w:rsidR="00D97D83" w:rsidRPr="00D44CF3" w:rsidRDefault="00D97D83">
            <w:pPr>
              <w:rPr>
                <w:lang w:eastAsia="cs-CZ"/>
              </w:rPr>
            </w:pPr>
            <w:r w:rsidRPr="00D44CF3">
              <w:rPr>
                <w:lang w:eastAsia="cs-CZ"/>
              </w:rPr>
              <w:t>3037 – orientační hodnota stavby</w:t>
            </w:r>
          </w:p>
        </w:tc>
      </w:tr>
      <w:tr w:rsidR="00D97D83" w:rsidRPr="00211238" w:rsidTr="000B4CC3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D83" w:rsidRPr="00D44CF3" w:rsidRDefault="00D97D83" w:rsidP="00D97D83">
            <w:pPr>
              <w:rPr>
                <w:lang w:eastAsia="cs-CZ"/>
              </w:rPr>
            </w:pPr>
            <w:proofErr w:type="spellStart"/>
            <w:r w:rsidRPr="00211238">
              <w:rPr>
                <w:lang w:eastAsia="cs-CZ"/>
              </w:rPr>
              <w:t>mj_cis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83" w:rsidRPr="00D44CF3" w:rsidRDefault="00D97D83" w:rsidP="00D97D83">
            <w:pPr>
              <w:rPr>
                <w:lang w:eastAsia="cs-CZ"/>
              </w:rPr>
            </w:pPr>
            <w:r w:rsidRPr="007B7944">
              <w:rPr>
                <w:lang w:eastAsia="cs-CZ"/>
              </w:rPr>
              <w:t>kód číselníku měřicích jednotek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83" w:rsidRPr="00D44CF3" w:rsidRDefault="00D97D83" w:rsidP="00D97D83">
            <w:pPr>
              <w:spacing w:after="0"/>
              <w:rPr>
                <w:lang w:eastAsia="cs-CZ"/>
              </w:rPr>
            </w:pPr>
            <w:r w:rsidRPr="007B7944">
              <w:rPr>
                <w:lang w:eastAsia="cs-CZ"/>
              </w:rPr>
              <w:t>v celé datové sadě použit číselník 78</w:t>
            </w:r>
          </w:p>
        </w:tc>
      </w:tr>
      <w:tr w:rsidR="00D97D83" w:rsidRPr="00211238" w:rsidTr="000B4CC3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D83" w:rsidRPr="00D44CF3" w:rsidRDefault="00D97D83" w:rsidP="00D97D83">
            <w:pPr>
              <w:rPr>
                <w:lang w:eastAsia="cs-CZ"/>
              </w:rPr>
            </w:pPr>
            <w:proofErr w:type="spellStart"/>
            <w:r w:rsidRPr="00211238">
              <w:rPr>
                <w:lang w:eastAsia="cs-CZ"/>
              </w:rPr>
              <w:t>mj_kod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83" w:rsidRPr="00D44CF3" w:rsidRDefault="00D97D83" w:rsidP="00D97D83">
            <w:pPr>
              <w:rPr>
                <w:lang w:eastAsia="cs-CZ"/>
              </w:rPr>
            </w:pPr>
            <w:r w:rsidRPr="007B7944">
              <w:rPr>
                <w:lang w:eastAsia="cs-CZ"/>
              </w:rPr>
              <w:t>kód položky z  číselníku  měřicích jednotek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83" w:rsidRPr="007B7944" w:rsidRDefault="00D97D83" w:rsidP="00D97D83">
            <w:pPr>
              <w:spacing w:after="0"/>
              <w:rPr>
                <w:lang w:eastAsia="cs-CZ"/>
              </w:rPr>
            </w:pPr>
            <w:r w:rsidRPr="007B7944">
              <w:rPr>
                <w:lang w:eastAsia="cs-CZ"/>
              </w:rPr>
              <w:t>99998 - počet (stavebních povolení),</w:t>
            </w:r>
          </w:p>
          <w:p w:rsidR="00D97D83" w:rsidRPr="00D44CF3" w:rsidRDefault="00D97D83" w:rsidP="007B7944">
            <w:pPr>
              <w:spacing w:after="0"/>
              <w:rPr>
                <w:lang w:eastAsia="cs-CZ"/>
              </w:rPr>
            </w:pPr>
            <w:r w:rsidRPr="007B7944">
              <w:rPr>
                <w:lang w:eastAsia="cs-CZ"/>
              </w:rPr>
              <w:t xml:space="preserve">00206 – miliony Kč (orientační hodnota staveb) </w:t>
            </w:r>
          </w:p>
        </w:tc>
      </w:tr>
      <w:tr w:rsidR="00D97D83" w:rsidRPr="00211238" w:rsidTr="000B4CC3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D83" w:rsidRPr="00D44CF3" w:rsidRDefault="00D97D83" w:rsidP="00D97D83">
            <w:pPr>
              <w:rPr>
                <w:lang w:eastAsia="cs-CZ"/>
              </w:rPr>
            </w:pPr>
            <w:proofErr w:type="spellStart"/>
            <w:r w:rsidRPr="00D44CF3">
              <w:rPr>
                <w:lang w:eastAsia="cs-CZ"/>
              </w:rPr>
              <w:t>typstavby_cis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83" w:rsidRPr="00D44CF3" w:rsidRDefault="00D97D83" w:rsidP="00D97D83">
            <w:pPr>
              <w:rPr>
                <w:lang w:eastAsia="cs-CZ"/>
              </w:rPr>
            </w:pPr>
            <w:r w:rsidRPr="00D44CF3">
              <w:rPr>
                <w:lang w:eastAsia="cs-CZ"/>
              </w:rPr>
              <w:t xml:space="preserve">kód číselníku pro </w:t>
            </w:r>
            <w:r w:rsidR="00CB20A9" w:rsidRPr="00D44CF3">
              <w:rPr>
                <w:lang w:eastAsia="cs-CZ"/>
              </w:rPr>
              <w:t xml:space="preserve">typ </w:t>
            </w:r>
            <w:r w:rsidRPr="00D44CF3">
              <w:rPr>
                <w:lang w:eastAsia="cs-CZ"/>
              </w:rPr>
              <w:t>stavby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83" w:rsidRPr="00D44CF3" w:rsidRDefault="00CB20A9" w:rsidP="007B7944">
            <w:pPr>
              <w:spacing w:after="0"/>
              <w:rPr>
                <w:lang w:eastAsia="cs-CZ"/>
              </w:rPr>
            </w:pPr>
            <w:r w:rsidRPr="00D44CF3">
              <w:rPr>
                <w:lang w:eastAsia="cs-CZ"/>
              </w:rPr>
              <w:t xml:space="preserve">pokud není </w:t>
            </w:r>
            <w:r w:rsidR="00564E23" w:rsidRPr="00D44CF3">
              <w:rPr>
                <w:lang w:eastAsia="cs-CZ"/>
              </w:rPr>
              <w:t>uveden</w:t>
            </w:r>
            <w:r w:rsidRPr="00D44CF3">
              <w:rPr>
                <w:lang w:eastAsia="cs-CZ"/>
              </w:rPr>
              <w:t>, jedná se o úhrn za všechna stavební povolení</w:t>
            </w:r>
            <w:r w:rsidRPr="00D44CF3" w:rsidDel="00CB20A9">
              <w:rPr>
                <w:lang w:eastAsia="cs-CZ"/>
              </w:rPr>
              <w:t xml:space="preserve"> </w:t>
            </w:r>
          </w:p>
        </w:tc>
      </w:tr>
      <w:tr w:rsidR="00D97D83" w:rsidRPr="00211238" w:rsidTr="00D44CF3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D83" w:rsidRPr="00D44CF3" w:rsidRDefault="00D97D83" w:rsidP="00D97D83">
            <w:pPr>
              <w:rPr>
                <w:lang w:eastAsia="cs-CZ"/>
              </w:rPr>
            </w:pPr>
            <w:proofErr w:type="spellStart"/>
            <w:r w:rsidRPr="00D44CF3">
              <w:rPr>
                <w:lang w:eastAsia="cs-CZ"/>
              </w:rPr>
              <w:t>typstavby_kod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83" w:rsidRPr="00D44CF3" w:rsidRDefault="00D97D83" w:rsidP="007B7944">
            <w:pPr>
              <w:rPr>
                <w:lang w:eastAsia="cs-CZ"/>
              </w:rPr>
            </w:pPr>
            <w:r w:rsidRPr="00D44CF3">
              <w:rPr>
                <w:lang w:eastAsia="cs-CZ"/>
              </w:rPr>
              <w:t xml:space="preserve">kód </w:t>
            </w:r>
            <w:r w:rsidR="00CB20A9" w:rsidRPr="00D44CF3">
              <w:rPr>
                <w:lang w:eastAsia="cs-CZ"/>
              </w:rPr>
              <w:t xml:space="preserve">položky číselníku pro </w:t>
            </w:r>
            <w:r w:rsidRPr="00D44CF3">
              <w:rPr>
                <w:lang w:eastAsia="cs-CZ"/>
              </w:rPr>
              <w:t>typ stavby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83" w:rsidRPr="00D44CF3" w:rsidRDefault="00CB20A9" w:rsidP="007B7944">
            <w:pPr>
              <w:spacing w:after="0"/>
              <w:rPr>
                <w:lang w:eastAsia="cs-CZ"/>
              </w:rPr>
            </w:pPr>
            <w:r w:rsidRPr="00D44CF3">
              <w:rPr>
                <w:lang w:eastAsia="cs-CZ"/>
              </w:rPr>
              <w:t xml:space="preserve">pokud není </w:t>
            </w:r>
            <w:r w:rsidR="00564E23" w:rsidRPr="00D44CF3">
              <w:rPr>
                <w:lang w:eastAsia="cs-CZ"/>
              </w:rPr>
              <w:t>uveden</w:t>
            </w:r>
            <w:r w:rsidRPr="00D44CF3">
              <w:rPr>
                <w:lang w:eastAsia="cs-CZ"/>
              </w:rPr>
              <w:t>, jedná se o úhrn za všechna stavební povolení</w:t>
            </w:r>
            <w:r w:rsidRPr="00D44CF3" w:rsidDel="00CB20A9">
              <w:rPr>
                <w:lang w:eastAsia="cs-CZ"/>
              </w:rPr>
              <w:t xml:space="preserve"> </w:t>
            </w:r>
          </w:p>
        </w:tc>
      </w:tr>
      <w:tr w:rsidR="00D97D83" w:rsidRPr="00211238" w:rsidTr="000B4CC3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D83" w:rsidRPr="00D44CF3" w:rsidRDefault="00D97D83" w:rsidP="00D97D83">
            <w:pPr>
              <w:rPr>
                <w:lang w:eastAsia="cs-CZ"/>
              </w:rPr>
            </w:pPr>
            <w:proofErr w:type="spellStart"/>
            <w:r w:rsidRPr="00D44CF3">
              <w:rPr>
                <w:lang w:eastAsia="cs-CZ"/>
              </w:rPr>
              <w:t>smer_cis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83" w:rsidRPr="00D44CF3" w:rsidRDefault="00D97D83" w:rsidP="007B7944">
            <w:pPr>
              <w:rPr>
                <w:lang w:eastAsia="cs-CZ"/>
              </w:rPr>
            </w:pPr>
            <w:r w:rsidRPr="007B7944">
              <w:rPr>
                <w:lang w:eastAsia="cs-CZ"/>
              </w:rPr>
              <w:t xml:space="preserve">kód číselníku </w:t>
            </w:r>
            <w:r w:rsidR="00CB20A9" w:rsidRPr="007B7944">
              <w:rPr>
                <w:lang w:eastAsia="cs-CZ"/>
              </w:rPr>
              <w:t>pro směr výstavby</w:t>
            </w:r>
            <w:r w:rsidRPr="00D44CF3">
              <w:rPr>
                <w:lang w:eastAsia="cs-CZ"/>
              </w:rPr>
              <w:t xml:space="preserve">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83" w:rsidRPr="00D44CF3" w:rsidRDefault="00CB20A9" w:rsidP="00D44CF3">
            <w:pPr>
              <w:spacing w:after="0"/>
              <w:rPr>
                <w:lang w:eastAsia="cs-CZ"/>
              </w:rPr>
            </w:pPr>
            <w:r w:rsidRPr="00D44CF3">
              <w:rPr>
                <w:lang w:eastAsia="cs-CZ"/>
              </w:rPr>
              <w:t>2323 – použit pro novou výstavbu,</w:t>
            </w:r>
          </w:p>
          <w:p w:rsidR="00CB20A9" w:rsidRPr="00D44CF3" w:rsidRDefault="00CB20A9" w:rsidP="00D44CF3">
            <w:pPr>
              <w:spacing w:after="0"/>
              <w:rPr>
                <w:lang w:eastAsia="cs-CZ"/>
              </w:rPr>
            </w:pPr>
            <w:r w:rsidRPr="00D44CF3">
              <w:rPr>
                <w:lang w:eastAsia="cs-CZ"/>
              </w:rPr>
              <w:t>5747 – použit pro změny dokončených staveb,</w:t>
            </w:r>
          </w:p>
          <w:p w:rsidR="00D97D83" w:rsidRPr="00D44CF3" w:rsidRDefault="00CB20A9" w:rsidP="00D44CF3">
            <w:pPr>
              <w:spacing w:after="0"/>
              <w:rPr>
                <w:lang w:eastAsia="cs-CZ"/>
              </w:rPr>
            </w:pPr>
            <w:r w:rsidRPr="00D44CF3">
              <w:rPr>
                <w:lang w:eastAsia="cs-CZ"/>
              </w:rPr>
              <w:t>pokud není uveden, jedná se o úhrn za všechny směry výstavby</w:t>
            </w:r>
          </w:p>
        </w:tc>
      </w:tr>
      <w:tr w:rsidR="00D97D83" w:rsidRPr="00211238" w:rsidTr="000B4CC3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D83" w:rsidRPr="00D44CF3" w:rsidRDefault="00D97D83" w:rsidP="00D97D83">
            <w:pPr>
              <w:rPr>
                <w:lang w:eastAsia="cs-CZ"/>
              </w:rPr>
            </w:pPr>
            <w:proofErr w:type="spellStart"/>
            <w:r w:rsidRPr="00D44CF3">
              <w:rPr>
                <w:lang w:eastAsia="cs-CZ"/>
              </w:rPr>
              <w:t>smer_kod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83" w:rsidRPr="00D44CF3" w:rsidRDefault="00D97D83" w:rsidP="007B7944">
            <w:pPr>
              <w:rPr>
                <w:lang w:eastAsia="cs-CZ"/>
              </w:rPr>
            </w:pPr>
            <w:r w:rsidRPr="00D44CF3">
              <w:rPr>
                <w:lang w:eastAsia="cs-CZ"/>
              </w:rPr>
              <w:t xml:space="preserve">kód položky číselníku </w:t>
            </w:r>
            <w:r w:rsidR="00CB20A9" w:rsidRPr="00D44CF3">
              <w:rPr>
                <w:lang w:eastAsia="cs-CZ"/>
              </w:rPr>
              <w:t>pro směr výstavby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83" w:rsidRPr="00D44CF3" w:rsidRDefault="00D97D83">
            <w:pPr>
              <w:rPr>
                <w:lang w:eastAsia="cs-CZ"/>
              </w:rPr>
            </w:pPr>
            <w:r w:rsidRPr="00D44CF3">
              <w:rPr>
                <w:lang w:eastAsia="cs-CZ"/>
              </w:rPr>
              <w:t xml:space="preserve">pokud není uveden, jedná se o úhrn </w:t>
            </w:r>
            <w:r w:rsidR="00CB20A9" w:rsidRPr="00D44CF3">
              <w:rPr>
                <w:lang w:eastAsia="cs-CZ"/>
              </w:rPr>
              <w:t>za všechny směry výstavby</w:t>
            </w:r>
          </w:p>
        </w:tc>
      </w:tr>
      <w:tr w:rsidR="00A30EC6" w:rsidRPr="00211238" w:rsidTr="006A3A82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C6" w:rsidRPr="00D44CF3" w:rsidRDefault="00A30EC6" w:rsidP="006A3A82">
            <w:pPr>
              <w:rPr>
                <w:lang w:eastAsia="cs-CZ"/>
              </w:rPr>
            </w:pPr>
            <w:proofErr w:type="spellStart"/>
            <w:r w:rsidRPr="00D44CF3">
              <w:rPr>
                <w:lang w:eastAsia="cs-CZ"/>
              </w:rPr>
              <w:t>mesicod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C6" w:rsidRPr="00D44CF3" w:rsidRDefault="00A30EC6" w:rsidP="006A3A82">
            <w:pPr>
              <w:rPr>
                <w:lang w:eastAsia="cs-CZ"/>
              </w:rPr>
            </w:pPr>
            <w:r w:rsidRPr="00D44CF3">
              <w:rPr>
                <w:lang w:eastAsia="cs-CZ"/>
              </w:rPr>
              <w:t xml:space="preserve">měsíc počátku referenčního období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C6" w:rsidRPr="00D44CF3" w:rsidRDefault="00A30EC6" w:rsidP="006A3A82">
            <w:pPr>
              <w:rPr>
                <w:lang w:eastAsia="cs-CZ"/>
              </w:rPr>
            </w:pPr>
            <w:r w:rsidRPr="00D44CF3">
              <w:rPr>
                <w:lang w:eastAsia="cs-CZ"/>
              </w:rPr>
              <w:t>pro kumulaci od počátku roku se používá 1</w:t>
            </w:r>
          </w:p>
        </w:tc>
      </w:tr>
      <w:tr w:rsidR="00A30EC6" w:rsidRPr="00211238" w:rsidTr="006A3A82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C6" w:rsidRPr="00D44CF3" w:rsidRDefault="00A30EC6" w:rsidP="006A3A82">
            <w:pPr>
              <w:rPr>
                <w:lang w:eastAsia="cs-CZ"/>
              </w:rPr>
            </w:pPr>
            <w:proofErr w:type="spellStart"/>
            <w:r w:rsidRPr="00D44CF3">
              <w:rPr>
                <w:lang w:eastAsia="cs-CZ"/>
              </w:rPr>
              <w:t>mesicdo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C6" w:rsidRPr="00D44CF3" w:rsidRDefault="00A30EC6" w:rsidP="006A3A82">
            <w:pPr>
              <w:rPr>
                <w:lang w:eastAsia="cs-CZ"/>
              </w:rPr>
            </w:pPr>
            <w:r w:rsidRPr="00D44CF3">
              <w:rPr>
                <w:lang w:eastAsia="cs-CZ"/>
              </w:rPr>
              <w:t>měsíc konce referenčního období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C6" w:rsidRPr="00D44CF3" w:rsidRDefault="00A30EC6" w:rsidP="006A3A82">
            <w:pPr>
              <w:rPr>
                <w:lang w:eastAsia="cs-CZ"/>
              </w:rPr>
            </w:pPr>
          </w:p>
        </w:tc>
      </w:tr>
      <w:tr w:rsidR="00E203D1" w:rsidRPr="00211238" w:rsidTr="000B4CC3">
        <w:trPr>
          <w:cantSplit/>
          <w:trHeight w:val="5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D1" w:rsidRPr="00211238" w:rsidRDefault="00E203D1" w:rsidP="00E203D1">
            <w:pPr>
              <w:rPr>
                <w:lang w:eastAsia="cs-CZ"/>
              </w:rPr>
            </w:pPr>
            <w:r w:rsidRPr="00211238">
              <w:rPr>
                <w:lang w:eastAsia="cs-CZ"/>
              </w:rPr>
              <w:t>rok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D1" w:rsidRPr="00211238" w:rsidRDefault="00E203D1" w:rsidP="00E203D1">
            <w:pPr>
              <w:rPr>
                <w:lang w:eastAsia="cs-CZ"/>
              </w:rPr>
            </w:pPr>
            <w:r w:rsidRPr="00211238">
              <w:rPr>
                <w:lang w:eastAsia="cs-CZ"/>
              </w:rPr>
              <w:t>rok referenčního období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D1" w:rsidRPr="00211238" w:rsidRDefault="00E203D1" w:rsidP="00E203D1">
            <w:pPr>
              <w:rPr>
                <w:lang w:eastAsia="cs-CZ"/>
              </w:rPr>
            </w:pPr>
            <w:r w:rsidRPr="00211238">
              <w:rPr>
                <w:lang w:eastAsia="cs-CZ"/>
              </w:rPr>
              <w:t>ve formátu RRRR</w:t>
            </w:r>
          </w:p>
        </w:tc>
      </w:tr>
      <w:tr w:rsidR="00E203D1" w:rsidRPr="00211238" w:rsidTr="000B4CC3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D1" w:rsidRPr="00211238" w:rsidRDefault="00E203D1" w:rsidP="00E203D1">
            <w:pPr>
              <w:rPr>
                <w:lang w:eastAsia="cs-CZ"/>
              </w:rPr>
            </w:pPr>
            <w:proofErr w:type="spellStart"/>
            <w:r w:rsidRPr="00211238">
              <w:rPr>
                <w:lang w:eastAsia="cs-CZ"/>
              </w:rPr>
              <w:t>uzemi_cis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D1" w:rsidRPr="00211238" w:rsidRDefault="00E203D1" w:rsidP="00E203D1">
            <w:pPr>
              <w:rPr>
                <w:lang w:eastAsia="cs-CZ"/>
              </w:rPr>
            </w:pPr>
            <w:r w:rsidRPr="00211238">
              <w:rPr>
                <w:lang w:eastAsia="cs-CZ"/>
              </w:rPr>
              <w:t xml:space="preserve">kód číselníku pro referenční území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D1" w:rsidRPr="00D44CF3" w:rsidRDefault="00E203D1" w:rsidP="00E203D1">
            <w:pPr>
              <w:spacing w:after="0"/>
              <w:rPr>
                <w:lang w:eastAsia="cs-CZ"/>
              </w:rPr>
            </w:pPr>
            <w:r w:rsidRPr="00D44CF3">
              <w:rPr>
                <w:lang w:eastAsia="cs-CZ"/>
              </w:rPr>
              <w:t>97 - Česká republika,</w:t>
            </w:r>
          </w:p>
          <w:p w:rsidR="00E203D1" w:rsidRPr="00D44CF3" w:rsidRDefault="00E203D1" w:rsidP="00E203D1">
            <w:pPr>
              <w:spacing w:after="0"/>
              <w:rPr>
                <w:lang w:eastAsia="cs-CZ"/>
              </w:rPr>
            </w:pPr>
            <w:r w:rsidRPr="00D44CF3">
              <w:rPr>
                <w:lang w:eastAsia="cs-CZ"/>
              </w:rPr>
              <w:t>100 - kraje</w:t>
            </w:r>
          </w:p>
        </w:tc>
      </w:tr>
      <w:tr w:rsidR="00E203D1" w:rsidRPr="00211238" w:rsidTr="000B4CC3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D1" w:rsidRPr="00211238" w:rsidRDefault="00E203D1" w:rsidP="00E203D1">
            <w:pPr>
              <w:rPr>
                <w:lang w:eastAsia="cs-CZ"/>
              </w:rPr>
            </w:pPr>
            <w:proofErr w:type="spellStart"/>
            <w:r w:rsidRPr="00211238">
              <w:rPr>
                <w:lang w:eastAsia="cs-CZ"/>
              </w:rPr>
              <w:t>uzemi_kod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D1" w:rsidRPr="00211238" w:rsidRDefault="00E203D1" w:rsidP="00E203D1">
            <w:pPr>
              <w:rPr>
                <w:lang w:eastAsia="cs-CZ"/>
              </w:rPr>
            </w:pPr>
            <w:r w:rsidRPr="00211238">
              <w:rPr>
                <w:lang w:eastAsia="cs-CZ"/>
              </w:rPr>
              <w:t xml:space="preserve">kód položky číselníku pro referenční území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D1" w:rsidRPr="00D44CF3" w:rsidRDefault="00E203D1" w:rsidP="00E203D1">
            <w:pPr>
              <w:spacing w:after="0"/>
              <w:rPr>
                <w:lang w:eastAsia="cs-CZ"/>
              </w:rPr>
            </w:pPr>
          </w:p>
        </w:tc>
      </w:tr>
      <w:tr w:rsidR="00E203D1" w:rsidRPr="00211238" w:rsidTr="000B4CC3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D1" w:rsidRPr="00211238" w:rsidRDefault="00E203D1" w:rsidP="00E203D1">
            <w:pPr>
              <w:rPr>
                <w:lang w:eastAsia="cs-CZ"/>
              </w:rPr>
            </w:pPr>
            <w:proofErr w:type="spellStart"/>
            <w:r w:rsidRPr="00211238">
              <w:rPr>
                <w:lang w:eastAsia="cs-CZ"/>
              </w:rPr>
              <w:t>uzemi_txt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D1" w:rsidRPr="00211238" w:rsidRDefault="00E203D1" w:rsidP="00E203D1">
            <w:pPr>
              <w:rPr>
                <w:lang w:eastAsia="cs-CZ"/>
              </w:rPr>
            </w:pPr>
            <w:r w:rsidRPr="00211238">
              <w:rPr>
                <w:lang w:eastAsia="cs-CZ"/>
              </w:rPr>
              <w:t xml:space="preserve">text položky číselníku pro referenční území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D1" w:rsidRPr="00D44CF3" w:rsidRDefault="00E203D1" w:rsidP="00E203D1">
            <w:pPr>
              <w:spacing w:after="0"/>
              <w:rPr>
                <w:lang w:eastAsia="cs-CZ"/>
              </w:rPr>
            </w:pPr>
            <w:r w:rsidRPr="00D44CF3">
              <w:rPr>
                <w:lang w:eastAsia="cs-CZ"/>
              </w:rPr>
              <w:t>v celé datové sadě použit kód 19 (Česká republika)</w:t>
            </w:r>
          </w:p>
        </w:tc>
      </w:tr>
      <w:tr w:rsidR="00E203D1" w:rsidRPr="00211238" w:rsidTr="000B4CC3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D1" w:rsidRPr="00211238" w:rsidRDefault="00E203D1" w:rsidP="00E203D1">
            <w:pPr>
              <w:rPr>
                <w:lang w:eastAsia="cs-CZ"/>
              </w:rPr>
            </w:pPr>
            <w:proofErr w:type="spellStart"/>
            <w:r w:rsidRPr="00211238">
              <w:rPr>
                <w:lang w:eastAsia="cs-CZ"/>
              </w:rPr>
              <w:t>stapro_txt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D1" w:rsidRPr="00211238" w:rsidRDefault="00E203D1" w:rsidP="00E203D1">
            <w:pPr>
              <w:rPr>
                <w:lang w:eastAsia="cs-CZ"/>
              </w:rPr>
            </w:pPr>
            <w:r w:rsidRPr="00211238">
              <w:rPr>
                <w:lang w:eastAsia="cs-CZ"/>
              </w:rPr>
              <w:t>text statistické proměnné (ukazatele)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D1" w:rsidRPr="00D44CF3" w:rsidRDefault="00E203D1" w:rsidP="00E203D1">
            <w:pPr>
              <w:rPr>
                <w:lang w:eastAsia="cs-CZ"/>
              </w:rPr>
            </w:pPr>
          </w:p>
        </w:tc>
      </w:tr>
      <w:tr w:rsidR="00E203D1" w:rsidRPr="00211238" w:rsidTr="000B4CC3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3D1" w:rsidRPr="00D44CF3" w:rsidRDefault="00E203D1" w:rsidP="00E203D1">
            <w:pPr>
              <w:rPr>
                <w:lang w:eastAsia="cs-CZ"/>
              </w:rPr>
            </w:pPr>
            <w:proofErr w:type="spellStart"/>
            <w:r w:rsidRPr="00211238">
              <w:rPr>
                <w:lang w:eastAsia="cs-CZ"/>
              </w:rPr>
              <w:t>mj_txt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D1" w:rsidRPr="00D44CF3" w:rsidRDefault="00E203D1" w:rsidP="00E203D1">
            <w:pPr>
              <w:rPr>
                <w:lang w:eastAsia="cs-CZ"/>
              </w:rPr>
            </w:pPr>
            <w:r w:rsidRPr="007B7944">
              <w:rPr>
                <w:lang w:eastAsia="cs-CZ"/>
              </w:rPr>
              <w:t>text položky číselníku pro měřicí jednotku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D1" w:rsidRPr="00D44CF3" w:rsidRDefault="00E203D1" w:rsidP="00E203D1">
            <w:pPr>
              <w:rPr>
                <w:lang w:eastAsia="cs-CZ"/>
              </w:rPr>
            </w:pPr>
          </w:p>
        </w:tc>
      </w:tr>
      <w:tr w:rsidR="00E203D1" w:rsidRPr="00211238" w:rsidTr="000B4CC3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3D1" w:rsidRPr="00D44CF3" w:rsidRDefault="00E203D1" w:rsidP="00E203D1">
            <w:pPr>
              <w:rPr>
                <w:lang w:eastAsia="cs-CZ"/>
              </w:rPr>
            </w:pPr>
            <w:proofErr w:type="spellStart"/>
            <w:r w:rsidRPr="00D44CF3">
              <w:rPr>
                <w:lang w:eastAsia="cs-CZ"/>
              </w:rPr>
              <w:t>typstavby_txt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D1" w:rsidRPr="00D44CF3" w:rsidRDefault="00E203D1" w:rsidP="00E203D1">
            <w:pPr>
              <w:rPr>
                <w:lang w:eastAsia="cs-CZ"/>
              </w:rPr>
            </w:pPr>
            <w:r w:rsidRPr="00D44CF3">
              <w:rPr>
                <w:lang w:eastAsia="cs-CZ"/>
              </w:rPr>
              <w:t>text položky z číselníku pro typ stavby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D1" w:rsidRPr="00D44CF3" w:rsidRDefault="00E203D1" w:rsidP="00E203D1">
            <w:pPr>
              <w:rPr>
                <w:lang w:eastAsia="cs-CZ"/>
              </w:rPr>
            </w:pPr>
            <w:r w:rsidRPr="00D44CF3">
              <w:rPr>
                <w:lang w:eastAsia="cs-CZ"/>
              </w:rPr>
              <w:t>pokud není uveden, jedná se o úhrn za všechna stavební povolení</w:t>
            </w:r>
          </w:p>
        </w:tc>
      </w:tr>
      <w:tr w:rsidR="00E203D1" w:rsidRPr="00211238" w:rsidTr="000B4CC3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3D1" w:rsidRPr="007B7944" w:rsidRDefault="00E203D1" w:rsidP="00E203D1">
            <w:pPr>
              <w:rPr>
                <w:lang w:eastAsia="cs-CZ"/>
              </w:rPr>
            </w:pPr>
            <w:proofErr w:type="spellStart"/>
            <w:r w:rsidRPr="00D44CF3">
              <w:rPr>
                <w:lang w:eastAsia="cs-CZ"/>
              </w:rPr>
              <w:t>smer_txt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D1" w:rsidRPr="007B7944" w:rsidRDefault="00E203D1" w:rsidP="00E203D1">
            <w:pPr>
              <w:rPr>
                <w:lang w:eastAsia="cs-CZ"/>
              </w:rPr>
            </w:pPr>
            <w:r w:rsidRPr="007B7944">
              <w:rPr>
                <w:lang w:eastAsia="cs-CZ"/>
              </w:rPr>
              <w:t>text položky číselníku pro směr výstavby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D1" w:rsidRPr="00D44CF3" w:rsidRDefault="00E203D1" w:rsidP="00E203D1">
            <w:pPr>
              <w:rPr>
                <w:lang w:eastAsia="cs-CZ"/>
              </w:rPr>
            </w:pPr>
            <w:r w:rsidRPr="007B7944">
              <w:rPr>
                <w:lang w:eastAsia="cs-CZ"/>
              </w:rPr>
              <w:t>pokud není uveden, jedná se o úhrn za všechny směry výstavby</w:t>
            </w:r>
          </w:p>
        </w:tc>
      </w:tr>
    </w:tbl>
    <w:p w:rsidR="00222387" w:rsidRPr="00211238" w:rsidRDefault="00222387" w:rsidP="00222387"/>
    <w:p w:rsidR="003770A0" w:rsidRPr="00211238" w:rsidRDefault="003770A0" w:rsidP="00222387">
      <w:pPr>
        <w:pStyle w:val="Nadpis2"/>
      </w:pPr>
      <w:r w:rsidRPr="00211238">
        <w:t>Použité číselníky a referenční údaje:</w:t>
      </w:r>
    </w:p>
    <w:p w:rsidR="00717972" w:rsidRPr="00211238" w:rsidRDefault="00717972" w:rsidP="00717972">
      <w:r w:rsidRPr="00211238">
        <w:t xml:space="preserve">Pro identifikaci (definování) každého statistického údaje se využívá Statistický metainformační systém ČSÚ (SMS), a to subsystém SMS-UKAZ (statistické proměnné) a SMS-KLAS (statistické číselníky a klasifikace). </w:t>
      </w:r>
    </w:p>
    <w:p w:rsidR="003770A0" w:rsidRPr="00211238" w:rsidRDefault="00717972" w:rsidP="00222387">
      <w:r w:rsidRPr="00211238">
        <w:t>V datové sadě jsou použity:</w:t>
      </w:r>
    </w:p>
    <w:p w:rsidR="00571178" w:rsidRPr="00D44CF3" w:rsidRDefault="00571178" w:rsidP="00571178">
      <w:r w:rsidRPr="00D44CF3">
        <w:rPr>
          <w:b/>
        </w:rPr>
        <w:t>Seznam statistických proměnných</w:t>
      </w:r>
      <w:r w:rsidRPr="00D44CF3">
        <w:t xml:space="preserve"> - </w:t>
      </w:r>
      <w:hyperlink r:id="rId6" w:history="1">
        <w:r w:rsidRPr="00D44CF3">
          <w:rPr>
            <w:rStyle w:val="Hypertextovodkaz"/>
          </w:rPr>
          <w:t>https://www.czso.cz/csu/czso/statisticke-promenne-ukazatele</w:t>
        </w:r>
      </w:hyperlink>
    </w:p>
    <w:tbl>
      <w:tblPr>
        <w:tblW w:w="87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7702"/>
      </w:tblGrid>
      <w:tr w:rsidR="00070FB5" w:rsidRPr="00211238" w:rsidTr="00D44CF3">
        <w:trPr>
          <w:trHeight w:val="300"/>
        </w:trPr>
        <w:tc>
          <w:tcPr>
            <w:tcW w:w="1030" w:type="dxa"/>
            <w:shd w:val="clear" w:color="auto" w:fill="auto"/>
            <w:noWrap/>
            <w:hideMark/>
          </w:tcPr>
          <w:p w:rsidR="00070FB5" w:rsidRPr="00D44CF3" w:rsidRDefault="00571178" w:rsidP="005711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kod</w:t>
            </w:r>
            <w:proofErr w:type="spellEnd"/>
          </w:p>
        </w:tc>
        <w:tc>
          <w:tcPr>
            <w:tcW w:w="7702" w:type="dxa"/>
            <w:shd w:val="clear" w:color="auto" w:fill="auto"/>
            <w:noWrap/>
            <w:hideMark/>
          </w:tcPr>
          <w:p w:rsidR="00070FB5" w:rsidRPr="00D44CF3" w:rsidRDefault="00070FB5" w:rsidP="009B06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TEXT</w:t>
            </w:r>
          </w:p>
        </w:tc>
      </w:tr>
      <w:tr w:rsidR="00070FB5" w:rsidRPr="00211238" w:rsidTr="00D44CF3">
        <w:trPr>
          <w:trHeight w:val="300"/>
        </w:trPr>
        <w:tc>
          <w:tcPr>
            <w:tcW w:w="1030" w:type="dxa"/>
            <w:shd w:val="clear" w:color="auto" w:fill="auto"/>
            <w:noWrap/>
            <w:hideMark/>
          </w:tcPr>
          <w:p w:rsidR="00070FB5" w:rsidRPr="00D44CF3" w:rsidRDefault="00564E23" w:rsidP="003C6D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3030</w:t>
            </w:r>
          </w:p>
        </w:tc>
        <w:tc>
          <w:tcPr>
            <w:tcW w:w="7702" w:type="dxa"/>
            <w:shd w:val="clear" w:color="auto" w:fill="auto"/>
            <w:noWrap/>
            <w:hideMark/>
          </w:tcPr>
          <w:p w:rsidR="00070FB5" w:rsidRPr="00D44CF3" w:rsidRDefault="00564E23" w:rsidP="00EC4A3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7B7944">
              <w:rPr>
                <w:rFonts w:eastAsia="Times New Roman" w:cs="Arial"/>
                <w:color w:val="000000"/>
                <w:szCs w:val="20"/>
                <w:lang w:eastAsia="cs-CZ"/>
              </w:rPr>
              <w:t>Počet vydaných stavebních ohlášení a povolení</w:t>
            </w:r>
          </w:p>
        </w:tc>
      </w:tr>
      <w:tr w:rsidR="00070FB5" w:rsidRPr="00211238" w:rsidTr="00D44CF3">
        <w:trPr>
          <w:trHeight w:val="300"/>
        </w:trPr>
        <w:tc>
          <w:tcPr>
            <w:tcW w:w="1030" w:type="dxa"/>
            <w:shd w:val="clear" w:color="auto" w:fill="auto"/>
            <w:noWrap/>
            <w:hideMark/>
          </w:tcPr>
          <w:p w:rsidR="00070FB5" w:rsidRPr="00D44CF3" w:rsidRDefault="00564E23" w:rsidP="00EC4A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3037</w:t>
            </w:r>
          </w:p>
        </w:tc>
        <w:tc>
          <w:tcPr>
            <w:tcW w:w="7702" w:type="dxa"/>
            <w:shd w:val="clear" w:color="auto" w:fill="auto"/>
            <w:noWrap/>
            <w:hideMark/>
          </w:tcPr>
          <w:p w:rsidR="00070FB5" w:rsidRPr="00D44CF3" w:rsidRDefault="00564E23" w:rsidP="003C6D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7B7944">
              <w:rPr>
                <w:rFonts w:eastAsia="Times New Roman" w:cs="Arial"/>
                <w:color w:val="000000"/>
                <w:szCs w:val="20"/>
                <w:lang w:eastAsia="cs-CZ"/>
              </w:rPr>
              <w:t>Orientační hodnota stavby se stavebním ohlášením nebo povolením</w:t>
            </w:r>
          </w:p>
        </w:tc>
      </w:tr>
    </w:tbl>
    <w:p w:rsidR="00EC4A30" w:rsidRPr="00D44CF3" w:rsidRDefault="00EC4A30" w:rsidP="00C27DAA">
      <w:pPr>
        <w:rPr>
          <w:b/>
        </w:rPr>
      </w:pPr>
    </w:p>
    <w:p w:rsidR="00717798" w:rsidRPr="00D44CF3" w:rsidRDefault="00717798" w:rsidP="00717798">
      <w:r w:rsidRPr="00D44CF3">
        <w:rPr>
          <w:b/>
        </w:rPr>
        <w:t>Číselník měřicích jednotek</w:t>
      </w:r>
      <w:r w:rsidRPr="00D44CF3">
        <w:t xml:space="preserve"> – kód číselníku ČSÚ 78</w:t>
      </w:r>
    </w:p>
    <w:p w:rsidR="00A744A0" w:rsidRPr="00EC71B6" w:rsidRDefault="00A744A0" w:rsidP="00717798">
      <w:pPr>
        <w:rPr>
          <w:b/>
        </w:rPr>
      </w:pPr>
      <w:r w:rsidRPr="00EC71B6">
        <w:t xml:space="preserve">CSV: </w:t>
      </w:r>
      <w:hyperlink r:id="rId7" w:history="1">
        <w:r w:rsidRPr="00EC71B6">
          <w:rPr>
            <w:rStyle w:val="Hypertextovodkaz"/>
          </w:rPr>
          <w:t>https://apl.czso.cz/iSMS/</w:t>
        </w:r>
        <w:r w:rsidR="00A32721" w:rsidRPr="00EC71B6">
          <w:rPr>
            <w:rStyle w:val="Hypertextovodkaz"/>
          </w:rPr>
          <w:t>do_cis_export</w:t>
        </w:r>
        <w:r w:rsidRPr="00EC71B6">
          <w:rPr>
            <w:rStyle w:val="Hypertextovodkaz"/>
          </w:rPr>
          <w:t>?kodcis=78&amp;typdat=0&amp;cisjaz=203&amp;format=2</w:t>
        </w:r>
      </w:hyperlink>
    </w:p>
    <w:p w:rsidR="00EC71B6" w:rsidRPr="00EC71B6" w:rsidRDefault="00EC71B6" w:rsidP="00EC71B6">
      <w:pPr>
        <w:rPr>
          <w:rStyle w:val="Hypertextovodkaz"/>
          <w:rFonts w:eastAsia="Times New Roman" w:cs="Arial"/>
          <w:szCs w:val="20"/>
          <w:lang w:eastAsia="cs-CZ"/>
        </w:rPr>
      </w:pPr>
      <w:r w:rsidRPr="00EC71B6">
        <w:t xml:space="preserve">XML: </w:t>
      </w:r>
      <w:hyperlink r:id="rId8" w:history="1">
        <w:r w:rsidRPr="00EC71B6">
          <w:rPr>
            <w:rStyle w:val="Hypertextovodkaz"/>
            <w:rFonts w:eastAsia="Times New Roman" w:cs="Arial"/>
            <w:szCs w:val="20"/>
            <w:lang w:eastAsia="cs-CZ"/>
          </w:rPr>
          <w:t>https://apl.czso.cz/iSMS/do_cis_export?kodcis=78&amp;typdat=0&amp;cisjaz=203&amp;format=0</w:t>
        </w:r>
      </w:hyperlink>
    </w:p>
    <w:p w:rsidR="00211238" w:rsidRPr="00D44CF3" w:rsidRDefault="00211238" w:rsidP="00C27DAA">
      <w:pPr>
        <w:rPr>
          <w:b/>
        </w:rPr>
      </w:pPr>
    </w:p>
    <w:p w:rsidR="00564E23" w:rsidRPr="00D44CF3" w:rsidRDefault="00564E23" w:rsidP="00C27DAA">
      <w:pPr>
        <w:rPr>
          <w:b/>
        </w:rPr>
      </w:pPr>
      <w:r w:rsidRPr="00D44CF3">
        <w:rPr>
          <w:b/>
        </w:rPr>
        <w:t>Číselníky pro typ staveb a směr výstavby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907"/>
        <w:gridCol w:w="896"/>
        <w:gridCol w:w="5851"/>
      </w:tblGrid>
      <w:tr w:rsidR="00211238" w:rsidRPr="00211238" w:rsidTr="00942EF2">
        <w:trPr>
          <w:trHeight w:val="240"/>
        </w:trPr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80F05" w:rsidRPr="00D44CF3" w:rsidRDefault="00180F05" w:rsidP="00180F05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dimenze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180F05" w:rsidRPr="00D44CF3" w:rsidRDefault="00211238" w:rsidP="007B794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7B7944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Č</w:t>
            </w:r>
            <w:r w:rsidR="00180F05" w:rsidRPr="00D44CF3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íselník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80F05" w:rsidRPr="00D44CF3" w:rsidRDefault="00A61C09" w:rsidP="00180F05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P</w:t>
            </w:r>
            <w:r w:rsidR="00180F05" w:rsidRPr="00D44CF3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oložka</w:t>
            </w:r>
          </w:p>
        </w:tc>
        <w:tc>
          <w:tcPr>
            <w:tcW w:w="5851" w:type="dxa"/>
            <w:shd w:val="clear" w:color="auto" w:fill="auto"/>
            <w:noWrap/>
            <w:vAlign w:val="bottom"/>
            <w:hideMark/>
          </w:tcPr>
          <w:p w:rsidR="00180F05" w:rsidRPr="00D44CF3" w:rsidRDefault="00211238" w:rsidP="00180F05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7B7944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T</w:t>
            </w:r>
            <w:r w:rsidR="00180F05" w:rsidRPr="00D44CF3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ext</w:t>
            </w:r>
          </w:p>
        </w:tc>
      </w:tr>
      <w:tr w:rsidR="00211238" w:rsidRPr="00211238" w:rsidTr="00942EF2">
        <w:trPr>
          <w:trHeight w:val="240"/>
        </w:trPr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80F05" w:rsidRPr="00D44CF3" w:rsidRDefault="00180F05" w:rsidP="00180F0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typ stavby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180F05" w:rsidRPr="00D44CF3" w:rsidRDefault="00180F05" w:rsidP="00180F0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5631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80F05" w:rsidRPr="00D44CF3" w:rsidRDefault="00180F05" w:rsidP="00942E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5851" w:type="dxa"/>
            <w:shd w:val="clear" w:color="auto" w:fill="auto"/>
            <w:noWrap/>
            <w:vAlign w:val="bottom"/>
            <w:hideMark/>
          </w:tcPr>
          <w:p w:rsidR="00180F05" w:rsidRPr="00D44CF3" w:rsidRDefault="00180F05" w:rsidP="00180F0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Budovy</w:t>
            </w:r>
          </w:p>
        </w:tc>
      </w:tr>
      <w:tr w:rsidR="00F447F1" w:rsidRPr="00211238" w:rsidTr="00942EF2">
        <w:trPr>
          <w:trHeight w:val="240"/>
        </w:trPr>
        <w:tc>
          <w:tcPr>
            <w:tcW w:w="1485" w:type="dxa"/>
            <w:shd w:val="clear" w:color="auto" w:fill="auto"/>
            <w:noWrap/>
            <w:vAlign w:val="bottom"/>
          </w:tcPr>
          <w:p w:rsidR="00F447F1" w:rsidRPr="00D44CF3" w:rsidRDefault="00F447F1" w:rsidP="00F447F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typ stavby</w:t>
            </w:r>
          </w:p>
        </w:tc>
        <w:tc>
          <w:tcPr>
            <w:tcW w:w="907" w:type="dxa"/>
            <w:shd w:val="clear" w:color="auto" w:fill="auto"/>
            <w:noWrap/>
            <w:vAlign w:val="bottom"/>
          </w:tcPr>
          <w:p w:rsidR="00F447F1" w:rsidRPr="00D44CF3" w:rsidRDefault="00F447F1" w:rsidP="00F447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5631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447F1" w:rsidRPr="00D44CF3" w:rsidRDefault="00F447F1" w:rsidP="00942E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5851" w:type="dxa"/>
            <w:shd w:val="clear" w:color="auto" w:fill="auto"/>
            <w:noWrap/>
            <w:vAlign w:val="bottom"/>
          </w:tcPr>
          <w:p w:rsidR="00F447F1" w:rsidRPr="00D44CF3" w:rsidRDefault="00F447F1" w:rsidP="00F447F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Inženýrské stavby</w:t>
            </w:r>
          </w:p>
        </w:tc>
      </w:tr>
      <w:tr w:rsidR="00211238" w:rsidRPr="00211238" w:rsidTr="00942EF2">
        <w:trPr>
          <w:trHeight w:val="240"/>
        </w:trPr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80F05" w:rsidRPr="00D44CF3" w:rsidRDefault="00180F05" w:rsidP="00180F0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typ stavby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180F05" w:rsidRPr="00D44CF3" w:rsidRDefault="00180F05" w:rsidP="00180F0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5632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80F05" w:rsidRPr="00D44CF3" w:rsidRDefault="00180F05" w:rsidP="00942E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11</w:t>
            </w:r>
          </w:p>
        </w:tc>
        <w:tc>
          <w:tcPr>
            <w:tcW w:w="5851" w:type="dxa"/>
            <w:shd w:val="clear" w:color="auto" w:fill="auto"/>
            <w:noWrap/>
            <w:vAlign w:val="bottom"/>
            <w:hideMark/>
          </w:tcPr>
          <w:p w:rsidR="00180F05" w:rsidRPr="00D44CF3" w:rsidRDefault="00180F05" w:rsidP="00180F0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Budovy bytové</w:t>
            </w:r>
          </w:p>
        </w:tc>
      </w:tr>
      <w:tr w:rsidR="00211238" w:rsidRPr="00211238" w:rsidTr="00942EF2">
        <w:trPr>
          <w:trHeight w:val="240"/>
        </w:trPr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80F05" w:rsidRPr="00D44CF3" w:rsidRDefault="00180F05" w:rsidP="00180F0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typ stavby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180F05" w:rsidRPr="00D44CF3" w:rsidRDefault="00180F05" w:rsidP="00180F0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5632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80F05" w:rsidRPr="00D44CF3" w:rsidRDefault="00180F05" w:rsidP="00942E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12</w:t>
            </w:r>
          </w:p>
        </w:tc>
        <w:tc>
          <w:tcPr>
            <w:tcW w:w="5851" w:type="dxa"/>
            <w:shd w:val="clear" w:color="auto" w:fill="auto"/>
            <w:noWrap/>
            <w:vAlign w:val="bottom"/>
            <w:hideMark/>
          </w:tcPr>
          <w:p w:rsidR="00180F05" w:rsidRPr="00D44CF3" w:rsidRDefault="00180F05" w:rsidP="00180F0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Budovy nebytové</w:t>
            </w:r>
          </w:p>
        </w:tc>
      </w:tr>
      <w:tr w:rsidR="00211238" w:rsidRPr="00211238" w:rsidTr="00942EF2">
        <w:trPr>
          <w:trHeight w:val="240"/>
        </w:trPr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80F05" w:rsidRPr="00D44CF3" w:rsidRDefault="00180F05" w:rsidP="00180F0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typ stavby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180F05" w:rsidRPr="00D44CF3" w:rsidRDefault="00180F05" w:rsidP="00180F0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5714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80F05" w:rsidRPr="00D44CF3" w:rsidRDefault="00180F05" w:rsidP="00942E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10</w:t>
            </w:r>
          </w:p>
        </w:tc>
        <w:tc>
          <w:tcPr>
            <w:tcW w:w="5851" w:type="dxa"/>
            <w:shd w:val="clear" w:color="auto" w:fill="auto"/>
            <w:noWrap/>
            <w:vAlign w:val="bottom"/>
            <w:hideMark/>
          </w:tcPr>
          <w:p w:rsidR="00180F05" w:rsidRPr="00D44CF3" w:rsidRDefault="00180F05" w:rsidP="00180F0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Stavba na ochranu životního prostředí</w:t>
            </w:r>
          </w:p>
        </w:tc>
      </w:tr>
      <w:tr w:rsidR="00211238" w:rsidRPr="00211238" w:rsidTr="00942EF2">
        <w:trPr>
          <w:trHeight w:val="240"/>
        </w:trPr>
        <w:tc>
          <w:tcPr>
            <w:tcW w:w="1485" w:type="dxa"/>
            <w:shd w:val="clear" w:color="auto" w:fill="auto"/>
            <w:noWrap/>
            <w:hideMark/>
          </w:tcPr>
          <w:p w:rsidR="00180F05" w:rsidRPr="00D44CF3" w:rsidRDefault="00180F05" w:rsidP="00180F0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typ stavby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180F05" w:rsidRPr="00D44CF3" w:rsidRDefault="00180F05" w:rsidP="00180F0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5714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180F05" w:rsidRPr="00D44CF3" w:rsidRDefault="00180F05" w:rsidP="00942E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20</w:t>
            </w:r>
          </w:p>
        </w:tc>
        <w:tc>
          <w:tcPr>
            <w:tcW w:w="5851" w:type="dxa"/>
            <w:shd w:val="clear" w:color="auto" w:fill="auto"/>
            <w:noWrap/>
            <w:hideMark/>
          </w:tcPr>
          <w:p w:rsidR="00180F05" w:rsidRPr="00D44CF3" w:rsidRDefault="00180F05" w:rsidP="00180F0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Stavby - ostatní (kromě bytových a nebytových budov a staveb na ochranu životního pros</w:t>
            </w:r>
            <w:r w:rsidR="00211238" w:rsidRPr="007B7944">
              <w:rPr>
                <w:rFonts w:eastAsia="Times New Roman" w:cs="Arial"/>
                <w:color w:val="000000"/>
                <w:szCs w:val="20"/>
                <w:lang w:eastAsia="cs-CZ"/>
              </w:rPr>
              <w:t>t</w:t>
            </w: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ředí)</w:t>
            </w:r>
          </w:p>
        </w:tc>
      </w:tr>
      <w:tr w:rsidR="00211238" w:rsidRPr="00211238" w:rsidTr="00942EF2">
        <w:trPr>
          <w:trHeight w:val="240"/>
        </w:trPr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180F05" w:rsidRPr="00D44CF3" w:rsidRDefault="00180F05" w:rsidP="00180F0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směr výstavby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180F05" w:rsidRPr="00D44CF3" w:rsidRDefault="00180F05" w:rsidP="00180F0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2323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80F05" w:rsidRPr="00D44CF3" w:rsidRDefault="00180F05" w:rsidP="00942E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20</w:t>
            </w:r>
          </w:p>
        </w:tc>
        <w:tc>
          <w:tcPr>
            <w:tcW w:w="5851" w:type="dxa"/>
            <w:shd w:val="clear" w:color="auto" w:fill="auto"/>
            <w:noWrap/>
            <w:vAlign w:val="bottom"/>
            <w:hideMark/>
          </w:tcPr>
          <w:p w:rsidR="00180F05" w:rsidRPr="00D44CF3" w:rsidRDefault="00180F05" w:rsidP="00180F0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nová výstavba</w:t>
            </w:r>
          </w:p>
        </w:tc>
      </w:tr>
      <w:tr w:rsidR="00211238" w:rsidRPr="00211238" w:rsidTr="00942EF2">
        <w:trPr>
          <w:trHeight w:val="240"/>
        </w:trPr>
        <w:tc>
          <w:tcPr>
            <w:tcW w:w="1485" w:type="dxa"/>
            <w:shd w:val="clear" w:color="auto" w:fill="auto"/>
            <w:noWrap/>
            <w:hideMark/>
          </w:tcPr>
          <w:p w:rsidR="00180F05" w:rsidRPr="00D44CF3" w:rsidRDefault="00180F05" w:rsidP="00180F0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směr výstavby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180F05" w:rsidRPr="00D44CF3" w:rsidRDefault="00180F05" w:rsidP="00180F0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5747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180F05" w:rsidRPr="00D44CF3" w:rsidRDefault="00180F05" w:rsidP="00942EF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20</w:t>
            </w:r>
          </w:p>
        </w:tc>
        <w:tc>
          <w:tcPr>
            <w:tcW w:w="5851" w:type="dxa"/>
            <w:shd w:val="clear" w:color="auto" w:fill="auto"/>
            <w:noWrap/>
            <w:hideMark/>
          </w:tcPr>
          <w:p w:rsidR="00180F05" w:rsidRPr="00D44CF3" w:rsidRDefault="00180F05" w:rsidP="00180F0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44CF3">
              <w:rPr>
                <w:rFonts w:eastAsia="Times New Roman" w:cs="Arial"/>
                <w:color w:val="000000"/>
                <w:szCs w:val="20"/>
                <w:lang w:eastAsia="cs-CZ"/>
              </w:rPr>
              <w:t>Změny dokončených staveb (nástavby, přístavby a stavební úpravy)</w:t>
            </w:r>
          </w:p>
        </w:tc>
      </w:tr>
    </w:tbl>
    <w:p w:rsidR="00564E23" w:rsidRPr="00D44CF3" w:rsidRDefault="00564E23" w:rsidP="00C27DAA">
      <w:pPr>
        <w:rPr>
          <w:b/>
        </w:rPr>
      </w:pPr>
    </w:p>
    <w:p w:rsidR="00211238" w:rsidRPr="00D44CF3" w:rsidRDefault="00211238" w:rsidP="00C27DAA">
      <w:pPr>
        <w:rPr>
          <w:b/>
        </w:rPr>
      </w:pPr>
    </w:p>
    <w:p w:rsidR="00211238" w:rsidRPr="00D44CF3" w:rsidRDefault="00211238" w:rsidP="00211238">
      <w:r w:rsidRPr="00D44CF3">
        <w:rPr>
          <w:b/>
        </w:rPr>
        <w:t>Číselník Stát</w:t>
      </w:r>
      <w:r w:rsidRPr="00D44CF3">
        <w:t xml:space="preserve"> – kód číselníku ČSÚ 97 </w:t>
      </w:r>
    </w:p>
    <w:p w:rsidR="005D53CA" w:rsidRPr="00EC71B6" w:rsidRDefault="005D53CA" w:rsidP="005D53CA">
      <w:r w:rsidRPr="00EC71B6">
        <w:t xml:space="preserve">CSV: </w:t>
      </w:r>
      <w:hyperlink r:id="rId9" w:history="1">
        <w:r w:rsidRPr="00EC71B6">
          <w:rPr>
            <w:rStyle w:val="Hypertextovodkaz"/>
          </w:rPr>
          <w:t>https://apl.czso.cz/iSMS/</w:t>
        </w:r>
        <w:r w:rsidR="00A32721" w:rsidRPr="00EC71B6">
          <w:rPr>
            <w:rStyle w:val="Hypertextovodkaz"/>
          </w:rPr>
          <w:t>do_cis_export</w:t>
        </w:r>
        <w:r w:rsidRPr="00EC71B6">
          <w:rPr>
            <w:rStyle w:val="Hypertextovodkaz"/>
          </w:rPr>
          <w:t>?kodcis=97&amp;typdat=0&amp;cisjaz=203&amp;format=2</w:t>
        </w:r>
      </w:hyperlink>
      <w:r w:rsidR="00A32721" w:rsidRPr="00EC71B6">
        <w:t xml:space="preserve"> </w:t>
      </w:r>
    </w:p>
    <w:p w:rsidR="00EC71B6" w:rsidRPr="00EC71B6" w:rsidRDefault="00EC71B6" w:rsidP="00EC71B6">
      <w:pPr>
        <w:rPr>
          <w:rStyle w:val="Hypertextovodkaz"/>
          <w:rFonts w:eastAsia="Times New Roman" w:cs="Arial"/>
          <w:szCs w:val="20"/>
          <w:lang w:eastAsia="cs-CZ"/>
        </w:rPr>
      </w:pPr>
      <w:r w:rsidRPr="00EC71B6">
        <w:t xml:space="preserve">XML: </w:t>
      </w:r>
      <w:hyperlink r:id="rId10" w:history="1">
        <w:r w:rsidRPr="00EC71B6">
          <w:rPr>
            <w:rStyle w:val="Hypertextovodkaz"/>
            <w:rFonts w:eastAsia="Times New Roman" w:cs="Arial"/>
            <w:szCs w:val="20"/>
            <w:lang w:eastAsia="cs-CZ"/>
          </w:rPr>
          <w:t>https://apl.czso.cz/iSMS/do_cis_export?kodcis=97&amp;typdat=0&amp;cisjaz=203&amp;format=0</w:t>
        </w:r>
      </w:hyperlink>
      <w:r w:rsidRPr="00EC71B6">
        <w:rPr>
          <w:rStyle w:val="Hypertextovodkaz"/>
          <w:rFonts w:eastAsia="Times New Roman" w:cs="Arial"/>
          <w:szCs w:val="20"/>
          <w:lang w:eastAsia="cs-CZ"/>
        </w:rPr>
        <w:t xml:space="preserve"> </w:t>
      </w:r>
    </w:p>
    <w:p w:rsidR="005D53CA" w:rsidRPr="00D44CF3" w:rsidRDefault="005D53CA" w:rsidP="00211238"/>
    <w:p w:rsidR="00211238" w:rsidRPr="00D44CF3" w:rsidRDefault="00211238" w:rsidP="00211238">
      <w:pPr>
        <w:rPr>
          <w:b/>
        </w:rPr>
      </w:pPr>
    </w:p>
    <w:p w:rsidR="00211238" w:rsidRPr="00D44CF3" w:rsidRDefault="00211238" w:rsidP="00211238">
      <w:r w:rsidRPr="00D44CF3">
        <w:rPr>
          <w:b/>
        </w:rPr>
        <w:t>Číselník Kraj</w:t>
      </w:r>
      <w:r w:rsidRPr="00D44CF3">
        <w:t xml:space="preserve"> – kód číselníku ČSÚ 100 </w:t>
      </w:r>
    </w:p>
    <w:p w:rsidR="005D53CA" w:rsidRPr="00EC71B6" w:rsidRDefault="005D53CA" w:rsidP="005D53CA">
      <w:r w:rsidRPr="00EC71B6">
        <w:t xml:space="preserve">CSV: </w:t>
      </w:r>
      <w:hyperlink r:id="rId11" w:history="1">
        <w:r w:rsidR="00A32721" w:rsidRPr="00EC71B6">
          <w:rPr>
            <w:rStyle w:val="Hypertextovodkaz"/>
          </w:rPr>
          <w:t>https://apl.czso.cz/iSMS/do_cis_export?kodcis=100&amp;typdat=0&amp;cisjaz=203&amp;format=2</w:t>
        </w:r>
      </w:hyperlink>
    </w:p>
    <w:p w:rsidR="00EC71B6" w:rsidRPr="00EC71B6" w:rsidRDefault="00EC71B6" w:rsidP="00EC71B6">
      <w:pPr>
        <w:jc w:val="left"/>
        <w:rPr>
          <w:rStyle w:val="Hypertextovodkaz"/>
          <w:rFonts w:eastAsia="Times New Roman" w:cs="Arial"/>
          <w:szCs w:val="20"/>
          <w:lang w:eastAsia="cs-CZ"/>
        </w:rPr>
      </w:pPr>
      <w:r w:rsidRPr="00EC71B6">
        <w:t xml:space="preserve">XML: </w:t>
      </w:r>
      <w:hyperlink r:id="rId12" w:history="1">
        <w:r w:rsidRPr="00EC71B6">
          <w:rPr>
            <w:rStyle w:val="Hypertextovodkaz"/>
            <w:rFonts w:eastAsia="Times New Roman" w:cs="Arial"/>
            <w:szCs w:val="20"/>
            <w:lang w:eastAsia="cs-CZ"/>
          </w:rPr>
          <w:t>https://apl.czso.cz/iSMS/do_cis_export?kodcis=100&amp;typdat=0&amp;cisjaz=203&amp;format=0</w:t>
        </w:r>
      </w:hyperlink>
    </w:p>
    <w:p w:rsidR="005D53CA" w:rsidRPr="00D44CF3" w:rsidRDefault="005D53CA" w:rsidP="00942EF2">
      <w:pPr>
        <w:jc w:val="left"/>
      </w:pPr>
    </w:p>
    <w:p w:rsidR="00211238" w:rsidRPr="00D44CF3" w:rsidRDefault="00211238" w:rsidP="00C27DAA">
      <w:pPr>
        <w:rPr>
          <w:b/>
        </w:rPr>
      </w:pPr>
    </w:p>
    <w:p w:rsidR="00C27DAA" w:rsidRPr="007B7944" w:rsidRDefault="00C27DAA" w:rsidP="00222387">
      <w:pPr>
        <w:rPr>
          <w:rFonts w:eastAsia="Times New Roman" w:cs="Arial"/>
          <w:b/>
          <w:color w:val="000000"/>
          <w:szCs w:val="20"/>
          <w:lang w:eastAsia="cs-CZ"/>
        </w:rPr>
      </w:pPr>
      <w:r w:rsidRPr="007B7944">
        <w:rPr>
          <w:rFonts w:eastAsia="Times New Roman" w:cs="Arial"/>
          <w:b/>
          <w:color w:val="000000"/>
          <w:szCs w:val="20"/>
          <w:lang w:eastAsia="cs-CZ"/>
        </w:rPr>
        <w:t>Časové vymezení</w:t>
      </w:r>
    </w:p>
    <w:p w:rsidR="00211238" w:rsidRDefault="005C7437" w:rsidP="00DA59DF">
      <w:pPr>
        <w:rPr>
          <w:rFonts w:eastAsia="Times New Roman" w:cs="Arial"/>
          <w:color w:val="000000"/>
          <w:szCs w:val="20"/>
          <w:lang w:eastAsia="cs-CZ"/>
        </w:rPr>
      </w:pPr>
      <w:r w:rsidRPr="007B7944">
        <w:rPr>
          <w:rFonts w:eastAsia="Times New Roman" w:cs="Arial"/>
          <w:color w:val="000000"/>
          <w:szCs w:val="20"/>
          <w:lang w:eastAsia="cs-CZ"/>
        </w:rPr>
        <w:t xml:space="preserve">Datová sada </w:t>
      </w:r>
      <w:r w:rsidR="00A744A0">
        <w:rPr>
          <w:rFonts w:eastAsia="Times New Roman" w:cs="Arial"/>
          <w:color w:val="000000"/>
          <w:szCs w:val="20"/>
          <w:lang w:eastAsia="cs-CZ"/>
        </w:rPr>
        <w:t xml:space="preserve">do roku 2021 </w:t>
      </w:r>
      <w:r w:rsidRPr="007B7944">
        <w:rPr>
          <w:rFonts w:eastAsia="Times New Roman" w:cs="Arial"/>
          <w:color w:val="000000"/>
          <w:szCs w:val="20"/>
          <w:lang w:eastAsia="cs-CZ"/>
        </w:rPr>
        <w:t xml:space="preserve">obsahuje </w:t>
      </w:r>
      <w:r w:rsidR="00717798" w:rsidRPr="007B7944">
        <w:rPr>
          <w:rFonts w:eastAsia="Times New Roman" w:cs="Arial"/>
          <w:color w:val="000000"/>
          <w:szCs w:val="20"/>
          <w:lang w:eastAsia="cs-CZ"/>
        </w:rPr>
        <w:t xml:space="preserve">měsíční </w:t>
      </w:r>
      <w:r w:rsidR="00EC4A30" w:rsidRPr="00211238">
        <w:rPr>
          <w:rFonts w:eastAsia="Times New Roman" w:cs="Arial"/>
          <w:color w:val="000000"/>
          <w:szCs w:val="20"/>
          <w:lang w:eastAsia="cs-CZ"/>
        </w:rPr>
        <w:t>údaje</w:t>
      </w:r>
      <w:r w:rsidR="00211238" w:rsidRPr="00211238">
        <w:rPr>
          <w:rFonts w:eastAsia="Times New Roman" w:cs="Arial"/>
          <w:color w:val="000000"/>
          <w:szCs w:val="20"/>
          <w:lang w:eastAsia="cs-CZ"/>
        </w:rPr>
        <w:t xml:space="preserve"> v kumulaci od počátku roku (tedy ne čisté měsíce)</w:t>
      </w:r>
      <w:r w:rsidR="00C77E64" w:rsidRPr="00211238">
        <w:rPr>
          <w:rFonts w:eastAsia="Times New Roman" w:cs="Arial"/>
          <w:color w:val="000000"/>
          <w:szCs w:val="20"/>
          <w:lang w:eastAsia="cs-CZ"/>
        </w:rPr>
        <w:t xml:space="preserve">, </w:t>
      </w:r>
      <w:r w:rsidR="00211238" w:rsidRPr="00211238">
        <w:rPr>
          <w:rFonts w:eastAsia="Times New Roman" w:cs="Arial"/>
          <w:color w:val="000000"/>
          <w:szCs w:val="20"/>
          <w:lang w:eastAsia="cs-CZ"/>
        </w:rPr>
        <w:t>samostatně jsou uvedeny ve sloupcích měsíce počátku a konce sledovaného období a rok.</w:t>
      </w:r>
      <w:r w:rsidR="00717798" w:rsidRPr="007B7944">
        <w:rPr>
          <w:rFonts w:eastAsia="Times New Roman" w:cs="Arial"/>
          <w:color w:val="000000"/>
          <w:szCs w:val="20"/>
          <w:lang w:eastAsia="cs-CZ"/>
        </w:rPr>
        <w:t xml:space="preserve"> </w:t>
      </w:r>
    </w:p>
    <w:p w:rsidR="00854ECA" w:rsidRDefault="00A744A0" w:rsidP="00DA59DF">
      <w:pPr>
        <w:rPr>
          <w:rFonts w:eastAsia="Times New Roman" w:cs="Arial"/>
          <w:color w:val="000000"/>
          <w:szCs w:val="20"/>
          <w:lang w:eastAsia="cs-CZ"/>
        </w:rPr>
      </w:pPr>
      <w:r w:rsidRPr="007B7944">
        <w:rPr>
          <w:rFonts w:eastAsia="Times New Roman" w:cs="Arial"/>
          <w:color w:val="000000"/>
          <w:szCs w:val="20"/>
          <w:lang w:eastAsia="cs-CZ"/>
        </w:rPr>
        <w:t xml:space="preserve">Datová sada </w:t>
      </w:r>
      <w:r>
        <w:rPr>
          <w:rFonts w:eastAsia="Times New Roman" w:cs="Arial"/>
          <w:color w:val="000000"/>
          <w:szCs w:val="20"/>
          <w:lang w:eastAsia="cs-CZ"/>
        </w:rPr>
        <w:t xml:space="preserve">počínaje rokem 2022 </w:t>
      </w:r>
      <w:r w:rsidRPr="007B7944">
        <w:rPr>
          <w:rFonts w:eastAsia="Times New Roman" w:cs="Arial"/>
          <w:color w:val="000000"/>
          <w:szCs w:val="20"/>
          <w:lang w:eastAsia="cs-CZ"/>
        </w:rPr>
        <w:t xml:space="preserve">obsahuje </w:t>
      </w:r>
      <w:r>
        <w:rPr>
          <w:rFonts w:eastAsia="Times New Roman" w:cs="Arial"/>
          <w:color w:val="000000"/>
          <w:szCs w:val="20"/>
          <w:lang w:eastAsia="cs-CZ"/>
        </w:rPr>
        <w:t>čtvrtletní</w:t>
      </w:r>
      <w:r w:rsidRPr="007B7944">
        <w:rPr>
          <w:rFonts w:eastAsia="Times New Roman" w:cs="Arial"/>
          <w:color w:val="000000"/>
          <w:szCs w:val="20"/>
          <w:lang w:eastAsia="cs-CZ"/>
        </w:rPr>
        <w:t xml:space="preserve"> </w:t>
      </w:r>
      <w:r w:rsidRPr="00211238">
        <w:rPr>
          <w:rFonts w:eastAsia="Times New Roman" w:cs="Arial"/>
          <w:color w:val="000000"/>
          <w:szCs w:val="20"/>
          <w:lang w:eastAsia="cs-CZ"/>
        </w:rPr>
        <w:t>údaje v kumulaci od počátku roku (tedy ne čist</w:t>
      </w:r>
      <w:r>
        <w:rPr>
          <w:rFonts w:eastAsia="Times New Roman" w:cs="Arial"/>
          <w:color w:val="000000"/>
          <w:szCs w:val="20"/>
          <w:lang w:eastAsia="cs-CZ"/>
        </w:rPr>
        <w:t>á</w:t>
      </w:r>
      <w:r w:rsidRPr="00211238">
        <w:rPr>
          <w:rFonts w:eastAsia="Times New Roman" w:cs="Arial"/>
          <w:color w:val="000000"/>
          <w:szCs w:val="20"/>
          <w:lang w:eastAsia="cs-CZ"/>
        </w:rPr>
        <w:t xml:space="preserve"> </w:t>
      </w:r>
      <w:r>
        <w:rPr>
          <w:rFonts w:eastAsia="Times New Roman" w:cs="Arial"/>
          <w:color w:val="000000"/>
          <w:szCs w:val="20"/>
          <w:lang w:eastAsia="cs-CZ"/>
        </w:rPr>
        <w:t>čtvrtletí</w:t>
      </w:r>
      <w:r w:rsidRPr="00211238">
        <w:rPr>
          <w:rFonts w:eastAsia="Times New Roman" w:cs="Arial"/>
          <w:color w:val="000000"/>
          <w:szCs w:val="20"/>
          <w:lang w:eastAsia="cs-CZ"/>
        </w:rPr>
        <w:t>)</w:t>
      </w:r>
      <w:r w:rsidR="00FC2A29">
        <w:rPr>
          <w:rFonts w:eastAsia="Times New Roman" w:cs="Arial"/>
          <w:color w:val="000000"/>
          <w:szCs w:val="20"/>
          <w:lang w:eastAsia="cs-CZ"/>
        </w:rPr>
        <w:t xml:space="preserve">, </w:t>
      </w:r>
      <w:r w:rsidR="00854ECA">
        <w:rPr>
          <w:rFonts w:eastAsia="Times New Roman" w:cs="Arial"/>
          <w:color w:val="000000"/>
          <w:szCs w:val="20"/>
          <w:lang w:eastAsia="cs-CZ"/>
        </w:rPr>
        <w:t xml:space="preserve">které jsou </w:t>
      </w:r>
      <w:r w:rsidR="00B73B4B">
        <w:rPr>
          <w:rFonts w:eastAsia="Times New Roman" w:cs="Arial"/>
          <w:color w:val="000000"/>
          <w:szCs w:val="20"/>
          <w:lang w:eastAsia="cs-CZ"/>
        </w:rPr>
        <w:t>vyjádřeny</w:t>
      </w:r>
      <w:r w:rsidR="00854ECA">
        <w:rPr>
          <w:rFonts w:eastAsia="Times New Roman" w:cs="Arial"/>
          <w:color w:val="000000"/>
          <w:szCs w:val="20"/>
          <w:lang w:eastAsia="cs-CZ"/>
        </w:rPr>
        <w:t xml:space="preserve"> počátečním a koncovým měsícem daného roku.</w:t>
      </w:r>
    </w:p>
    <w:p w:rsidR="008F1F51" w:rsidRDefault="00C77E64" w:rsidP="00DA59DF">
      <w:pPr>
        <w:rPr>
          <w:rFonts w:eastAsia="Times New Roman" w:cs="Arial"/>
          <w:color w:val="000000"/>
          <w:szCs w:val="20"/>
          <w:lang w:eastAsia="cs-CZ"/>
        </w:rPr>
      </w:pPr>
      <w:r w:rsidRPr="007B7944">
        <w:rPr>
          <w:rFonts w:eastAsia="Times New Roman" w:cs="Arial"/>
          <w:color w:val="000000"/>
          <w:szCs w:val="20"/>
          <w:lang w:eastAsia="cs-CZ"/>
        </w:rPr>
        <w:t xml:space="preserve">Časová řada začíná </w:t>
      </w:r>
      <w:r w:rsidRPr="00D44CF3">
        <w:rPr>
          <w:rFonts w:eastAsia="Times New Roman" w:cs="Arial"/>
          <w:color w:val="000000"/>
          <w:szCs w:val="20"/>
          <w:lang w:eastAsia="cs-CZ"/>
        </w:rPr>
        <w:t>lednem</w:t>
      </w:r>
      <w:r w:rsidRPr="007B7944">
        <w:rPr>
          <w:rFonts w:eastAsia="Times New Roman" w:cs="Arial"/>
          <w:color w:val="000000"/>
          <w:szCs w:val="20"/>
          <w:lang w:eastAsia="cs-CZ"/>
        </w:rPr>
        <w:t xml:space="preserve"> </w:t>
      </w:r>
      <w:r w:rsidRPr="00D44CF3">
        <w:rPr>
          <w:rFonts w:eastAsia="Times New Roman" w:cs="Arial"/>
          <w:color w:val="000000"/>
          <w:szCs w:val="20"/>
          <w:lang w:eastAsia="cs-CZ"/>
        </w:rPr>
        <w:t>200</w:t>
      </w:r>
      <w:r w:rsidR="00141DC7" w:rsidRPr="00D44CF3">
        <w:rPr>
          <w:rFonts w:eastAsia="Times New Roman" w:cs="Arial"/>
          <w:color w:val="000000"/>
          <w:szCs w:val="20"/>
          <w:lang w:eastAsia="cs-CZ"/>
        </w:rPr>
        <w:t>5</w:t>
      </w:r>
      <w:r w:rsidR="00A61C09">
        <w:rPr>
          <w:rFonts w:eastAsia="Times New Roman" w:cs="Arial"/>
          <w:color w:val="000000"/>
          <w:szCs w:val="20"/>
          <w:lang w:eastAsia="cs-CZ"/>
        </w:rPr>
        <w:t xml:space="preserve">. </w:t>
      </w:r>
    </w:p>
    <w:p w:rsidR="005D53CA" w:rsidRPr="00C27DAA" w:rsidRDefault="00A61C09" w:rsidP="00DA59DF">
      <w:pPr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>Údaje o stavbách na ochranu životního prostředí a za ostatní stavby</w:t>
      </w:r>
      <w:r w:rsidR="00F447F1">
        <w:rPr>
          <w:rFonts w:eastAsia="Times New Roman" w:cs="Arial"/>
          <w:color w:val="000000"/>
          <w:szCs w:val="20"/>
          <w:lang w:eastAsia="cs-CZ"/>
        </w:rPr>
        <w:t xml:space="preserve"> </w:t>
      </w:r>
      <w:r>
        <w:rPr>
          <w:rFonts w:eastAsia="Times New Roman" w:cs="Arial"/>
          <w:color w:val="000000"/>
          <w:szCs w:val="20"/>
          <w:lang w:eastAsia="cs-CZ"/>
        </w:rPr>
        <w:t>jsou sledovány do konce roku 20</w:t>
      </w:r>
      <w:r w:rsidR="008F1F51">
        <w:rPr>
          <w:rFonts w:eastAsia="Times New Roman" w:cs="Arial"/>
          <w:color w:val="000000"/>
          <w:szCs w:val="20"/>
          <w:lang w:eastAsia="cs-CZ"/>
        </w:rPr>
        <w:t>19</w:t>
      </w:r>
      <w:r w:rsidR="00F447F1">
        <w:rPr>
          <w:rFonts w:eastAsia="Times New Roman" w:cs="Arial"/>
          <w:color w:val="000000"/>
          <w:szCs w:val="20"/>
          <w:lang w:eastAsia="cs-CZ"/>
        </w:rPr>
        <w:t xml:space="preserve">, od ledna 2020 se </w:t>
      </w:r>
      <w:r w:rsidR="008F1F51">
        <w:rPr>
          <w:rFonts w:eastAsia="Times New Roman" w:cs="Arial"/>
          <w:color w:val="000000"/>
          <w:szCs w:val="20"/>
          <w:lang w:eastAsia="cs-CZ"/>
        </w:rPr>
        <w:t>sledují údaje za</w:t>
      </w:r>
      <w:r w:rsidR="00F447F1">
        <w:rPr>
          <w:rFonts w:eastAsia="Times New Roman" w:cs="Arial"/>
          <w:color w:val="000000"/>
          <w:szCs w:val="20"/>
          <w:lang w:eastAsia="cs-CZ"/>
        </w:rPr>
        <w:t xml:space="preserve"> inženýrsk</w:t>
      </w:r>
      <w:r w:rsidR="008F1F51">
        <w:rPr>
          <w:rFonts w:eastAsia="Times New Roman" w:cs="Arial"/>
          <w:color w:val="000000"/>
          <w:szCs w:val="20"/>
          <w:lang w:eastAsia="cs-CZ"/>
        </w:rPr>
        <w:t>é</w:t>
      </w:r>
      <w:r w:rsidR="00F447F1">
        <w:rPr>
          <w:rFonts w:eastAsia="Times New Roman" w:cs="Arial"/>
          <w:color w:val="000000"/>
          <w:szCs w:val="20"/>
          <w:lang w:eastAsia="cs-CZ"/>
        </w:rPr>
        <w:t xml:space="preserve"> stavb</w:t>
      </w:r>
      <w:r w:rsidR="008F1F51">
        <w:rPr>
          <w:rFonts w:eastAsia="Times New Roman" w:cs="Arial"/>
          <w:color w:val="000000"/>
          <w:szCs w:val="20"/>
          <w:lang w:eastAsia="cs-CZ"/>
        </w:rPr>
        <w:t>y</w:t>
      </w:r>
      <w:r w:rsidR="00F447F1">
        <w:rPr>
          <w:rFonts w:eastAsia="Times New Roman" w:cs="Arial"/>
          <w:color w:val="000000"/>
          <w:szCs w:val="20"/>
          <w:lang w:eastAsia="cs-CZ"/>
        </w:rPr>
        <w:t>.</w:t>
      </w:r>
      <w:r w:rsidR="00EC4A30">
        <w:rPr>
          <w:rFonts w:eastAsia="Times New Roman" w:cs="Arial"/>
          <w:color w:val="000000"/>
          <w:szCs w:val="20"/>
          <w:lang w:eastAsia="cs-CZ"/>
        </w:rPr>
        <w:t xml:space="preserve"> </w:t>
      </w:r>
    </w:p>
    <w:sectPr w:rsidR="005D53CA" w:rsidRPr="00C27DAA" w:rsidSect="00854ECA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95D"/>
    <w:multiLevelType w:val="hybridMultilevel"/>
    <w:tmpl w:val="9C0614C2"/>
    <w:lvl w:ilvl="0" w:tplc="23B65252">
      <w:start w:val="1"/>
      <w:numFmt w:val="decimal"/>
      <w:pStyle w:val="Nadpis3"/>
      <w:lvlText w:val="(%1)"/>
      <w:lvlJc w:val="left"/>
      <w:pPr>
        <w:ind w:left="1353" w:hanging="360"/>
      </w:pPr>
      <w:rPr>
        <w:rFonts w:hint="default"/>
        <w:b w:val="0"/>
      </w:rPr>
    </w:lvl>
    <w:lvl w:ilvl="1" w:tplc="9624560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8099D"/>
    <w:multiLevelType w:val="hybridMultilevel"/>
    <w:tmpl w:val="F5FECEDA"/>
    <w:lvl w:ilvl="0" w:tplc="37A06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0"/>
    <w:rsid w:val="00021988"/>
    <w:rsid w:val="00070FB5"/>
    <w:rsid w:val="000A1413"/>
    <w:rsid w:val="000A6AD0"/>
    <w:rsid w:val="000B4CC3"/>
    <w:rsid w:val="000E69C3"/>
    <w:rsid w:val="00116DCD"/>
    <w:rsid w:val="0013212B"/>
    <w:rsid w:val="00141DC7"/>
    <w:rsid w:val="001447CB"/>
    <w:rsid w:val="00161AC3"/>
    <w:rsid w:val="00180F05"/>
    <w:rsid w:val="00192F96"/>
    <w:rsid w:val="001E4168"/>
    <w:rsid w:val="001F0FB5"/>
    <w:rsid w:val="001F437E"/>
    <w:rsid w:val="00211238"/>
    <w:rsid w:val="00217962"/>
    <w:rsid w:val="00222387"/>
    <w:rsid w:val="002336E5"/>
    <w:rsid w:val="00243D92"/>
    <w:rsid w:val="002531AE"/>
    <w:rsid w:val="00287241"/>
    <w:rsid w:val="002C0589"/>
    <w:rsid w:val="002D187E"/>
    <w:rsid w:val="003259D9"/>
    <w:rsid w:val="00341F73"/>
    <w:rsid w:val="003469AC"/>
    <w:rsid w:val="00347443"/>
    <w:rsid w:val="0036737E"/>
    <w:rsid w:val="003721AA"/>
    <w:rsid w:val="003727F5"/>
    <w:rsid w:val="003770A0"/>
    <w:rsid w:val="0039075C"/>
    <w:rsid w:val="003A0180"/>
    <w:rsid w:val="003A349C"/>
    <w:rsid w:val="003B0B01"/>
    <w:rsid w:val="003C6D65"/>
    <w:rsid w:val="003E0ED7"/>
    <w:rsid w:val="003F72D1"/>
    <w:rsid w:val="004123DE"/>
    <w:rsid w:val="0041591F"/>
    <w:rsid w:val="00427BC7"/>
    <w:rsid w:val="0046247E"/>
    <w:rsid w:val="004801F9"/>
    <w:rsid w:val="004C3390"/>
    <w:rsid w:val="004E47F3"/>
    <w:rsid w:val="00526A21"/>
    <w:rsid w:val="00564E23"/>
    <w:rsid w:val="00571178"/>
    <w:rsid w:val="00573AFB"/>
    <w:rsid w:val="0058334C"/>
    <w:rsid w:val="005B027B"/>
    <w:rsid w:val="005C7437"/>
    <w:rsid w:val="005D53CA"/>
    <w:rsid w:val="005F1D35"/>
    <w:rsid w:val="005F668F"/>
    <w:rsid w:val="00603920"/>
    <w:rsid w:val="00606E68"/>
    <w:rsid w:val="006269C0"/>
    <w:rsid w:val="006340C6"/>
    <w:rsid w:val="00640FC6"/>
    <w:rsid w:val="006462A7"/>
    <w:rsid w:val="006505BC"/>
    <w:rsid w:val="00653991"/>
    <w:rsid w:val="00715CE1"/>
    <w:rsid w:val="00717798"/>
    <w:rsid w:val="00717972"/>
    <w:rsid w:val="00757006"/>
    <w:rsid w:val="007B5AA6"/>
    <w:rsid w:val="007B7944"/>
    <w:rsid w:val="007C53DE"/>
    <w:rsid w:val="007E3C0B"/>
    <w:rsid w:val="00804D77"/>
    <w:rsid w:val="008207F9"/>
    <w:rsid w:val="008244BC"/>
    <w:rsid w:val="00854ECA"/>
    <w:rsid w:val="0088215A"/>
    <w:rsid w:val="00885388"/>
    <w:rsid w:val="008954BC"/>
    <w:rsid w:val="008A20ED"/>
    <w:rsid w:val="008A4DB6"/>
    <w:rsid w:val="008C7634"/>
    <w:rsid w:val="008C7F12"/>
    <w:rsid w:val="008E54F2"/>
    <w:rsid w:val="008F1F51"/>
    <w:rsid w:val="008F6FEA"/>
    <w:rsid w:val="00911D3A"/>
    <w:rsid w:val="00942EF2"/>
    <w:rsid w:val="00981B0F"/>
    <w:rsid w:val="009A2C9E"/>
    <w:rsid w:val="009F0AD8"/>
    <w:rsid w:val="00A1606D"/>
    <w:rsid w:val="00A30EC6"/>
    <w:rsid w:val="00A32721"/>
    <w:rsid w:val="00A61C09"/>
    <w:rsid w:val="00A744A0"/>
    <w:rsid w:val="00AD4A4B"/>
    <w:rsid w:val="00AE194B"/>
    <w:rsid w:val="00AE7559"/>
    <w:rsid w:val="00B46285"/>
    <w:rsid w:val="00B65E90"/>
    <w:rsid w:val="00B73B4B"/>
    <w:rsid w:val="00BB766E"/>
    <w:rsid w:val="00BD50F4"/>
    <w:rsid w:val="00BE5F60"/>
    <w:rsid w:val="00BF41AD"/>
    <w:rsid w:val="00C27DAA"/>
    <w:rsid w:val="00C71A7A"/>
    <w:rsid w:val="00C74D82"/>
    <w:rsid w:val="00C77E64"/>
    <w:rsid w:val="00C94754"/>
    <w:rsid w:val="00CB20A9"/>
    <w:rsid w:val="00D10FFF"/>
    <w:rsid w:val="00D127CC"/>
    <w:rsid w:val="00D44CF3"/>
    <w:rsid w:val="00D46F79"/>
    <w:rsid w:val="00D539D1"/>
    <w:rsid w:val="00D97D83"/>
    <w:rsid w:val="00DA59DF"/>
    <w:rsid w:val="00DA719B"/>
    <w:rsid w:val="00DB3CCF"/>
    <w:rsid w:val="00DC021E"/>
    <w:rsid w:val="00E13299"/>
    <w:rsid w:val="00E203D1"/>
    <w:rsid w:val="00EC14FF"/>
    <w:rsid w:val="00EC4A30"/>
    <w:rsid w:val="00EC71B6"/>
    <w:rsid w:val="00EE78D1"/>
    <w:rsid w:val="00F4243C"/>
    <w:rsid w:val="00F447F1"/>
    <w:rsid w:val="00F45F2C"/>
    <w:rsid w:val="00FC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A30C8-9B28-4FF7-A191-3C46B47C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FFFFFF" w:themeColor="background1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387"/>
    <w:pPr>
      <w:spacing w:after="120"/>
      <w:jc w:val="both"/>
    </w:pPr>
    <w:rPr>
      <w:color w:val="auto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7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770A0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27BC7"/>
    <w:pPr>
      <w:numPr>
        <w:numId w:val="1"/>
      </w:numPr>
      <w:contextualSpacing w:val="0"/>
      <w:outlineLvl w:val="2"/>
    </w:pPr>
    <w:rPr>
      <w:rFonts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770A0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7BC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27BC7"/>
    <w:pPr>
      <w:ind w:left="720"/>
      <w:contextualSpacing/>
    </w:pPr>
  </w:style>
  <w:style w:type="paragraph" w:styleId="Nzev">
    <w:name w:val="Title"/>
    <w:basedOn w:val="Normln"/>
    <w:link w:val="NzevChar"/>
    <w:qFormat/>
    <w:rsid w:val="005C7437"/>
    <w:pPr>
      <w:spacing w:after="0" w:line="240" w:lineRule="auto"/>
      <w:jc w:val="center"/>
    </w:pPr>
    <w:rPr>
      <w:rFonts w:eastAsia="Times New Roman" w:cs="Arial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5C7437"/>
    <w:rPr>
      <w:rFonts w:eastAsia="Times New Roman" w:cs="Arial"/>
      <w:b/>
      <w:bCs/>
      <w:color w:val="auto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427B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797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0FB5"/>
    <w:rPr>
      <w:color w:val="800080" w:themeColor="followedHyperlink"/>
      <w:u w:val="single"/>
    </w:rPr>
  </w:style>
  <w:style w:type="character" w:customStyle="1" w:styleId="spelle">
    <w:name w:val="spelle"/>
    <w:basedOn w:val="Standardnpsmoodstavce"/>
    <w:rsid w:val="00E13299"/>
  </w:style>
  <w:style w:type="paragraph" w:styleId="Bezmezer">
    <w:name w:val="No Spacing"/>
    <w:basedOn w:val="Normln"/>
    <w:uiPriority w:val="1"/>
    <w:qFormat/>
    <w:rsid w:val="00E13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eouttxt">
    <w:name w:val="iceouttxt"/>
    <w:basedOn w:val="Standardnpsmoodstavce"/>
    <w:rsid w:val="0039075C"/>
  </w:style>
  <w:style w:type="paragraph" w:styleId="Zkladntext">
    <w:name w:val="Body Text"/>
    <w:basedOn w:val="Normln"/>
    <w:link w:val="ZkladntextChar"/>
    <w:uiPriority w:val="99"/>
    <w:semiHidden/>
    <w:unhideWhenUsed/>
    <w:rsid w:val="00715C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5CE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87E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iSMS/do_cis_export?kodcis=78&amp;typdat=0&amp;cisjaz=203&amp;format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l.czso.cz/iSMS/do_cis_export?kodcis=78&amp;typdat=0&amp;cisjaz=203&amp;format=2&amp;separator=%2C" TargetMode="External"/><Relationship Id="rId12" Type="http://schemas.openxmlformats.org/officeDocument/2006/relationships/hyperlink" Target="https://apl.czso.cz/iSMS/do_cis_export?kodcis=100&amp;typdat=0&amp;cisjaz=203&amp;format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zso.cz/csu/czso/statisticke-promenne-ukazatele" TargetMode="External"/><Relationship Id="rId11" Type="http://schemas.openxmlformats.org/officeDocument/2006/relationships/hyperlink" Target="https://apl.czso.cz/iSMS/do_cis_export?kodcis=100&amp;typdat=0&amp;cisjaz=203&amp;format=2" TargetMode="External"/><Relationship Id="rId5" Type="http://schemas.openxmlformats.org/officeDocument/2006/relationships/hyperlink" Target="javascript:openJsWindow('detailcis',%20'kodcis=5714&amp;hodnota=20&amp;tep=TYPSTAVBY')" TargetMode="External"/><Relationship Id="rId10" Type="http://schemas.openxmlformats.org/officeDocument/2006/relationships/hyperlink" Target="https://apl.czso.cz/iSMS/do_cis_export?kodcis=97&amp;typdat=0&amp;cisjaz=203&amp;forma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l.czso.cz/iSMS/do_cis_export?kodcis=97&amp;typdat=0&amp;cisjaz=203&amp;format=2&amp;separator=%2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1333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Durník</dc:creator>
  <cp:lastModifiedBy>Šimek Jan</cp:lastModifiedBy>
  <cp:revision>8</cp:revision>
  <dcterms:created xsi:type="dcterms:W3CDTF">2023-03-09T11:08:00Z</dcterms:created>
  <dcterms:modified xsi:type="dcterms:W3CDTF">2023-03-09T13:22:00Z</dcterms:modified>
</cp:coreProperties>
</file>