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7F09E5" w:rsidRDefault="00515498" w:rsidP="00F33F97">
      <w:pPr>
        <w:pStyle w:val="Nadpis1"/>
        <w:numPr>
          <w:ilvl w:val="0"/>
          <w:numId w:val="17"/>
        </w:numPr>
      </w:pPr>
      <w:bookmarkStart w:id="0" w:name="_Toc465253883"/>
      <w:r w:rsidRPr="007F09E5">
        <w:t>SPECIFIKA KULTURNÍCH PRŮMYSLŮ</w:t>
      </w:r>
      <w:bookmarkEnd w:id="0"/>
    </w:p>
    <w:p w:rsidR="00D82C76" w:rsidRPr="007F09E5" w:rsidRDefault="00215600" w:rsidP="006511DD">
      <w:r w:rsidRPr="007F09E5">
        <w:t>Tato publikace přináší zejména statistickou analýzu kulturn</w:t>
      </w:r>
      <w:r w:rsidR="005F4FDA" w:rsidRPr="007F09E5">
        <w:t xml:space="preserve">ích průmyslů. </w:t>
      </w:r>
      <w:r w:rsidRPr="007F09E5">
        <w:t>Obsáhlejší studii</w:t>
      </w:r>
      <w:r w:rsidR="004D28F3" w:rsidRPr="007F09E5">
        <w:t>,</w:t>
      </w:r>
      <w:r w:rsidRPr="007F09E5">
        <w:t xml:space="preserve"> nabízející vedle podrobného teoretického vymezení kulturních průmyslů také silné a slabé stránky jednotlivých oblastí a</w:t>
      </w:r>
      <w:r w:rsidR="00F95D6D" w:rsidRPr="007F09E5">
        <w:t> </w:t>
      </w:r>
      <w:r w:rsidRPr="007F09E5">
        <w:t>návrhy</w:t>
      </w:r>
      <w:r w:rsidR="004D28F3" w:rsidRPr="007F09E5">
        <w:t xml:space="preserve"> na zlepšení stávající situace, vydal v roce 2015 Institut umění – Divadelní ústav. </w:t>
      </w:r>
      <w:r w:rsidR="005F4FDA" w:rsidRPr="007F09E5">
        <w:t>P</w:t>
      </w:r>
      <w:r w:rsidR="004D28F3" w:rsidRPr="007F09E5">
        <w:t>ublikace</w:t>
      </w:r>
      <w:r w:rsidR="005F4FDA" w:rsidRPr="007F09E5">
        <w:t xml:space="preserve"> </w:t>
      </w:r>
      <w:r w:rsidR="006D2601" w:rsidRPr="007F09E5">
        <w:t>nese název</w:t>
      </w:r>
      <w:r w:rsidR="005F4FDA" w:rsidRPr="007F09E5">
        <w:t xml:space="preserve"> </w:t>
      </w:r>
      <w:hyperlink r:id="rId8" w:history="1">
        <w:r w:rsidR="004D28F3" w:rsidRPr="007F09E5">
          <w:rPr>
            <w:rStyle w:val="Hypertextovodkaz"/>
          </w:rPr>
          <w:t>Mapování kulturních a kreativních průmyslů</w:t>
        </w:r>
      </w:hyperlink>
      <w:r w:rsidR="004D28F3" w:rsidRPr="007F09E5">
        <w:t xml:space="preserve"> </w:t>
      </w:r>
      <w:r w:rsidR="005F4FDA" w:rsidRPr="007F09E5">
        <w:t xml:space="preserve">a </w:t>
      </w:r>
      <w:r w:rsidR="004D28F3" w:rsidRPr="007F09E5">
        <w:t>je volně ke stažení.</w:t>
      </w:r>
      <w:r w:rsidR="00DD2C24" w:rsidRPr="007F09E5">
        <w:t xml:space="preserve"> Teoretickým aspektům kulturních průmyslů se věnuje také celá řada zahraničních studií a publikací.</w:t>
      </w:r>
      <w:r w:rsidR="004D28F3" w:rsidRPr="007F09E5">
        <w:t xml:space="preserve"> </w:t>
      </w:r>
      <w:r w:rsidR="00DD2C24" w:rsidRPr="007F09E5">
        <w:t xml:space="preserve">Přehledný materiál o zákonitostech kulturních průmyslů nabízí např. </w:t>
      </w:r>
      <w:proofErr w:type="spellStart"/>
      <w:r w:rsidR="00DD2C24" w:rsidRPr="007F09E5">
        <w:t>Ruth</w:t>
      </w:r>
      <w:proofErr w:type="spellEnd"/>
      <w:r w:rsidR="00DD2C24" w:rsidRPr="007F09E5">
        <w:t xml:space="preserve"> </w:t>
      </w:r>
      <w:proofErr w:type="spellStart"/>
      <w:r w:rsidR="00DD2C24" w:rsidRPr="007F09E5">
        <w:t>Towse</w:t>
      </w:r>
      <w:proofErr w:type="spellEnd"/>
      <w:r w:rsidR="00DD2C24" w:rsidRPr="007F09E5">
        <w:t xml:space="preserve"> v publikaci </w:t>
      </w:r>
      <w:r w:rsidR="00DD2C24" w:rsidRPr="007F09E5">
        <w:rPr>
          <w:i/>
        </w:rPr>
        <w:t xml:space="preserve">A </w:t>
      </w:r>
      <w:proofErr w:type="spellStart"/>
      <w:r w:rsidR="00DD2C24" w:rsidRPr="007F09E5">
        <w:rPr>
          <w:i/>
        </w:rPr>
        <w:t>Textbook</w:t>
      </w:r>
      <w:proofErr w:type="spellEnd"/>
      <w:r w:rsidR="00DD2C24" w:rsidRPr="007F09E5">
        <w:rPr>
          <w:i/>
        </w:rPr>
        <w:t xml:space="preserve"> </w:t>
      </w:r>
      <w:proofErr w:type="spellStart"/>
      <w:r w:rsidR="00DD2C24" w:rsidRPr="007F09E5">
        <w:rPr>
          <w:i/>
        </w:rPr>
        <w:t>of</w:t>
      </w:r>
      <w:proofErr w:type="spellEnd"/>
      <w:r w:rsidR="00DD2C24" w:rsidRPr="007F09E5">
        <w:rPr>
          <w:i/>
        </w:rPr>
        <w:t xml:space="preserve"> </w:t>
      </w:r>
      <w:proofErr w:type="spellStart"/>
      <w:r w:rsidR="00DD2C24" w:rsidRPr="007F09E5">
        <w:rPr>
          <w:i/>
        </w:rPr>
        <w:t>Cultural</w:t>
      </w:r>
      <w:proofErr w:type="spellEnd"/>
      <w:r w:rsidR="00DD2C24" w:rsidRPr="007F09E5">
        <w:rPr>
          <w:i/>
        </w:rPr>
        <w:t xml:space="preserve"> </w:t>
      </w:r>
      <w:proofErr w:type="spellStart"/>
      <w:r w:rsidR="00DD2C24" w:rsidRPr="007F09E5">
        <w:rPr>
          <w:i/>
        </w:rPr>
        <w:t>Economics</w:t>
      </w:r>
      <w:proofErr w:type="spellEnd"/>
      <w:r w:rsidR="005F4FDA" w:rsidRPr="007F09E5">
        <w:t xml:space="preserve"> vydané</w:t>
      </w:r>
      <w:r w:rsidR="00DD2C24" w:rsidRPr="007F09E5">
        <w:t xml:space="preserve"> v roce 2010. </w:t>
      </w:r>
    </w:p>
    <w:p w:rsidR="006511DD" w:rsidRDefault="00D82C76" w:rsidP="006511DD">
      <w:r w:rsidRPr="007F09E5">
        <w:tab/>
      </w:r>
      <w:r w:rsidR="005F4FDA" w:rsidRPr="007F09E5">
        <w:t>Důležitým tématem</w:t>
      </w:r>
      <w:r w:rsidRPr="007F09E5">
        <w:t xml:space="preserve"> spojeným s oblastí kulturních průmyslů je </w:t>
      </w:r>
      <w:r w:rsidR="005F4FDA" w:rsidRPr="007F09E5">
        <w:t>problematika</w:t>
      </w:r>
      <w:r w:rsidRPr="007F09E5">
        <w:t xml:space="preserve"> autorského práva a jeho správné aplikace. </w:t>
      </w:r>
      <w:r w:rsidR="006511DD" w:rsidRPr="007F09E5">
        <w:t xml:space="preserve">Teorie ekonomiky kultury vnímá specifický vztah mezi umělci (tvůrci) a komerčními subjekty, kteří umělecké dílo distribuují na trh. I přesto, že tyto komerční subjekty nevytvářejí žádný kreativní obsah, jsou v mnoha případech </w:t>
      </w:r>
      <w:r w:rsidR="005F4FDA" w:rsidRPr="007F09E5">
        <w:t xml:space="preserve">právě </w:t>
      </w:r>
      <w:r w:rsidR="006511DD" w:rsidRPr="007F09E5">
        <w:t>nositeli autorských práv na umělecká díla a bez jejich přispění nejsou samotní umělci často schopni na trhu obstát (</w:t>
      </w:r>
      <w:proofErr w:type="spellStart"/>
      <w:r w:rsidR="006511DD" w:rsidRPr="007F09E5">
        <w:t>Towse</w:t>
      </w:r>
      <w:proofErr w:type="spellEnd"/>
      <w:r w:rsidR="006511DD" w:rsidRPr="007F09E5">
        <w:t>, 2010). Pro kulturní zboží je také charakteristický velmi nejistý úspěch na trhu. Ten záleží na názoru kritiky, aktuálním naladění publika a dalších faktorech</w:t>
      </w:r>
      <w:r w:rsidR="00844AEF" w:rsidRPr="007F09E5">
        <w:t>,</w:t>
      </w:r>
      <w:r w:rsidR="006511DD" w:rsidRPr="007F09E5">
        <w:t xml:space="preserve"> a proto se dá předpovědět obtížněji než u více homogenních produktů a komodit (</w:t>
      </w:r>
      <w:proofErr w:type="spellStart"/>
      <w:r w:rsidR="006511DD" w:rsidRPr="007F09E5">
        <w:t>Caves</w:t>
      </w:r>
      <w:proofErr w:type="spellEnd"/>
      <w:r w:rsidR="006511DD" w:rsidRPr="007F09E5">
        <w:t>, 2000). Každá oblast má však vedle těchto obecných rysů vlastní specifickou charakteristiku, která bude nastíněna v úvodu každé kapitoly.</w:t>
      </w:r>
    </w:p>
    <w:p w:rsidR="002F7B33" w:rsidRPr="007F09E5" w:rsidRDefault="008916E8" w:rsidP="006511DD">
      <w:r>
        <w:tab/>
      </w:r>
      <w:r w:rsidR="00937FBA">
        <w:t xml:space="preserve">V této kapitole je popsána obecná charakteristika kulturních průmyslů, která je pak v dalších kapitolách doplněna o údaje konkrétních </w:t>
      </w:r>
      <w:r w:rsidR="00713EB7">
        <w:t>oblastí</w:t>
      </w:r>
      <w:r w:rsidR="00937FBA">
        <w:t>.</w:t>
      </w:r>
      <w:r>
        <w:t xml:space="preserve"> Ekonomické aspekty kulturních průmyslů budou v této kapitole </w:t>
      </w:r>
      <w:r w:rsidR="00937FBA">
        <w:t xml:space="preserve">hodnoceny </w:t>
      </w:r>
      <w:r w:rsidR="001154CF">
        <w:t xml:space="preserve">zejména ve srovnání s dalšími dvěma </w:t>
      </w:r>
      <w:proofErr w:type="spellStart"/>
      <w:r w:rsidR="001154CF">
        <w:t>kulturnímy</w:t>
      </w:r>
      <w:proofErr w:type="spellEnd"/>
      <w:r w:rsidR="001154CF">
        <w:t xml:space="preserve"> sektory – kreativními průmysly</w:t>
      </w:r>
      <w:r w:rsidR="00607FD7">
        <w:t xml:space="preserve"> a </w:t>
      </w:r>
      <w:r w:rsidR="001154CF">
        <w:t>sektorem tradičních kulturních odvětví. Spotřebitelské chování pak bude analyzov</w:t>
      </w:r>
      <w:r w:rsidR="00713EB7">
        <w:t>áno s ohledem na</w:t>
      </w:r>
      <w:r w:rsidR="001154CF">
        <w:t xml:space="preserve"> měníc</w:t>
      </w:r>
      <w:r w:rsidR="00713EB7">
        <w:t>í</w:t>
      </w:r>
      <w:r w:rsidR="001154CF">
        <w:t xml:space="preserve"> se</w:t>
      </w:r>
      <w:r w:rsidR="00713EB7">
        <w:t xml:space="preserve"> vnímání kulturních médií v souvislosti s digitalizací kulturního obsahu.</w:t>
      </w:r>
      <w:r w:rsidR="001154CF">
        <w:t xml:space="preserve"> </w:t>
      </w:r>
    </w:p>
    <w:p w:rsidR="006A0EA1" w:rsidRPr="007F09E5" w:rsidRDefault="006A0EA1" w:rsidP="006A0EA1">
      <w:pPr>
        <w:pStyle w:val="Nadpis2"/>
        <w:numPr>
          <w:ilvl w:val="1"/>
          <w:numId w:val="17"/>
        </w:numPr>
        <w:rPr>
          <w:sz w:val="32"/>
          <w:szCs w:val="28"/>
        </w:rPr>
      </w:pPr>
      <w:bookmarkStart w:id="1" w:name="_Toc463969174"/>
      <w:bookmarkStart w:id="2" w:name="_Toc465253884"/>
      <w:r w:rsidRPr="007F09E5">
        <w:rPr>
          <w:sz w:val="32"/>
          <w:szCs w:val="28"/>
        </w:rPr>
        <w:t>EKONOMICKÉ ASPEKTY KULTURNÍCH PRŮMYSLŮ</w:t>
      </w:r>
      <w:bookmarkEnd w:id="1"/>
      <w:bookmarkEnd w:id="2"/>
    </w:p>
    <w:p w:rsidR="00910452" w:rsidRPr="007F09E5" w:rsidRDefault="006A0EA1" w:rsidP="005E3C8A">
      <w:r w:rsidRPr="007F09E5">
        <w:t>Ekonomické aspekty</w:t>
      </w:r>
      <w:r w:rsidR="005E3C8A" w:rsidRPr="007F09E5">
        <w:t xml:space="preserve"> kulturních průmyslů je potřeba vnímat v kontextu celého kulturního odvětví. </w:t>
      </w:r>
      <w:r w:rsidR="00BB64DB" w:rsidRPr="007F09E5">
        <w:t>Oblasti</w:t>
      </w:r>
      <w:r w:rsidR="00F95D6D" w:rsidRPr="007F09E5">
        <w:t> </w:t>
      </w:r>
      <w:r w:rsidR="00BB64DB" w:rsidRPr="007F09E5">
        <w:t xml:space="preserve">spadající do </w:t>
      </w:r>
      <w:r w:rsidR="005E3C8A" w:rsidRPr="007F09E5">
        <w:t xml:space="preserve">kulturních </w:t>
      </w:r>
      <w:r w:rsidR="005E2679" w:rsidRPr="007F09E5">
        <w:t xml:space="preserve">a kreativních průmyslů </w:t>
      </w:r>
      <w:r w:rsidR="00BB64DB" w:rsidRPr="007F09E5">
        <w:t xml:space="preserve">jsou charakteristické vysokým podílem samofinancování podniků. Naproti tomu oblasti spadající do </w:t>
      </w:r>
      <w:r w:rsidR="00B414F8" w:rsidRPr="007F09E5">
        <w:t xml:space="preserve">tradičního odvětví (kulturního sektoru) </w:t>
      </w:r>
      <w:r w:rsidR="00BB64DB" w:rsidRPr="007F09E5">
        <w:t>produkují statky, které bez podpory z veřejných zdrojů často nejsou schopny obstát na trhu, mají nicméně pro společnost také jinou než finanční hodnotu.</w:t>
      </w:r>
      <w:r w:rsidR="00C8471A" w:rsidRPr="007F09E5">
        <w:t xml:space="preserve"> </w:t>
      </w:r>
      <w:r w:rsidR="00F33376" w:rsidRPr="007F09E5">
        <w:t>V</w:t>
      </w:r>
      <w:r w:rsidR="00676E68" w:rsidRPr="007F09E5">
        <w:t xml:space="preserve"> oblasti</w:t>
      </w:r>
      <w:r w:rsidR="003B39C4" w:rsidRPr="007F09E5">
        <w:t xml:space="preserve"> kulturních </w:t>
      </w:r>
      <w:r w:rsidR="00676E68" w:rsidRPr="007F09E5">
        <w:t xml:space="preserve">průmyslů zůstává </w:t>
      </w:r>
      <w:r w:rsidR="00F33376" w:rsidRPr="007F09E5">
        <w:t xml:space="preserve">finanční rozdělení zdrojů </w:t>
      </w:r>
      <w:r w:rsidR="002F7B33" w:rsidRPr="007F09E5">
        <w:t>dlouhodobě</w:t>
      </w:r>
      <w:r w:rsidR="00F65272" w:rsidRPr="007F09E5">
        <w:t xml:space="preserve"> </w:t>
      </w:r>
      <w:r w:rsidR="003B39C4" w:rsidRPr="007F09E5">
        <w:t>takřka neměnné, kdy více než 90 % všech zdrojů pochází ze soukromého sektoru</w:t>
      </w:r>
      <w:r w:rsidRPr="007F09E5">
        <w:t xml:space="preserve"> (</w:t>
      </w:r>
      <w:r w:rsidR="003B39C4" w:rsidRPr="007F09E5">
        <w:t>z</w:t>
      </w:r>
      <w:r w:rsidRPr="007F09E5">
        <w:t>ejména z</w:t>
      </w:r>
      <w:r w:rsidR="003B39C4" w:rsidRPr="007F09E5">
        <w:t> prostředků domácností či soukromých podniků</w:t>
      </w:r>
      <w:r w:rsidRPr="007F09E5">
        <w:t>)</w:t>
      </w:r>
      <w:r w:rsidR="007F3674" w:rsidRPr="007F09E5">
        <w:t>. V roce 2015 pak 96</w:t>
      </w:r>
      <w:r w:rsidR="003B39C4" w:rsidRPr="007F09E5">
        <w:t xml:space="preserve"> % zdrojů pocházelo ze soukr</w:t>
      </w:r>
      <w:r w:rsidR="007F3674" w:rsidRPr="007F09E5">
        <w:t>omého sektoru a pouze necel</w:t>
      </w:r>
      <w:r w:rsidR="00713EB7">
        <w:t>á</w:t>
      </w:r>
      <w:r w:rsidR="007F3674" w:rsidRPr="007F09E5">
        <w:t xml:space="preserve"> 4</w:t>
      </w:r>
      <w:r w:rsidR="003B39C4" w:rsidRPr="007F09E5">
        <w:t xml:space="preserve"> % tvořily domácí dotace či podpora ze zahraničí.</w:t>
      </w:r>
    </w:p>
    <w:p w:rsidR="00F33376" w:rsidRPr="007F09E5" w:rsidRDefault="00E0238B" w:rsidP="00B414F8">
      <w:r w:rsidRPr="007F09E5">
        <w:tab/>
      </w:r>
      <w:r w:rsidR="00B414F8" w:rsidRPr="007F09E5">
        <w:t>Příjmy</w:t>
      </w:r>
      <w:r w:rsidR="00BB64DB" w:rsidRPr="007F09E5">
        <w:t xml:space="preserve"> právnických a fyzických osob dle </w:t>
      </w:r>
      <w:proofErr w:type="spellStart"/>
      <w:r w:rsidR="00BB64DB" w:rsidRPr="007F09E5">
        <w:t>trojsektorového</w:t>
      </w:r>
      <w:proofErr w:type="spellEnd"/>
      <w:r w:rsidR="00BB64DB" w:rsidRPr="007F09E5">
        <w:t xml:space="preserve"> členění kultu</w:t>
      </w:r>
      <w:r w:rsidR="006A63F6" w:rsidRPr="007F09E5">
        <w:t>ry mezi lety 2010 a 201</w:t>
      </w:r>
      <w:r w:rsidR="007F3674" w:rsidRPr="007F09E5">
        <w:t>5</w:t>
      </w:r>
      <w:r w:rsidR="00BB64DB" w:rsidRPr="007F09E5">
        <w:t xml:space="preserve"> jsou zobrazeny v Grafu </w:t>
      </w:r>
      <w:r w:rsidR="00F33376" w:rsidRPr="007F09E5">
        <w:t>1</w:t>
      </w:r>
      <w:r w:rsidR="00BB64DB" w:rsidRPr="007F09E5">
        <w:t xml:space="preserve">. </w:t>
      </w:r>
      <w:r w:rsidR="00F33376" w:rsidRPr="007F09E5">
        <w:t>Údaje pro tento i následující graf pocházejí ze Satelitního účtu kultury, který poskytuje ucelený statistický přehled o jednotlivých oblastech kultury a umožňuje jejich vzájemné srovnání</w:t>
      </w:r>
      <w:r w:rsidR="00676E68" w:rsidRPr="007F09E5">
        <w:t xml:space="preserve"> na základě využití nejvíce relevantních zdrojů pro každou oblast</w:t>
      </w:r>
      <w:r w:rsidR="00F33376" w:rsidRPr="007F09E5">
        <w:t xml:space="preserve"> (</w:t>
      </w:r>
      <w:r w:rsidR="002F7B33" w:rsidRPr="007F09E5">
        <w:t xml:space="preserve">např. </w:t>
      </w:r>
      <w:r w:rsidR="00F33376" w:rsidRPr="007F09E5">
        <w:t xml:space="preserve">pro statistiku </w:t>
      </w:r>
      <w:r w:rsidR="00774A2D">
        <w:t xml:space="preserve">tradičních odvětví </w:t>
      </w:r>
      <w:r w:rsidR="00F75BA8">
        <w:t>je</w:t>
      </w:r>
      <w:r w:rsidR="00774A2D">
        <w:t xml:space="preserve"> </w:t>
      </w:r>
      <w:r w:rsidR="00F75BA8">
        <w:t xml:space="preserve">vhodné </w:t>
      </w:r>
      <w:r w:rsidR="00F33376" w:rsidRPr="007F09E5">
        <w:t xml:space="preserve">místo Podnikové strukturální statistiky, jež není </w:t>
      </w:r>
      <w:r w:rsidR="00774A2D">
        <w:t>primárně koncipovaná pro analýzu kulturních oblastí</w:t>
      </w:r>
      <w:r w:rsidR="00F33376" w:rsidRPr="007F09E5">
        <w:t xml:space="preserve">, využít </w:t>
      </w:r>
      <w:r w:rsidR="00774A2D">
        <w:t>data z výkazů</w:t>
      </w:r>
      <w:r w:rsidR="00F33376" w:rsidRPr="007F09E5">
        <w:t xml:space="preserve"> Národního informačního a</w:t>
      </w:r>
      <w:r w:rsidR="00F95D6D" w:rsidRPr="007F09E5">
        <w:t> </w:t>
      </w:r>
      <w:r w:rsidR="00F33376" w:rsidRPr="007F09E5">
        <w:t>poradenského střediska pro kulturu, příp.</w:t>
      </w:r>
      <w:r w:rsidR="00676E68" w:rsidRPr="007F09E5">
        <w:t xml:space="preserve"> další</w:t>
      </w:r>
      <w:r w:rsidR="00182456" w:rsidRPr="007F09E5">
        <w:t xml:space="preserve"> doplňková šetření).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lastRenderedPageBreak/>
        <w:t xml:space="preserve">Graf </w:t>
      </w:r>
      <w:r w:rsidR="001A4BAA" w:rsidRPr="007F09E5">
        <w:rPr>
          <w:color w:val="auto"/>
          <w:sz w:val="22"/>
          <w:szCs w:val="22"/>
        </w:rPr>
        <w:t>1</w:t>
      </w:r>
      <w:r w:rsidR="002F7B33" w:rsidRPr="007F09E5">
        <w:rPr>
          <w:color w:val="auto"/>
          <w:sz w:val="22"/>
          <w:szCs w:val="22"/>
        </w:rPr>
        <w:t xml:space="preserve"> </w:t>
      </w:r>
      <w:r w:rsidR="00B414F8" w:rsidRPr="007F09E5">
        <w:rPr>
          <w:b w:val="0"/>
          <w:color w:val="auto"/>
          <w:sz w:val="22"/>
          <w:szCs w:val="22"/>
        </w:rPr>
        <w:t>Příjmy</w:t>
      </w:r>
      <w:r w:rsidR="00B414F8"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 xml:space="preserve">fyzických a právnických osob podle </w:t>
      </w:r>
      <w:proofErr w:type="spellStart"/>
      <w:r w:rsidRPr="007F09E5">
        <w:rPr>
          <w:b w:val="0"/>
          <w:color w:val="auto"/>
          <w:sz w:val="22"/>
          <w:szCs w:val="22"/>
        </w:rPr>
        <w:t>trojsektorového</w:t>
      </w:r>
      <w:proofErr w:type="spellEnd"/>
      <w:r w:rsidRPr="007F09E5">
        <w:rPr>
          <w:b w:val="0"/>
          <w:color w:val="auto"/>
          <w:sz w:val="22"/>
          <w:szCs w:val="22"/>
        </w:rPr>
        <w:t xml:space="preserve"> členění kultury (v </w:t>
      </w:r>
      <w:r w:rsidR="00B414F8" w:rsidRPr="007F09E5">
        <w:rPr>
          <w:b w:val="0"/>
          <w:color w:val="auto"/>
          <w:sz w:val="22"/>
          <w:szCs w:val="22"/>
        </w:rPr>
        <w:t>mld</w:t>
      </w:r>
      <w:r w:rsidRPr="007F09E5">
        <w:rPr>
          <w:b w:val="0"/>
          <w:color w:val="auto"/>
          <w:sz w:val="22"/>
          <w:szCs w:val="22"/>
        </w:rPr>
        <w:t>. Kč)</w:t>
      </w:r>
    </w:p>
    <w:p w:rsidR="00BB64DB" w:rsidRPr="007F09E5" w:rsidRDefault="004E3C8D" w:rsidP="00BB64DB">
      <w:pPr>
        <w:keepNext/>
      </w:pPr>
      <w:r w:rsidRPr="007F09E5">
        <w:rPr>
          <w:noProof/>
        </w:rPr>
        <w:drawing>
          <wp:inline distT="0" distB="0" distL="0" distR="0">
            <wp:extent cx="6048375" cy="2124075"/>
            <wp:effectExtent l="0" t="0" r="0" b="0"/>
            <wp:docPr id="107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4DB" w:rsidRPr="007F09E5" w:rsidRDefault="00F72FAA" w:rsidP="00BB64DB">
      <w:pPr>
        <w:pStyle w:val="Titulek"/>
        <w:rPr>
          <w:rFonts w:cs="Arial"/>
          <w:b w:val="0"/>
          <w:color w:val="auto"/>
          <w:sz w:val="22"/>
          <w:szCs w:val="22"/>
        </w:rPr>
      </w:pPr>
      <w:r w:rsidRPr="007F09E5">
        <w:rPr>
          <w:rFonts w:cs="Arial"/>
          <w:b w:val="0"/>
          <w:color w:val="auto"/>
          <w:sz w:val="22"/>
          <w:szCs w:val="22"/>
        </w:rPr>
        <w:t xml:space="preserve">Zdroj: </w:t>
      </w:r>
      <w:r w:rsidR="00B54975" w:rsidRPr="007F09E5">
        <w:rPr>
          <w:rFonts w:cs="Arial"/>
          <w:b w:val="0"/>
          <w:color w:val="auto"/>
          <w:sz w:val="22"/>
          <w:szCs w:val="22"/>
        </w:rPr>
        <w:t xml:space="preserve">Satelitní účet kultury, </w:t>
      </w:r>
      <w:r w:rsidRPr="007F09E5">
        <w:rPr>
          <w:rFonts w:cs="Arial"/>
          <w:b w:val="0"/>
          <w:color w:val="auto"/>
          <w:sz w:val="22"/>
          <w:szCs w:val="22"/>
        </w:rPr>
        <w:t>ČSÚ, NIPOS</w:t>
      </w:r>
    </w:p>
    <w:p w:rsidR="002F7B33" w:rsidRPr="007F09E5" w:rsidRDefault="002F7B33" w:rsidP="002F7B33">
      <w:r w:rsidRPr="007F09E5">
        <w:t>Jak je patrné z Grafu 1, kreativní průmysly zahrnující reklamu, design a architekturu generovaly</w:t>
      </w:r>
      <w:r w:rsidR="007F3674" w:rsidRPr="007F09E5">
        <w:t xml:space="preserve"> v roce 2015 příjmy přesahující 92</w:t>
      </w:r>
      <w:r w:rsidRPr="007F09E5">
        <w:t xml:space="preserve"> mld. Kč a předčily tak kulturní průmy</w:t>
      </w:r>
      <w:r w:rsidR="007F3674" w:rsidRPr="007F09E5">
        <w:t>sly o více než 5</w:t>
      </w:r>
      <w:r w:rsidRPr="007F09E5">
        <w:t xml:space="preserve"> mld. Kč. Příjmy fyzických a</w:t>
      </w:r>
      <w:r w:rsidR="00F95D6D" w:rsidRPr="007F09E5">
        <w:t> </w:t>
      </w:r>
      <w:r w:rsidRPr="007F09E5">
        <w:t xml:space="preserve">právnických osob v tradičním odvětví (kulturním sektoru) v průběhu posledních </w:t>
      </w:r>
      <w:r w:rsidR="007F3674" w:rsidRPr="007F09E5">
        <w:t>let mírně stoupaly a v roce 2015 dosáhly 36,5</w:t>
      </w:r>
      <w:r w:rsidRPr="007F09E5">
        <w:t xml:space="preserve"> mld. Kč. V porovnání s kulturními a kreativními průmysly generoval kulturní sektor </w:t>
      </w:r>
      <w:r w:rsidR="007F3674" w:rsidRPr="007F09E5">
        <w:t>daleko menší příjmy</w:t>
      </w:r>
      <w:r w:rsidRPr="007F09E5">
        <w:t>, což však odpovídá charakteru tohoto sektoru, který je financovaný z </w:t>
      </w:r>
      <w:r w:rsidR="00472C6B" w:rsidRPr="007F09E5">
        <w:t>velké části z veřejných zdrojů.</w:t>
      </w:r>
    </w:p>
    <w:p w:rsidR="00BB64DB" w:rsidRPr="007F09E5" w:rsidRDefault="00E0238B" w:rsidP="00B414F8">
      <w:r w:rsidRPr="007F09E5">
        <w:tab/>
      </w:r>
      <w:r w:rsidR="00BB64DB" w:rsidRPr="007F09E5">
        <w:t>I přesto, že</w:t>
      </w:r>
      <w:r w:rsidR="00B414F8" w:rsidRPr="007F09E5">
        <w:t xml:space="preserve"> </w:t>
      </w:r>
      <w:r w:rsidR="005E2679" w:rsidRPr="007F09E5">
        <w:t>subjekty v tradičním odvětví</w:t>
      </w:r>
      <w:r w:rsidR="00B414F8" w:rsidRPr="007F09E5">
        <w:t xml:space="preserve"> negenerova</w:t>
      </w:r>
      <w:r w:rsidR="004F78AD" w:rsidRPr="007F09E5">
        <w:t>l</w:t>
      </w:r>
      <w:r w:rsidR="005E2679" w:rsidRPr="007F09E5">
        <w:t>y</w:t>
      </w:r>
      <w:r w:rsidR="004F78AD" w:rsidRPr="007F09E5">
        <w:t xml:space="preserve"> v období mezi lety 201</w:t>
      </w:r>
      <w:r w:rsidR="001C709C" w:rsidRPr="007F09E5">
        <w:t>0 a 2015</w:t>
      </w:r>
      <w:r w:rsidR="00BB64DB" w:rsidRPr="007F09E5">
        <w:t xml:space="preserve"> </w:t>
      </w:r>
      <w:r w:rsidR="005E2679" w:rsidRPr="007F09E5">
        <w:t>tak vysoké</w:t>
      </w:r>
      <w:r w:rsidR="00BB64DB" w:rsidRPr="007F09E5">
        <w:t xml:space="preserve"> </w:t>
      </w:r>
      <w:r w:rsidR="005E2679" w:rsidRPr="007F09E5">
        <w:t xml:space="preserve">příjmy, </w:t>
      </w:r>
      <w:r w:rsidR="00B414F8" w:rsidRPr="007F09E5">
        <w:t>zaměstnával</w:t>
      </w:r>
      <w:r w:rsidR="006A0EA1" w:rsidRPr="007F09E5">
        <w:t>y</w:t>
      </w:r>
      <w:r w:rsidR="00BB64DB" w:rsidRPr="007F09E5">
        <w:t xml:space="preserve"> dle dostupných statistik v porovnání s kulturními a kreativními průmysly nejvíce </w:t>
      </w:r>
      <w:r w:rsidR="00B414F8" w:rsidRPr="007F09E5">
        <w:t>osob</w:t>
      </w:r>
      <w:r w:rsidR="004F78AD" w:rsidRPr="007F09E5">
        <w:t>. Mezi</w:t>
      </w:r>
      <w:r w:rsidR="00F95D6D" w:rsidRPr="007F09E5">
        <w:t> </w:t>
      </w:r>
      <w:r w:rsidR="001C709C" w:rsidRPr="007F09E5">
        <w:t>lety 2010 a 2015</w:t>
      </w:r>
      <w:r w:rsidR="00BB64DB" w:rsidRPr="007F09E5">
        <w:t xml:space="preserve"> došlo k nárůstu počtu zaměstnanc</w:t>
      </w:r>
      <w:r w:rsidR="004F78AD" w:rsidRPr="007F09E5">
        <w:t>ů v</w:t>
      </w:r>
      <w:r w:rsidR="005E2679" w:rsidRPr="007F09E5">
        <w:t> tradičních odvětvích</w:t>
      </w:r>
      <w:r w:rsidR="001C709C" w:rsidRPr="007F09E5">
        <w:t xml:space="preserve"> na více než 37,5</w:t>
      </w:r>
      <w:r w:rsidR="00313494" w:rsidRPr="007F09E5">
        <w:t> </w:t>
      </w:r>
      <w:r w:rsidR="003C736E" w:rsidRPr="007F09E5">
        <w:t>tis.</w:t>
      </w:r>
      <w:r w:rsidR="001C709C" w:rsidRPr="007F09E5">
        <w:t xml:space="preserve"> v roce 2015</w:t>
      </w:r>
      <w:r w:rsidR="00BB64DB" w:rsidRPr="007F09E5">
        <w:t xml:space="preserve">. </w:t>
      </w:r>
      <w:r w:rsidR="001C709C" w:rsidRPr="007F09E5">
        <w:t>K</w:t>
      </w:r>
      <w:r w:rsidR="00BB64DB" w:rsidRPr="007F09E5">
        <w:t xml:space="preserve">reativní průmysly zaznamenaly naopak </w:t>
      </w:r>
      <w:r w:rsidR="004F78AD" w:rsidRPr="007F09E5">
        <w:t xml:space="preserve">během těchto let </w:t>
      </w:r>
      <w:r w:rsidR="00BB64DB" w:rsidRPr="007F09E5">
        <w:t>mírný po</w:t>
      </w:r>
      <w:r w:rsidR="001C709C" w:rsidRPr="007F09E5">
        <w:t>kles a v roce 2015</w:t>
      </w:r>
      <w:r w:rsidR="00BB64DB" w:rsidRPr="007F09E5">
        <w:t xml:space="preserve"> </w:t>
      </w:r>
      <w:r w:rsidR="001C709C" w:rsidRPr="007F09E5">
        <w:t xml:space="preserve">dosahovala </w:t>
      </w:r>
      <w:r w:rsidR="00BB64DB" w:rsidRPr="007F09E5">
        <w:t>zaměstnanost v</w:t>
      </w:r>
      <w:r w:rsidR="001C709C" w:rsidRPr="007F09E5">
        <w:t> tomto sektoru</w:t>
      </w:r>
      <w:r w:rsidR="00BB64DB" w:rsidRPr="007F09E5">
        <w:t xml:space="preserve"> </w:t>
      </w:r>
      <w:r w:rsidR="001C709C" w:rsidRPr="007F09E5">
        <w:t>výše necelých</w:t>
      </w:r>
      <w:r w:rsidR="00CB5E1F" w:rsidRPr="007F09E5">
        <w:t xml:space="preserve"> 20 tis.</w:t>
      </w:r>
      <w:r w:rsidR="00BB64DB" w:rsidRPr="007F09E5">
        <w:t xml:space="preserve"> zaměstnanců</w:t>
      </w:r>
      <w:r w:rsidR="00B414F8" w:rsidRPr="007F09E5">
        <w:t xml:space="preserve"> na plný pracovní úvazek</w:t>
      </w:r>
      <w:r w:rsidR="00BB64DB" w:rsidRPr="007F09E5">
        <w:t xml:space="preserve">. </w:t>
      </w:r>
      <w:r w:rsidR="001C709C" w:rsidRPr="007F09E5">
        <w:t xml:space="preserve">Zaměstnanost v kulturních průmyslech naopak mezi lety 2010 a 2015 mírně vzrostla a v roce 2015 </w:t>
      </w:r>
      <w:r w:rsidR="001042A6" w:rsidRPr="007F09E5">
        <w:t xml:space="preserve">pracovalo v tomto sektoru přes 29 tis. zaměstnanců na plný úvazek. </w:t>
      </w:r>
      <w:r w:rsidR="006A0EA1" w:rsidRPr="007F09E5">
        <w:t xml:space="preserve">Tyto údaje o </w:t>
      </w:r>
      <w:r w:rsidR="00BB64DB" w:rsidRPr="007F09E5">
        <w:t>zaměstnanost</w:t>
      </w:r>
      <w:r w:rsidR="006A0EA1" w:rsidRPr="007F09E5">
        <w:t>i však</w:t>
      </w:r>
      <w:r w:rsidR="00BB64DB" w:rsidRPr="007F09E5">
        <w:t xml:space="preserve"> </w:t>
      </w:r>
      <w:r w:rsidR="006A0EA1" w:rsidRPr="007F09E5">
        <w:t>reflektují</w:t>
      </w:r>
      <w:r w:rsidR="00B414F8" w:rsidRPr="007F09E5">
        <w:t xml:space="preserve"> pouze </w:t>
      </w:r>
      <w:r w:rsidR="006A0EA1" w:rsidRPr="007F09E5">
        <w:t>subjekty</w:t>
      </w:r>
      <w:r w:rsidR="00B414F8" w:rsidRPr="007F09E5">
        <w:t xml:space="preserve"> s převažující kulturní činností dle klasifikace NACE</w:t>
      </w:r>
      <w:r w:rsidR="006A0EA1" w:rsidRPr="007F09E5">
        <w:t>, nereflektují</w:t>
      </w:r>
      <w:r w:rsidR="00BB64DB" w:rsidRPr="007F09E5">
        <w:t xml:space="preserve"> již</w:t>
      </w:r>
      <w:r w:rsidR="00323843" w:rsidRPr="007F09E5">
        <w:t xml:space="preserve"> povolání kulturního charakteru </w:t>
      </w:r>
      <w:r w:rsidR="00BB64DB" w:rsidRPr="007F09E5">
        <w:t>v</w:t>
      </w:r>
      <w:r w:rsidR="00607FD7">
        <w:t> </w:t>
      </w:r>
      <w:r w:rsidR="003C736E" w:rsidRPr="007F09E5">
        <w:t>„</w:t>
      </w:r>
      <w:r w:rsidR="00BB64DB" w:rsidRPr="007F09E5">
        <w:t>ne</w:t>
      </w:r>
      <w:r w:rsidR="00F72FAA" w:rsidRPr="007F09E5">
        <w:t>-</w:t>
      </w:r>
      <w:r w:rsidR="00BB64DB" w:rsidRPr="007F09E5">
        <w:t>kulturních</w:t>
      </w:r>
      <w:r w:rsidR="003C736E" w:rsidRPr="007F09E5">
        <w:t>“</w:t>
      </w:r>
      <w:r w:rsidR="00BB64DB" w:rsidRPr="007F09E5">
        <w:t xml:space="preserve"> podnicích (například designér v automobilce)</w:t>
      </w:r>
      <w:r w:rsidR="00323843" w:rsidRPr="007F09E5">
        <w:t>.</w:t>
      </w:r>
    </w:p>
    <w:p w:rsidR="00BB64DB" w:rsidRPr="007F09E5" w:rsidRDefault="00BB64DB" w:rsidP="00BB64DB">
      <w:pPr>
        <w:pStyle w:val="Titulek"/>
        <w:keepNext/>
        <w:rPr>
          <w:color w:val="auto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2</w:t>
      </w:r>
      <w:r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>Počet zaměstnanců v kultuře (</w:t>
      </w:r>
      <w:r w:rsidR="00F72FAA" w:rsidRPr="007F09E5">
        <w:rPr>
          <w:b w:val="0"/>
          <w:color w:val="auto"/>
          <w:sz w:val="22"/>
          <w:szCs w:val="22"/>
        </w:rPr>
        <w:t xml:space="preserve">v tis. osob, </w:t>
      </w:r>
      <w:r w:rsidR="00B414F8" w:rsidRPr="007F09E5">
        <w:rPr>
          <w:b w:val="0"/>
          <w:color w:val="auto"/>
          <w:sz w:val="22"/>
          <w:szCs w:val="22"/>
        </w:rPr>
        <w:t>přepočtený na plné pracovní úvazky</w:t>
      </w:r>
      <w:r w:rsidRPr="007F09E5">
        <w:rPr>
          <w:b w:val="0"/>
          <w:color w:val="auto"/>
          <w:sz w:val="22"/>
          <w:szCs w:val="22"/>
        </w:rPr>
        <w:t>)</w:t>
      </w:r>
    </w:p>
    <w:p w:rsidR="00BB64DB" w:rsidRPr="007F09E5" w:rsidRDefault="004E3C8D" w:rsidP="00BB64DB">
      <w:pPr>
        <w:keepNext/>
      </w:pPr>
      <w:r w:rsidRPr="007F09E5">
        <w:rPr>
          <w:noProof/>
        </w:rPr>
        <w:drawing>
          <wp:inline distT="0" distB="0" distL="0" distR="0">
            <wp:extent cx="5829300" cy="1800225"/>
            <wp:effectExtent l="0" t="0" r="0" b="0"/>
            <wp:docPr id="1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A11B36" w:rsidRPr="007F09E5">
        <w:rPr>
          <w:rFonts w:cs="Arial"/>
          <w:b w:val="0"/>
          <w:color w:val="auto"/>
          <w:sz w:val="22"/>
          <w:szCs w:val="22"/>
        </w:rPr>
        <w:t>Satelitní účet kultury</w:t>
      </w:r>
      <w:r w:rsidR="00A11B36" w:rsidRPr="007F09E5">
        <w:rPr>
          <w:b w:val="0"/>
          <w:color w:val="auto"/>
          <w:sz w:val="22"/>
          <w:szCs w:val="22"/>
        </w:rPr>
        <w:t xml:space="preserve">, </w:t>
      </w:r>
      <w:r w:rsidRPr="007F09E5">
        <w:rPr>
          <w:b w:val="0"/>
          <w:color w:val="auto"/>
          <w:sz w:val="22"/>
          <w:szCs w:val="22"/>
        </w:rPr>
        <w:t>ČSÚ, NIPOS</w:t>
      </w:r>
    </w:p>
    <w:p w:rsidR="00BC712A" w:rsidRPr="007F09E5" w:rsidRDefault="00E27145" w:rsidP="00522C16">
      <w:pPr>
        <w:rPr>
          <w:lang w:eastAsia="en-US"/>
        </w:rPr>
      </w:pPr>
      <w:r w:rsidRPr="007F09E5">
        <w:rPr>
          <w:lang w:eastAsia="en-US"/>
        </w:rPr>
        <w:lastRenderedPageBreak/>
        <w:t>Na statistiku zaměstnanosti v kultuře lze nahlížet také komplexnějším způsobem. Výbě</w:t>
      </w:r>
      <w:r w:rsidR="004571B5" w:rsidRPr="007F09E5">
        <w:rPr>
          <w:lang w:eastAsia="en-US"/>
        </w:rPr>
        <w:t>rové</w:t>
      </w:r>
      <w:r w:rsidRPr="007F09E5">
        <w:rPr>
          <w:lang w:eastAsia="en-US"/>
        </w:rPr>
        <w:t xml:space="preserve"> šetření pracovních sil</w:t>
      </w:r>
      <w:r w:rsidR="004571B5" w:rsidRPr="007F09E5">
        <w:rPr>
          <w:lang w:eastAsia="en-US"/>
        </w:rPr>
        <w:t xml:space="preserve"> </w:t>
      </w:r>
      <w:r w:rsidR="004571B5" w:rsidRPr="007F09E5">
        <w:t>požaduje od respondentů nejen vymezení jejich pracovní činnosti (zařazenou dle klasifikace ekonomických činností CZ-NACE), ale sleduje také, jaký typ zaměstnání v rámci těchto činností vykonávají</w:t>
      </w:r>
      <w:r w:rsidR="008B64EB" w:rsidRPr="007F09E5">
        <w:t> </w:t>
      </w:r>
      <w:r w:rsidR="004571B5" w:rsidRPr="007F09E5">
        <w:t>(zařazený dle klasifikace zaměstnání CZ-ISCO).</w:t>
      </w:r>
      <w:r w:rsidR="004571B5" w:rsidRPr="007F09E5">
        <w:rPr>
          <w:lang w:eastAsia="en-US"/>
        </w:rPr>
        <w:t xml:space="preserve"> J</w:t>
      </w:r>
      <w:r w:rsidR="00571CFA" w:rsidRPr="007F09E5">
        <w:rPr>
          <w:lang w:eastAsia="en-US"/>
        </w:rPr>
        <w:t xml:space="preserve">e </w:t>
      </w:r>
      <w:r w:rsidR="004571B5" w:rsidRPr="007F09E5">
        <w:rPr>
          <w:lang w:eastAsia="en-US"/>
        </w:rPr>
        <w:t xml:space="preserve">tak </w:t>
      </w:r>
      <w:r w:rsidR="00571CFA" w:rsidRPr="007F09E5">
        <w:rPr>
          <w:lang w:eastAsia="en-US"/>
        </w:rPr>
        <w:t>možné rozlišit, která</w:t>
      </w:r>
      <w:r w:rsidR="00E93594" w:rsidRPr="007F09E5">
        <w:rPr>
          <w:lang w:eastAsia="en-US"/>
        </w:rPr>
        <w:t xml:space="preserve"> zaměstnání v</w:t>
      </w:r>
      <w:r w:rsidR="00DF38E1" w:rsidRPr="007F09E5">
        <w:rPr>
          <w:lang w:eastAsia="en-US"/>
        </w:rPr>
        <w:t> kulturních organizacích</w:t>
      </w:r>
      <w:r w:rsidR="00E93594" w:rsidRPr="007F09E5">
        <w:rPr>
          <w:lang w:eastAsia="en-US"/>
        </w:rPr>
        <w:t xml:space="preserve"> se opravdu týkají kulturních aktivit</w:t>
      </w:r>
      <w:r w:rsidR="00A03A86" w:rsidRPr="007F09E5">
        <w:rPr>
          <w:lang w:eastAsia="en-US"/>
        </w:rPr>
        <w:t>,</w:t>
      </w:r>
      <w:r w:rsidR="00E93594" w:rsidRPr="007F09E5">
        <w:rPr>
          <w:lang w:eastAsia="en-US"/>
        </w:rPr>
        <w:t xml:space="preserve"> a kter</w:t>
      </w:r>
      <w:r w:rsidR="00A03A86" w:rsidRPr="007F09E5">
        <w:rPr>
          <w:lang w:eastAsia="en-US"/>
        </w:rPr>
        <w:t>á</w:t>
      </w:r>
      <w:r w:rsidR="00E93594" w:rsidRPr="007F09E5">
        <w:rPr>
          <w:lang w:eastAsia="en-US"/>
        </w:rPr>
        <w:t xml:space="preserve"> jsou naopak spíše jiného charakteru</w:t>
      </w:r>
      <w:r w:rsidR="008B64EB" w:rsidRPr="007F09E5">
        <w:rPr>
          <w:lang w:eastAsia="en-US"/>
        </w:rPr>
        <w:t> </w:t>
      </w:r>
      <w:r w:rsidR="00E93594" w:rsidRPr="007F09E5">
        <w:rPr>
          <w:lang w:eastAsia="en-US"/>
        </w:rPr>
        <w:t xml:space="preserve">(např. účetnictví, úklid či ostraha). </w:t>
      </w:r>
      <w:r w:rsidR="004571B5" w:rsidRPr="007F09E5">
        <w:rPr>
          <w:lang w:eastAsia="en-US"/>
        </w:rPr>
        <w:t>Dále je také možné získat údaje o kulturních zaměstnáních v</w:t>
      </w:r>
      <w:r w:rsidR="008B64EB" w:rsidRPr="007F09E5">
        <w:rPr>
          <w:lang w:eastAsia="en-US"/>
        </w:rPr>
        <w:t> </w:t>
      </w:r>
      <w:r w:rsidR="004571B5" w:rsidRPr="007F09E5">
        <w:rPr>
          <w:lang w:eastAsia="en-US"/>
        </w:rPr>
        <w:t>„ne</w:t>
      </w:r>
      <w:r w:rsidR="003C736E" w:rsidRPr="007F09E5">
        <w:rPr>
          <w:lang w:eastAsia="en-US"/>
        </w:rPr>
        <w:t>-</w:t>
      </w:r>
      <w:r w:rsidR="004571B5" w:rsidRPr="007F09E5">
        <w:rPr>
          <w:lang w:eastAsia="en-US"/>
        </w:rPr>
        <w:t xml:space="preserve">kulturních“ organizacích. </w:t>
      </w:r>
      <w:r w:rsidR="00E93594" w:rsidRPr="007F09E5">
        <w:rPr>
          <w:lang w:eastAsia="en-US"/>
        </w:rPr>
        <w:t>K získání údajů o kulturních zaměstnáních je však potřeba využít velmi podrobné statistické členěn</w:t>
      </w:r>
      <w:r w:rsidR="00DF38E1" w:rsidRPr="007F09E5">
        <w:rPr>
          <w:lang w:eastAsia="en-US"/>
        </w:rPr>
        <w:t>í</w:t>
      </w:r>
      <w:r w:rsidR="00515293" w:rsidRPr="007F09E5">
        <w:rPr>
          <w:lang w:eastAsia="en-US"/>
        </w:rPr>
        <w:t>, u kterého se zvyšuje pravděpodobnost statisti</w:t>
      </w:r>
      <w:r w:rsidR="00BC712A" w:rsidRPr="007F09E5">
        <w:rPr>
          <w:lang w:eastAsia="en-US"/>
        </w:rPr>
        <w:t>cké chyby.</w:t>
      </w:r>
    </w:p>
    <w:p w:rsidR="00BC712A" w:rsidRPr="007F09E5" w:rsidRDefault="00BC712A" w:rsidP="00522C16">
      <w:pPr>
        <w:rPr>
          <w:lang w:eastAsia="en-US"/>
        </w:rPr>
      </w:pPr>
      <w:r w:rsidRPr="007F09E5">
        <w:rPr>
          <w:lang w:eastAsia="en-US"/>
        </w:rPr>
        <w:tab/>
      </w:r>
      <w:r w:rsidR="00515293" w:rsidRPr="007F09E5">
        <w:rPr>
          <w:lang w:eastAsia="en-US"/>
        </w:rPr>
        <w:t xml:space="preserve">Údaje z Tabulky 3 </w:t>
      </w:r>
      <w:r w:rsidR="006A0EA1" w:rsidRPr="007F09E5">
        <w:rPr>
          <w:lang w:eastAsia="en-US"/>
        </w:rPr>
        <w:t xml:space="preserve">tak </w:t>
      </w:r>
      <w:r w:rsidR="00515293" w:rsidRPr="007F09E5">
        <w:rPr>
          <w:lang w:eastAsia="en-US"/>
        </w:rPr>
        <w:t xml:space="preserve">poslouží </w:t>
      </w:r>
      <w:r w:rsidR="006A0EA1" w:rsidRPr="007F09E5">
        <w:rPr>
          <w:lang w:eastAsia="en-US"/>
        </w:rPr>
        <w:t>pouze pro</w:t>
      </w:r>
      <w:r w:rsidR="00515293" w:rsidRPr="007F09E5">
        <w:rPr>
          <w:lang w:eastAsia="en-US"/>
        </w:rPr>
        <w:t xml:space="preserve"> odhad </w:t>
      </w:r>
      <w:r w:rsidR="006A0EA1" w:rsidRPr="007F09E5">
        <w:rPr>
          <w:lang w:eastAsia="en-US"/>
        </w:rPr>
        <w:t>celkové</w:t>
      </w:r>
      <w:r w:rsidR="00515293" w:rsidRPr="007F09E5">
        <w:rPr>
          <w:lang w:eastAsia="en-US"/>
        </w:rPr>
        <w:t xml:space="preserve"> zaměstnanost</w:t>
      </w:r>
      <w:r w:rsidR="006A0EA1" w:rsidRPr="007F09E5">
        <w:rPr>
          <w:lang w:eastAsia="en-US"/>
        </w:rPr>
        <w:t>i</w:t>
      </w:r>
      <w:r w:rsidR="00515293" w:rsidRPr="007F09E5">
        <w:rPr>
          <w:lang w:eastAsia="en-US"/>
        </w:rPr>
        <w:t xml:space="preserve"> v kultuře zahrnující jak zaměstnance, tak pracovníky na dohody a podnikatele.</w:t>
      </w:r>
      <w:r w:rsidR="00C05AF7" w:rsidRPr="007F09E5">
        <w:rPr>
          <w:lang w:eastAsia="en-US"/>
        </w:rPr>
        <w:t xml:space="preserve"> Tyto údaje, na rozdíl od </w:t>
      </w:r>
      <w:r w:rsidR="003C736E" w:rsidRPr="007F09E5">
        <w:rPr>
          <w:lang w:eastAsia="en-US"/>
        </w:rPr>
        <w:t xml:space="preserve">údajů z Grafu </w:t>
      </w:r>
      <w:r w:rsidR="002F7B33" w:rsidRPr="007F09E5">
        <w:rPr>
          <w:lang w:eastAsia="en-US"/>
        </w:rPr>
        <w:t>2</w:t>
      </w:r>
      <w:r w:rsidR="00C05AF7" w:rsidRPr="007F09E5">
        <w:rPr>
          <w:lang w:eastAsia="en-US"/>
        </w:rPr>
        <w:t xml:space="preserve">, </w:t>
      </w:r>
      <w:r w:rsidR="00C720AF" w:rsidRPr="007F09E5">
        <w:rPr>
          <w:lang w:eastAsia="en-US"/>
        </w:rPr>
        <w:t>nejsou</w:t>
      </w:r>
      <w:r w:rsidR="008B64EB" w:rsidRPr="007F09E5">
        <w:rPr>
          <w:lang w:eastAsia="en-US"/>
        </w:rPr>
        <w:t> </w:t>
      </w:r>
      <w:r w:rsidR="00C720AF" w:rsidRPr="007F09E5">
        <w:rPr>
          <w:lang w:eastAsia="en-US"/>
        </w:rPr>
        <w:t>limitovány</w:t>
      </w:r>
      <w:r w:rsidR="00C05AF7" w:rsidRPr="007F09E5">
        <w:rPr>
          <w:lang w:eastAsia="en-US"/>
        </w:rPr>
        <w:t xml:space="preserve"> form</w:t>
      </w:r>
      <w:r w:rsidR="00C720AF" w:rsidRPr="007F09E5">
        <w:rPr>
          <w:lang w:eastAsia="en-US"/>
        </w:rPr>
        <w:t>o</w:t>
      </w:r>
      <w:r w:rsidR="00C05AF7" w:rsidRPr="007F09E5">
        <w:rPr>
          <w:lang w:eastAsia="en-US"/>
        </w:rPr>
        <w:t>u úvazku.</w:t>
      </w:r>
      <w:r w:rsidR="009B7457" w:rsidRPr="007F09E5">
        <w:rPr>
          <w:lang w:eastAsia="en-US"/>
        </w:rPr>
        <w:t xml:space="preserve"> </w:t>
      </w:r>
      <w:r w:rsidR="00246B49" w:rsidRPr="007F09E5">
        <w:rPr>
          <w:lang w:eastAsia="en-US"/>
        </w:rPr>
        <w:t>O</w:t>
      </w:r>
      <w:r w:rsidR="009B7457" w:rsidRPr="007F09E5">
        <w:rPr>
          <w:lang w:eastAsia="en-US"/>
        </w:rPr>
        <w:t>rganizace v kulturních průmyslech</w:t>
      </w:r>
      <w:r w:rsidR="00246B49" w:rsidRPr="007F09E5">
        <w:rPr>
          <w:lang w:eastAsia="en-US"/>
        </w:rPr>
        <w:t xml:space="preserve"> podle </w:t>
      </w:r>
      <w:r w:rsidR="003C736E" w:rsidRPr="007F09E5">
        <w:rPr>
          <w:lang w:eastAsia="en-US"/>
        </w:rPr>
        <w:t>výchozího vymezení</w:t>
      </w:r>
      <w:r w:rsidR="009C3B45" w:rsidRPr="007F09E5">
        <w:rPr>
          <w:lang w:eastAsia="en-US"/>
        </w:rPr>
        <w:t xml:space="preserve"> v</w:t>
      </w:r>
      <w:r w:rsidR="008B64EB" w:rsidRPr="007F09E5">
        <w:rPr>
          <w:lang w:eastAsia="en-US"/>
        </w:rPr>
        <w:t> </w:t>
      </w:r>
      <w:r w:rsidR="009C3B45" w:rsidRPr="007F09E5">
        <w:rPr>
          <w:lang w:eastAsia="en-US"/>
        </w:rPr>
        <w:t>Kapitole</w:t>
      </w:r>
      <w:r w:rsidR="008B64EB" w:rsidRPr="007F09E5">
        <w:rPr>
          <w:lang w:eastAsia="en-US"/>
        </w:rPr>
        <w:t> </w:t>
      </w:r>
      <w:r w:rsidR="009C3B45" w:rsidRPr="007F09E5">
        <w:rPr>
          <w:lang w:eastAsia="en-US"/>
        </w:rPr>
        <w:t>1</w:t>
      </w:r>
      <w:r w:rsidR="003C736E" w:rsidRPr="007F09E5">
        <w:rPr>
          <w:lang w:eastAsia="en-US"/>
        </w:rPr>
        <w:t xml:space="preserve"> </w:t>
      </w:r>
      <w:r w:rsidR="00246B49" w:rsidRPr="007F09E5">
        <w:rPr>
          <w:lang w:eastAsia="en-US"/>
        </w:rPr>
        <w:t>zajišťují</w:t>
      </w:r>
      <w:r w:rsidR="009B7457" w:rsidRPr="007F09E5">
        <w:rPr>
          <w:lang w:eastAsia="en-US"/>
        </w:rPr>
        <w:t xml:space="preserve"> </w:t>
      </w:r>
      <w:r w:rsidRPr="007F09E5">
        <w:rPr>
          <w:lang w:eastAsia="en-US"/>
        </w:rPr>
        <w:t xml:space="preserve">zejména výrobní, distribuční a obchodní </w:t>
      </w:r>
      <w:r w:rsidR="003C736E" w:rsidRPr="007F09E5">
        <w:rPr>
          <w:lang w:eastAsia="en-US"/>
        </w:rPr>
        <w:t xml:space="preserve">ekonomické </w:t>
      </w:r>
      <w:r w:rsidRPr="007F09E5">
        <w:rPr>
          <w:lang w:eastAsia="en-US"/>
        </w:rPr>
        <w:t>činnosti spojené s kulturními statky</w:t>
      </w:r>
      <w:r w:rsidR="003C736E" w:rsidRPr="007F09E5">
        <w:rPr>
          <w:lang w:eastAsia="en-US"/>
        </w:rPr>
        <w:t xml:space="preserve">. </w:t>
      </w:r>
      <w:r w:rsidR="00246B49" w:rsidRPr="007F09E5">
        <w:rPr>
          <w:lang w:eastAsia="en-US"/>
        </w:rPr>
        <w:t>Samotné u</w:t>
      </w:r>
      <w:r w:rsidRPr="007F09E5">
        <w:rPr>
          <w:lang w:eastAsia="en-US"/>
        </w:rPr>
        <w:t>mělecké činnosti spadají obvykle do tradičních odvětví a stejně tak jsou řazena i jednotlivá zaměstnání</w:t>
      </w:r>
      <w:r w:rsidR="00484A8E" w:rsidRPr="007F09E5">
        <w:rPr>
          <w:lang w:eastAsia="en-US"/>
        </w:rPr>
        <w:t xml:space="preserve"> (viz</w:t>
      </w:r>
      <w:r w:rsidR="00F95D6D" w:rsidRPr="007F09E5">
        <w:rPr>
          <w:lang w:eastAsia="en-US"/>
        </w:rPr>
        <w:t> </w:t>
      </w:r>
      <w:r w:rsidR="00484A8E" w:rsidRPr="007F09E5">
        <w:rPr>
          <w:lang w:eastAsia="en-US"/>
        </w:rPr>
        <w:t>Příloha 2</w:t>
      </w:r>
      <w:r w:rsidR="009C3B45" w:rsidRPr="007F09E5">
        <w:rPr>
          <w:lang w:eastAsia="en-US"/>
        </w:rPr>
        <w:t>)</w:t>
      </w:r>
      <w:r w:rsidRPr="007F09E5">
        <w:rPr>
          <w:lang w:eastAsia="en-US"/>
        </w:rPr>
        <w:t>. Hudebn</w:t>
      </w:r>
      <w:r w:rsidR="00246B49" w:rsidRPr="007F09E5">
        <w:rPr>
          <w:lang w:eastAsia="en-US"/>
        </w:rPr>
        <w:t>íci či herci tak</w:t>
      </w:r>
      <w:r w:rsidRPr="007F09E5">
        <w:rPr>
          <w:lang w:eastAsia="en-US"/>
        </w:rPr>
        <w:t xml:space="preserve"> nespadají do oblasti hud</w:t>
      </w:r>
      <w:r w:rsidR="009C3B45" w:rsidRPr="007F09E5">
        <w:rPr>
          <w:lang w:eastAsia="en-US"/>
        </w:rPr>
        <w:t>by</w:t>
      </w:r>
      <w:r w:rsidR="00C720AF" w:rsidRPr="007F09E5">
        <w:rPr>
          <w:lang w:eastAsia="en-US"/>
        </w:rPr>
        <w:t>,</w:t>
      </w:r>
      <w:r w:rsidR="009C3B45" w:rsidRPr="007F09E5">
        <w:rPr>
          <w:lang w:eastAsia="en-US"/>
        </w:rPr>
        <w:t xml:space="preserve"> </w:t>
      </w:r>
      <w:r w:rsidRPr="007F09E5">
        <w:rPr>
          <w:lang w:eastAsia="en-US"/>
        </w:rPr>
        <w:t>respektive filmu a videa, ale</w:t>
      </w:r>
      <w:r w:rsidR="008B64EB" w:rsidRPr="007F09E5">
        <w:rPr>
          <w:lang w:eastAsia="en-US"/>
        </w:rPr>
        <w:t> </w:t>
      </w:r>
      <w:r w:rsidRPr="007F09E5">
        <w:rPr>
          <w:lang w:eastAsia="en-US"/>
        </w:rPr>
        <w:t>řadí se do oblasti scénických umění v rámci kulturního sektoru.</w:t>
      </w:r>
    </w:p>
    <w:p w:rsidR="00AF026E" w:rsidRPr="007F09E5" w:rsidRDefault="00BC712A" w:rsidP="00522C16">
      <w:pPr>
        <w:rPr>
          <w:lang w:eastAsia="en-US"/>
        </w:rPr>
      </w:pPr>
      <w:r w:rsidRPr="007F09E5">
        <w:rPr>
          <w:lang w:eastAsia="en-US"/>
        </w:rPr>
        <w:tab/>
      </w:r>
      <w:r w:rsidR="00515293" w:rsidRPr="007F09E5">
        <w:rPr>
          <w:lang w:eastAsia="en-US"/>
        </w:rPr>
        <w:t>Celková zaměstnanost</w:t>
      </w:r>
      <w:r w:rsidR="00F75378" w:rsidRPr="007F09E5">
        <w:rPr>
          <w:lang w:eastAsia="en-US"/>
        </w:rPr>
        <w:t xml:space="preserve"> v kultuře, zohledníme-li kulturní činnosti </w:t>
      </w:r>
      <w:r w:rsidR="00310E42" w:rsidRPr="007F09E5">
        <w:rPr>
          <w:lang w:eastAsia="en-US"/>
        </w:rPr>
        <w:t>CZ-</w:t>
      </w:r>
      <w:r w:rsidR="00F75378" w:rsidRPr="007F09E5">
        <w:rPr>
          <w:lang w:eastAsia="en-US"/>
        </w:rPr>
        <w:t xml:space="preserve">NACE a zaměstnaní </w:t>
      </w:r>
      <w:r w:rsidR="00310E42" w:rsidRPr="007F09E5">
        <w:rPr>
          <w:lang w:eastAsia="en-US"/>
        </w:rPr>
        <w:t>CZ-</w:t>
      </w:r>
      <w:r w:rsidR="00F75378" w:rsidRPr="007F09E5">
        <w:rPr>
          <w:lang w:eastAsia="en-US"/>
        </w:rPr>
        <w:t>ISCO vymezené projektem ESS-</w:t>
      </w:r>
      <w:proofErr w:type="spellStart"/>
      <w:r w:rsidR="00F75378" w:rsidRPr="007F09E5">
        <w:rPr>
          <w:lang w:eastAsia="en-US"/>
        </w:rPr>
        <w:t>net</w:t>
      </w:r>
      <w:proofErr w:type="spellEnd"/>
      <w:r w:rsidR="00F75378" w:rsidRPr="007F09E5">
        <w:rPr>
          <w:lang w:eastAsia="en-US"/>
        </w:rPr>
        <w:t xml:space="preserve"> </w:t>
      </w:r>
      <w:proofErr w:type="spellStart"/>
      <w:r w:rsidR="00F75378" w:rsidRPr="007F09E5">
        <w:rPr>
          <w:lang w:eastAsia="en-US"/>
        </w:rPr>
        <w:t>culture</w:t>
      </w:r>
      <w:proofErr w:type="spellEnd"/>
      <w:r w:rsidR="00F75378" w:rsidRPr="007F09E5">
        <w:rPr>
          <w:lang w:eastAsia="en-US"/>
        </w:rPr>
        <w:t>,</w:t>
      </w:r>
      <w:r w:rsidR="00515293" w:rsidRPr="007F09E5">
        <w:rPr>
          <w:lang w:eastAsia="en-US"/>
        </w:rPr>
        <w:t xml:space="preserve"> </w:t>
      </w:r>
      <w:r w:rsidR="00B92E07" w:rsidRPr="007F09E5">
        <w:rPr>
          <w:lang w:eastAsia="en-US"/>
        </w:rPr>
        <w:t xml:space="preserve">se </w:t>
      </w:r>
      <w:r w:rsidR="00FD15DF" w:rsidRPr="007F09E5">
        <w:rPr>
          <w:lang w:eastAsia="en-US"/>
        </w:rPr>
        <w:t>v roce 2015</w:t>
      </w:r>
      <w:r w:rsidR="00F75378" w:rsidRPr="007F09E5">
        <w:rPr>
          <w:lang w:eastAsia="en-US"/>
        </w:rPr>
        <w:t xml:space="preserve"> mohla pohybovat</w:t>
      </w:r>
      <w:r w:rsidR="00FD15DF" w:rsidRPr="007F09E5">
        <w:rPr>
          <w:lang w:eastAsia="en-US"/>
        </w:rPr>
        <w:t xml:space="preserve"> okolo 224</w:t>
      </w:r>
      <w:r w:rsidR="00B92E07" w:rsidRPr="007F09E5">
        <w:rPr>
          <w:lang w:eastAsia="en-US"/>
        </w:rPr>
        <w:t xml:space="preserve"> tis.</w:t>
      </w:r>
      <w:r w:rsidR="00F75378" w:rsidRPr="007F09E5">
        <w:rPr>
          <w:lang w:eastAsia="en-US"/>
        </w:rPr>
        <w:t xml:space="preserve"> zaměstnaných osob, respektive 4</w:t>
      </w:r>
      <w:r w:rsidR="00FD15DF" w:rsidRPr="007F09E5">
        <w:rPr>
          <w:lang w:eastAsia="en-US"/>
        </w:rPr>
        <w:t xml:space="preserve">,5 </w:t>
      </w:r>
      <w:r w:rsidR="00F75378" w:rsidRPr="007F09E5">
        <w:rPr>
          <w:lang w:eastAsia="en-US"/>
        </w:rPr>
        <w:t xml:space="preserve">% celkové zaměstnanosti. V kulturních </w:t>
      </w:r>
      <w:r w:rsidR="007F46D3" w:rsidRPr="007F09E5">
        <w:rPr>
          <w:lang w:eastAsia="en-US"/>
        </w:rPr>
        <w:t xml:space="preserve">průmyslech </w:t>
      </w:r>
      <w:r w:rsidR="00F75378" w:rsidRPr="007F09E5">
        <w:rPr>
          <w:lang w:eastAsia="en-US"/>
        </w:rPr>
        <w:t>pak podle údajů VŠPS zaměstnanost dosahovala zhr</w:t>
      </w:r>
      <w:r w:rsidR="00FD15DF" w:rsidRPr="007F09E5">
        <w:rPr>
          <w:lang w:eastAsia="en-US"/>
        </w:rPr>
        <w:t>uba 51</w:t>
      </w:r>
      <w:r w:rsidR="00F75378" w:rsidRPr="007F09E5">
        <w:rPr>
          <w:lang w:eastAsia="en-US"/>
        </w:rPr>
        <w:t xml:space="preserve"> tis. zaměstnaných osob, přičemž zdaleka nejvíce z nich </w:t>
      </w:r>
      <w:r w:rsidR="00FD15DF" w:rsidRPr="007F09E5">
        <w:rPr>
          <w:lang w:eastAsia="en-US"/>
        </w:rPr>
        <w:t>(64</w:t>
      </w:r>
      <w:r w:rsidR="00A67DF4" w:rsidRPr="007F09E5">
        <w:rPr>
          <w:lang w:eastAsia="en-US"/>
        </w:rPr>
        <w:t xml:space="preserve"> %) </w:t>
      </w:r>
      <w:r w:rsidR="00F75378" w:rsidRPr="007F09E5">
        <w:rPr>
          <w:lang w:eastAsia="en-US"/>
        </w:rPr>
        <w:t>pracovalo v oblasti knih a tisku.</w:t>
      </w:r>
    </w:p>
    <w:p w:rsidR="00015D27" w:rsidRPr="007F09E5" w:rsidRDefault="00015D27" w:rsidP="00015D27">
      <w:pPr>
        <w:pStyle w:val="Titulek"/>
        <w:keepNext/>
        <w:rPr>
          <w:color w:val="auto"/>
          <w:sz w:val="22"/>
          <w:szCs w:val="22"/>
        </w:rPr>
      </w:pPr>
      <w:bookmarkStart w:id="3" w:name="_Toc464832046"/>
      <w:r w:rsidRPr="007F09E5">
        <w:rPr>
          <w:color w:val="auto"/>
          <w:sz w:val="22"/>
          <w:szCs w:val="22"/>
        </w:rPr>
        <w:t xml:space="preserve">Tabulka </w:t>
      </w:r>
      <w:r w:rsidR="00C2144C" w:rsidRPr="007F09E5">
        <w:rPr>
          <w:color w:val="auto"/>
          <w:sz w:val="22"/>
          <w:szCs w:val="22"/>
        </w:rPr>
        <w:fldChar w:fldCharType="begin"/>
      </w:r>
      <w:r w:rsidRPr="007F09E5">
        <w:rPr>
          <w:color w:val="auto"/>
          <w:sz w:val="22"/>
          <w:szCs w:val="22"/>
        </w:rPr>
        <w:instrText xml:space="preserve"> SEQ Tabulka \* ARABIC </w:instrText>
      </w:r>
      <w:r w:rsidR="00C2144C" w:rsidRPr="007F09E5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3</w:t>
      </w:r>
      <w:r w:rsidR="00C2144C" w:rsidRPr="007F09E5">
        <w:rPr>
          <w:color w:val="auto"/>
          <w:sz w:val="22"/>
          <w:szCs w:val="22"/>
        </w:rPr>
        <w:fldChar w:fldCharType="end"/>
      </w:r>
      <w:r w:rsidR="00AF026E" w:rsidRPr="007F09E5">
        <w:rPr>
          <w:color w:val="auto"/>
          <w:sz w:val="22"/>
          <w:szCs w:val="22"/>
        </w:rPr>
        <w:t xml:space="preserve"> </w:t>
      </w:r>
      <w:r w:rsidR="002D4AB1" w:rsidRPr="007F09E5">
        <w:rPr>
          <w:b w:val="0"/>
          <w:color w:val="auto"/>
          <w:sz w:val="22"/>
          <w:szCs w:val="22"/>
        </w:rPr>
        <w:t>Odhad počtu zaměstn</w:t>
      </w:r>
      <w:r w:rsidR="003725A8" w:rsidRPr="007F09E5">
        <w:rPr>
          <w:b w:val="0"/>
          <w:color w:val="auto"/>
          <w:sz w:val="22"/>
          <w:szCs w:val="22"/>
        </w:rPr>
        <w:t>aných osob v kultuře v roce 2016</w:t>
      </w:r>
      <w:r w:rsidR="002D4AB1" w:rsidRPr="007F09E5">
        <w:rPr>
          <w:b w:val="0"/>
          <w:color w:val="auto"/>
          <w:sz w:val="22"/>
          <w:szCs w:val="22"/>
        </w:rPr>
        <w:t xml:space="preserve"> </w:t>
      </w:r>
      <w:r w:rsidR="00904083" w:rsidRPr="007F09E5">
        <w:rPr>
          <w:b w:val="0"/>
          <w:color w:val="auto"/>
          <w:sz w:val="22"/>
          <w:szCs w:val="22"/>
        </w:rPr>
        <w:t>v tis. osob</w:t>
      </w:r>
      <w:bookmarkEnd w:id="3"/>
      <w:r w:rsidR="002D4AB1" w:rsidRPr="007F09E5">
        <w:rPr>
          <w:b w:val="0"/>
          <w:color w:val="auto"/>
          <w:sz w:val="22"/>
          <w:szCs w:val="22"/>
        </w:rPr>
        <w:t xml:space="preserve">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2126"/>
        <w:gridCol w:w="2126"/>
        <w:gridCol w:w="2410"/>
        <w:gridCol w:w="1134"/>
      </w:tblGrid>
      <w:tr w:rsidR="008E441C" w:rsidRPr="007F09E5" w:rsidTr="00346D58">
        <w:trPr>
          <w:trHeight w:val="603"/>
        </w:trPr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E441C" w:rsidRPr="00346D58" w:rsidRDefault="008E441C" w:rsidP="00D06570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6D58">
              <w:rPr>
                <w:rFonts w:asciiTheme="minorHAnsi" w:hAnsiTheme="minorHAnsi" w:cs="Arial"/>
                <w:b/>
                <w:sz w:val="16"/>
                <w:szCs w:val="16"/>
              </w:rPr>
              <w:t>OBLAST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E441C" w:rsidRPr="00346D58" w:rsidRDefault="008E441C" w:rsidP="00D06570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6D58">
              <w:rPr>
                <w:rFonts w:asciiTheme="minorHAnsi" w:hAnsiTheme="minorHAnsi" w:cs="Arial"/>
                <w:b/>
                <w:sz w:val="16"/>
                <w:szCs w:val="16"/>
              </w:rPr>
              <w:t>POVOLÁNÍ KULT. CHARAKTERU V KULT. ORGANIZACI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E441C" w:rsidRPr="00346D58" w:rsidRDefault="008E441C" w:rsidP="00D06570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6D58">
              <w:rPr>
                <w:rFonts w:asciiTheme="minorHAnsi" w:hAnsiTheme="minorHAnsi" w:cs="Arial"/>
                <w:b/>
                <w:sz w:val="16"/>
                <w:szCs w:val="16"/>
              </w:rPr>
              <w:t>POVOLÁNÍ NEKULT. CHARAKTERU V KULT. ORGANIZACI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E441C" w:rsidRPr="00346D58" w:rsidRDefault="008E441C" w:rsidP="00D06570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6D58">
              <w:rPr>
                <w:rFonts w:asciiTheme="minorHAnsi" w:hAnsiTheme="minorHAnsi" w:cs="Arial"/>
                <w:b/>
                <w:sz w:val="16"/>
                <w:szCs w:val="16"/>
              </w:rPr>
              <w:t>POVOLÁNÍ KULT. CHARAKTERU V NEKULT. ORGANIZACI</w:t>
            </w:r>
            <w:r w:rsidR="00713EB7" w:rsidRPr="00346D58">
              <w:rPr>
                <w:rStyle w:val="Znakapoznpodarou"/>
                <w:rFonts w:asciiTheme="minorHAnsi" w:hAnsiTheme="minorHAnsi" w:cs="Arial"/>
                <w:b/>
                <w:sz w:val="16"/>
                <w:szCs w:val="16"/>
                <w:vertAlign w:val="baseline"/>
              </w:rPr>
              <w:footnoteReference w:id="1"/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E441C" w:rsidRPr="00346D58" w:rsidRDefault="008E441C" w:rsidP="00D06570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6D58">
              <w:rPr>
                <w:rFonts w:asciiTheme="minorHAnsi" w:hAnsiTheme="minorHAnsi" w:cs="Arial"/>
                <w:b/>
                <w:sz w:val="16"/>
                <w:szCs w:val="16"/>
              </w:rPr>
              <w:t>CELKEM</w:t>
            </w:r>
          </w:p>
        </w:tc>
      </w:tr>
      <w:tr w:rsidR="008E441C" w:rsidRPr="007F09E5" w:rsidTr="008E441C">
        <w:trPr>
          <w:trHeight w:val="255"/>
        </w:trPr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2D4AB1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Ku</w:t>
            </w:r>
            <w:r w:rsidR="008E441C" w:rsidRPr="007F09E5">
              <w:rPr>
                <w:rFonts w:asciiTheme="minorHAnsi" w:hAnsiTheme="minorHAnsi" w:cs="Arial"/>
                <w:b/>
                <w:bCs/>
                <w:szCs w:val="20"/>
              </w:rPr>
              <w:t>lturní sektor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42</w:t>
            </w:r>
            <w:r w:rsidR="007F46D3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24</w:t>
            </w:r>
            <w:r w:rsidR="007F46D3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="008E441C" w:rsidRPr="007F09E5">
              <w:rPr>
                <w:rFonts w:asciiTheme="minorHAnsi" w:hAnsiTheme="minorHAnsi" w:cs="Arial"/>
                <w:b/>
                <w:bCs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67,1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Kulturní průmysly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32</w:t>
            </w:r>
            <w:r w:rsidR="007F46D3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18,2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51</w:t>
            </w:r>
          </w:p>
        </w:tc>
      </w:tr>
      <w:tr w:rsidR="00904083" w:rsidRPr="007F09E5" w:rsidTr="007F46D3">
        <w:trPr>
          <w:trHeight w:val="255"/>
        </w:trPr>
        <w:tc>
          <w:tcPr>
            <w:tcW w:w="200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4083" w:rsidRPr="007F09E5" w:rsidRDefault="00904083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Cs/>
                <w:szCs w:val="20"/>
              </w:rPr>
              <w:t>z toho</w:t>
            </w:r>
            <w:r w:rsidR="00A67DF4" w:rsidRPr="007F09E5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="0088598B" w:rsidRPr="007F09E5">
              <w:rPr>
                <w:rFonts w:asciiTheme="minorHAnsi" w:hAnsiTheme="minorHAnsi" w:cs="Arial"/>
                <w:bCs/>
                <w:szCs w:val="20"/>
              </w:rPr>
              <w:t xml:space="preserve">přibližné </w:t>
            </w:r>
            <w:r w:rsidR="00A67DF4" w:rsidRPr="007F09E5">
              <w:rPr>
                <w:rFonts w:asciiTheme="minorHAnsi" w:hAnsiTheme="minorHAnsi" w:cs="Arial"/>
                <w:bCs/>
                <w:szCs w:val="20"/>
              </w:rPr>
              <w:t>podíly jednotlivých odvětví</w:t>
            </w:r>
            <w:r w:rsidRPr="007F09E5">
              <w:rPr>
                <w:rFonts w:asciiTheme="minorHAnsi" w:hAnsiTheme="minorHAnsi" w:cs="Arial"/>
                <w:bCs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4083" w:rsidRPr="007F09E5" w:rsidRDefault="00904083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4083" w:rsidRPr="007F09E5" w:rsidRDefault="00904083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4083" w:rsidRPr="007F09E5" w:rsidRDefault="00904083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4083" w:rsidRPr="007F09E5" w:rsidRDefault="00904083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Film a video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8598B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</w:t>
            </w:r>
            <w:r w:rsidR="003725A8" w:rsidRPr="007F09E5">
              <w:rPr>
                <w:rFonts w:asciiTheme="minorHAnsi" w:hAnsiTheme="minorHAnsi" w:cs="Arial"/>
                <w:szCs w:val="20"/>
              </w:rPr>
              <w:t>8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10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15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Hudba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3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2</w:t>
            </w:r>
            <w:r w:rsidR="0061479E" w:rsidRPr="007F09E5">
              <w:rPr>
                <w:rFonts w:asciiTheme="minorHAnsi" w:hAnsiTheme="minorHAnsi" w:cs="Arial"/>
                <w:szCs w:val="20"/>
              </w:rPr>
              <w:t xml:space="preserve"> </w:t>
            </w:r>
            <w:r w:rsidR="00904083" w:rsidRPr="007F09E5">
              <w:rPr>
                <w:rFonts w:asciiTheme="minorHAnsi" w:hAnsiTheme="minorHAnsi" w:cs="Arial"/>
                <w:szCs w:val="20"/>
              </w:rPr>
              <w:t>%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410E63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2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Rozhlas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12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11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410E63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11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Televize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7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8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410E63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8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Knihy a tisk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60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69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64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Videohry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C05AF7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&lt;1</w:t>
            </w:r>
            <w:r w:rsidR="0061479E" w:rsidRPr="007F09E5">
              <w:rPr>
                <w:rFonts w:asciiTheme="minorHAnsi" w:hAnsiTheme="minorHAnsi" w:cs="Arial"/>
                <w:szCs w:val="20"/>
              </w:rPr>
              <w:t xml:space="preserve"> </w:t>
            </w:r>
            <w:r w:rsidRPr="007F09E5">
              <w:rPr>
                <w:rFonts w:asciiTheme="minorHAnsi" w:hAnsiTheme="minorHAnsi" w:cs="Arial"/>
                <w:szCs w:val="20"/>
              </w:rPr>
              <w:t>%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C05AF7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&lt;1</w:t>
            </w:r>
            <w:r w:rsidR="0061479E" w:rsidRPr="007F09E5">
              <w:rPr>
                <w:rFonts w:asciiTheme="minorHAnsi" w:hAnsiTheme="minorHAnsi" w:cs="Arial"/>
                <w:szCs w:val="20"/>
              </w:rPr>
              <w:t xml:space="preserve"> </w:t>
            </w:r>
            <w:r w:rsidRPr="007F09E5">
              <w:rPr>
                <w:rFonts w:asciiTheme="minorHAnsi" w:hAnsiTheme="minorHAnsi" w:cs="Arial"/>
                <w:szCs w:val="20"/>
              </w:rPr>
              <w:t>%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C05AF7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C05AF7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&lt;1</w:t>
            </w:r>
            <w:r w:rsidR="0061479E" w:rsidRPr="007F09E5">
              <w:rPr>
                <w:rFonts w:asciiTheme="minorHAnsi" w:hAnsiTheme="minorHAnsi" w:cs="Arial"/>
                <w:szCs w:val="20"/>
              </w:rPr>
              <w:t xml:space="preserve"> </w:t>
            </w:r>
            <w:r w:rsidRPr="007F09E5">
              <w:rPr>
                <w:rFonts w:asciiTheme="minorHAnsi" w:hAnsiTheme="minorHAnsi" w:cs="Arial"/>
                <w:szCs w:val="20"/>
              </w:rPr>
              <w:t>%</w:t>
            </w:r>
          </w:p>
        </w:tc>
      </w:tr>
      <w:tr w:rsidR="008E441C" w:rsidRPr="007F09E5" w:rsidTr="00C05AF7">
        <w:trPr>
          <w:trHeight w:val="255"/>
        </w:trPr>
        <w:tc>
          <w:tcPr>
            <w:tcW w:w="200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8E441C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K</w:t>
            </w:r>
            <w:r w:rsidR="00C05AF7" w:rsidRPr="007F09E5">
              <w:rPr>
                <w:rFonts w:asciiTheme="minorHAnsi" w:hAnsiTheme="minorHAnsi" w:cs="Arial"/>
                <w:b/>
                <w:bCs/>
                <w:szCs w:val="20"/>
              </w:rPr>
              <w:t>reativní</w:t>
            </w: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 xml:space="preserve"> průmysly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19</w:t>
            </w:r>
            <w:r w:rsidR="007F46D3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41</w:t>
            </w:r>
            <w:r w:rsidR="00D90902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="00904083" w:rsidRPr="007F09E5">
              <w:rPr>
                <w:rFonts w:asciiTheme="minorHAnsi" w:hAnsiTheme="minorHAnsi" w:cs="Arial"/>
                <w:b/>
                <w:bCs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61</w:t>
            </w:r>
            <w:r w:rsidR="00904083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6</w:t>
            </w:r>
          </w:p>
        </w:tc>
      </w:tr>
      <w:tr w:rsidR="00C05AF7" w:rsidRPr="007F09E5" w:rsidTr="00C05AF7">
        <w:trPr>
          <w:trHeight w:val="225"/>
        </w:trPr>
        <w:tc>
          <w:tcPr>
            <w:tcW w:w="20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5AF7" w:rsidRPr="007F09E5" w:rsidRDefault="00C05AF7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szCs w:val="20"/>
              </w:rPr>
              <w:t>CELKEM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5AF7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szCs w:val="20"/>
              </w:rPr>
              <w:t>95</w:t>
            </w:r>
            <w:r w:rsidR="00C05AF7" w:rsidRPr="007F09E5">
              <w:rPr>
                <w:rFonts w:asciiTheme="minorHAnsi" w:hAnsiTheme="minorHAnsi" w:cs="Arial"/>
                <w:b/>
                <w:szCs w:val="20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5AF7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szCs w:val="20"/>
              </w:rPr>
              <w:t>84</w:t>
            </w:r>
            <w:r w:rsidR="0061479E" w:rsidRPr="007F09E5">
              <w:rPr>
                <w:rFonts w:asciiTheme="minorHAnsi" w:hAnsiTheme="minorHAnsi" w:cs="Arial"/>
                <w:b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5AF7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szCs w:val="20"/>
              </w:rPr>
              <w:t>44</w:t>
            </w:r>
            <w:r w:rsidR="00C05AF7" w:rsidRPr="007F09E5">
              <w:rPr>
                <w:rFonts w:asciiTheme="minorHAnsi" w:hAnsiTheme="minorHAnsi" w:cs="Arial"/>
                <w:b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5AF7" w:rsidRPr="007F09E5" w:rsidRDefault="003725A8" w:rsidP="00311A0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szCs w:val="20"/>
              </w:rPr>
              <w:t>224</w:t>
            </w:r>
            <w:r w:rsidR="00C05AF7" w:rsidRPr="007F09E5">
              <w:rPr>
                <w:rFonts w:asciiTheme="minorHAnsi" w:hAnsiTheme="minorHAnsi" w:cs="Arial"/>
                <w:b/>
                <w:szCs w:val="20"/>
              </w:rPr>
              <w:t>,4</w:t>
            </w:r>
          </w:p>
        </w:tc>
      </w:tr>
    </w:tbl>
    <w:p w:rsidR="00522C16" w:rsidRPr="007F09E5" w:rsidRDefault="00812056" w:rsidP="00812056">
      <w:pPr>
        <w:spacing w:before="120"/>
        <w:rPr>
          <w:rFonts w:asciiTheme="minorHAnsi" w:hAnsiTheme="minorHAnsi"/>
          <w:sz w:val="22"/>
          <w:szCs w:val="22"/>
          <w:lang w:eastAsia="en-US"/>
        </w:rPr>
      </w:pPr>
      <w:r w:rsidRPr="007F09E5">
        <w:rPr>
          <w:rFonts w:asciiTheme="minorHAnsi" w:hAnsiTheme="minorHAnsi"/>
          <w:sz w:val="22"/>
          <w:szCs w:val="22"/>
          <w:lang w:eastAsia="en-US"/>
        </w:rPr>
        <w:t xml:space="preserve">Zdroj: </w:t>
      </w:r>
      <w:r w:rsidR="001E3995" w:rsidRPr="007F09E5">
        <w:rPr>
          <w:rFonts w:asciiTheme="minorHAnsi" w:hAnsiTheme="minorHAnsi"/>
          <w:sz w:val="22"/>
          <w:szCs w:val="22"/>
          <w:lang w:eastAsia="en-US"/>
        </w:rPr>
        <w:t>V</w:t>
      </w:r>
      <w:r w:rsidR="00F33F97" w:rsidRPr="007F09E5">
        <w:rPr>
          <w:rFonts w:asciiTheme="minorHAnsi" w:hAnsiTheme="minorHAnsi"/>
          <w:sz w:val="22"/>
          <w:szCs w:val="22"/>
          <w:lang w:eastAsia="en-US"/>
        </w:rPr>
        <w:t>ýběrové šetření pracovních sil, ČSÚ</w:t>
      </w:r>
    </w:p>
    <w:p w:rsidR="006A0EA1" w:rsidRPr="007F09E5" w:rsidRDefault="00D06570" w:rsidP="00D06570">
      <w:pPr>
        <w:pStyle w:val="Nadpis2"/>
        <w:numPr>
          <w:ilvl w:val="1"/>
          <w:numId w:val="17"/>
        </w:numPr>
        <w:rPr>
          <w:sz w:val="32"/>
          <w:szCs w:val="28"/>
        </w:rPr>
      </w:pPr>
      <w:bookmarkStart w:id="4" w:name="_Toc463969175"/>
      <w:bookmarkStart w:id="5" w:name="_Toc465253885"/>
      <w:r w:rsidRPr="007F09E5">
        <w:rPr>
          <w:sz w:val="32"/>
          <w:szCs w:val="28"/>
        </w:rPr>
        <w:lastRenderedPageBreak/>
        <w:t>SPOTŘEBITELSKÉ CHOVÁNÍ</w:t>
      </w:r>
      <w:bookmarkEnd w:id="4"/>
      <w:bookmarkEnd w:id="5"/>
    </w:p>
    <w:p w:rsidR="00BB64DB" w:rsidRPr="007F09E5" w:rsidRDefault="00D06570" w:rsidP="00B414F8">
      <w:r w:rsidRPr="007F09E5">
        <w:t xml:space="preserve">Specifika chování spotřebitelů lze zachytit z několika pohledů. </w:t>
      </w:r>
      <w:r w:rsidR="009C3B45" w:rsidRPr="007F09E5">
        <w:t>Národní účty</w:t>
      </w:r>
      <w:r w:rsidR="0088598B" w:rsidRPr="007F09E5">
        <w:t xml:space="preserve"> ČSÚ přináší mimo jiné </w:t>
      </w:r>
      <w:r w:rsidRPr="007F09E5">
        <w:t>údaje o</w:t>
      </w:r>
      <w:r w:rsidR="00F95D6D" w:rsidRPr="007F09E5">
        <w:t> </w:t>
      </w:r>
      <w:r w:rsidRPr="007F09E5">
        <w:t xml:space="preserve">tom, kolik spotřebitelé ročně vydají za určité zboží a služby. V rámci použité klasifikace COICOP </w:t>
      </w:r>
      <w:r w:rsidR="005D1B6C" w:rsidRPr="007F09E5">
        <w:t>je možné</w:t>
      </w:r>
      <w:r w:rsidRPr="007F09E5">
        <w:t xml:space="preserve"> </w:t>
      </w:r>
      <w:r w:rsidR="005D1B6C" w:rsidRPr="007F09E5">
        <w:t>vyčlenit jen několik druhů</w:t>
      </w:r>
      <w:r w:rsidRPr="007F09E5">
        <w:t xml:space="preserve"> zboží a služeb, které by </w:t>
      </w:r>
      <w:r w:rsidR="005D1B6C" w:rsidRPr="007F09E5">
        <w:t>svou povahou spadaly do</w:t>
      </w:r>
      <w:r w:rsidRPr="007F09E5">
        <w:t xml:space="preserve"> odvětví kulturních průmyslů.</w:t>
      </w:r>
      <w:r w:rsidR="00BB64DB" w:rsidRPr="007F09E5">
        <w:t xml:space="preserve"> </w:t>
      </w:r>
      <w:r w:rsidR="00E86BBC" w:rsidRPr="007F09E5">
        <w:t>Přehled výdajů spotřebitelů na vybrané produkty zachycuje</w:t>
      </w:r>
      <w:r w:rsidR="00B414F8" w:rsidRPr="007F09E5">
        <w:t xml:space="preserve"> </w:t>
      </w:r>
      <w:r w:rsidR="00E86BBC" w:rsidRPr="007F09E5">
        <w:t xml:space="preserve">Graf </w:t>
      </w:r>
      <w:r w:rsidR="002F7B33" w:rsidRPr="007F09E5">
        <w:t>3</w:t>
      </w:r>
      <w:r w:rsidR="00E86BBC" w:rsidRPr="007F09E5">
        <w:t>. V</w:t>
      </w:r>
      <w:r w:rsidR="00BB64DB" w:rsidRPr="007F09E5">
        <w:t> rá</w:t>
      </w:r>
      <w:r w:rsidR="00F72FAA" w:rsidRPr="007F09E5">
        <w:t>mci sledovaných kategorií vydaly</w:t>
      </w:r>
      <w:r w:rsidR="00BB64DB" w:rsidRPr="007F09E5">
        <w:t xml:space="preserve"> </w:t>
      </w:r>
      <w:r w:rsidR="00F72FAA" w:rsidRPr="007F09E5">
        <w:t>domácnosti</w:t>
      </w:r>
      <w:r w:rsidR="00BB64DB" w:rsidRPr="007F09E5">
        <w:t xml:space="preserve"> </w:t>
      </w:r>
      <w:r w:rsidR="00056176" w:rsidRPr="007F09E5">
        <w:t>v roce 2016</w:t>
      </w:r>
      <w:r w:rsidR="00F72FAA" w:rsidRPr="007F09E5">
        <w:t xml:space="preserve"> </w:t>
      </w:r>
      <w:r w:rsidR="00BB64DB" w:rsidRPr="007F09E5">
        <w:t xml:space="preserve">nejvíce prostředků na produkty a služby </w:t>
      </w:r>
      <w:r w:rsidR="00F72FAA" w:rsidRPr="007F09E5">
        <w:t>rozhla</w:t>
      </w:r>
      <w:r w:rsidR="00CB5E1F" w:rsidRPr="007F09E5">
        <w:t>su a televize</w:t>
      </w:r>
      <w:r w:rsidR="00E86BBC" w:rsidRPr="007F09E5">
        <w:t>, nejméně pak za fyzické hudební či filmové nosiče</w:t>
      </w:r>
      <w:r w:rsidR="00CB5E1F" w:rsidRPr="007F09E5">
        <w:t>.</w:t>
      </w:r>
      <w:r w:rsidR="00E86BBC" w:rsidRPr="007F09E5">
        <w:t xml:space="preserve"> Údaje o výdajích za rozhlas a televizi jsou </w:t>
      </w:r>
      <w:r w:rsidR="00953DCA" w:rsidRPr="007F09E5">
        <w:t>očištěny o koncesionářské poplatky</w:t>
      </w:r>
      <w:r w:rsidR="00E73B1B">
        <w:t xml:space="preserve"> (</w:t>
      </w:r>
      <w:r w:rsidR="00E73B1B" w:rsidRPr="007F09E5">
        <w:t>tvoří</w:t>
      </w:r>
      <w:r w:rsidR="00E73B1B">
        <w:t xml:space="preserve"> je</w:t>
      </w:r>
      <w:r w:rsidR="00E73B1B" w:rsidRPr="007F09E5">
        <w:t xml:space="preserve"> z velké části výdaje za služby zprostředkovatelům televizního a rozhlasového vysílání</w:t>
      </w:r>
      <w:r w:rsidR="00E73B1B">
        <w:t>)</w:t>
      </w:r>
      <w:r w:rsidR="00953DCA" w:rsidRPr="007F09E5">
        <w:t>.</w:t>
      </w:r>
      <w:r w:rsidR="00CB5E1F" w:rsidRPr="007F09E5">
        <w:t xml:space="preserve"> </w:t>
      </w:r>
      <w:r w:rsidR="00B54975" w:rsidRPr="007F09E5">
        <w:t>V </w:t>
      </w:r>
      <w:r w:rsidR="00CB5E1F" w:rsidRPr="007F09E5">
        <w:t>oblasti knih</w:t>
      </w:r>
      <w:r w:rsidR="00F72FAA" w:rsidRPr="007F09E5">
        <w:t xml:space="preserve"> a</w:t>
      </w:r>
      <w:r w:rsidR="00CB5E1F" w:rsidRPr="007F09E5">
        <w:t xml:space="preserve"> tisku pak spotřebitelé utratili</w:t>
      </w:r>
      <w:r w:rsidR="00BB64DB" w:rsidRPr="007F09E5">
        <w:t xml:space="preserve"> více prostředků za periodický tisk (časopisy a noviny) než za knihy</w:t>
      </w:r>
      <w:r w:rsidR="00E86BBC" w:rsidRPr="007F09E5">
        <w:t>.</w:t>
      </w:r>
    </w:p>
    <w:p w:rsidR="00BB64DB" w:rsidRPr="007F09E5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3</w:t>
      </w:r>
      <w:r w:rsidR="002F7B33" w:rsidRPr="007F09E5">
        <w:rPr>
          <w:color w:val="000000" w:themeColor="text1"/>
          <w:sz w:val="22"/>
          <w:szCs w:val="22"/>
        </w:rPr>
        <w:t xml:space="preserve"> </w:t>
      </w:r>
      <w:r w:rsidRPr="007F09E5">
        <w:rPr>
          <w:b w:val="0"/>
          <w:color w:val="000000" w:themeColor="text1"/>
          <w:sz w:val="22"/>
          <w:szCs w:val="22"/>
        </w:rPr>
        <w:t xml:space="preserve">Výdaje domácností na zboží </w:t>
      </w:r>
      <w:r w:rsidR="00F72FAA" w:rsidRPr="007F09E5">
        <w:rPr>
          <w:b w:val="0"/>
          <w:color w:val="000000" w:themeColor="text1"/>
          <w:sz w:val="22"/>
          <w:szCs w:val="22"/>
        </w:rPr>
        <w:t xml:space="preserve">a služby </w:t>
      </w:r>
      <w:r w:rsidRPr="007F09E5">
        <w:rPr>
          <w:b w:val="0"/>
          <w:color w:val="000000" w:themeColor="text1"/>
          <w:sz w:val="22"/>
          <w:szCs w:val="22"/>
        </w:rPr>
        <w:t>k</w:t>
      </w:r>
      <w:r w:rsidR="00954561" w:rsidRPr="007F09E5">
        <w:rPr>
          <w:b w:val="0"/>
          <w:color w:val="000000" w:themeColor="text1"/>
          <w:sz w:val="22"/>
          <w:szCs w:val="22"/>
        </w:rPr>
        <w:t xml:space="preserve">ulturního charakteru </w:t>
      </w:r>
      <w:r w:rsidR="00D97A1E">
        <w:rPr>
          <w:b w:val="0"/>
          <w:color w:val="000000" w:themeColor="text1"/>
          <w:sz w:val="22"/>
          <w:szCs w:val="22"/>
        </w:rPr>
        <w:t>v letech</w:t>
      </w:r>
      <w:r w:rsidR="00BA5682" w:rsidRPr="007F09E5">
        <w:rPr>
          <w:b w:val="0"/>
          <w:color w:val="000000" w:themeColor="text1"/>
          <w:sz w:val="22"/>
          <w:szCs w:val="22"/>
        </w:rPr>
        <w:t xml:space="preserve"> 2015 a 2016</w:t>
      </w:r>
      <w:r w:rsidRPr="007F09E5">
        <w:rPr>
          <w:b w:val="0"/>
          <w:color w:val="000000" w:themeColor="text1"/>
          <w:sz w:val="22"/>
          <w:szCs w:val="22"/>
        </w:rPr>
        <w:t xml:space="preserve"> </w:t>
      </w:r>
      <w:r w:rsidR="00BA5682" w:rsidRPr="007F09E5">
        <w:rPr>
          <w:b w:val="0"/>
          <w:color w:val="000000" w:themeColor="text1"/>
          <w:sz w:val="22"/>
          <w:szCs w:val="22"/>
        </w:rPr>
        <w:t>(v mld</w:t>
      </w:r>
      <w:r w:rsidRPr="007F09E5">
        <w:rPr>
          <w:b w:val="0"/>
          <w:color w:val="000000" w:themeColor="text1"/>
          <w:sz w:val="22"/>
          <w:szCs w:val="22"/>
        </w:rPr>
        <w:t>. Kč)</w:t>
      </w:r>
    </w:p>
    <w:p w:rsidR="00BB64DB" w:rsidRPr="007F09E5" w:rsidRDefault="006C19DE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4810125" cy="2743200"/>
            <wp:effectExtent l="0" t="0" r="0" b="0"/>
            <wp:docPr id="30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64DB" w:rsidRPr="007F09E5" w:rsidRDefault="005719E1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>Zdroj: Národní účty</w:t>
      </w:r>
      <w:r w:rsidR="00BB64DB" w:rsidRPr="007F09E5">
        <w:rPr>
          <w:b w:val="0"/>
          <w:color w:val="000000" w:themeColor="text1"/>
          <w:sz w:val="22"/>
          <w:szCs w:val="22"/>
        </w:rPr>
        <w:t>, ČSÚ</w:t>
      </w:r>
    </w:p>
    <w:p w:rsidR="00BB64DB" w:rsidRPr="007F09E5" w:rsidRDefault="00BB64DB" w:rsidP="00BB64DB">
      <w:r w:rsidRPr="007F09E5">
        <w:t xml:space="preserve">Dalším </w:t>
      </w:r>
      <w:r w:rsidR="00231FC7" w:rsidRPr="007F09E5">
        <w:t xml:space="preserve">zkoumaným </w:t>
      </w:r>
      <w:r w:rsidRPr="007F09E5">
        <w:t xml:space="preserve">ukazatelem zachycujícím spotřebitelské chování je participace </w:t>
      </w:r>
      <w:r w:rsidR="00D97A1E">
        <w:t>v</w:t>
      </w:r>
      <w:r w:rsidRPr="007F09E5">
        <w:t xml:space="preserve"> kulturních aktivitách. Vzhledem ke změnám spotřebit</w:t>
      </w:r>
      <w:r w:rsidR="00CB5E1F" w:rsidRPr="007F09E5">
        <w:t>elského chování, které proběhly</w:t>
      </w:r>
      <w:r w:rsidRPr="007F09E5">
        <w:t xml:space="preserve"> ve všech sledovaných oblastech v </w:t>
      </w:r>
      <w:r w:rsidR="00CB5E1F" w:rsidRPr="007F09E5">
        <w:t>posledních dekádách a které byly</w:t>
      </w:r>
      <w:r w:rsidRPr="007F09E5">
        <w:t xml:space="preserve"> jednoznačně ovlivněné digitalizací a masovým roz</w:t>
      </w:r>
      <w:r w:rsidR="00CB5E1F" w:rsidRPr="007F09E5">
        <w:t>šířením internetu, bude tato analýza v rámci kulturní participace</w:t>
      </w:r>
      <w:r w:rsidRPr="007F09E5">
        <w:t xml:space="preserve"> </w:t>
      </w:r>
      <w:r w:rsidR="00CB5E1F" w:rsidRPr="007F09E5">
        <w:t>sledovat zejména</w:t>
      </w:r>
      <w:r w:rsidRPr="007F09E5">
        <w:t xml:space="preserve"> využití internetu pro kulturní aktivity.</w:t>
      </w:r>
      <w:r w:rsidR="00F72FAA" w:rsidRPr="007F09E5">
        <w:t xml:space="preserve"> Jako</w:t>
      </w:r>
      <w:r w:rsidR="00F95D6D" w:rsidRPr="007F09E5">
        <w:t> </w:t>
      </w:r>
      <w:r w:rsidR="00F72FAA" w:rsidRPr="007F09E5">
        <w:t>hlavní zdroj</w:t>
      </w:r>
      <w:r w:rsidRPr="007F09E5">
        <w:t xml:space="preserve"> dat zachycující měnící se spotřebitelské návyky je použito šetření ČSÚ s názvem Využívání informačních a komunikačních technologií v domácnostech a mezi jednotlivci</w:t>
      </w:r>
      <w:r w:rsidRPr="007F09E5">
        <w:rPr>
          <w:i/>
        </w:rPr>
        <w:t xml:space="preserve"> </w:t>
      </w:r>
      <w:r w:rsidRPr="007F09E5">
        <w:t>(VŠIT). Výstupy</w:t>
      </w:r>
      <w:r w:rsidR="00313494" w:rsidRPr="007F09E5">
        <w:t> </w:t>
      </w:r>
      <w:r w:rsidRPr="007F09E5">
        <w:t>z toho</w:t>
      </w:r>
      <w:r w:rsidR="00DE4E41" w:rsidRPr="007F09E5">
        <w:t>to</w:t>
      </w:r>
      <w:r w:rsidRPr="007F09E5">
        <w:t xml:space="preserve"> šetření</w:t>
      </w:r>
      <w:r w:rsidR="00F72FAA" w:rsidRPr="007F09E5">
        <w:t xml:space="preserve"> jsou pořizovány</w:t>
      </w:r>
      <w:r w:rsidRPr="007F09E5">
        <w:t xml:space="preserve"> dle ucelené mezinárodní metodiky a umožňují mezinárodní srovnání stejně jako vytvoření delší</w:t>
      </w:r>
      <w:r w:rsidR="0088598B" w:rsidRPr="007F09E5">
        <w:t xml:space="preserve"> časové řady. Šetření VŠIT </w:t>
      </w:r>
      <w:r w:rsidRPr="007F09E5">
        <w:t>není</w:t>
      </w:r>
      <w:r w:rsidR="0088598B" w:rsidRPr="007F09E5">
        <w:t xml:space="preserve"> primárně zaměřené na zachycení spotřebitelských trendů</w:t>
      </w:r>
      <w:r w:rsidRPr="007F09E5">
        <w:t xml:space="preserve"> probíhající</w:t>
      </w:r>
      <w:r w:rsidR="0088598B" w:rsidRPr="007F09E5">
        <w:t xml:space="preserve">ch </w:t>
      </w:r>
      <w:r w:rsidRPr="007F09E5">
        <w:t>v audiovizuálním a mediálním sektoru, přesto poskytuje zajímavou reflexi změn spotřebitelského chování ve vybraných oblastech.</w:t>
      </w:r>
      <w:r w:rsidR="008018B7" w:rsidRPr="007F09E5">
        <w:t xml:space="preserve"> Údaje z tohoto šetření vypovídají o aktivitách jednotlivců</w:t>
      </w:r>
      <w:r w:rsidR="00856B6A" w:rsidRPr="007F09E5">
        <w:t xml:space="preserve"> starších 16 let</w:t>
      </w:r>
      <w:r w:rsidR="008018B7" w:rsidRPr="007F09E5">
        <w:t xml:space="preserve"> v posledních 3 měsících za sledované období.</w:t>
      </w:r>
      <w:r w:rsidRPr="007F09E5">
        <w:t xml:space="preserve"> Závěry </w:t>
      </w:r>
      <w:r w:rsidR="00DE4E41" w:rsidRPr="007F09E5">
        <w:t>z </w:t>
      </w:r>
      <w:r w:rsidRPr="007F09E5">
        <w:t>šetření</w:t>
      </w:r>
      <w:r w:rsidR="00DE4E41" w:rsidRPr="007F09E5">
        <w:t xml:space="preserve"> VŠIT</w:t>
      </w:r>
      <w:r w:rsidRPr="007F09E5">
        <w:t xml:space="preserve"> pak budou doplněny o</w:t>
      </w:r>
      <w:r w:rsidR="00F95D6D" w:rsidRPr="007F09E5">
        <w:t> </w:t>
      </w:r>
      <w:r w:rsidRPr="007F09E5">
        <w:t>poznatky z výzkumů zaměřujících se přímo na audiovizuální a mediální sektor prováděných zavedenými soukromými a výzkumnými organizacemi</w:t>
      </w:r>
      <w:r w:rsidR="00DB2C93" w:rsidRPr="007F09E5">
        <w:t>.</w:t>
      </w:r>
    </w:p>
    <w:p w:rsidR="00BB64DB" w:rsidRPr="007F09E5" w:rsidRDefault="00DB2C93" w:rsidP="00BB64DB">
      <w:pPr>
        <w:ind w:firstLine="708"/>
      </w:pPr>
      <w:r w:rsidRPr="007F09E5">
        <w:t xml:space="preserve">Jak je patrné z Grafu </w:t>
      </w:r>
      <w:r w:rsidR="002F7B33" w:rsidRPr="007F09E5">
        <w:t>4</w:t>
      </w:r>
      <w:r w:rsidRPr="007F09E5">
        <w:t xml:space="preserve">, </w:t>
      </w:r>
      <w:r w:rsidR="00BB64DB" w:rsidRPr="007F09E5">
        <w:t xml:space="preserve">internet </w:t>
      </w:r>
      <w:r w:rsidR="00856B6A" w:rsidRPr="007F09E5">
        <w:t xml:space="preserve">byl </w:t>
      </w:r>
      <w:r w:rsidR="00BB64DB" w:rsidRPr="007F09E5">
        <w:t>v rám</w:t>
      </w:r>
      <w:r w:rsidR="005B63CE" w:rsidRPr="007F09E5">
        <w:t>ci kulturních aktivit v roc</w:t>
      </w:r>
      <w:r w:rsidR="009E7516" w:rsidRPr="007F09E5">
        <w:t>e 2016</w:t>
      </w:r>
      <w:r w:rsidR="00BB64DB" w:rsidRPr="007F09E5">
        <w:t xml:space="preserve"> nejčastěji používán pro účely čtení online zpravodajství a časopisů</w:t>
      </w:r>
      <w:r w:rsidR="00D91ACB">
        <w:t xml:space="preserve"> (k těmto účelům jej využilo 62 </w:t>
      </w:r>
      <w:r w:rsidR="00D91ACB">
        <w:rPr>
          <w:lang w:val="en-US"/>
        </w:rPr>
        <w:t>% populace</w:t>
      </w:r>
      <w:r w:rsidR="00D91ACB">
        <w:t>)</w:t>
      </w:r>
      <w:r w:rsidR="00BB64DB" w:rsidRPr="007F09E5">
        <w:t xml:space="preserve">. </w:t>
      </w:r>
      <w:r w:rsidR="00CB5E1F" w:rsidRPr="007F09E5">
        <w:t xml:space="preserve">Druhou </w:t>
      </w:r>
      <w:r w:rsidR="00CB5E1F" w:rsidRPr="007F09E5">
        <w:lastRenderedPageBreak/>
        <w:t>nejrozšířenější aktivitou</w:t>
      </w:r>
      <w:r w:rsidR="00D97A1E">
        <w:t xml:space="preserve">, které se </w:t>
      </w:r>
      <w:r w:rsidR="009E7516" w:rsidRPr="007F09E5">
        <w:t>v roce 2016</w:t>
      </w:r>
      <w:r w:rsidR="00BB64DB" w:rsidRPr="007F09E5">
        <w:t xml:space="preserve"> </w:t>
      </w:r>
      <w:r w:rsidR="009E7516" w:rsidRPr="007F09E5">
        <w:t>věnovalo 48</w:t>
      </w:r>
      <w:r w:rsidR="005B63CE" w:rsidRPr="007F09E5">
        <w:t xml:space="preserve"> %</w:t>
      </w:r>
      <w:r w:rsidR="00BB64DB" w:rsidRPr="007F09E5">
        <w:t xml:space="preserve"> populace, </w:t>
      </w:r>
      <w:r w:rsidR="001471DB" w:rsidRPr="007F09E5">
        <w:t>bylo</w:t>
      </w:r>
      <w:r w:rsidR="009E7516" w:rsidRPr="007F09E5">
        <w:t xml:space="preserve"> sledování filmů nebo vide</w:t>
      </w:r>
      <w:r w:rsidR="004B70AD" w:rsidRPr="007F09E5">
        <w:t>í</w:t>
      </w:r>
      <w:r w:rsidR="00BB64DB" w:rsidRPr="007F09E5">
        <w:t xml:space="preserve">. Zmíněné údaje se budou lišit při rozdělení podle věkových kategorií, kdy mladší lidé všeobecně používají internet častěji než starší generace. Detailnější </w:t>
      </w:r>
      <w:r w:rsidR="005B63CE" w:rsidRPr="007F09E5">
        <w:t xml:space="preserve">a podrobněji rozdělené </w:t>
      </w:r>
      <w:r w:rsidR="00BB64DB" w:rsidRPr="007F09E5">
        <w:t>výstupy budou prezentovány v kapitolách věnujících se konkrétním oblastem.</w:t>
      </w:r>
    </w:p>
    <w:p w:rsidR="00BB64DB" w:rsidRPr="007F09E5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4</w:t>
      </w:r>
      <w:r w:rsidRPr="007F09E5">
        <w:rPr>
          <w:color w:val="000000" w:themeColor="text1"/>
          <w:sz w:val="22"/>
          <w:szCs w:val="22"/>
        </w:rPr>
        <w:t xml:space="preserve"> </w:t>
      </w:r>
      <w:r w:rsidR="006405DE" w:rsidRPr="007F09E5">
        <w:rPr>
          <w:b w:val="0"/>
          <w:color w:val="000000" w:themeColor="text1"/>
          <w:sz w:val="22"/>
          <w:szCs w:val="22"/>
        </w:rPr>
        <w:t xml:space="preserve">Míra využití internetu ke kulturním aktivitám mezi jednotlivci ve věku 16+ </w:t>
      </w:r>
      <w:r w:rsidRPr="007F09E5">
        <w:rPr>
          <w:b w:val="0"/>
          <w:color w:val="000000" w:themeColor="text1"/>
          <w:sz w:val="22"/>
          <w:szCs w:val="22"/>
        </w:rPr>
        <w:t>v</w:t>
      </w:r>
      <w:r w:rsidR="00EB1BA9" w:rsidRPr="007F09E5">
        <w:rPr>
          <w:b w:val="0"/>
          <w:color w:val="000000" w:themeColor="text1"/>
          <w:sz w:val="22"/>
          <w:szCs w:val="22"/>
        </w:rPr>
        <w:t xml:space="preserve"> roce 2016</w:t>
      </w:r>
    </w:p>
    <w:p w:rsidR="00BB64DB" w:rsidRPr="007F09E5" w:rsidRDefault="00EB1BA9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4638675" cy="2105025"/>
            <wp:effectExtent l="0" t="0" r="0" b="0"/>
            <wp:docPr id="2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 xml:space="preserve">Zdroj: </w:t>
      </w:r>
      <w:r w:rsidR="006405DE" w:rsidRPr="007F09E5">
        <w:rPr>
          <w:b w:val="0"/>
          <w:color w:val="000000" w:themeColor="text1"/>
          <w:sz w:val="22"/>
          <w:szCs w:val="22"/>
        </w:rPr>
        <w:t>VŠIT, ČSÚ</w:t>
      </w:r>
    </w:p>
    <w:p w:rsidR="00BB64DB" w:rsidRPr="007F09E5" w:rsidRDefault="00BB64DB" w:rsidP="00BB64DB">
      <w:r w:rsidRPr="007F09E5">
        <w:t>Kultur</w:t>
      </w:r>
      <w:r w:rsidR="001471DB" w:rsidRPr="007F09E5">
        <w:t xml:space="preserve">ní participaci </w:t>
      </w:r>
      <w:r w:rsidR="00B508F7" w:rsidRPr="007F09E5">
        <w:t>uživatelů audiovizuálních služeb</w:t>
      </w:r>
      <w:r w:rsidR="001471DB" w:rsidRPr="007F09E5">
        <w:t xml:space="preserve"> </w:t>
      </w:r>
      <w:r w:rsidRPr="007F09E5">
        <w:t>nad rámec využití internetu zkoumá studie</w:t>
      </w:r>
      <w:r w:rsidR="001471DB" w:rsidRPr="007F09E5">
        <w:t xml:space="preserve"> Audiovizuální trh v ČR. Ta</w:t>
      </w:r>
      <w:r w:rsidR="002A32D6" w:rsidRPr="007F09E5">
        <w:t xml:space="preserve"> je založena na </w:t>
      </w:r>
      <w:r w:rsidRPr="007F09E5">
        <w:t>šetření</w:t>
      </w:r>
      <w:r w:rsidR="002A32D6" w:rsidRPr="007F09E5">
        <w:t xml:space="preserve"> realizovaném</w:t>
      </w:r>
      <w:r w:rsidRPr="007F09E5">
        <w:t xml:space="preserve"> společnost</w:t>
      </w:r>
      <w:r w:rsidR="002A32D6" w:rsidRPr="007F09E5">
        <w:t>í</w:t>
      </w:r>
      <w:r w:rsidRPr="007F09E5">
        <w:t xml:space="preserve"> </w:t>
      </w:r>
      <w:proofErr w:type="spellStart"/>
      <w:r w:rsidRPr="007F09E5">
        <w:rPr>
          <w:i/>
        </w:rPr>
        <w:t>Millward</w:t>
      </w:r>
      <w:proofErr w:type="spellEnd"/>
      <w:r w:rsidRPr="007F09E5">
        <w:rPr>
          <w:i/>
        </w:rPr>
        <w:t xml:space="preserve"> Brown</w:t>
      </w:r>
      <w:r w:rsidRPr="007F09E5">
        <w:t xml:space="preserve"> pro Asociaci producentů v audiovizi v roce 2014 na reprezentativním vzorku </w:t>
      </w:r>
      <w:r w:rsidR="00B508F7" w:rsidRPr="007F09E5">
        <w:t>uživatelů audiovizuálních služeb</w:t>
      </w:r>
      <w:r w:rsidRPr="007F09E5">
        <w:t xml:space="preserve"> </w:t>
      </w:r>
      <w:r w:rsidR="002A32D6" w:rsidRPr="007F09E5">
        <w:t>ve věkovém rozmezí 15</w:t>
      </w:r>
      <w:r w:rsidR="00F95D6D" w:rsidRPr="007F09E5">
        <w:t> </w:t>
      </w:r>
      <w:r w:rsidR="002A32D6" w:rsidRPr="007F09E5">
        <w:t>– 70 let.</w:t>
      </w:r>
      <w:r w:rsidR="00B508F7" w:rsidRPr="007F09E5">
        <w:t xml:space="preserve"> Výzkum se vztahuje pouze na jedince, kteří v posledním roce </w:t>
      </w:r>
      <w:r w:rsidR="00856B6A" w:rsidRPr="007F09E5">
        <w:t xml:space="preserve">zaplatili za audiovizuální obsah </w:t>
      </w:r>
      <w:r w:rsidR="00B508F7" w:rsidRPr="007F09E5">
        <w:t>(např.</w:t>
      </w:r>
      <w:r w:rsidR="00856B6A" w:rsidRPr="007F09E5">
        <w:t xml:space="preserve"> zakoupili</w:t>
      </w:r>
      <w:r w:rsidR="00B508F7" w:rsidRPr="007F09E5">
        <w:t xml:space="preserve"> lístek do kina, DVD apod.)</w:t>
      </w:r>
      <w:r w:rsidR="00DE4E41" w:rsidRPr="007F09E5">
        <w:t>.</w:t>
      </w:r>
      <w:r w:rsidR="00B508F7" w:rsidRPr="007F09E5">
        <w:t xml:space="preserve"> </w:t>
      </w:r>
      <w:r w:rsidR="00DE4E41" w:rsidRPr="007F09E5">
        <w:t>P</w:t>
      </w:r>
      <w:r w:rsidR="00B508F7" w:rsidRPr="007F09E5">
        <w:t xml:space="preserve">odle </w:t>
      </w:r>
      <w:r w:rsidR="00856B6A" w:rsidRPr="007F09E5">
        <w:t>údajů v metodice tohoto šetření platí za nějaké audiovizuální služby</w:t>
      </w:r>
      <w:r w:rsidR="00B508F7" w:rsidRPr="007F09E5">
        <w:t xml:space="preserve"> </w:t>
      </w:r>
      <w:r w:rsidR="00856B6A" w:rsidRPr="007F09E5">
        <w:t xml:space="preserve">zhruba </w:t>
      </w:r>
      <w:r w:rsidR="00B508F7" w:rsidRPr="007F09E5">
        <w:t>87 % populace</w:t>
      </w:r>
      <w:r w:rsidR="00856B6A" w:rsidRPr="007F09E5">
        <w:t xml:space="preserve"> starší 15 let</w:t>
      </w:r>
      <w:r w:rsidR="00B508F7" w:rsidRPr="007F09E5">
        <w:t>.</w:t>
      </w:r>
      <w:r w:rsidRPr="007F09E5">
        <w:t xml:space="preserve"> Z prezentovaných údajů vyplývá, že </w:t>
      </w:r>
      <w:r w:rsidR="00B508F7" w:rsidRPr="007F09E5">
        <w:t>uživatelé audiovizuálních služeb dávají</w:t>
      </w:r>
      <w:r w:rsidRPr="007F09E5">
        <w:t xml:space="preserve"> na pravidelné bázi přednost aktivitám</w:t>
      </w:r>
      <w:r w:rsidR="00B508F7" w:rsidRPr="007F09E5">
        <w:t>, které mohou</w:t>
      </w:r>
      <w:r w:rsidR="00B02802" w:rsidRPr="007F09E5">
        <w:t xml:space="preserve"> provozovat doma </w:t>
      </w:r>
      <w:r w:rsidR="00B02802" w:rsidRPr="007F09E5">
        <w:rPr>
          <w:rStyle w:val="st"/>
        </w:rPr>
        <w:t>–</w:t>
      </w:r>
      <w:r w:rsidR="00B02802" w:rsidRPr="007F09E5">
        <w:t xml:space="preserve"> sledování </w:t>
      </w:r>
      <w:r w:rsidRPr="007F09E5">
        <w:t xml:space="preserve">TV, poslech hudby, sledování filmů a čtení knih. </w:t>
      </w:r>
      <w:r w:rsidR="004B70AD" w:rsidRPr="007F09E5">
        <w:t>J</w:t>
      </w:r>
      <w:r w:rsidRPr="007F09E5">
        <w:t xml:space="preserve">menovaným aktivitám se </w:t>
      </w:r>
      <w:r w:rsidR="00A3275A">
        <w:t xml:space="preserve">obvykle </w:t>
      </w:r>
      <w:r w:rsidRPr="007F09E5">
        <w:t xml:space="preserve">věnuje minimálně jednou měsíčně více než </w:t>
      </w:r>
      <w:r w:rsidR="002A32D6" w:rsidRPr="007F09E5">
        <w:t>90</w:t>
      </w:r>
      <w:r w:rsidR="00B508F7" w:rsidRPr="007F09E5">
        <w:t xml:space="preserve"> %</w:t>
      </w:r>
      <w:r w:rsidR="009A04D6" w:rsidRPr="007F09E5">
        <w:t xml:space="preserve"> jedinců</w:t>
      </w:r>
      <w:r w:rsidRPr="007F09E5">
        <w:t>. Op</w:t>
      </w:r>
      <w:r w:rsidR="00DB2C93" w:rsidRPr="007F09E5">
        <w:t xml:space="preserve">roti tomu aktivitám mimo domov </w:t>
      </w:r>
      <w:r w:rsidR="004B70AD" w:rsidRPr="007F09E5">
        <w:t>–</w:t>
      </w:r>
      <w:r w:rsidRPr="007F09E5">
        <w:t xml:space="preserve"> návš</w:t>
      </w:r>
      <w:r w:rsidR="00DB2C93" w:rsidRPr="007F09E5">
        <w:t xml:space="preserve">těvě kina, divadla či koncertu </w:t>
      </w:r>
      <w:r w:rsidR="00974346" w:rsidRPr="007F09E5">
        <w:t>–</w:t>
      </w:r>
      <w:r w:rsidRPr="007F09E5">
        <w:t xml:space="preserve"> se věnuje alespoň jednou za měsíc</w:t>
      </w:r>
      <w:r w:rsidR="002A32D6" w:rsidRPr="007F09E5">
        <w:t xml:space="preserve"> necelá třetina</w:t>
      </w:r>
      <w:r w:rsidRPr="007F09E5">
        <w:t xml:space="preserve"> </w:t>
      </w:r>
      <w:r w:rsidR="00B508F7" w:rsidRPr="007F09E5">
        <w:t>této populace</w:t>
      </w:r>
      <w:r w:rsidR="009E7516" w:rsidRPr="007F09E5">
        <w:t>.</w:t>
      </w:r>
    </w:p>
    <w:p w:rsidR="00BB64DB" w:rsidRPr="007F09E5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5</w:t>
      </w:r>
      <w:r w:rsidRPr="007F09E5">
        <w:rPr>
          <w:color w:val="000000" w:themeColor="text1"/>
          <w:sz w:val="22"/>
          <w:szCs w:val="22"/>
        </w:rPr>
        <w:t xml:space="preserve"> </w:t>
      </w:r>
      <w:r w:rsidR="009A04D6" w:rsidRPr="007F09E5">
        <w:rPr>
          <w:b w:val="0"/>
          <w:color w:val="000000" w:themeColor="text1"/>
          <w:sz w:val="22"/>
          <w:szCs w:val="22"/>
        </w:rPr>
        <w:t>K</w:t>
      </w:r>
      <w:r w:rsidR="00B508F7" w:rsidRPr="007F09E5">
        <w:rPr>
          <w:b w:val="0"/>
          <w:color w:val="000000" w:themeColor="text1"/>
          <w:sz w:val="22"/>
          <w:szCs w:val="22"/>
        </w:rPr>
        <w:t>ulturní participace uživatelů audiovizuálních služeb ve věku</w:t>
      </w:r>
      <w:r w:rsidRPr="007F09E5">
        <w:rPr>
          <w:b w:val="0"/>
          <w:color w:val="000000" w:themeColor="text1"/>
          <w:sz w:val="22"/>
          <w:szCs w:val="22"/>
        </w:rPr>
        <w:t xml:space="preserve"> </w:t>
      </w:r>
      <w:r w:rsidR="002A32D6" w:rsidRPr="007F09E5">
        <w:rPr>
          <w:b w:val="0"/>
          <w:color w:val="000000" w:themeColor="text1"/>
          <w:sz w:val="22"/>
          <w:szCs w:val="22"/>
        </w:rPr>
        <w:t>15 – 70 let</w:t>
      </w:r>
      <w:r w:rsidRPr="007F09E5">
        <w:rPr>
          <w:b w:val="0"/>
          <w:color w:val="000000" w:themeColor="text1"/>
          <w:sz w:val="22"/>
          <w:szCs w:val="22"/>
        </w:rPr>
        <w:t xml:space="preserve"> v roce 2014</w:t>
      </w:r>
    </w:p>
    <w:p w:rsidR="00BB64DB" w:rsidRPr="007F09E5" w:rsidRDefault="00E63E10" w:rsidP="00BB64DB">
      <w:pPr>
        <w:keepNext/>
      </w:pPr>
      <w:r w:rsidRPr="007F09E5">
        <w:rPr>
          <w:noProof/>
        </w:rPr>
        <w:drawing>
          <wp:inline distT="0" distB="0" distL="0" distR="0">
            <wp:extent cx="6115050" cy="1962150"/>
            <wp:effectExtent l="0" t="0" r="0" b="0"/>
            <wp:docPr id="19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64DB" w:rsidRPr="007F09E5" w:rsidRDefault="00A96EFF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 xml:space="preserve">Zdroj: Audiovizuální trh v ČR, </w:t>
      </w:r>
      <w:r w:rsidR="00B508F7" w:rsidRPr="007F09E5">
        <w:rPr>
          <w:b w:val="0"/>
          <w:color w:val="000000" w:themeColor="text1"/>
          <w:sz w:val="22"/>
          <w:szCs w:val="22"/>
        </w:rPr>
        <w:t xml:space="preserve">APA, </w:t>
      </w:r>
      <w:proofErr w:type="spellStart"/>
      <w:r w:rsidR="00B508F7" w:rsidRPr="007F09E5">
        <w:rPr>
          <w:b w:val="0"/>
          <w:color w:val="000000" w:themeColor="text1"/>
          <w:sz w:val="22"/>
          <w:szCs w:val="22"/>
        </w:rPr>
        <w:t>Milward</w:t>
      </w:r>
      <w:proofErr w:type="spellEnd"/>
      <w:r w:rsidR="00974346" w:rsidRPr="007F09E5">
        <w:rPr>
          <w:b w:val="0"/>
          <w:color w:val="000000" w:themeColor="text1"/>
          <w:sz w:val="22"/>
          <w:szCs w:val="22"/>
        </w:rPr>
        <w:t xml:space="preserve"> </w:t>
      </w:r>
      <w:r w:rsidR="00B508F7" w:rsidRPr="007F09E5">
        <w:rPr>
          <w:b w:val="0"/>
          <w:color w:val="000000" w:themeColor="text1"/>
          <w:sz w:val="22"/>
          <w:szCs w:val="22"/>
        </w:rPr>
        <w:t>Brown</w:t>
      </w:r>
    </w:p>
    <w:p w:rsidR="00BB64DB" w:rsidRPr="007F09E5" w:rsidRDefault="00223FAE" w:rsidP="00B414F8">
      <w:pPr>
        <w:rPr>
          <w:rFonts w:cs="Arial"/>
        </w:rPr>
      </w:pPr>
      <w:r>
        <w:rPr>
          <w:rFonts w:cs="Arial"/>
        </w:rPr>
        <w:lastRenderedPageBreak/>
        <w:t>Poslední</w:t>
      </w:r>
      <w:r w:rsidR="00D91ACB">
        <w:rPr>
          <w:rFonts w:cs="Arial"/>
        </w:rPr>
        <w:t xml:space="preserve"> doplňující</w:t>
      </w:r>
      <w:r>
        <w:rPr>
          <w:rFonts w:cs="Arial"/>
        </w:rPr>
        <w:t xml:space="preserve"> studií, která</w:t>
      </w:r>
      <w:r w:rsidR="00D91ACB">
        <w:rPr>
          <w:rFonts w:cs="Arial"/>
        </w:rPr>
        <w:t xml:space="preserve"> byl</w:t>
      </w:r>
      <w:r>
        <w:rPr>
          <w:rFonts w:cs="Arial"/>
        </w:rPr>
        <w:t>a</w:t>
      </w:r>
      <w:r w:rsidR="00BB64DB" w:rsidRPr="007F09E5">
        <w:rPr>
          <w:rFonts w:cs="Arial"/>
        </w:rPr>
        <w:t xml:space="preserve"> </w:t>
      </w:r>
      <w:r w:rsidR="00D91ACB">
        <w:rPr>
          <w:rFonts w:cs="Arial"/>
        </w:rPr>
        <w:t>vybrán</w:t>
      </w:r>
      <w:r>
        <w:rPr>
          <w:rFonts w:cs="Arial"/>
        </w:rPr>
        <w:t>a</w:t>
      </w:r>
      <w:r w:rsidR="00BB64DB" w:rsidRPr="007F09E5">
        <w:rPr>
          <w:rFonts w:cs="Arial"/>
        </w:rPr>
        <w:t xml:space="preserve"> pro kapitolu o obecné charakteristice </w:t>
      </w:r>
      <w:r w:rsidR="00BA414E" w:rsidRPr="007F09E5">
        <w:rPr>
          <w:rFonts w:cs="Arial"/>
        </w:rPr>
        <w:t>a</w:t>
      </w:r>
      <w:r w:rsidR="00BB64DB" w:rsidRPr="007F09E5">
        <w:rPr>
          <w:rFonts w:cs="Arial"/>
        </w:rPr>
        <w:t>udiovizuálního</w:t>
      </w:r>
      <w:r w:rsidR="00282CCA" w:rsidRPr="007F09E5">
        <w:rPr>
          <w:rFonts w:cs="Arial"/>
        </w:rPr>
        <w:t> </w:t>
      </w:r>
      <w:r w:rsidR="00BB64DB" w:rsidRPr="007F09E5">
        <w:rPr>
          <w:rFonts w:cs="Arial"/>
        </w:rPr>
        <w:t>a</w:t>
      </w:r>
      <w:r w:rsidR="00282CCA" w:rsidRPr="007F09E5">
        <w:rPr>
          <w:rFonts w:cs="Arial"/>
        </w:rPr>
        <w:t> </w:t>
      </w:r>
      <w:r>
        <w:rPr>
          <w:rFonts w:cs="Arial"/>
        </w:rPr>
        <w:t>mediálního sektoru, je</w:t>
      </w:r>
      <w:r w:rsidR="00BB64DB" w:rsidRPr="007F09E5">
        <w:rPr>
          <w:rFonts w:cs="Arial"/>
        </w:rPr>
        <w:t xml:space="preserve"> </w:t>
      </w:r>
      <w:r w:rsidR="009E7516" w:rsidRPr="007F09E5">
        <w:rPr>
          <w:rFonts w:cs="Arial"/>
          <w:i/>
        </w:rPr>
        <w:t xml:space="preserve">Digital </w:t>
      </w:r>
      <w:proofErr w:type="spellStart"/>
      <w:r w:rsidR="009E7516" w:rsidRPr="007F09E5">
        <w:rPr>
          <w:rFonts w:cs="Arial"/>
          <w:i/>
        </w:rPr>
        <w:t>News</w:t>
      </w:r>
      <w:proofErr w:type="spellEnd"/>
      <w:r w:rsidR="009E7516" w:rsidRPr="007F09E5">
        <w:rPr>
          <w:rFonts w:cs="Arial"/>
          <w:i/>
        </w:rPr>
        <w:t xml:space="preserve"> Report</w:t>
      </w:r>
      <w:r w:rsidR="00B508F7" w:rsidRPr="007F09E5">
        <w:rPr>
          <w:rFonts w:cs="Arial"/>
        </w:rPr>
        <w:t xml:space="preserve"> </w:t>
      </w:r>
      <w:r>
        <w:rPr>
          <w:rFonts w:cs="Arial"/>
        </w:rPr>
        <w:t xml:space="preserve">vydávaný </w:t>
      </w:r>
      <w:proofErr w:type="spellStart"/>
      <w:r>
        <w:rPr>
          <w:rFonts w:cs="Arial"/>
        </w:rPr>
        <w:t>pravidělně</w:t>
      </w:r>
      <w:proofErr w:type="spellEnd"/>
      <w:r w:rsidR="009E7516" w:rsidRPr="007F09E5">
        <w:rPr>
          <w:rFonts w:cs="Arial"/>
        </w:rPr>
        <w:t xml:space="preserve"> organizací </w:t>
      </w:r>
      <w:proofErr w:type="spellStart"/>
      <w:r w:rsidR="009E7516" w:rsidRPr="007F09E5">
        <w:rPr>
          <w:rFonts w:cs="Arial"/>
        </w:rPr>
        <w:t>Reuters</w:t>
      </w:r>
      <w:proofErr w:type="spellEnd"/>
      <w:r w:rsidR="009E7516" w:rsidRPr="007F09E5">
        <w:rPr>
          <w:rFonts w:cs="Arial"/>
        </w:rPr>
        <w:t xml:space="preserve"> Institute</w:t>
      </w:r>
      <w:r w:rsidR="00B508F7" w:rsidRPr="007F09E5">
        <w:rPr>
          <w:rFonts w:cs="Arial"/>
        </w:rPr>
        <w:t xml:space="preserve">. </w:t>
      </w:r>
      <w:r w:rsidR="00C5141B" w:rsidRPr="007F09E5">
        <w:rPr>
          <w:rFonts w:cs="Arial"/>
        </w:rPr>
        <w:t>Výzkum je prováděn ve více než 30 zemích světa včetně České republiky a zkoumá populaci s přístupem k internetu</w:t>
      </w:r>
      <w:r w:rsidR="009A04D6" w:rsidRPr="007F09E5">
        <w:rPr>
          <w:rFonts w:cs="Arial"/>
        </w:rPr>
        <w:t>.</w:t>
      </w:r>
      <w:r w:rsidR="00C5141B" w:rsidRPr="007F09E5">
        <w:rPr>
          <w:rFonts w:cs="Arial"/>
        </w:rPr>
        <w:t xml:space="preserve"> V České republice bylo prostřednictvím online dotazníku osloveno </w:t>
      </w:r>
      <w:r w:rsidR="00535656" w:rsidRPr="007F09E5">
        <w:rPr>
          <w:rFonts w:cs="Arial"/>
        </w:rPr>
        <w:t>přes</w:t>
      </w:r>
      <w:r w:rsidR="00C5141B" w:rsidRPr="007F09E5">
        <w:rPr>
          <w:rFonts w:cs="Arial"/>
        </w:rPr>
        <w:t xml:space="preserve"> 2000 respondentů, přičemž přístup k internetu má podle údajů v této studii 88 % populace. Digital </w:t>
      </w:r>
      <w:proofErr w:type="spellStart"/>
      <w:r w:rsidR="00C5141B" w:rsidRPr="007F09E5">
        <w:rPr>
          <w:rFonts w:cs="Arial"/>
        </w:rPr>
        <w:t>News</w:t>
      </w:r>
      <w:proofErr w:type="spellEnd"/>
      <w:r w:rsidR="00C5141B" w:rsidRPr="007F09E5">
        <w:rPr>
          <w:rFonts w:cs="Arial"/>
        </w:rPr>
        <w:t xml:space="preserve"> Report se zaměřuje zejména na měnící se spotřebitelské návyky v souvislosti s</w:t>
      </w:r>
      <w:r w:rsidR="00056176" w:rsidRPr="007F09E5">
        <w:rPr>
          <w:rFonts w:cs="Arial"/>
        </w:rPr>
        <w:t>e</w:t>
      </w:r>
      <w:r w:rsidR="00C5141B" w:rsidRPr="007F09E5">
        <w:rPr>
          <w:rFonts w:cs="Arial"/>
        </w:rPr>
        <w:t xml:space="preserve"> čtením zpráv a získáváním informací a v roce 2017 byl publikován již pošesté. Graf 6 </w:t>
      </w:r>
      <w:r w:rsidR="00063FC1" w:rsidRPr="007F09E5">
        <w:rPr>
          <w:rFonts w:cs="Arial"/>
        </w:rPr>
        <w:t xml:space="preserve">ukazuje </w:t>
      </w:r>
      <w:r w:rsidR="00056176" w:rsidRPr="007F09E5">
        <w:rPr>
          <w:rFonts w:cs="Arial"/>
        </w:rPr>
        <w:t>využití</w:t>
      </w:r>
      <w:r w:rsidR="00063FC1" w:rsidRPr="007F09E5">
        <w:rPr>
          <w:rFonts w:cs="Arial"/>
        </w:rPr>
        <w:t xml:space="preserve"> vybraných médií jako </w:t>
      </w:r>
      <w:r w:rsidR="00056176" w:rsidRPr="007F09E5">
        <w:rPr>
          <w:rFonts w:cs="Arial"/>
        </w:rPr>
        <w:t xml:space="preserve">hlavního </w:t>
      </w:r>
      <w:r w:rsidR="00063FC1" w:rsidRPr="007F09E5">
        <w:rPr>
          <w:rFonts w:cs="Arial"/>
        </w:rPr>
        <w:t>zdroje informací v rámci různých věkových kategorií</w:t>
      </w:r>
      <w:r w:rsidR="00535656" w:rsidRPr="007F09E5">
        <w:rPr>
          <w:rFonts w:cs="Arial"/>
        </w:rPr>
        <w:t xml:space="preserve"> ve světové populaci</w:t>
      </w:r>
      <w:r w:rsidR="00063FC1" w:rsidRPr="007F09E5">
        <w:rPr>
          <w:rFonts w:cs="Arial"/>
        </w:rPr>
        <w:t>.</w:t>
      </w:r>
      <w:r w:rsidR="00535656" w:rsidRPr="007F09E5">
        <w:rPr>
          <w:rFonts w:cs="Arial"/>
        </w:rPr>
        <w:t xml:space="preserve"> Jak je vidět z</w:t>
      </w:r>
      <w:r>
        <w:rPr>
          <w:rFonts w:cs="Arial"/>
        </w:rPr>
        <w:t> </w:t>
      </w:r>
      <w:r w:rsidR="00535656" w:rsidRPr="007F09E5">
        <w:rPr>
          <w:rFonts w:cs="Arial"/>
        </w:rPr>
        <w:t>grafu</w:t>
      </w:r>
      <w:r>
        <w:rPr>
          <w:rFonts w:cs="Arial"/>
        </w:rPr>
        <w:t>,</w:t>
      </w:r>
      <w:r w:rsidR="00535656" w:rsidRPr="007F09E5">
        <w:rPr>
          <w:rFonts w:cs="Arial"/>
        </w:rPr>
        <w:t xml:space="preserve"> mladí lidé nejčastěji vyhledávají informace v online médiích a na sociálních sítích, zatímco starší generace spíše v tradičních médiích jako tisk a televize. Sociální sítě se </w:t>
      </w:r>
      <w:r w:rsidR="00056176" w:rsidRPr="007F09E5">
        <w:rPr>
          <w:rFonts w:cs="Arial"/>
        </w:rPr>
        <w:t xml:space="preserve">tak </w:t>
      </w:r>
      <w:r w:rsidR="00535656" w:rsidRPr="007F09E5">
        <w:rPr>
          <w:rFonts w:cs="Arial"/>
        </w:rPr>
        <w:t>staly velkým konkurentem tradičním médiím a zejména u</w:t>
      </w:r>
      <w:r w:rsidR="00607FD7">
        <w:rPr>
          <w:rFonts w:cs="Arial"/>
        </w:rPr>
        <w:t> </w:t>
      </w:r>
      <w:r w:rsidR="00535656" w:rsidRPr="007F09E5">
        <w:rPr>
          <w:rFonts w:cs="Arial"/>
        </w:rPr>
        <w:t>mladých lidí ve věku 18-24 platí dokonce za nej</w:t>
      </w:r>
      <w:r w:rsidR="00735F55" w:rsidRPr="007F09E5">
        <w:rPr>
          <w:rFonts w:cs="Arial"/>
        </w:rPr>
        <w:t>důležitější</w:t>
      </w:r>
      <w:r w:rsidR="00535656" w:rsidRPr="007F09E5">
        <w:rPr>
          <w:rFonts w:cs="Arial"/>
        </w:rPr>
        <w:t xml:space="preserve"> zdroj </w:t>
      </w:r>
      <w:r w:rsidR="00735F55" w:rsidRPr="007F09E5">
        <w:rPr>
          <w:rFonts w:cs="Arial"/>
        </w:rPr>
        <w:t xml:space="preserve">vyhledávání </w:t>
      </w:r>
      <w:r w:rsidR="00535656" w:rsidRPr="007F09E5">
        <w:rPr>
          <w:rFonts w:cs="Arial"/>
        </w:rPr>
        <w:t>informací.</w:t>
      </w:r>
    </w:p>
    <w:p w:rsidR="00BB64DB" w:rsidRPr="007F09E5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6</w:t>
      </w:r>
      <w:r w:rsidR="002F7B33" w:rsidRPr="007F09E5">
        <w:rPr>
          <w:color w:val="000000" w:themeColor="text1"/>
          <w:sz w:val="22"/>
          <w:szCs w:val="22"/>
        </w:rPr>
        <w:t xml:space="preserve"> </w:t>
      </w:r>
      <w:r w:rsidRPr="007F09E5">
        <w:rPr>
          <w:b w:val="0"/>
          <w:color w:val="000000" w:themeColor="text1"/>
          <w:sz w:val="22"/>
          <w:szCs w:val="22"/>
        </w:rPr>
        <w:t>V</w:t>
      </w:r>
      <w:r w:rsidR="00735F55" w:rsidRPr="007F09E5">
        <w:rPr>
          <w:b w:val="0"/>
          <w:color w:val="000000" w:themeColor="text1"/>
          <w:sz w:val="22"/>
          <w:szCs w:val="22"/>
        </w:rPr>
        <w:t>yužití</w:t>
      </w:r>
      <w:r w:rsidRPr="007F09E5">
        <w:rPr>
          <w:b w:val="0"/>
          <w:color w:val="000000" w:themeColor="text1"/>
          <w:sz w:val="22"/>
          <w:szCs w:val="22"/>
        </w:rPr>
        <w:t xml:space="preserve"> vybraných médií jako</w:t>
      </w:r>
      <w:r w:rsidR="00735F55" w:rsidRPr="007F09E5">
        <w:rPr>
          <w:b w:val="0"/>
          <w:color w:val="000000" w:themeColor="text1"/>
          <w:sz w:val="22"/>
          <w:szCs w:val="22"/>
        </w:rPr>
        <w:t xml:space="preserve"> hlavního</w:t>
      </w:r>
      <w:r w:rsidRPr="007F09E5">
        <w:rPr>
          <w:b w:val="0"/>
          <w:color w:val="000000" w:themeColor="text1"/>
          <w:sz w:val="22"/>
          <w:szCs w:val="22"/>
        </w:rPr>
        <w:t xml:space="preserve"> zdroj</w:t>
      </w:r>
      <w:r w:rsidR="00DD5273" w:rsidRPr="007F09E5">
        <w:rPr>
          <w:b w:val="0"/>
          <w:color w:val="000000" w:themeColor="text1"/>
          <w:sz w:val="22"/>
          <w:szCs w:val="22"/>
        </w:rPr>
        <w:t>e</w:t>
      </w:r>
      <w:r w:rsidRPr="007F09E5">
        <w:rPr>
          <w:b w:val="0"/>
          <w:color w:val="000000" w:themeColor="text1"/>
          <w:sz w:val="22"/>
          <w:szCs w:val="22"/>
        </w:rPr>
        <w:t xml:space="preserve"> informací</w:t>
      </w:r>
      <w:r w:rsidR="00D123E4" w:rsidRPr="007F09E5">
        <w:rPr>
          <w:b w:val="0"/>
          <w:color w:val="000000" w:themeColor="text1"/>
          <w:sz w:val="22"/>
          <w:szCs w:val="22"/>
        </w:rPr>
        <w:t xml:space="preserve"> v roce 2017</w:t>
      </w:r>
    </w:p>
    <w:p w:rsidR="00BB64DB" w:rsidRPr="007F09E5" w:rsidRDefault="00537C17" w:rsidP="00BB64DB">
      <w:pPr>
        <w:keepNext/>
        <w:jc w:val="center"/>
      </w:pPr>
      <w:r w:rsidRPr="00537C17">
        <w:rPr>
          <w:noProof/>
        </w:rPr>
        <w:drawing>
          <wp:inline distT="0" distB="0" distL="0" distR="0">
            <wp:extent cx="6334125" cy="2838450"/>
            <wp:effectExtent l="0" t="0" r="0" b="0"/>
            <wp:docPr id="18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6F19" w:rsidRPr="007F09E5" w:rsidRDefault="001C5D40" w:rsidP="00515498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 xml:space="preserve">Zdroj: </w:t>
      </w:r>
      <w:r w:rsidR="00D123E4" w:rsidRPr="007F09E5">
        <w:rPr>
          <w:b w:val="0"/>
          <w:color w:val="000000" w:themeColor="text1"/>
          <w:sz w:val="22"/>
          <w:szCs w:val="22"/>
        </w:rPr>
        <w:t xml:space="preserve">Digital </w:t>
      </w:r>
      <w:proofErr w:type="spellStart"/>
      <w:r w:rsidR="00D123E4" w:rsidRPr="007F09E5">
        <w:rPr>
          <w:b w:val="0"/>
          <w:color w:val="000000" w:themeColor="text1"/>
          <w:sz w:val="22"/>
          <w:szCs w:val="22"/>
        </w:rPr>
        <w:t>News</w:t>
      </w:r>
      <w:proofErr w:type="spellEnd"/>
      <w:r w:rsidR="00D123E4" w:rsidRPr="007F09E5">
        <w:rPr>
          <w:b w:val="0"/>
          <w:color w:val="000000" w:themeColor="text1"/>
          <w:sz w:val="22"/>
          <w:szCs w:val="22"/>
        </w:rPr>
        <w:t xml:space="preserve"> Report, </w:t>
      </w:r>
      <w:proofErr w:type="spellStart"/>
      <w:r w:rsidR="00D123E4" w:rsidRPr="007F09E5">
        <w:rPr>
          <w:b w:val="0"/>
          <w:color w:val="000000" w:themeColor="text1"/>
          <w:sz w:val="22"/>
          <w:szCs w:val="22"/>
        </w:rPr>
        <w:t>Reuters</w:t>
      </w:r>
      <w:proofErr w:type="spellEnd"/>
      <w:r w:rsidR="00D123E4" w:rsidRPr="007F09E5">
        <w:rPr>
          <w:b w:val="0"/>
          <w:color w:val="000000" w:themeColor="text1"/>
          <w:sz w:val="22"/>
          <w:szCs w:val="22"/>
        </w:rPr>
        <w:t xml:space="preserve"> Institute</w:t>
      </w:r>
    </w:p>
    <w:sectPr w:rsidR="00736F19" w:rsidRPr="007F09E5" w:rsidSect="006813B2">
      <w:headerReference w:type="even" r:id="rId15"/>
      <w:headerReference w:type="default" r:id="rId16"/>
      <w:footerReference w:type="even" r:id="rId17"/>
      <w:footerReference w:type="default" r:id="rId18"/>
      <w:footnotePr>
        <w:numStart w:val="8"/>
      </w:footnotePr>
      <w:pgSz w:w="11906" w:h="16838" w:code="9"/>
      <w:pgMar w:top="1134" w:right="1134" w:bottom="1418" w:left="1134" w:header="680" w:footer="680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47" w:rsidRDefault="00052E47" w:rsidP="00E71A58">
      <w:r>
        <w:separator/>
      </w:r>
    </w:p>
  </w:endnote>
  <w:endnote w:type="continuationSeparator" w:id="0">
    <w:p w:rsidR="00052E47" w:rsidRDefault="00052E47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641938" w:rsidRDefault="00906511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144C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C2144C" w:rsidRPr="005A21E0">
      <w:rPr>
        <w:rFonts w:ascii="Arial" w:hAnsi="Arial" w:cs="Arial"/>
        <w:sz w:val="16"/>
        <w:szCs w:val="16"/>
      </w:rPr>
      <w:fldChar w:fldCharType="separate"/>
    </w:r>
    <w:r w:rsidR="00311A0E">
      <w:rPr>
        <w:rFonts w:ascii="Arial" w:hAnsi="Arial" w:cs="Arial"/>
        <w:noProof/>
        <w:sz w:val="16"/>
        <w:szCs w:val="16"/>
      </w:rPr>
      <w:t>14</w:t>
    </w:r>
    <w:r w:rsidR="00C2144C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Default="0090651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06511" w:rsidRDefault="0090651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  <w:r w:rsidR="00C2144C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C2144C" w:rsidRPr="00B6608F">
      <w:rPr>
        <w:rFonts w:ascii="Arial" w:hAnsi="Arial" w:cs="Arial"/>
        <w:sz w:val="16"/>
        <w:szCs w:val="16"/>
      </w:rPr>
      <w:fldChar w:fldCharType="separate"/>
    </w:r>
    <w:r w:rsidR="00311A0E">
      <w:rPr>
        <w:rFonts w:ascii="Arial" w:hAnsi="Arial" w:cs="Arial"/>
        <w:noProof/>
        <w:sz w:val="16"/>
        <w:szCs w:val="16"/>
      </w:rPr>
      <w:t>15</w:t>
    </w:r>
    <w:r w:rsidR="00C2144C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47" w:rsidRDefault="00052E47" w:rsidP="00E71A58">
      <w:r>
        <w:separator/>
      </w:r>
    </w:p>
  </w:footnote>
  <w:footnote w:type="continuationSeparator" w:id="0">
    <w:p w:rsidR="00052E47" w:rsidRDefault="00052E47" w:rsidP="00E71A58">
      <w:r>
        <w:continuationSeparator/>
      </w:r>
    </w:p>
  </w:footnote>
  <w:footnote w:id="1">
    <w:p w:rsidR="00906511" w:rsidRPr="00277680" w:rsidRDefault="00906511" w:rsidP="00713E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77680">
        <w:t>Část vybraných povolání se prolíná různými kulturními oblastmi a není proto možné s jistotou určit, do které oblasti spadají (např. herci mohou spadat jak do oblasti interpretačního umění v rámci svých divadelních aktivit, tak do oblasti audiovizuálních a interaktivních médií v rámci aktivit spojených s filmem či do oblasti reklamy). Proto nejsou kulturní povolání mimo kulturní organizace zařazena do konkrétní oblasti a jsou analyzována pouze jako celek.</w:t>
      </w:r>
    </w:p>
    <w:p w:rsidR="00906511" w:rsidRDefault="00906511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AD306C" w:rsidRDefault="00906511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DC5B3B" w:rsidRDefault="00906511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6EFE8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54022"/>
    <w:multiLevelType w:val="hybridMultilevel"/>
    <w:tmpl w:val="D24C6E20"/>
    <w:lvl w:ilvl="0" w:tplc="335C9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7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8">
      <o:colormru v:ext="edit" colors="#ecf4dd,#eaecee,#fcec0a,#fcecdb,#f1daf5"/>
    </o:shapedefaults>
  </w:hdrShapeDefaults>
  <w:footnotePr>
    <w:numStart w:val="8"/>
    <w:footnote w:id="-1"/>
    <w:footnote w:id="0"/>
  </w:footnotePr>
  <w:endnotePr>
    <w:endnote w:id="-1"/>
    <w:endnote w:id="0"/>
  </w:endnotePr>
  <w:compat/>
  <w:rsids>
    <w:rsidRoot w:val="00F2719E"/>
    <w:rsid w:val="0000213E"/>
    <w:rsid w:val="000057AA"/>
    <w:rsid w:val="00005C1A"/>
    <w:rsid w:val="0000767A"/>
    <w:rsid w:val="00010702"/>
    <w:rsid w:val="00012C46"/>
    <w:rsid w:val="0001315B"/>
    <w:rsid w:val="00014BA8"/>
    <w:rsid w:val="00015D27"/>
    <w:rsid w:val="00020722"/>
    <w:rsid w:val="00020FF8"/>
    <w:rsid w:val="00023EDD"/>
    <w:rsid w:val="00027455"/>
    <w:rsid w:val="00033CE1"/>
    <w:rsid w:val="000360F3"/>
    <w:rsid w:val="00037107"/>
    <w:rsid w:val="0003756C"/>
    <w:rsid w:val="000414D9"/>
    <w:rsid w:val="00042038"/>
    <w:rsid w:val="00042B50"/>
    <w:rsid w:val="00042E63"/>
    <w:rsid w:val="000443B0"/>
    <w:rsid w:val="00045A03"/>
    <w:rsid w:val="0004694F"/>
    <w:rsid w:val="000472B0"/>
    <w:rsid w:val="00052E47"/>
    <w:rsid w:val="00053E45"/>
    <w:rsid w:val="00056176"/>
    <w:rsid w:val="000624C6"/>
    <w:rsid w:val="00062EC5"/>
    <w:rsid w:val="000630A6"/>
    <w:rsid w:val="000636B3"/>
    <w:rsid w:val="00063FC1"/>
    <w:rsid w:val="00067B3F"/>
    <w:rsid w:val="00070E6A"/>
    <w:rsid w:val="000728C1"/>
    <w:rsid w:val="00075BB9"/>
    <w:rsid w:val="0008373C"/>
    <w:rsid w:val="00084A0D"/>
    <w:rsid w:val="000864B5"/>
    <w:rsid w:val="00086610"/>
    <w:rsid w:val="00087634"/>
    <w:rsid w:val="00093340"/>
    <w:rsid w:val="00093D95"/>
    <w:rsid w:val="000A0B24"/>
    <w:rsid w:val="000A0FF8"/>
    <w:rsid w:val="000A1183"/>
    <w:rsid w:val="000A1A9F"/>
    <w:rsid w:val="000A344D"/>
    <w:rsid w:val="000B3393"/>
    <w:rsid w:val="000B3FA5"/>
    <w:rsid w:val="000B71D1"/>
    <w:rsid w:val="000C0391"/>
    <w:rsid w:val="000C3408"/>
    <w:rsid w:val="000C3D1A"/>
    <w:rsid w:val="000C43C6"/>
    <w:rsid w:val="000C53B3"/>
    <w:rsid w:val="000C5653"/>
    <w:rsid w:val="000C7B44"/>
    <w:rsid w:val="000D21E1"/>
    <w:rsid w:val="000E178F"/>
    <w:rsid w:val="000E334B"/>
    <w:rsid w:val="000E3B13"/>
    <w:rsid w:val="000E44A0"/>
    <w:rsid w:val="000E4FAD"/>
    <w:rsid w:val="000E517B"/>
    <w:rsid w:val="000E5EEF"/>
    <w:rsid w:val="000E7074"/>
    <w:rsid w:val="000F0B50"/>
    <w:rsid w:val="000F4B0F"/>
    <w:rsid w:val="001009D1"/>
    <w:rsid w:val="00103D6C"/>
    <w:rsid w:val="00104257"/>
    <w:rsid w:val="001042A6"/>
    <w:rsid w:val="00105D5C"/>
    <w:rsid w:val="00114747"/>
    <w:rsid w:val="001149CE"/>
    <w:rsid w:val="00114A3F"/>
    <w:rsid w:val="00114BE5"/>
    <w:rsid w:val="001154CF"/>
    <w:rsid w:val="00120628"/>
    <w:rsid w:val="0012173C"/>
    <w:rsid w:val="00121FC2"/>
    <w:rsid w:val="00126EBA"/>
    <w:rsid w:val="00126F11"/>
    <w:rsid w:val="00127405"/>
    <w:rsid w:val="00130F4A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4655"/>
    <w:rsid w:val="00145EE4"/>
    <w:rsid w:val="001471DB"/>
    <w:rsid w:val="00147436"/>
    <w:rsid w:val="00150D41"/>
    <w:rsid w:val="001531C9"/>
    <w:rsid w:val="00154C09"/>
    <w:rsid w:val="00155AC4"/>
    <w:rsid w:val="001577FA"/>
    <w:rsid w:val="00157EB6"/>
    <w:rsid w:val="0016269D"/>
    <w:rsid w:val="00163793"/>
    <w:rsid w:val="0016469B"/>
    <w:rsid w:val="00170E8B"/>
    <w:rsid w:val="001714F2"/>
    <w:rsid w:val="00171D41"/>
    <w:rsid w:val="00172569"/>
    <w:rsid w:val="00173703"/>
    <w:rsid w:val="001801FE"/>
    <w:rsid w:val="00180F64"/>
    <w:rsid w:val="00182456"/>
    <w:rsid w:val="00185010"/>
    <w:rsid w:val="001919CC"/>
    <w:rsid w:val="0019310E"/>
    <w:rsid w:val="00193560"/>
    <w:rsid w:val="00195E7C"/>
    <w:rsid w:val="0019602F"/>
    <w:rsid w:val="00196AEC"/>
    <w:rsid w:val="001A12AC"/>
    <w:rsid w:val="001A3DC1"/>
    <w:rsid w:val="001A4BAA"/>
    <w:rsid w:val="001A552F"/>
    <w:rsid w:val="001A58FD"/>
    <w:rsid w:val="001A6358"/>
    <w:rsid w:val="001A67A3"/>
    <w:rsid w:val="001A7DF6"/>
    <w:rsid w:val="001B3110"/>
    <w:rsid w:val="001B368B"/>
    <w:rsid w:val="001B55B6"/>
    <w:rsid w:val="001B5EAE"/>
    <w:rsid w:val="001B6DBF"/>
    <w:rsid w:val="001B7827"/>
    <w:rsid w:val="001C11CA"/>
    <w:rsid w:val="001C36A4"/>
    <w:rsid w:val="001C378C"/>
    <w:rsid w:val="001C4AB2"/>
    <w:rsid w:val="001C5D40"/>
    <w:rsid w:val="001C6DBA"/>
    <w:rsid w:val="001C709C"/>
    <w:rsid w:val="001D2294"/>
    <w:rsid w:val="001D328B"/>
    <w:rsid w:val="001D41F6"/>
    <w:rsid w:val="001D4ECA"/>
    <w:rsid w:val="001E020A"/>
    <w:rsid w:val="001E0AA5"/>
    <w:rsid w:val="001E0B54"/>
    <w:rsid w:val="001E12BB"/>
    <w:rsid w:val="001E3995"/>
    <w:rsid w:val="001F1FB0"/>
    <w:rsid w:val="001F4597"/>
    <w:rsid w:val="00200D8C"/>
    <w:rsid w:val="00210AA5"/>
    <w:rsid w:val="002130C8"/>
    <w:rsid w:val="0021339F"/>
    <w:rsid w:val="00214810"/>
    <w:rsid w:val="00215600"/>
    <w:rsid w:val="0021730B"/>
    <w:rsid w:val="00220642"/>
    <w:rsid w:val="00220644"/>
    <w:rsid w:val="0022139E"/>
    <w:rsid w:val="00222204"/>
    <w:rsid w:val="00223FAE"/>
    <w:rsid w:val="00224F9D"/>
    <w:rsid w:val="002252E0"/>
    <w:rsid w:val="002255F6"/>
    <w:rsid w:val="00231FC7"/>
    <w:rsid w:val="002328DA"/>
    <w:rsid w:val="002342F1"/>
    <w:rsid w:val="00234BB2"/>
    <w:rsid w:val="00235533"/>
    <w:rsid w:val="00236443"/>
    <w:rsid w:val="00237048"/>
    <w:rsid w:val="00240E77"/>
    <w:rsid w:val="00243670"/>
    <w:rsid w:val="002436BA"/>
    <w:rsid w:val="00244A15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4C1E"/>
    <w:rsid w:val="00276FD9"/>
    <w:rsid w:val="00277254"/>
    <w:rsid w:val="00277680"/>
    <w:rsid w:val="0027768A"/>
    <w:rsid w:val="00281805"/>
    <w:rsid w:val="00282CCA"/>
    <w:rsid w:val="002842E6"/>
    <w:rsid w:val="00291420"/>
    <w:rsid w:val="0029183C"/>
    <w:rsid w:val="002920AC"/>
    <w:rsid w:val="00292413"/>
    <w:rsid w:val="002951F3"/>
    <w:rsid w:val="00296083"/>
    <w:rsid w:val="002978CD"/>
    <w:rsid w:val="00297CA7"/>
    <w:rsid w:val="002A0381"/>
    <w:rsid w:val="002A1980"/>
    <w:rsid w:val="002A32D6"/>
    <w:rsid w:val="002B1997"/>
    <w:rsid w:val="002B21CF"/>
    <w:rsid w:val="002B37BD"/>
    <w:rsid w:val="002B6FCF"/>
    <w:rsid w:val="002B71DD"/>
    <w:rsid w:val="002B7E46"/>
    <w:rsid w:val="002C3743"/>
    <w:rsid w:val="002C3AEA"/>
    <w:rsid w:val="002C43BD"/>
    <w:rsid w:val="002D0CCB"/>
    <w:rsid w:val="002D12FB"/>
    <w:rsid w:val="002D4AB1"/>
    <w:rsid w:val="002E02A1"/>
    <w:rsid w:val="002E2B47"/>
    <w:rsid w:val="002E7553"/>
    <w:rsid w:val="002F2E91"/>
    <w:rsid w:val="002F3F19"/>
    <w:rsid w:val="002F7B33"/>
    <w:rsid w:val="00304771"/>
    <w:rsid w:val="00306C5B"/>
    <w:rsid w:val="00310E42"/>
    <w:rsid w:val="00311A0E"/>
    <w:rsid w:val="00312F56"/>
    <w:rsid w:val="00313494"/>
    <w:rsid w:val="00315D7E"/>
    <w:rsid w:val="00316A8D"/>
    <w:rsid w:val="003204A0"/>
    <w:rsid w:val="003209D6"/>
    <w:rsid w:val="00323843"/>
    <w:rsid w:val="003254A1"/>
    <w:rsid w:val="00326993"/>
    <w:rsid w:val="0032737D"/>
    <w:rsid w:val="003320C2"/>
    <w:rsid w:val="003365DE"/>
    <w:rsid w:val="00337A53"/>
    <w:rsid w:val="00340562"/>
    <w:rsid w:val="00342D37"/>
    <w:rsid w:val="00343FD9"/>
    <w:rsid w:val="00346445"/>
    <w:rsid w:val="00346D58"/>
    <w:rsid w:val="00351229"/>
    <w:rsid w:val="00354201"/>
    <w:rsid w:val="00360634"/>
    <w:rsid w:val="00363B2D"/>
    <w:rsid w:val="003657F3"/>
    <w:rsid w:val="00367BCF"/>
    <w:rsid w:val="003725A8"/>
    <w:rsid w:val="003759E9"/>
    <w:rsid w:val="00377195"/>
    <w:rsid w:val="00377B10"/>
    <w:rsid w:val="00382400"/>
    <w:rsid w:val="00383AEE"/>
    <w:rsid w:val="00384F4B"/>
    <w:rsid w:val="00385D98"/>
    <w:rsid w:val="00393CDB"/>
    <w:rsid w:val="003A0045"/>
    <w:rsid w:val="003A2B4D"/>
    <w:rsid w:val="003A3495"/>
    <w:rsid w:val="003A419C"/>
    <w:rsid w:val="003A478C"/>
    <w:rsid w:val="003A5525"/>
    <w:rsid w:val="003A5CE5"/>
    <w:rsid w:val="003A6B38"/>
    <w:rsid w:val="003A6B7F"/>
    <w:rsid w:val="003A780C"/>
    <w:rsid w:val="003B08D8"/>
    <w:rsid w:val="003B39C4"/>
    <w:rsid w:val="003B588B"/>
    <w:rsid w:val="003B5A32"/>
    <w:rsid w:val="003B6B56"/>
    <w:rsid w:val="003B7822"/>
    <w:rsid w:val="003C03EB"/>
    <w:rsid w:val="003C0D7E"/>
    <w:rsid w:val="003C3996"/>
    <w:rsid w:val="003C6CC2"/>
    <w:rsid w:val="003C7122"/>
    <w:rsid w:val="003C736E"/>
    <w:rsid w:val="003C7985"/>
    <w:rsid w:val="003D241B"/>
    <w:rsid w:val="003D5037"/>
    <w:rsid w:val="003D5D57"/>
    <w:rsid w:val="003D731C"/>
    <w:rsid w:val="003E1C58"/>
    <w:rsid w:val="003E6436"/>
    <w:rsid w:val="003E74F1"/>
    <w:rsid w:val="003F29B7"/>
    <w:rsid w:val="003F2F1D"/>
    <w:rsid w:val="003F313C"/>
    <w:rsid w:val="003F3BE1"/>
    <w:rsid w:val="003F44B8"/>
    <w:rsid w:val="003F4B35"/>
    <w:rsid w:val="003F527F"/>
    <w:rsid w:val="003F5DA8"/>
    <w:rsid w:val="003F71DC"/>
    <w:rsid w:val="004004F4"/>
    <w:rsid w:val="00405FEB"/>
    <w:rsid w:val="00406BC3"/>
    <w:rsid w:val="00410355"/>
    <w:rsid w:val="00410BEE"/>
    <w:rsid w:val="00410E63"/>
    <w:rsid w:val="00411EBC"/>
    <w:rsid w:val="00415F5C"/>
    <w:rsid w:val="00421D77"/>
    <w:rsid w:val="0042216F"/>
    <w:rsid w:val="00425125"/>
    <w:rsid w:val="004259B5"/>
    <w:rsid w:val="004271DC"/>
    <w:rsid w:val="00427A75"/>
    <w:rsid w:val="00430658"/>
    <w:rsid w:val="00430E4E"/>
    <w:rsid w:val="004333B9"/>
    <w:rsid w:val="004409F9"/>
    <w:rsid w:val="0044303F"/>
    <w:rsid w:val="00456315"/>
    <w:rsid w:val="004571B5"/>
    <w:rsid w:val="00460F79"/>
    <w:rsid w:val="00461546"/>
    <w:rsid w:val="0046568C"/>
    <w:rsid w:val="00465DDB"/>
    <w:rsid w:val="00470AC3"/>
    <w:rsid w:val="00472C6B"/>
    <w:rsid w:val="00476265"/>
    <w:rsid w:val="0048086F"/>
    <w:rsid w:val="0048139F"/>
    <w:rsid w:val="00481507"/>
    <w:rsid w:val="00484A8E"/>
    <w:rsid w:val="00486E03"/>
    <w:rsid w:val="00493CD1"/>
    <w:rsid w:val="00494EAC"/>
    <w:rsid w:val="004A2B92"/>
    <w:rsid w:val="004A6D3A"/>
    <w:rsid w:val="004A77DF"/>
    <w:rsid w:val="004B13C0"/>
    <w:rsid w:val="004B16DF"/>
    <w:rsid w:val="004B288C"/>
    <w:rsid w:val="004B55B7"/>
    <w:rsid w:val="004B68A9"/>
    <w:rsid w:val="004B6F2F"/>
    <w:rsid w:val="004B70AD"/>
    <w:rsid w:val="004B7601"/>
    <w:rsid w:val="004B7DDE"/>
    <w:rsid w:val="004C05A9"/>
    <w:rsid w:val="004C3867"/>
    <w:rsid w:val="004C4951"/>
    <w:rsid w:val="004C4CD0"/>
    <w:rsid w:val="004C70DC"/>
    <w:rsid w:val="004C7C28"/>
    <w:rsid w:val="004D0211"/>
    <w:rsid w:val="004D28F3"/>
    <w:rsid w:val="004D3A66"/>
    <w:rsid w:val="004D3CB9"/>
    <w:rsid w:val="004D52A5"/>
    <w:rsid w:val="004D5A93"/>
    <w:rsid w:val="004E33D5"/>
    <w:rsid w:val="004E3C8D"/>
    <w:rsid w:val="004E419B"/>
    <w:rsid w:val="004E668C"/>
    <w:rsid w:val="004E7FF4"/>
    <w:rsid w:val="004F06F5"/>
    <w:rsid w:val="004F2B2D"/>
    <w:rsid w:val="004F3FD5"/>
    <w:rsid w:val="004F4DFA"/>
    <w:rsid w:val="004F5E3A"/>
    <w:rsid w:val="004F78AD"/>
    <w:rsid w:val="004F7E67"/>
    <w:rsid w:val="0050025B"/>
    <w:rsid w:val="00500E3A"/>
    <w:rsid w:val="005101BF"/>
    <w:rsid w:val="005108C0"/>
    <w:rsid w:val="0051113D"/>
    <w:rsid w:val="00511873"/>
    <w:rsid w:val="00511E36"/>
    <w:rsid w:val="00513B7E"/>
    <w:rsid w:val="00513E5E"/>
    <w:rsid w:val="00514844"/>
    <w:rsid w:val="00515293"/>
    <w:rsid w:val="00515498"/>
    <w:rsid w:val="00516215"/>
    <w:rsid w:val="00517594"/>
    <w:rsid w:val="005178A9"/>
    <w:rsid w:val="005179BB"/>
    <w:rsid w:val="00521047"/>
    <w:rsid w:val="00522C16"/>
    <w:rsid w:val="00522F08"/>
    <w:rsid w:val="00525137"/>
    <w:rsid w:val="005251DD"/>
    <w:rsid w:val="00527DB8"/>
    <w:rsid w:val="00530D45"/>
    <w:rsid w:val="005310BC"/>
    <w:rsid w:val="00535656"/>
    <w:rsid w:val="0053607C"/>
    <w:rsid w:val="005366C7"/>
    <w:rsid w:val="00537C17"/>
    <w:rsid w:val="00537F25"/>
    <w:rsid w:val="00542285"/>
    <w:rsid w:val="00543340"/>
    <w:rsid w:val="00546EF1"/>
    <w:rsid w:val="00546FDC"/>
    <w:rsid w:val="0056006C"/>
    <w:rsid w:val="00560108"/>
    <w:rsid w:val="0056037F"/>
    <w:rsid w:val="00560B0A"/>
    <w:rsid w:val="005626ED"/>
    <w:rsid w:val="005639DB"/>
    <w:rsid w:val="00564762"/>
    <w:rsid w:val="005670CC"/>
    <w:rsid w:val="00570674"/>
    <w:rsid w:val="005719E1"/>
    <w:rsid w:val="00571CFA"/>
    <w:rsid w:val="00583523"/>
    <w:rsid w:val="00583FFD"/>
    <w:rsid w:val="00590EE9"/>
    <w:rsid w:val="005915B4"/>
    <w:rsid w:val="00593152"/>
    <w:rsid w:val="0059779F"/>
    <w:rsid w:val="005A0D37"/>
    <w:rsid w:val="005A21E0"/>
    <w:rsid w:val="005A282E"/>
    <w:rsid w:val="005A3AAF"/>
    <w:rsid w:val="005A52CC"/>
    <w:rsid w:val="005A5927"/>
    <w:rsid w:val="005B0F98"/>
    <w:rsid w:val="005B1EDC"/>
    <w:rsid w:val="005B63CE"/>
    <w:rsid w:val="005B749B"/>
    <w:rsid w:val="005C19FC"/>
    <w:rsid w:val="005C2BBE"/>
    <w:rsid w:val="005C441C"/>
    <w:rsid w:val="005C6D3C"/>
    <w:rsid w:val="005C761C"/>
    <w:rsid w:val="005C7ABD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50D7"/>
    <w:rsid w:val="005E7F4D"/>
    <w:rsid w:val="005F0301"/>
    <w:rsid w:val="005F4FDA"/>
    <w:rsid w:val="005F71A6"/>
    <w:rsid w:val="005F721F"/>
    <w:rsid w:val="005F7971"/>
    <w:rsid w:val="00600CDB"/>
    <w:rsid w:val="00604307"/>
    <w:rsid w:val="0060487F"/>
    <w:rsid w:val="00604C8E"/>
    <w:rsid w:val="00607FD7"/>
    <w:rsid w:val="006103FD"/>
    <w:rsid w:val="00610A24"/>
    <w:rsid w:val="00611055"/>
    <w:rsid w:val="00612473"/>
    <w:rsid w:val="006145DE"/>
    <w:rsid w:val="0061479E"/>
    <w:rsid w:val="006178DD"/>
    <w:rsid w:val="00620906"/>
    <w:rsid w:val="00620E6F"/>
    <w:rsid w:val="006227E2"/>
    <w:rsid w:val="0062339D"/>
    <w:rsid w:val="00623611"/>
    <w:rsid w:val="00624093"/>
    <w:rsid w:val="00625534"/>
    <w:rsid w:val="006367EA"/>
    <w:rsid w:val="006404A7"/>
    <w:rsid w:val="006405DE"/>
    <w:rsid w:val="00641938"/>
    <w:rsid w:val="00641AB6"/>
    <w:rsid w:val="00642106"/>
    <w:rsid w:val="00643AF5"/>
    <w:rsid w:val="00644E45"/>
    <w:rsid w:val="006451E4"/>
    <w:rsid w:val="006511DD"/>
    <w:rsid w:val="00656C7D"/>
    <w:rsid w:val="006571EA"/>
    <w:rsid w:val="00657E87"/>
    <w:rsid w:val="00660B8E"/>
    <w:rsid w:val="00664C16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07FF"/>
    <w:rsid w:val="006813B2"/>
    <w:rsid w:val="00681439"/>
    <w:rsid w:val="00681BA0"/>
    <w:rsid w:val="00681EDB"/>
    <w:rsid w:val="0068260E"/>
    <w:rsid w:val="00683DBB"/>
    <w:rsid w:val="00694914"/>
    <w:rsid w:val="006950C3"/>
    <w:rsid w:val="00695BEF"/>
    <w:rsid w:val="00696750"/>
    <w:rsid w:val="006977F6"/>
    <w:rsid w:val="00697A13"/>
    <w:rsid w:val="00697C18"/>
    <w:rsid w:val="006A0EA1"/>
    <w:rsid w:val="006A109C"/>
    <w:rsid w:val="006A5E80"/>
    <w:rsid w:val="006A63F6"/>
    <w:rsid w:val="006A7884"/>
    <w:rsid w:val="006B2F7A"/>
    <w:rsid w:val="006B565D"/>
    <w:rsid w:val="006B59D8"/>
    <w:rsid w:val="006B78D8"/>
    <w:rsid w:val="006C113F"/>
    <w:rsid w:val="006C19DE"/>
    <w:rsid w:val="006C3ECB"/>
    <w:rsid w:val="006C4BAC"/>
    <w:rsid w:val="006D2601"/>
    <w:rsid w:val="006D4308"/>
    <w:rsid w:val="006D61F6"/>
    <w:rsid w:val="006D6703"/>
    <w:rsid w:val="006E1790"/>
    <w:rsid w:val="006E279A"/>
    <w:rsid w:val="006E313B"/>
    <w:rsid w:val="006E3528"/>
    <w:rsid w:val="006E4563"/>
    <w:rsid w:val="006F78BB"/>
    <w:rsid w:val="00700384"/>
    <w:rsid w:val="00702C7D"/>
    <w:rsid w:val="00706055"/>
    <w:rsid w:val="00710610"/>
    <w:rsid w:val="00711D9A"/>
    <w:rsid w:val="007127CE"/>
    <w:rsid w:val="00713EB7"/>
    <w:rsid w:val="007211F5"/>
    <w:rsid w:val="00722350"/>
    <w:rsid w:val="007233A2"/>
    <w:rsid w:val="00726CA2"/>
    <w:rsid w:val="00730718"/>
    <w:rsid w:val="00730AE8"/>
    <w:rsid w:val="00731CAB"/>
    <w:rsid w:val="007358EB"/>
    <w:rsid w:val="00735F55"/>
    <w:rsid w:val="00736F19"/>
    <w:rsid w:val="00740F4A"/>
    <w:rsid w:val="00741493"/>
    <w:rsid w:val="00745E24"/>
    <w:rsid w:val="0074634F"/>
    <w:rsid w:val="007464BC"/>
    <w:rsid w:val="00750D87"/>
    <w:rsid w:val="00752180"/>
    <w:rsid w:val="00754990"/>
    <w:rsid w:val="00755D3A"/>
    <w:rsid w:val="007562FD"/>
    <w:rsid w:val="00756776"/>
    <w:rsid w:val="00756AF1"/>
    <w:rsid w:val="007609C6"/>
    <w:rsid w:val="00761B68"/>
    <w:rsid w:val="00763FF2"/>
    <w:rsid w:val="00767425"/>
    <w:rsid w:val="00772B59"/>
    <w:rsid w:val="00772DA1"/>
    <w:rsid w:val="00774A2D"/>
    <w:rsid w:val="007764CA"/>
    <w:rsid w:val="00776527"/>
    <w:rsid w:val="00783501"/>
    <w:rsid w:val="0078588D"/>
    <w:rsid w:val="00793BA5"/>
    <w:rsid w:val="00794608"/>
    <w:rsid w:val="00795A8D"/>
    <w:rsid w:val="007A3577"/>
    <w:rsid w:val="007A39D9"/>
    <w:rsid w:val="007A4926"/>
    <w:rsid w:val="007B04C3"/>
    <w:rsid w:val="007B47EE"/>
    <w:rsid w:val="007B4BE9"/>
    <w:rsid w:val="007B60D9"/>
    <w:rsid w:val="007B7D35"/>
    <w:rsid w:val="007C0993"/>
    <w:rsid w:val="007C2E4C"/>
    <w:rsid w:val="007C419E"/>
    <w:rsid w:val="007C4B02"/>
    <w:rsid w:val="007C5DBE"/>
    <w:rsid w:val="007D12C6"/>
    <w:rsid w:val="007D2468"/>
    <w:rsid w:val="007D286D"/>
    <w:rsid w:val="007D2DCB"/>
    <w:rsid w:val="007D3651"/>
    <w:rsid w:val="007D386E"/>
    <w:rsid w:val="007D7921"/>
    <w:rsid w:val="007E12CE"/>
    <w:rsid w:val="007E1B9D"/>
    <w:rsid w:val="007E3184"/>
    <w:rsid w:val="007E68C1"/>
    <w:rsid w:val="007E769B"/>
    <w:rsid w:val="007E7E61"/>
    <w:rsid w:val="007F09E5"/>
    <w:rsid w:val="007F0C99"/>
    <w:rsid w:val="007F0F88"/>
    <w:rsid w:val="007F3674"/>
    <w:rsid w:val="007F46D3"/>
    <w:rsid w:val="008004E0"/>
    <w:rsid w:val="008018B7"/>
    <w:rsid w:val="008069C3"/>
    <w:rsid w:val="008112B6"/>
    <w:rsid w:val="00812056"/>
    <w:rsid w:val="008134C4"/>
    <w:rsid w:val="00821FF6"/>
    <w:rsid w:val="0082352E"/>
    <w:rsid w:val="0082466D"/>
    <w:rsid w:val="00830E90"/>
    <w:rsid w:val="0083143E"/>
    <w:rsid w:val="0083398A"/>
    <w:rsid w:val="00834FAA"/>
    <w:rsid w:val="0083501D"/>
    <w:rsid w:val="00836086"/>
    <w:rsid w:val="00841283"/>
    <w:rsid w:val="008417AB"/>
    <w:rsid w:val="00841A5E"/>
    <w:rsid w:val="00844AEF"/>
    <w:rsid w:val="00846194"/>
    <w:rsid w:val="00847143"/>
    <w:rsid w:val="008512E7"/>
    <w:rsid w:val="00851419"/>
    <w:rsid w:val="008545E7"/>
    <w:rsid w:val="00854DAE"/>
    <w:rsid w:val="00856B6A"/>
    <w:rsid w:val="00857BB4"/>
    <w:rsid w:val="00857D9C"/>
    <w:rsid w:val="00861EA1"/>
    <w:rsid w:val="00862FE6"/>
    <w:rsid w:val="00871A6E"/>
    <w:rsid w:val="00876086"/>
    <w:rsid w:val="00876A3A"/>
    <w:rsid w:val="00877C01"/>
    <w:rsid w:val="00882967"/>
    <w:rsid w:val="0088298C"/>
    <w:rsid w:val="0088598B"/>
    <w:rsid w:val="008862D3"/>
    <w:rsid w:val="008905EC"/>
    <w:rsid w:val="008916E8"/>
    <w:rsid w:val="008927E1"/>
    <w:rsid w:val="00895548"/>
    <w:rsid w:val="008A1911"/>
    <w:rsid w:val="008A31C1"/>
    <w:rsid w:val="008A53CB"/>
    <w:rsid w:val="008B64EB"/>
    <w:rsid w:val="008B6CDE"/>
    <w:rsid w:val="008B76B8"/>
    <w:rsid w:val="008B7C02"/>
    <w:rsid w:val="008C0E88"/>
    <w:rsid w:val="008D2A16"/>
    <w:rsid w:val="008D2F5A"/>
    <w:rsid w:val="008D4396"/>
    <w:rsid w:val="008E1B68"/>
    <w:rsid w:val="008E31FF"/>
    <w:rsid w:val="008E3C01"/>
    <w:rsid w:val="008E441C"/>
    <w:rsid w:val="008E49E1"/>
    <w:rsid w:val="008E55E4"/>
    <w:rsid w:val="008F1B81"/>
    <w:rsid w:val="008F2642"/>
    <w:rsid w:val="008F3C15"/>
    <w:rsid w:val="008F477E"/>
    <w:rsid w:val="008F4AB5"/>
    <w:rsid w:val="008F58EE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296"/>
    <w:rsid w:val="00905780"/>
    <w:rsid w:val="00906511"/>
    <w:rsid w:val="00910452"/>
    <w:rsid w:val="00912132"/>
    <w:rsid w:val="00913CB6"/>
    <w:rsid w:val="00916F66"/>
    <w:rsid w:val="00917A68"/>
    <w:rsid w:val="00921B50"/>
    <w:rsid w:val="00921B97"/>
    <w:rsid w:val="00921F14"/>
    <w:rsid w:val="00922E0F"/>
    <w:rsid w:val="009253A5"/>
    <w:rsid w:val="00932900"/>
    <w:rsid w:val="00934E40"/>
    <w:rsid w:val="00936824"/>
    <w:rsid w:val="00937FBA"/>
    <w:rsid w:val="009421B4"/>
    <w:rsid w:val="00942F60"/>
    <w:rsid w:val="0094427A"/>
    <w:rsid w:val="00947143"/>
    <w:rsid w:val="00947CB7"/>
    <w:rsid w:val="00953DCA"/>
    <w:rsid w:val="00953DFC"/>
    <w:rsid w:val="00954561"/>
    <w:rsid w:val="0095723C"/>
    <w:rsid w:val="00961359"/>
    <w:rsid w:val="00961DC9"/>
    <w:rsid w:val="00963B40"/>
    <w:rsid w:val="00963E39"/>
    <w:rsid w:val="009646A5"/>
    <w:rsid w:val="009722A9"/>
    <w:rsid w:val="00973454"/>
    <w:rsid w:val="0097432A"/>
    <w:rsid w:val="00974346"/>
    <w:rsid w:val="00974923"/>
    <w:rsid w:val="009823AB"/>
    <w:rsid w:val="00983BC9"/>
    <w:rsid w:val="0098563A"/>
    <w:rsid w:val="00986F4F"/>
    <w:rsid w:val="00990621"/>
    <w:rsid w:val="009913D0"/>
    <w:rsid w:val="00993E93"/>
    <w:rsid w:val="00994972"/>
    <w:rsid w:val="009A04D6"/>
    <w:rsid w:val="009A1FA5"/>
    <w:rsid w:val="009A6027"/>
    <w:rsid w:val="009A66C6"/>
    <w:rsid w:val="009A6971"/>
    <w:rsid w:val="009A75F3"/>
    <w:rsid w:val="009B2F33"/>
    <w:rsid w:val="009B459C"/>
    <w:rsid w:val="009B6EC8"/>
    <w:rsid w:val="009B6FD3"/>
    <w:rsid w:val="009B7457"/>
    <w:rsid w:val="009B74C9"/>
    <w:rsid w:val="009B7A06"/>
    <w:rsid w:val="009C04A5"/>
    <w:rsid w:val="009C3B45"/>
    <w:rsid w:val="009C62A4"/>
    <w:rsid w:val="009C64E1"/>
    <w:rsid w:val="009D1443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516"/>
    <w:rsid w:val="009E7CF6"/>
    <w:rsid w:val="009E7D44"/>
    <w:rsid w:val="009F02BD"/>
    <w:rsid w:val="009F04AA"/>
    <w:rsid w:val="009F128C"/>
    <w:rsid w:val="009F2FED"/>
    <w:rsid w:val="009F4056"/>
    <w:rsid w:val="009F4C62"/>
    <w:rsid w:val="009F5926"/>
    <w:rsid w:val="009F5EF1"/>
    <w:rsid w:val="009F68CD"/>
    <w:rsid w:val="009F6BE3"/>
    <w:rsid w:val="00A02659"/>
    <w:rsid w:val="00A03A86"/>
    <w:rsid w:val="00A04605"/>
    <w:rsid w:val="00A052DD"/>
    <w:rsid w:val="00A10D66"/>
    <w:rsid w:val="00A10DD2"/>
    <w:rsid w:val="00A11B36"/>
    <w:rsid w:val="00A147AD"/>
    <w:rsid w:val="00A20AC3"/>
    <w:rsid w:val="00A2331B"/>
    <w:rsid w:val="00A2347A"/>
    <w:rsid w:val="00A23E43"/>
    <w:rsid w:val="00A242B0"/>
    <w:rsid w:val="00A300BD"/>
    <w:rsid w:val="00A3275A"/>
    <w:rsid w:val="00A33661"/>
    <w:rsid w:val="00A33EFD"/>
    <w:rsid w:val="00A35033"/>
    <w:rsid w:val="00A35492"/>
    <w:rsid w:val="00A35B08"/>
    <w:rsid w:val="00A35DDE"/>
    <w:rsid w:val="00A4343C"/>
    <w:rsid w:val="00A46DE0"/>
    <w:rsid w:val="00A47539"/>
    <w:rsid w:val="00A504C5"/>
    <w:rsid w:val="00A5138E"/>
    <w:rsid w:val="00A53A8A"/>
    <w:rsid w:val="00A61DF0"/>
    <w:rsid w:val="00A62302"/>
    <w:rsid w:val="00A62CE1"/>
    <w:rsid w:val="00A64348"/>
    <w:rsid w:val="00A65AE6"/>
    <w:rsid w:val="00A66484"/>
    <w:rsid w:val="00A67DF4"/>
    <w:rsid w:val="00A70574"/>
    <w:rsid w:val="00A70B41"/>
    <w:rsid w:val="00A7537C"/>
    <w:rsid w:val="00A75E40"/>
    <w:rsid w:val="00A77C80"/>
    <w:rsid w:val="00A800CC"/>
    <w:rsid w:val="00A82726"/>
    <w:rsid w:val="00A83732"/>
    <w:rsid w:val="00A84175"/>
    <w:rsid w:val="00A857C0"/>
    <w:rsid w:val="00A86F80"/>
    <w:rsid w:val="00A902A0"/>
    <w:rsid w:val="00A92865"/>
    <w:rsid w:val="00A94B82"/>
    <w:rsid w:val="00A956B9"/>
    <w:rsid w:val="00A96EFF"/>
    <w:rsid w:val="00AA1776"/>
    <w:rsid w:val="00AA3758"/>
    <w:rsid w:val="00AA4913"/>
    <w:rsid w:val="00AA559A"/>
    <w:rsid w:val="00AA5F96"/>
    <w:rsid w:val="00AB2AF1"/>
    <w:rsid w:val="00AB32A2"/>
    <w:rsid w:val="00AB395D"/>
    <w:rsid w:val="00AB76AC"/>
    <w:rsid w:val="00AC1AC6"/>
    <w:rsid w:val="00AC4A96"/>
    <w:rsid w:val="00AC59AE"/>
    <w:rsid w:val="00AD17DE"/>
    <w:rsid w:val="00AD306C"/>
    <w:rsid w:val="00AD473A"/>
    <w:rsid w:val="00AE42D9"/>
    <w:rsid w:val="00AE775B"/>
    <w:rsid w:val="00AF026E"/>
    <w:rsid w:val="00AF1D7D"/>
    <w:rsid w:val="00AF70B2"/>
    <w:rsid w:val="00B00577"/>
    <w:rsid w:val="00B0176B"/>
    <w:rsid w:val="00B01997"/>
    <w:rsid w:val="00B01CAD"/>
    <w:rsid w:val="00B02802"/>
    <w:rsid w:val="00B02A97"/>
    <w:rsid w:val="00B02B9F"/>
    <w:rsid w:val="00B06DD7"/>
    <w:rsid w:val="00B134BB"/>
    <w:rsid w:val="00B17A7F"/>
    <w:rsid w:val="00B17E71"/>
    <w:rsid w:val="00B17FDE"/>
    <w:rsid w:val="00B209E4"/>
    <w:rsid w:val="00B2154E"/>
    <w:rsid w:val="00B26A63"/>
    <w:rsid w:val="00B277C2"/>
    <w:rsid w:val="00B31A08"/>
    <w:rsid w:val="00B32936"/>
    <w:rsid w:val="00B32DDB"/>
    <w:rsid w:val="00B34A56"/>
    <w:rsid w:val="00B374C5"/>
    <w:rsid w:val="00B414F8"/>
    <w:rsid w:val="00B45232"/>
    <w:rsid w:val="00B45422"/>
    <w:rsid w:val="00B508F7"/>
    <w:rsid w:val="00B54975"/>
    <w:rsid w:val="00B554C6"/>
    <w:rsid w:val="00B55E53"/>
    <w:rsid w:val="00B570F5"/>
    <w:rsid w:val="00B615FA"/>
    <w:rsid w:val="00B63403"/>
    <w:rsid w:val="00B6348E"/>
    <w:rsid w:val="00B6608F"/>
    <w:rsid w:val="00B66D44"/>
    <w:rsid w:val="00B75959"/>
    <w:rsid w:val="00B76D1E"/>
    <w:rsid w:val="00B82B44"/>
    <w:rsid w:val="00B9096F"/>
    <w:rsid w:val="00B90C58"/>
    <w:rsid w:val="00B92E07"/>
    <w:rsid w:val="00B94374"/>
    <w:rsid w:val="00B95940"/>
    <w:rsid w:val="00B976FB"/>
    <w:rsid w:val="00B97BEC"/>
    <w:rsid w:val="00B97DC8"/>
    <w:rsid w:val="00BA414E"/>
    <w:rsid w:val="00BA44D7"/>
    <w:rsid w:val="00BA493B"/>
    <w:rsid w:val="00BA5388"/>
    <w:rsid w:val="00BA5469"/>
    <w:rsid w:val="00BA5682"/>
    <w:rsid w:val="00BA606F"/>
    <w:rsid w:val="00BB5366"/>
    <w:rsid w:val="00BB58D0"/>
    <w:rsid w:val="00BB64DB"/>
    <w:rsid w:val="00BC0761"/>
    <w:rsid w:val="00BC151F"/>
    <w:rsid w:val="00BC2168"/>
    <w:rsid w:val="00BC3543"/>
    <w:rsid w:val="00BC3775"/>
    <w:rsid w:val="00BC37EF"/>
    <w:rsid w:val="00BC712A"/>
    <w:rsid w:val="00BC7950"/>
    <w:rsid w:val="00BD2F1E"/>
    <w:rsid w:val="00BD366B"/>
    <w:rsid w:val="00BD6D50"/>
    <w:rsid w:val="00BE07B2"/>
    <w:rsid w:val="00BE09C0"/>
    <w:rsid w:val="00BE1A8D"/>
    <w:rsid w:val="00BE3640"/>
    <w:rsid w:val="00BE4B9B"/>
    <w:rsid w:val="00BE7543"/>
    <w:rsid w:val="00BE7BBE"/>
    <w:rsid w:val="00BF0E2E"/>
    <w:rsid w:val="00BF199B"/>
    <w:rsid w:val="00BF3249"/>
    <w:rsid w:val="00BF33BA"/>
    <w:rsid w:val="00BF3A86"/>
    <w:rsid w:val="00C00A63"/>
    <w:rsid w:val="00C024FD"/>
    <w:rsid w:val="00C02AFD"/>
    <w:rsid w:val="00C02DCF"/>
    <w:rsid w:val="00C041AD"/>
    <w:rsid w:val="00C04770"/>
    <w:rsid w:val="00C05AF7"/>
    <w:rsid w:val="00C05D84"/>
    <w:rsid w:val="00C10021"/>
    <w:rsid w:val="00C12EC2"/>
    <w:rsid w:val="00C1603D"/>
    <w:rsid w:val="00C1643E"/>
    <w:rsid w:val="00C165FD"/>
    <w:rsid w:val="00C16C0E"/>
    <w:rsid w:val="00C174DD"/>
    <w:rsid w:val="00C2144C"/>
    <w:rsid w:val="00C21F94"/>
    <w:rsid w:val="00C30C52"/>
    <w:rsid w:val="00C30DFA"/>
    <w:rsid w:val="00C32DCF"/>
    <w:rsid w:val="00C37C2F"/>
    <w:rsid w:val="00C4315C"/>
    <w:rsid w:val="00C43825"/>
    <w:rsid w:val="00C47F27"/>
    <w:rsid w:val="00C5141B"/>
    <w:rsid w:val="00C515BF"/>
    <w:rsid w:val="00C522C1"/>
    <w:rsid w:val="00C53B40"/>
    <w:rsid w:val="00C53DDA"/>
    <w:rsid w:val="00C551B1"/>
    <w:rsid w:val="00C5791B"/>
    <w:rsid w:val="00C62D2F"/>
    <w:rsid w:val="00C6461F"/>
    <w:rsid w:val="00C64BB8"/>
    <w:rsid w:val="00C720AF"/>
    <w:rsid w:val="00C80F44"/>
    <w:rsid w:val="00C8471A"/>
    <w:rsid w:val="00C8582D"/>
    <w:rsid w:val="00C90CF4"/>
    <w:rsid w:val="00C92E76"/>
    <w:rsid w:val="00C93389"/>
    <w:rsid w:val="00C93E10"/>
    <w:rsid w:val="00C96C58"/>
    <w:rsid w:val="00C972A4"/>
    <w:rsid w:val="00CA5B30"/>
    <w:rsid w:val="00CB119C"/>
    <w:rsid w:val="00CB19B7"/>
    <w:rsid w:val="00CB2E34"/>
    <w:rsid w:val="00CB365C"/>
    <w:rsid w:val="00CB5E1F"/>
    <w:rsid w:val="00CB6787"/>
    <w:rsid w:val="00CB7B8F"/>
    <w:rsid w:val="00CB7C6A"/>
    <w:rsid w:val="00CC035A"/>
    <w:rsid w:val="00CC08A8"/>
    <w:rsid w:val="00CC1BCB"/>
    <w:rsid w:val="00CC31D3"/>
    <w:rsid w:val="00CC6AC0"/>
    <w:rsid w:val="00CC6CE2"/>
    <w:rsid w:val="00CD38A6"/>
    <w:rsid w:val="00CD69AB"/>
    <w:rsid w:val="00CE05B1"/>
    <w:rsid w:val="00CE5B81"/>
    <w:rsid w:val="00CE762C"/>
    <w:rsid w:val="00CF1E47"/>
    <w:rsid w:val="00CF1F2B"/>
    <w:rsid w:val="00CF30FD"/>
    <w:rsid w:val="00CF3750"/>
    <w:rsid w:val="00CF3AF7"/>
    <w:rsid w:val="00CF3BC3"/>
    <w:rsid w:val="00CF473B"/>
    <w:rsid w:val="00CF51EC"/>
    <w:rsid w:val="00D02B32"/>
    <w:rsid w:val="00D037C6"/>
    <w:rsid w:val="00D040DD"/>
    <w:rsid w:val="00D06570"/>
    <w:rsid w:val="00D123E4"/>
    <w:rsid w:val="00D15C62"/>
    <w:rsid w:val="00D15D2B"/>
    <w:rsid w:val="00D16B95"/>
    <w:rsid w:val="00D17C11"/>
    <w:rsid w:val="00D2032F"/>
    <w:rsid w:val="00D20AAC"/>
    <w:rsid w:val="00D304D1"/>
    <w:rsid w:val="00D32AAF"/>
    <w:rsid w:val="00D3654C"/>
    <w:rsid w:val="00D41139"/>
    <w:rsid w:val="00D424F7"/>
    <w:rsid w:val="00D508CE"/>
    <w:rsid w:val="00D50CCC"/>
    <w:rsid w:val="00D51F16"/>
    <w:rsid w:val="00D52692"/>
    <w:rsid w:val="00D540CE"/>
    <w:rsid w:val="00D61FFA"/>
    <w:rsid w:val="00D63F55"/>
    <w:rsid w:val="00D7252F"/>
    <w:rsid w:val="00D73DDD"/>
    <w:rsid w:val="00D746BE"/>
    <w:rsid w:val="00D7580F"/>
    <w:rsid w:val="00D77F03"/>
    <w:rsid w:val="00D82C76"/>
    <w:rsid w:val="00D82E85"/>
    <w:rsid w:val="00D83806"/>
    <w:rsid w:val="00D85311"/>
    <w:rsid w:val="00D862E2"/>
    <w:rsid w:val="00D90902"/>
    <w:rsid w:val="00D91ACB"/>
    <w:rsid w:val="00D926D6"/>
    <w:rsid w:val="00D93FAE"/>
    <w:rsid w:val="00D9593B"/>
    <w:rsid w:val="00D95F9C"/>
    <w:rsid w:val="00D9753A"/>
    <w:rsid w:val="00D97A1E"/>
    <w:rsid w:val="00DA4A23"/>
    <w:rsid w:val="00DA4D23"/>
    <w:rsid w:val="00DA7A50"/>
    <w:rsid w:val="00DB2C93"/>
    <w:rsid w:val="00DB4065"/>
    <w:rsid w:val="00DB4CA7"/>
    <w:rsid w:val="00DB5208"/>
    <w:rsid w:val="00DB6B6D"/>
    <w:rsid w:val="00DC425C"/>
    <w:rsid w:val="00DC44B4"/>
    <w:rsid w:val="00DC5B3B"/>
    <w:rsid w:val="00DD025D"/>
    <w:rsid w:val="00DD1E87"/>
    <w:rsid w:val="00DD2C24"/>
    <w:rsid w:val="00DD3310"/>
    <w:rsid w:val="00DD5273"/>
    <w:rsid w:val="00DE2D5D"/>
    <w:rsid w:val="00DE2FEA"/>
    <w:rsid w:val="00DE37FE"/>
    <w:rsid w:val="00DE4E41"/>
    <w:rsid w:val="00DE61D7"/>
    <w:rsid w:val="00DF2BE0"/>
    <w:rsid w:val="00DF38E1"/>
    <w:rsid w:val="00E01C0E"/>
    <w:rsid w:val="00E0238B"/>
    <w:rsid w:val="00E04694"/>
    <w:rsid w:val="00E06404"/>
    <w:rsid w:val="00E069D1"/>
    <w:rsid w:val="00E14DCA"/>
    <w:rsid w:val="00E17081"/>
    <w:rsid w:val="00E256B4"/>
    <w:rsid w:val="00E26B20"/>
    <w:rsid w:val="00E27145"/>
    <w:rsid w:val="00E313C9"/>
    <w:rsid w:val="00E32551"/>
    <w:rsid w:val="00E34129"/>
    <w:rsid w:val="00E34334"/>
    <w:rsid w:val="00E35EE2"/>
    <w:rsid w:val="00E43274"/>
    <w:rsid w:val="00E44FE6"/>
    <w:rsid w:val="00E4674C"/>
    <w:rsid w:val="00E46A44"/>
    <w:rsid w:val="00E52C0B"/>
    <w:rsid w:val="00E5721D"/>
    <w:rsid w:val="00E63E10"/>
    <w:rsid w:val="00E64CA1"/>
    <w:rsid w:val="00E67F89"/>
    <w:rsid w:val="00E71A58"/>
    <w:rsid w:val="00E73B1B"/>
    <w:rsid w:val="00E74296"/>
    <w:rsid w:val="00E80CEE"/>
    <w:rsid w:val="00E858E0"/>
    <w:rsid w:val="00E86BBC"/>
    <w:rsid w:val="00E87690"/>
    <w:rsid w:val="00E928A7"/>
    <w:rsid w:val="00E92B7F"/>
    <w:rsid w:val="00E93594"/>
    <w:rsid w:val="00E93DF1"/>
    <w:rsid w:val="00E93E77"/>
    <w:rsid w:val="00E957EC"/>
    <w:rsid w:val="00E95EC6"/>
    <w:rsid w:val="00E95ED4"/>
    <w:rsid w:val="00EA0C68"/>
    <w:rsid w:val="00EA1483"/>
    <w:rsid w:val="00EA2491"/>
    <w:rsid w:val="00EA2F6A"/>
    <w:rsid w:val="00EA3D63"/>
    <w:rsid w:val="00EA48B1"/>
    <w:rsid w:val="00EA52AB"/>
    <w:rsid w:val="00EB1BA9"/>
    <w:rsid w:val="00EB34FD"/>
    <w:rsid w:val="00EB6691"/>
    <w:rsid w:val="00EC224D"/>
    <w:rsid w:val="00EC491F"/>
    <w:rsid w:val="00EC5D3C"/>
    <w:rsid w:val="00ED0206"/>
    <w:rsid w:val="00ED286F"/>
    <w:rsid w:val="00ED437A"/>
    <w:rsid w:val="00ED761F"/>
    <w:rsid w:val="00ED7FC7"/>
    <w:rsid w:val="00EE05ED"/>
    <w:rsid w:val="00EE0D08"/>
    <w:rsid w:val="00EE1F14"/>
    <w:rsid w:val="00EE218B"/>
    <w:rsid w:val="00EE3E78"/>
    <w:rsid w:val="00EE504E"/>
    <w:rsid w:val="00EE6D0D"/>
    <w:rsid w:val="00EE7545"/>
    <w:rsid w:val="00EF1538"/>
    <w:rsid w:val="00EF194E"/>
    <w:rsid w:val="00EF1F5A"/>
    <w:rsid w:val="00EF4D97"/>
    <w:rsid w:val="00F00EA9"/>
    <w:rsid w:val="00F02FF2"/>
    <w:rsid w:val="00F04811"/>
    <w:rsid w:val="00F0488C"/>
    <w:rsid w:val="00F05ECB"/>
    <w:rsid w:val="00F07CC0"/>
    <w:rsid w:val="00F100E0"/>
    <w:rsid w:val="00F12145"/>
    <w:rsid w:val="00F12C10"/>
    <w:rsid w:val="00F12DB1"/>
    <w:rsid w:val="00F13916"/>
    <w:rsid w:val="00F15BEF"/>
    <w:rsid w:val="00F1651D"/>
    <w:rsid w:val="00F176FF"/>
    <w:rsid w:val="00F24FAA"/>
    <w:rsid w:val="00F26813"/>
    <w:rsid w:val="00F2719E"/>
    <w:rsid w:val="00F2751B"/>
    <w:rsid w:val="00F33376"/>
    <w:rsid w:val="00F3364D"/>
    <w:rsid w:val="00F33984"/>
    <w:rsid w:val="00F33E22"/>
    <w:rsid w:val="00F33F97"/>
    <w:rsid w:val="00F34DDA"/>
    <w:rsid w:val="00F35286"/>
    <w:rsid w:val="00F3608B"/>
    <w:rsid w:val="00F375DA"/>
    <w:rsid w:val="00F37CFB"/>
    <w:rsid w:val="00F40373"/>
    <w:rsid w:val="00F419C2"/>
    <w:rsid w:val="00F4562B"/>
    <w:rsid w:val="00F4721B"/>
    <w:rsid w:val="00F543ED"/>
    <w:rsid w:val="00F63DDE"/>
    <w:rsid w:val="00F63FB7"/>
    <w:rsid w:val="00F64AB5"/>
    <w:rsid w:val="00F64B5F"/>
    <w:rsid w:val="00F65272"/>
    <w:rsid w:val="00F72FAA"/>
    <w:rsid w:val="00F73A0C"/>
    <w:rsid w:val="00F75378"/>
    <w:rsid w:val="00F75BA8"/>
    <w:rsid w:val="00F76D39"/>
    <w:rsid w:val="00F77FD7"/>
    <w:rsid w:val="00F82744"/>
    <w:rsid w:val="00F833BA"/>
    <w:rsid w:val="00F912EF"/>
    <w:rsid w:val="00F95D6D"/>
    <w:rsid w:val="00F972A8"/>
    <w:rsid w:val="00FA6A70"/>
    <w:rsid w:val="00FB2130"/>
    <w:rsid w:val="00FB6DE3"/>
    <w:rsid w:val="00FC0E5F"/>
    <w:rsid w:val="00FC1FBC"/>
    <w:rsid w:val="00FC3339"/>
    <w:rsid w:val="00FC56DE"/>
    <w:rsid w:val="00FC7ECC"/>
    <w:rsid w:val="00FD15DF"/>
    <w:rsid w:val="00FD3B1F"/>
    <w:rsid w:val="00FD5FAC"/>
    <w:rsid w:val="00FE1C5D"/>
    <w:rsid w:val="00FE26AC"/>
    <w:rsid w:val="00FE27EE"/>
    <w:rsid w:val="00FE2F78"/>
    <w:rsid w:val="00FF475F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3B7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82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82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822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u.cz/cs/mapovani-kulturnich-a-kreativnich-prumyslu-v-cr-ii" TargetMode="Externa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10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1%20-%20P&#345;&#237;jmy,%20zam&#283;stnanost%20trojsekto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1%20-%20P&#345;&#237;jmy,%20zam&#283;stnanost%20trojsekto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Tabulka_kultura_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dera1350\AppData\Local\Temp\0620041633%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4\Ostatn&#237;%20zdroje%20-%20tabulky\V&#253;stupy_participac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3%20-%20Reuter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1"/>
          <c:order val="0"/>
          <c:tx>
            <c:strRef>
              <c:f>List1!$A$3</c:f>
              <c:strCache>
                <c:ptCount val="1"/>
                <c:pt idx="0">
                  <c:v>Kreativní průmysly</c:v>
                </c:pt>
              </c:strCache>
            </c:strRef>
          </c:tx>
          <c:dLbls>
            <c:dLbl>
              <c:idx val="2"/>
              <c:layout>
                <c:manualLayout>
                  <c:x val="-3.8685696521817851E-2"/>
                  <c:y val="5.971055701370740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8685696521817851E-2"/>
                  <c:y val="6.4340186643336433E-2"/>
                </c:manualLayout>
              </c:layout>
              <c:dLblPos val="r"/>
              <c:showVal val="1"/>
            </c:dLbl>
            <c:dLblPos val="t"/>
            <c:showVal val="1"/>
          </c:dLbls>
          <c:cat>
            <c:numRef>
              <c:f>List1!$B$2:$G$2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List1!$B$3:$G$3</c:f>
              <c:numCache>
                <c:formatCode>General</c:formatCode>
                <c:ptCount val="6"/>
                <c:pt idx="0">
                  <c:v>99.6</c:v>
                </c:pt>
                <c:pt idx="1">
                  <c:v>92.6</c:v>
                </c:pt>
                <c:pt idx="2">
                  <c:v>87.6</c:v>
                </c:pt>
                <c:pt idx="3">
                  <c:v>84.3</c:v>
                </c:pt>
                <c:pt idx="4">
                  <c:v>87.5</c:v>
                </c:pt>
                <c:pt idx="5">
                  <c:v>92.4</c:v>
                </c:pt>
              </c:numCache>
            </c:numRef>
          </c:val>
        </c:ser>
        <c:ser>
          <c:idx val="2"/>
          <c:order val="1"/>
          <c:tx>
            <c:strRef>
              <c:f>List1!$A$4</c:f>
              <c:strCache>
                <c:ptCount val="1"/>
                <c:pt idx="0">
                  <c:v>Kulturní průmysly</c:v>
                </c:pt>
              </c:strCache>
            </c:strRef>
          </c:tx>
          <c:dLbls>
            <c:dLbl>
              <c:idx val="2"/>
              <c:layout>
                <c:manualLayout>
                  <c:x val="-3.0689694522817581E-2"/>
                  <c:y val="-7.359944590259551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7126436781609201E-2"/>
                  <c:y val="-7.3599445902595512E-2"/>
                </c:manualLayout>
              </c:layout>
              <c:dLblPos val="r"/>
              <c:showVal val="1"/>
            </c:dLbl>
            <c:dLblPos val="b"/>
            <c:showVal val="1"/>
          </c:dLbls>
          <c:cat>
            <c:numRef>
              <c:f>List1!$B$2:$G$2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List1!$B$4:$G$4</c:f>
              <c:numCache>
                <c:formatCode>General</c:formatCode>
                <c:ptCount val="6"/>
                <c:pt idx="0">
                  <c:v>87.9</c:v>
                </c:pt>
                <c:pt idx="1">
                  <c:v>85.7</c:v>
                </c:pt>
                <c:pt idx="2">
                  <c:v>88.8</c:v>
                </c:pt>
                <c:pt idx="3">
                  <c:v>87</c:v>
                </c:pt>
                <c:pt idx="4">
                  <c:v>84.4</c:v>
                </c:pt>
                <c:pt idx="5">
                  <c:v>87.1</c:v>
                </c:pt>
              </c:numCache>
            </c:numRef>
          </c:val>
        </c:ser>
        <c:ser>
          <c:idx val="3"/>
          <c:order val="2"/>
          <c:tx>
            <c:strRef>
              <c:f>List1!$A$5</c:f>
              <c:strCache>
                <c:ptCount val="1"/>
                <c:pt idx="0">
                  <c:v>Tradiční odvětví</c:v>
                </c:pt>
              </c:strCache>
            </c:strRef>
          </c:tx>
          <c:dLbls>
            <c:dLblPos val="t"/>
            <c:showVal val="1"/>
          </c:dLbls>
          <c:cat>
            <c:numRef>
              <c:f>List1!$B$2:$G$2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List1!$B$5:$G$5</c:f>
              <c:numCache>
                <c:formatCode>General</c:formatCode>
                <c:ptCount val="6"/>
                <c:pt idx="0">
                  <c:v>28.3</c:v>
                </c:pt>
                <c:pt idx="1">
                  <c:v>28.8</c:v>
                </c:pt>
                <c:pt idx="2">
                  <c:v>31.4</c:v>
                </c:pt>
                <c:pt idx="3">
                  <c:v>32.9</c:v>
                </c:pt>
                <c:pt idx="4">
                  <c:v>34.200000000000003</c:v>
                </c:pt>
                <c:pt idx="5">
                  <c:v>36.5</c:v>
                </c:pt>
              </c:numCache>
            </c:numRef>
          </c:val>
        </c:ser>
        <c:marker val="1"/>
        <c:axId val="138430720"/>
        <c:axId val="138438912"/>
      </c:lineChart>
      <c:catAx>
        <c:axId val="138430720"/>
        <c:scaling>
          <c:orientation val="minMax"/>
        </c:scaling>
        <c:axPos val="b"/>
        <c:numFmt formatCode="General" sourceLinked="1"/>
        <c:tickLblPos val="nextTo"/>
        <c:crossAx val="138438912"/>
        <c:crosses val="autoZero"/>
        <c:auto val="1"/>
        <c:lblAlgn val="ctr"/>
        <c:lblOffset val="100"/>
      </c:catAx>
      <c:valAx>
        <c:axId val="138438912"/>
        <c:scaling>
          <c:orientation val="minMax"/>
        </c:scaling>
        <c:axPos val="l"/>
        <c:numFmt formatCode="General" sourceLinked="1"/>
        <c:tickLblPos val="nextTo"/>
        <c:crossAx val="13843072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List1!$A$8</c:f>
              <c:strCache>
                <c:ptCount val="1"/>
                <c:pt idx="0">
                  <c:v>Kreativní průmysly</c:v>
                </c:pt>
              </c:strCache>
            </c:strRef>
          </c:tx>
          <c:marker>
            <c:symbol val="square"/>
            <c:size val="7"/>
          </c:marker>
          <c:dLbls>
            <c:dLblPos val="b"/>
            <c:showVal val="1"/>
          </c:dLbls>
          <c:cat>
            <c:numRef>
              <c:f>List1!$B$7:$G$7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List1!$B$8:$G$8</c:f>
              <c:numCache>
                <c:formatCode>General</c:formatCode>
                <c:ptCount val="6"/>
                <c:pt idx="0">
                  <c:v>22.8</c:v>
                </c:pt>
                <c:pt idx="1">
                  <c:v>21.9</c:v>
                </c:pt>
                <c:pt idx="2">
                  <c:v>21.1</c:v>
                </c:pt>
                <c:pt idx="3">
                  <c:v>19.899999999999999</c:v>
                </c:pt>
                <c:pt idx="4">
                  <c:v>19.399999999999999</c:v>
                </c:pt>
                <c:pt idx="5">
                  <c:v>19.7</c:v>
                </c:pt>
              </c:numCache>
            </c:numRef>
          </c:val>
        </c:ser>
        <c:ser>
          <c:idx val="1"/>
          <c:order val="1"/>
          <c:tx>
            <c:strRef>
              <c:f>List1!$A$9</c:f>
              <c:strCache>
                <c:ptCount val="1"/>
                <c:pt idx="0">
                  <c:v>Kulturní průmysly</c:v>
                </c:pt>
              </c:strCache>
            </c:strRef>
          </c:tx>
          <c:marker>
            <c:symbol val="triangle"/>
            <c:size val="7"/>
          </c:marker>
          <c:dLbls>
            <c:dLbl>
              <c:idx val="0"/>
              <c:layout>
                <c:manualLayout>
                  <c:x val="-7.6085314917030814E-2"/>
                  <c:y val="-2.037779760288585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5077562979046422E-2"/>
                  <c:y val="-7.292295359631770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7.807744962112299E-4"/>
                  <c:y val="-5.3218520098780774E-2"/>
                </c:manualLayout>
              </c:layout>
              <c:dLblPos val="r"/>
              <c:showVal val="1"/>
            </c:dLbl>
            <c:dLblPos val="t"/>
            <c:showVal val="1"/>
          </c:dLbls>
          <c:cat>
            <c:numRef>
              <c:f>List1!$B$7:$G$7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List1!$B$9:$G$9</c:f>
              <c:numCache>
                <c:formatCode>General</c:formatCode>
                <c:ptCount val="6"/>
                <c:pt idx="0">
                  <c:v>26.1</c:v>
                </c:pt>
                <c:pt idx="1">
                  <c:v>23.3</c:v>
                </c:pt>
                <c:pt idx="2">
                  <c:v>22.5</c:v>
                </c:pt>
                <c:pt idx="3">
                  <c:v>22.6</c:v>
                </c:pt>
                <c:pt idx="4">
                  <c:v>23.4</c:v>
                </c:pt>
                <c:pt idx="5">
                  <c:v>29.4</c:v>
                </c:pt>
              </c:numCache>
            </c:numRef>
          </c:val>
        </c:ser>
        <c:ser>
          <c:idx val="2"/>
          <c:order val="2"/>
          <c:tx>
            <c:strRef>
              <c:f>List1!$A$10</c:f>
              <c:strCache>
                <c:ptCount val="1"/>
                <c:pt idx="0">
                  <c:v>Tradiční odvětví</c:v>
                </c:pt>
              </c:strCache>
            </c:strRef>
          </c:tx>
          <c:marker>
            <c:symbol val="x"/>
            <c:size val="7"/>
          </c:marker>
          <c:dLbls>
            <c:dLblPos val="t"/>
            <c:showVal val="1"/>
          </c:dLbls>
          <c:cat>
            <c:numRef>
              <c:f>List1!$B$7:$G$7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List1!$B$10:$G$10</c:f>
              <c:numCache>
                <c:formatCode>General</c:formatCode>
                <c:ptCount val="6"/>
                <c:pt idx="0">
                  <c:v>32.4</c:v>
                </c:pt>
                <c:pt idx="1">
                  <c:v>33.6</c:v>
                </c:pt>
                <c:pt idx="2">
                  <c:v>33.200000000000003</c:v>
                </c:pt>
                <c:pt idx="3">
                  <c:v>36.200000000000003</c:v>
                </c:pt>
                <c:pt idx="4">
                  <c:v>35.300000000000004</c:v>
                </c:pt>
                <c:pt idx="5">
                  <c:v>37.5</c:v>
                </c:pt>
              </c:numCache>
            </c:numRef>
          </c:val>
        </c:ser>
        <c:marker val="1"/>
        <c:axId val="138589312"/>
        <c:axId val="138590848"/>
      </c:lineChart>
      <c:catAx>
        <c:axId val="138589312"/>
        <c:scaling>
          <c:orientation val="minMax"/>
        </c:scaling>
        <c:axPos val="b"/>
        <c:numFmt formatCode="General" sourceLinked="1"/>
        <c:tickLblPos val="nextTo"/>
        <c:crossAx val="138590848"/>
        <c:crosses val="autoZero"/>
        <c:auto val="1"/>
        <c:lblAlgn val="ctr"/>
        <c:lblOffset val="100"/>
      </c:catAx>
      <c:valAx>
        <c:axId val="138590848"/>
        <c:scaling>
          <c:orientation val="minMax"/>
        </c:scaling>
        <c:axPos val="l"/>
        <c:numFmt formatCode="General" sourceLinked="1"/>
        <c:tickLblPos val="nextTo"/>
        <c:crossAx val="13858931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List3!$I$14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numFmt formatCode="#,##0.0" sourceLinked="0"/>
            <c:showVal val="1"/>
          </c:dLbls>
          <c:cat>
            <c:strRef>
              <c:f>List3!$H$15:$H$18</c:f>
              <c:strCache>
                <c:ptCount val="4"/>
                <c:pt idx="0">
                  <c:v>Film a hudba (fyzické nosiče)</c:v>
                </c:pt>
                <c:pt idx="1">
                  <c:v>Rozhlas a televize</c:v>
                </c:pt>
                <c:pt idx="2">
                  <c:v>Periodický tisk (časopisy, noviny)</c:v>
                </c:pt>
                <c:pt idx="3">
                  <c:v>Neperiodický tisk (knihy)</c:v>
                </c:pt>
              </c:strCache>
            </c:strRef>
          </c:cat>
          <c:val>
            <c:numRef>
              <c:f>List3!$I$15:$I$18</c:f>
              <c:numCache>
                <c:formatCode>General</c:formatCode>
                <c:ptCount val="4"/>
                <c:pt idx="0">
                  <c:v>0.87700000000000389</c:v>
                </c:pt>
                <c:pt idx="1">
                  <c:v>9.923</c:v>
                </c:pt>
                <c:pt idx="2">
                  <c:v>7.0649999999999755</c:v>
                </c:pt>
                <c:pt idx="3">
                  <c:v>4.7639999999999985</c:v>
                </c:pt>
              </c:numCache>
            </c:numRef>
          </c:val>
        </c:ser>
        <c:ser>
          <c:idx val="1"/>
          <c:order val="1"/>
          <c:tx>
            <c:strRef>
              <c:f>List3!$J$14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numFmt formatCode="#,##0.0" sourceLinked="0"/>
            <c:showVal val="1"/>
          </c:dLbls>
          <c:cat>
            <c:strRef>
              <c:f>List3!$H$15:$H$18</c:f>
              <c:strCache>
                <c:ptCount val="4"/>
                <c:pt idx="0">
                  <c:v>Film a hudba (fyzické nosiče)</c:v>
                </c:pt>
                <c:pt idx="1">
                  <c:v>Rozhlas a televize</c:v>
                </c:pt>
                <c:pt idx="2">
                  <c:v>Periodický tisk (časopisy, noviny)</c:v>
                </c:pt>
                <c:pt idx="3">
                  <c:v>Neperiodický tisk (knihy)</c:v>
                </c:pt>
              </c:strCache>
            </c:strRef>
          </c:cat>
          <c:val>
            <c:numRef>
              <c:f>List3!$J$15:$J$18</c:f>
              <c:numCache>
                <c:formatCode>General</c:formatCode>
                <c:ptCount val="4"/>
                <c:pt idx="0">
                  <c:v>1.23</c:v>
                </c:pt>
                <c:pt idx="1">
                  <c:v>10.108000000000001</c:v>
                </c:pt>
                <c:pt idx="2">
                  <c:v>7.0219999999999985</c:v>
                </c:pt>
                <c:pt idx="3">
                  <c:v>5.24</c:v>
                </c:pt>
              </c:numCache>
            </c:numRef>
          </c:val>
        </c:ser>
        <c:axId val="142545664"/>
        <c:axId val="142547200"/>
      </c:barChart>
      <c:catAx>
        <c:axId val="142545664"/>
        <c:scaling>
          <c:orientation val="minMax"/>
        </c:scaling>
        <c:axPos val="b"/>
        <c:tickLblPos val="nextTo"/>
        <c:crossAx val="142547200"/>
        <c:crosses val="autoZero"/>
        <c:auto val="1"/>
        <c:lblAlgn val="ctr"/>
        <c:lblOffset val="100"/>
      </c:catAx>
      <c:valAx>
        <c:axId val="142547200"/>
        <c:scaling>
          <c:orientation val="minMax"/>
        </c:scaling>
        <c:delete val="1"/>
        <c:axPos val="l"/>
        <c:numFmt formatCode="General" sourceLinked="1"/>
        <c:tickLblPos val="none"/>
        <c:crossAx val="14254566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'33 '!$X$9</c:f>
              <c:strCache>
                <c:ptCount val="1"/>
                <c:pt idx="0">
                  <c:v>procenta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'33 '!$W$10:$W$14</c:f>
              <c:strCache>
                <c:ptCount val="5"/>
                <c:pt idx="0">
                  <c:v>poslech rádia na internetu</c:v>
                </c:pt>
                <c:pt idx="1">
                  <c:v>poslech hudby na internetu 
(jiné než rádio)</c:v>
                </c:pt>
                <c:pt idx="2">
                  <c:v>sledování filmů nebo videa na internetu </c:v>
                </c:pt>
                <c:pt idx="3">
                  <c:v>hraní/stahování počítačových her</c:v>
                </c:pt>
                <c:pt idx="4">
                  <c:v>čtení zpráv</c:v>
                </c:pt>
              </c:strCache>
            </c:strRef>
          </c:cat>
          <c:val>
            <c:numRef>
              <c:f>'33 '!$X$10:$X$14</c:f>
              <c:numCache>
                <c:formatCode>#,##0.0__</c:formatCode>
                <c:ptCount val="5"/>
                <c:pt idx="0">
                  <c:v>0.19</c:v>
                </c:pt>
                <c:pt idx="1">
                  <c:v>0.29600000000000032</c:v>
                </c:pt>
                <c:pt idx="2">
                  <c:v>0.48200000000000032</c:v>
                </c:pt>
                <c:pt idx="3" formatCode="#,##0.0">
                  <c:v>0.19500000000000001</c:v>
                </c:pt>
                <c:pt idx="4" formatCode="General">
                  <c:v>0.62200000000000422</c:v>
                </c:pt>
              </c:numCache>
            </c:numRef>
          </c:val>
        </c:ser>
        <c:gapWidth val="100"/>
        <c:axId val="165695872"/>
        <c:axId val="165698176"/>
      </c:barChart>
      <c:catAx>
        <c:axId val="165695872"/>
        <c:scaling>
          <c:orientation val="minMax"/>
        </c:scaling>
        <c:axPos val="l"/>
        <c:tickLblPos val="nextTo"/>
        <c:crossAx val="165698176"/>
        <c:crosses val="autoZero"/>
        <c:auto val="1"/>
        <c:lblAlgn val="ctr"/>
        <c:lblOffset val="100"/>
      </c:catAx>
      <c:valAx>
        <c:axId val="165698176"/>
        <c:scaling>
          <c:orientation val="minMax"/>
        </c:scaling>
        <c:delete val="1"/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#,##0.0__" sourceLinked="1"/>
        <c:tickLblPos val="none"/>
        <c:crossAx val="16569587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List2!$D$1</c:f>
              <c:strCache>
                <c:ptCount val="1"/>
                <c:pt idx="0">
                  <c:v>alespoň jednou týdně</c:v>
                </c:pt>
              </c:strCache>
            </c:strRef>
          </c:tx>
          <c:dLbls>
            <c:showVal val="1"/>
          </c:dLbls>
          <c:cat>
            <c:strRef>
              <c:f>List2!$C$2:$C$7</c:f>
              <c:strCache>
                <c:ptCount val="6"/>
                <c:pt idx="0">
                  <c:v>sledování TV</c:v>
                </c:pt>
                <c:pt idx="1">
                  <c:v>poslech hudby doma</c:v>
                </c:pt>
                <c:pt idx="2">
                  <c:v>sledování filmů doma</c:v>
                </c:pt>
                <c:pt idx="3">
                  <c:v>čtení knih</c:v>
                </c:pt>
                <c:pt idx="4">
                  <c:v>návštěva kina</c:v>
                </c:pt>
                <c:pt idx="5">
                  <c:v>návštěva divadla či koncertu</c:v>
                </c:pt>
              </c:strCache>
            </c:strRef>
          </c:cat>
          <c:val>
            <c:numRef>
              <c:f>List2!$D$2:$D$7</c:f>
              <c:numCache>
                <c:formatCode>0%</c:formatCode>
                <c:ptCount val="6"/>
                <c:pt idx="0">
                  <c:v>0.97000000000000064</c:v>
                </c:pt>
                <c:pt idx="1">
                  <c:v>0.81</c:v>
                </c:pt>
                <c:pt idx="2">
                  <c:v>0.48000000000000032</c:v>
                </c:pt>
                <c:pt idx="3">
                  <c:v>0.72000000000000064</c:v>
                </c:pt>
                <c:pt idx="4">
                  <c:v>1.0000000000000005E-2</c:v>
                </c:pt>
                <c:pt idx="5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List2!$E$1</c:f>
              <c:strCache>
                <c:ptCount val="1"/>
                <c:pt idx="0">
                  <c:v>alespoň jednou měsíčně</c:v>
                </c:pt>
              </c:strCache>
            </c:strRef>
          </c:tx>
          <c:dLbls>
            <c:showVal val="1"/>
          </c:dLbls>
          <c:cat>
            <c:strRef>
              <c:f>List2!$C$2:$C$7</c:f>
              <c:strCache>
                <c:ptCount val="6"/>
                <c:pt idx="0">
                  <c:v>sledování TV</c:v>
                </c:pt>
                <c:pt idx="1">
                  <c:v>poslech hudby doma</c:v>
                </c:pt>
                <c:pt idx="2">
                  <c:v>sledování filmů doma</c:v>
                </c:pt>
                <c:pt idx="3">
                  <c:v>čtení knih</c:v>
                </c:pt>
                <c:pt idx="4">
                  <c:v>návštěva kina</c:v>
                </c:pt>
                <c:pt idx="5">
                  <c:v>návštěva divadla či koncertu</c:v>
                </c:pt>
              </c:strCache>
            </c:strRef>
          </c:cat>
          <c:val>
            <c:numRef>
              <c:f>List2!$E$2:$E$7</c:f>
              <c:numCache>
                <c:formatCode>0%</c:formatCode>
                <c:ptCount val="6"/>
                <c:pt idx="0">
                  <c:v>0.99</c:v>
                </c:pt>
                <c:pt idx="1">
                  <c:v>0.98</c:v>
                </c:pt>
                <c:pt idx="2">
                  <c:v>0.93</c:v>
                </c:pt>
                <c:pt idx="3">
                  <c:v>0.96000000000000063</c:v>
                </c:pt>
                <c:pt idx="4">
                  <c:v>0.29000000000000031</c:v>
                </c:pt>
                <c:pt idx="5">
                  <c:v>0.31000000000000238</c:v>
                </c:pt>
              </c:numCache>
            </c:numRef>
          </c:val>
        </c:ser>
        <c:axId val="166305792"/>
        <c:axId val="64405888"/>
      </c:barChart>
      <c:catAx>
        <c:axId val="166305792"/>
        <c:scaling>
          <c:orientation val="minMax"/>
        </c:scaling>
        <c:axPos val="b"/>
        <c:tickLblPos val="nextTo"/>
        <c:crossAx val="64405888"/>
        <c:crosses val="autoZero"/>
        <c:auto val="1"/>
        <c:lblAlgn val="ctr"/>
        <c:lblOffset val="100"/>
      </c:catAx>
      <c:valAx>
        <c:axId val="64405888"/>
        <c:scaling>
          <c:orientation val="minMax"/>
          <c:max val="1"/>
        </c:scaling>
        <c:axPos val="l"/>
        <c:numFmt formatCode="0%" sourceLinked="1"/>
        <c:tickLblPos val="nextTo"/>
        <c:crossAx val="1663057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4039999672938242"/>
          <c:y val="0"/>
          <c:w val="0.51920000654123843"/>
          <c:h val="0.10482848339609695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18-24 let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List1!$A$2:$A$6</c:f>
              <c:strCache>
                <c:ptCount val="5"/>
                <c:pt idx="0">
                  <c:v>Online média (vč. sociálních sítí)</c:v>
                </c:pt>
                <c:pt idx="1">
                  <c:v>Sociální sítě</c:v>
                </c:pt>
                <c:pt idx="2">
                  <c:v>Rádio</c:v>
                </c:pt>
                <c:pt idx="3">
                  <c:v>Tištěná periodika</c:v>
                </c:pt>
                <c:pt idx="4">
                  <c:v>Televize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0.6400000000000019</c:v>
                </c:pt>
                <c:pt idx="1">
                  <c:v>0.33000000000000107</c:v>
                </c:pt>
                <c:pt idx="2">
                  <c:v>4.0000000000000022E-2</c:v>
                </c:pt>
                <c:pt idx="3">
                  <c:v>0.05</c:v>
                </c:pt>
                <c:pt idx="4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25-34 let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List1!$A$2:$A$6</c:f>
              <c:strCache>
                <c:ptCount val="5"/>
                <c:pt idx="0">
                  <c:v>Online média (vč. sociálních sítí)</c:v>
                </c:pt>
                <c:pt idx="1">
                  <c:v>Sociální sítě</c:v>
                </c:pt>
                <c:pt idx="2">
                  <c:v>Rádio</c:v>
                </c:pt>
                <c:pt idx="3">
                  <c:v>Tištěná periodika</c:v>
                </c:pt>
                <c:pt idx="4">
                  <c:v>Televize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0.58000000000000007</c:v>
                </c:pt>
                <c:pt idx="1">
                  <c:v>0.21000000000000021</c:v>
                </c:pt>
                <c:pt idx="2">
                  <c:v>0.05</c:v>
                </c:pt>
                <c:pt idx="3">
                  <c:v>0.05</c:v>
                </c:pt>
                <c:pt idx="4">
                  <c:v>0.29000000000000031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35-44 let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List1!$A$2:$A$6</c:f>
              <c:strCache>
                <c:ptCount val="5"/>
                <c:pt idx="0">
                  <c:v>Online média (vč. sociálních sítí)</c:v>
                </c:pt>
                <c:pt idx="1">
                  <c:v>Sociální sítě</c:v>
                </c:pt>
                <c:pt idx="2">
                  <c:v>Rádio</c:v>
                </c:pt>
                <c:pt idx="3">
                  <c:v>Tištěná periodika</c:v>
                </c:pt>
                <c:pt idx="4">
                  <c:v>Televize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0.49000000000000032</c:v>
                </c:pt>
                <c:pt idx="1">
                  <c:v>0.15000000000000024</c:v>
                </c:pt>
                <c:pt idx="2">
                  <c:v>6.0000000000000032E-2</c:v>
                </c:pt>
                <c:pt idx="3">
                  <c:v>6.0000000000000032E-2</c:v>
                </c:pt>
                <c:pt idx="4">
                  <c:v>0.37000000000000038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45-54 let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List1!$A$2:$A$6</c:f>
              <c:strCache>
                <c:ptCount val="5"/>
                <c:pt idx="0">
                  <c:v>Online média (vč. sociálních sítí)</c:v>
                </c:pt>
                <c:pt idx="1">
                  <c:v>Sociální sítě</c:v>
                </c:pt>
                <c:pt idx="2">
                  <c:v>Rádio</c:v>
                </c:pt>
                <c:pt idx="3">
                  <c:v>Tištěná periodika</c:v>
                </c:pt>
                <c:pt idx="4">
                  <c:v>Televize</c:v>
                </c:pt>
              </c:strCache>
            </c:strRef>
          </c:cat>
          <c:val>
            <c:numRef>
              <c:f>List1!$E$2:$E$6</c:f>
              <c:numCache>
                <c:formatCode>General</c:formatCode>
                <c:ptCount val="5"/>
                <c:pt idx="0">
                  <c:v>0.39000000000000096</c:v>
                </c:pt>
                <c:pt idx="1">
                  <c:v>0.1</c:v>
                </c:pt>
                <c:pt idx="2">
                  <c:v>7.0000000000000021E-2</c:v>
                </c:pt>
                <c:pt idx="3">
                  <c:v>7.0000000000000021E-2</c:v>
                </c:pt>
                <c:pt idx="4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55 let a více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List1!$A$2:$A$6</c:f>
              <c:strCache>
                <c:ptCount val="5"/>
                <c:pt idx="0">
                  <c:v>Online média (vč. sociálních sítí)</c:v>
                </c:pt>
                <c:pt idx="1">
                  <c:v>Sociální sítě</c:v>
                </c:pt>
                <c:pt idx="2">
                  <c:v>Rádio</c:v>
                </c:pt>
                <c:pt idx="3">
                  <c:v>Tištěná periodika</c:v>
                </c:pt>
                <c:pt idx="4">
                  <c:v>Televize</c:v>
                </c:pt>
              </c:strCache>
            </c:strRef>
          </c:cat>
          <c:val>
            <c:numRef>
              <c:f>List1!$F$2:$F$6</c:f>
              <c:numCache>
                <c:formatCode>General</c:formatCode>
                <c:ptCount val="5"/>
                <c:pt idx="0">
                  <c:v>0.28000000000000008</c:v>
                </c:pt>
                <c:pt idx="1">
                  <c:v>7.0000000000000021E-2</c:v>
                </c:pt>
                <c:pt idx="2">
                  <c:v>7.0000000000000021E-2</c:v>
                </c:pt>
                <c:pt idx="3">
                  <c:v>0.11</c:v>
                </c:pt>
                <c:pt idx="4">
                  <c:v>0.51</c:v>
                </c:pt>
              </c:numCache>
            </c:numRef>
          </c:val>
        </c:ser>
        <c:axId val="66597632"/>
        <c:axId val="66599168"/>
      </c:barChart>
      <c:catAx>
        <c:axId val="66597632"/>
        <c:scaling>
          <c:orientation val="minMax"/>
        </c:scaling>
        <c:axPos val="b"/>
        <c:tickLblPos val="nextTo"/>
        <c:crossAx val="66599168"/>
        <c:crosses val="autoZero"/>
        <c:auto val="1"/>
        <c:lblAlgn val="ctr"/>
        <c:lblOffset val="100"/>
      </c:catAx>
      <c:valAx>
        <c:axId val="66599168"/>
        <c:scaling>
          <c:orientation val="minMax"/>
        </c:scaling>
        <c:delete val="1"/>
        <c:axPos val="l"/>
        <c:numFmt formatCode="General" sourceLinked="1"/>
        <c:tickLblPos val="none"/>
        <c:crossAx val="66597632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A981-1924-4261-A02E-FAE45E33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6</Pages>
  <Words>1889</Words>
  <Characters>11147</Characters>
  <Application>Microsoft Office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2017-10-26T12:33:00Z</cp:lastPrinted>
  <dcterms:created xsi:type="dcterms:W3CDTF">2017-10-27T10:57:00Z</dcterms:created>
  <dcterms:modified xsi:type="dcterms:W3CDTF">2017-10-30T08:44:00Z</dcterms:modified>
</cp:coreProperties>
</file>