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39" w:rsidRPr="00A83467" w:rsidRDefault="00495739" w:rsidP="00495739">
      <w:pPr>
        <w:pStyle w:val="Mnadpis2"/>
      </w:pPr>
      <w:bookmarkStart w:id="0" w:name="_Toc385594785"/>
      <w:r w:rsidRPr="00A83467">
        <w:t>2.2.  Narození v SO ORP bydliště</w:t>
      </w:r>
      <w:bookmarkEnd w:id="0"/>
    </w:p>
    <w:p w:rsidR="00495739" w:rsidRDefault="00495739" w:rsidP="00495739">
      <w:pPr>
        <w:widowControl w:val="0"/>
        <w:rPr>
          <w:rFonts w:ascii="Arial" w:hAnsi="Arial" w:cs="Arial"/>
        </w:rPr>
      </w:pPr>
    </w:p>
    <w:p w:rsidR="00495739" w:rsidRDefault="00495739" w:rsidP="00495739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Při sčítání v roce 2011 uvedlo celkem 1,1 mil., tedy 10,6 % obyvatel ČR obec svého narození odlišnou od obce svého bydliště, ale náležející do stejného správního obvodu obce s rozšířenou působností.</w:t>
      </w:r>
    </w:p>
    <w:p w:rsidR="00495739" w:rsidRDefault="00495739" w:rsidP="00495739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Podíl tohoto typu změny bydliště v průběhu života se v jednotlivých SO ORP pohybuje mezi nulovým (v</w:t>
      </w:r>
      <w:r w:rsidRPr="00920F19">
        <w:rPr>
          <w:rFonts w:ascii="Arial" w:hAnsi="Arial" w:cs="Arial"/>
        </w:rPr>
        <w:t xml:space="preserve"> případě Prahy a Brna, neboť SO ORP zde </w:t>
      </w:r>
      <w:r>
        <w:rPr>
          <w:rFonts w:ascii="Arial" w:hAnsi="Arial" w:cs="Arial"/>
        </w:rPr>
        <w:t>tvoří</w:t>
      </w:r>
      <w:r w:rsidRPr="00920F19">
        <w:rPr>
          <w:rFonts w:ascii="Arial" w:hAnsi="Arial" w:cs="Arial"/>
        </w:rPr>
        <w:t xml:space="preserve"> pouze </w:t>
      </w:r>
      <w:r>
        <w:rPr>
          <w:rFonts w:ascii="Arial" w:hAnsi="Arial" w:cs="Arial"/>
        </w:rPr>
        <w:t>tato jediná</w:t>
      </w:r>
      <w:r w:rsidRPr="00920F19">
        <w:rPr>
          <w:rFonts w:ascii="Arial" w:hAnsi="Arial" w:cs="Arial"/>
        </w:rPr>
        <w:t xml:space="preserve"> ob</w:t>
      </w:r>
      <w:r>
        <w:rPr>
          <w:rFonts w:ascii="Arial" w:hAnsi="Arial" w:cs="Arial"/>
        </w:rPr>
        <w:t>e</w:t>
      </w:r>
      <w:r w:rsidRPr="00920F19">
        <w:rPr>
          <w:rFonts w:ascii="Arial" w:hAnsi="Arial" w:cs="Arial"/>
        </w:rPr>
        <w:t>c</w:t>
      </w:r>
      <w:r>
        <w:rPr>
          <w:rFonts w:ascii="Arial" w:hAnsi="Arial" w:cs="Arial"/>
        </w:rPr>
        <w:t>) až přibližně pětinovým. Kromě intenzity stěhování na kratší vzdálenost je však silně ovlivněn i administrativními faktory, především velikostí resp. počtem obcí v SO ORP. </w:t>
      </w:r>
      <w:proofErr w:type="spellStart"/>
      <w:r>
        <w:rPr>
          <w:rFonts w:ascii="Arial" w:hAnsi="Arial" w:cs="Arial"/>
        </w:rPr>
        <w:t>Mikroregiony</w:t>
      </w:r>
      <w:proofErr w:type="spellEnd"/>
      <w:r>
        <w:rPr>
          <w:rFonts w:ascii="Arial" w:hAnsi="Arial" w:cs="Arial"/>
        </w:rPr>
        <w:t xml:space="preserve"> s velkým počtem obcí mají zpravidla vyšší hodnoty tohoto údaje, bez ohledu na jejich polohu v ČR. </w:t>
      </w:r>
    </w:p>
    <w:p w:rsidR="00495739" w:rsidRDefault="00495739" w:rsidP="00495739">
      <w:pPr>
        <w:widowControl w:val="0"/>
        <w:spacing w:after="120"/>
        <w:jc w:val="both"/>
        <w:rPr>
          <w:rFonts w:ascii="Arial" w:hAnsi="Arial" w:cs="Arial"/>
        </w:rPr>
      </w:pPr>
    </w:p>
    <w:p w:rsidR="00495739" w:rsidRPr="007E7A29" w:rsidRDefault="00495739" w:rsidP="00495739">
      <w:pPr>
        <w:widowControl w:val="0"/>
        <w:spacing w:after="60"/>
        <w:jc w:val="both"/>
        <w:rPr>
          <w:rFonts w:ascii="Arial" w:hAnsi="Arial" w:cs="Arial"/>
          <w:b/>
        </w:rPr>
      </w:pPr>
      <w:r w:rsidRPr="007E7A29">
        <w:rPr>
          <w:rFonts w:ascii="Arial" w:hAnsi="Arial" w:cs="Arial"/>
          <w:b/>
        </w:rPr>
        <w:t>Obyvatelstvo podle krajů a místa bydliště v době narození k 26. 3. 2011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0"/>
        <w:gridCol w:w="980"/>
        <w:gridCol w:w="900"/>
        <w:gridCol w:w="900"/>
        <w:gridCol w:w="900"/>
        <w:gridCol w:w="900"/>
        <w:gridCol w:w="900"/>
        <w:gridCol w:w="900"/>
        <w:gridCol w:w="900"/>
      </w:tblGrid>
      <w:tr w:rsidR="00495739" w:rsidRPr="00DE71BB" w:rsidTr="000F3DF8">
        <w:trPr>
          <w:trHeight w:val="225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39" w:rsidRPr="00DE71BB" w:rsidRDefault="00495739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39" w:rsidRPr="00DE71BB" w:rsidRDefault="00495739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Počet obyvatel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z toho bydliště v době narození (v %)</w:t>
            </w: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39" w:rsidRPr="00DE71BB" w:rsidRDefault="00495739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v obci bydliště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39" w:rsidRPr="00DE71BB" w:rsidRDefault="00495739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v jiné obci SO ORP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39" w:rsidRPr="00DE71BB" w:rsidRDefault="00495739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v jiném SO ORP kraje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739" w:rsidRPr="00DE71BB" w:rsidRDefault="00495739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v jiném kraji</w:t>
            </w:r>
          </w:p>
        </w:tc>
        <w:tc>
          <w:tcPr>
            <w:tcW w:w="90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39" w:rsidRPr="00DE71BB" w:rsidRDefault="00495739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v SO ORP bydliště celkem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39" w:rsidRPr="00DE71BB" w:rsidRDefault="00495739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v kraji bydliště celkem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39" w:rsidRPr="00DE71BB" w:rsidRDefault="00495739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v ČR celkem</w:t>
            </w: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ČR celkem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10 436 560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70,1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92,9</w:t>
            </w: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Hlavní město Praha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1 268 796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83,8</w:t>
            </w: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Středočeský kraj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1 289 211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93,2</w:t>
            </w: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Jihočeský kraj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628 336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59,2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74,4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95,5</w:t>
            </w: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Plzeňský kraj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570 401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55,5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92,7</w:t>
            </w: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Karlovarský kraj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295 595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49,1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58,3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88,1</w:t>
            </w: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Ústecký kraj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808 961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67,6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92,3</w:t>
            </w: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Liberecký kraj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432 439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43,4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53,5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93,1</w:t>
            </w: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Královéhradecký kraj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547 916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94,6</w:t>
            </w: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Pardubický kraj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511 627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74,4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95,3</w:t>
            </w: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505 565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67,6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79,5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97,1</w:t>
            </w: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Jihomoravský kraj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1 163 508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61,1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76,9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94,3</w:t>
            </w: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Olomoucký kraj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628 427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48,2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95,7</w:t>
            </w: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Zlínský kraj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579 944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67,7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80,7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96,5</w:t>
            </w:r>
          </w:p>
        </w:tc>
      </w:tr>
      <w:tr w:rsidR="00495739" w:rsidRPr="00DE71BB" w:rsidTr="000F3DF8">
        <w:trPr>
          <w:trHeight w:val="2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Moravskoslezský kraj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1 205 834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78,7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DE71BB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1BB">
              <w:rPr>
                <w:rFonts w:ascii="Arial" w:hAnsi="Arial" w:cs="Arial"/>
                <w:color w:val="000000"/>
                <w:sz w:val="16"/>
                <w:szCs w:val="16"/>
              </w:rPr>
              <w:t>93,9</w:t>
            </w:r>
          </w:p>
        </w:tc>
      </w:tr>
    </w:tbl>
    <w:p w:rsidR="00495739" w:rsidRDefault="00495739" w:rsidP="00495739">
      <w:pPr>
        <w:widowControl w:val="0"/>
        <w:spacing w:after="120"/>
        <w:jc w:val="both"/>
        <w:rPr>
          <w:rFonts w:ascii="Arial" w:hAnsi="Arial" w:cs="Arial"/>
          <w:highlight w:val="yellow"/>
        </w:rPr>
      </w:pPr>
    </w:p>
    <w:p w:rsidR="00495739" w:rsidRDefault="00495739" w:rsidP="00495739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Vyšší podíly osob narozených v jiné obci SO ORP bydliště – 15-20 % </w:t>
      </w:r>
      <w:r w:rsidRPr="00351EF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se vyskytují především v Kraji Vysočina a přilehlých oblastech ze sousedních krajů, kde je pro sídelní strukturu typický větší počet relativně malých obcí, dále v okrajových částech Středočeského kraje a části střední Moravy. Často jde o oblasti vzdálenější od velkých měst. Velkoměsta nad 100 tisíc obyvatel zpravidla přitahují více migrantů i z větší vzdálenosti; územní rozdíly v tomto ukazateli nasvědčují tomu, že blízkost či přítomnost velkoměsta snižuje podíl obyvatel, kteří mají své rodiště v rámci </w:t>
      </w:r>
      <w:proofErr w:type="spellStart"/>
      <w:r>
        <w:rPr>
          <w:rFonts w:ascii="Arial" w:hAnsi="Arial" w:cs="Arial"/>
        </w:rPr>
        <w:t>mikroregionu</w:t>
      </w:r>
      <w:proofErr w:type="spellEnd"/>
      <w:r>
        <w:rPr>
          <w:rFonts w:ascii="Arial" w:hAnsi="Arial" w:cs="Arial"/>
        </w:rPr>
        <w:t>.</w:t>
      </w:r>
    </w:p>
    <w:p w:rsidR="00495739" w:rsidRDefault="00495739" w:rsidP="00495739">
      <w:pPr>
        <w:widowControl w:val="0"/>
        <w:spacing w:after="120"/>
        <w:jc w:val="both"/>
        <w:rPr>
          <w:rFonts w:ascii="Arial" w:hAnsi="Arial" w:cs="Arial"/>
        </w:rPr>
      </w:pPr>
      <w:r w:rsidRPr="0009034F">
        <w:rPr>
          <w:rFonts w:ascii="Arial" w:hAnsi="Arial" w:cs="Arial"/>
          <w:noProof/>
        </w:rPr>
        <w:lastRenderedPageBreak/>
        <w:drawing>
          <wp:inline distT="0" distB="0" distL="0" distR="0">
            <wp:extent cx="6120130" cy="4308475"/>
            <wp:effectExtent l="19050" t="19050" r="13970" b="15875"/>
            <wp:docPr id="16" name="Obrázek 13" descr="jina_obec_OR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na_obec_ORP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084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95739" w:rsidRDefault="00495739" w:rsidP="00495739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Nejnižší koncentraci osob narozených v jiné obci SO ORP mají velkoměsta Praha, Brno, Plzeň a Ostrava a </w:t>
      </w:r>
      <w:proofErr w:type="spellStart"/>
      <w:r>
        <w:rPr>
          <w:rFonts w:ascii="Arial" w:hAnsi="Arial" w:cs="Arial"/>
        </w:rPr>
        <w:t>mikroregiony</w:t>
      </w:r>
      <w:proofErr w:type="spellEnd"/>
      <w:r>
        <w:rPr>
          <w:rFonts w:ascii="Arial" w:hAnsi="Arial" w:cs="Arial"/>
        </w:rPr>
        <w:t xml:space="preserve"> v jejich nejbližším zázemí. Zejména v případě Prahy a Brna zde velká část stěhování připadá na</w:t>
      </w:r>
      <w:r w:rsidRPr="003A5E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migrační výměnu mezi městem a zázemím, tvořeným již jinými SO ORP, případně imigraci z jiných vzdálenějších </w:t>
      </w:r>
      <w:proofErr w:type="spellStart"/>
      <w:r>
        <w:rPr>
          <w:rFonts w:ascii="Arial" w:hAnsi="Arial" w:cs="Arial"/>
        </w:rPr>
        <w:t>mikroregionů</w:t>
      </w:r>
      <w:proofErr w:type="spellEnd"/>
      <w:r>
        <w:rPr>
          <w:rFonts w:ascii="Arial" w:hAnsi="Arial" w:cs="Arial"/>
        </w:rPr>
        <w:t>. V ostravské aglomeraci se pak jedná o plošně velmi malé, ale hustě zalidněné SO ORP sestávající pouze z několika obcí. Obecně nižší podíly v této kategorii má téměř celá severní polovina Moravy a Slezska a také oblast západních a severozápadních Čech.</w:t>
      </w:r>
    </w:p>
    <w:p w:rsidR="00495739" w:rsidRPr="009F67C1" w:rsidRDefault="00495739" w:rsidP="00495739">
      <w:pPr>
        <w:spacing w:after="120"/>
        <w:jc w:val="both"/>
        <w:rPr>
          <w:rFonts w:ascii="Arial" w:hAnsi="Arial" w:cs="Arial"/>
        </w:rPr>
      </w:pPr>
      <w:r w:rsidRPr="007B44CD">
        <w:rPr>
          <w:rFonts w:ascii="Arial" w:hAnsi="Arial" w:cs="Arial"/>
        </w:rPr>
        <w:t xml:space="preserve">Souhrnem osob narozených v jiné obci SO ORP bydliště a rodáků jsou osoby narozené v SO ORP svého bydliště. Podíl těchto osob, tedy těch, kteří zůstali ve svém rodišti, nebo se v průběhu života přestěhovali pouze na krátkou vzdálenost, lze považovat za charakteristiku určité stability obyvatelstva </w:t>
      </w:r>
      <w:proofErr w:type="spellStart"/>
      <w:r w:rsidRPr="007B44CD">
        <w:rPr>
          <w:rFonts w:ascii="Arial" w:hAnsi="Arial" w:cs="Arial"/>
        </w:rPr>
        <w:t>mikroregionu</w:t>
      </w:r>
      <w:proofErr w:type="spellEnd"/>
      <w:r w:rsidRPr="007B44CD">
        <w:rPr>
          <w:rFonts w:ascii="Arial" w:hAnsi="Arial" w:cs="Arial"/>
        </w:rPr>
        <w:t xml:space="preserve">. Větší váhu z obou složek mají v tomto ukazateli rodáci, územní rozdíly narozených </w:t>
      </w:r>
      <w:r w:rsidRPr="009F67C1">
        <w:rPr>
          <w:rFonts w:ascii="Arial" w:hAnsi="Arial" w:cs="Arial"/>
        </w:rPr>
        <w:t>v SO ORP bydliště proto silněji korelují s podílem narozených v obci.</w:t>
      </w:r>
    </w:p>
    <w:p w:rsidR="00495739" w:rsidRDefault="00495739" w:rsidP="00495739">
      <w:pPr>
        <w:spacing w:after="120"/>
        <w:jc w:val="both"/>
        <w:rPr>
          <w:rFonts w:ascii="Arial" w:hAnsi="Arial" w:cs="Arial"/>
        </w:rPr>
      </w:pPr>
      <w:r w:rsidRPr="009F67C1">
        <w:rPr>
          <w:rFonts w:ascii="Arial" w:hAnsi="Arial" w:cs="Arial"/>
        </w:rPr>
        <w:t>Celkem 6,0 mil. obyvatel ČR, tj. 57,6 % populace, se narodilo v témže SO ORP, v jakém žili při sčítání v roce 2011. Ve východní polovině republiky je přitom podíl těchto osob v průměru více než třípětinový, nejvyšší je v kraji Zlínském a Vysočina, kde v </w:t>
      </w:r>
      <w:proofErr w:type="spellStart"/>
      <w:r w:rsidRPr="009F67C1">
        <w:rPr>
          <w:rFonts w:ascii="Arial" w:hAnsi="Arial" w:cs="Arial"/>
        </w:rPr>
        <w:t>mikroregionu</w:t>
      </w:r>
      <w:proofErr w:type="spellEnd"/>
      <w:r w:rsidRPr="009F67C1">
        <w:rPr>
          <w:rFonts w:ascii="Arial" w:hAnsi="Arial" w:cs="Arial"/>
        </w:rPr>
        <w:t xml:space="preserve"> svého rodiště zůstávají bydlet více než dvě třetiny obyvatelstva. Z českých krajů se nejvýše </w:t>
      </w:r>
      <w:r w:rsidRPr="008C45A1">
        <w:rPr>
          <w:rFonts w:ascii="Arial" w:hAnsi="Arial" w:cs="Arial"/>
        </w:rPr>
        <w:t>–</w:t>
      </w:r>
      <w:r w:rsidRPr="009F67C1">
        <w:rPr>
          <w:rFonts w:ascii="Arial" w:hAnsi="Arial" w:cs="Arial"/>
        </w:rPr>
        <w:t xml:space="preserve"> kolem 60 % </w:t>
      </w:r>
      <w:r w:rsidRPr="008C45A1">
        <w:rPr>
          <w:rFonts w:ascii="Arial" w:hAnsi="Arial" w:cs="Arial"/>
        </w:rPr>
        <w:t>–</w:t>
      </w:r>
      <w:r w:rsidRPr="009F67C1">
        <w:rPr>
          <w:rFonts w:ascii="Arial" w:hAnsi="Arial" w:cs="Arial"/>
        </w:rPr>
        <w:t xml:space="preserve"> pohybují hodnoty za kraje Pardubický, Jihočeský a Královéhradecký. Jako nejnižší lze i podle tohoto ukazatele hodnotit stabilitu obyvatelstva Karlovarského kraje, kde v </w:t>
      </w:r>
      <w:proofErr w:type="spellStart"/>
      <w:r w:rsidRPr="009F67C1">
        <w:rPr>
          <w:rFonts w:ascii="Arial" w:hAnsi="Arial" w:cs="Arial"/>
        </w:rPr>
        <w:t>mikroregionu</w:t>
      </w:r>
      <w:proofErr w:type="spellEnd"/>
      <w:r w:rsidRPr="009F67C1">
        <w:rPr>
          <w:rFonts w:ascii="Arial" w:hAnsi="Arial" w:cs="Arial"/>
        </w:rPr>
        <w:t xml:space="preserve"> svého rodiště žije necelá polovina obyvatel; následuje Praha, která poloviční podíl překračuje jen těsně.</w:t>
      </w:r>
      <w:r w:rsidRPr="00F9228F">
        <w:rPr>
          <w:rFonts w:ascii="Arial" w:hAnsi="Arial" w:cs="Arial"/>
        </w:rPr>
        <w:t xml:space="preserve"> </w:t>
      </w:r>
    </w:p>
    <w:p w:rsidR="00495739" w:rsidRDefault="00495739" w:rsidP="00495739">
      <w:pPr>
        <w:spacing w:after="120"/>
        <w:jc w:val="both"/>
        <w:rPr>
          <w:rFonts w:ascii="Arial" w:hAnsi="Arial" w:cs="Arial"/>
        </w:rPr>
      </w:pPr>
      <w:r w:rsidRPr="00351EFC">
        <w:rPr>
          <w:rFonts w:ascii="Arial" w:hAnsi="Arial" w:cs="Arial"/>
        </w:rPr>
        <w:t xml:space="preserve">Při hodnocení na úrovni SO ORP vystupuje jako téměř souvislá oblast s nejstabilnějším obyvatelstvem v podstatě celé území Vysočiny a jižní a střední Moravy kromě okolí Brna. Podíl narozených v SO ORP bydliště zde téměř nikde neklesá pod třípětinovou hranici, přibližně v polovině </w:t>
      </w:r>
      <w:proofErr w:type="spellStart"/>
      <w:r w:rsidRPr="00351EFC">
        <w:rPr>
          <w:rFonts w:ascii="Arial" w:hAnsi="Arial" w:cs="Arial"/>
        </w:rPr>
        <w:t>mikroregionů</w:t>
      </w:r>
      <w:proofErr w:type="spellEnd"/>
      <w:r w:rsidRPr="00351EFC">
        <w:rPr>
          <w:rFonts w:ascii="Arial" w:hAnsi="Arial" w:cs="Arial"/>
        </w:rPr>
        <w:t xml:space="preserve"> činí i více než dvě třetiny obyvatel. Podobných hodnot dosahují také oblasti na Opavsku a </w:t>
      </w:r>
      <w:proofErr w:type="spellStart"/>
      <w:r w:rsidRPr="00351EFC">
        <w:rPr>
          <w:rFonts w:ascii="Arial" w:hAnsi="Arial" w:cs="Arial"/>
        </w:rPr>
        <w:t>Jablunkovsku</w:t>
      </w:r>
      <w:proofErr w:type="spellEnd"/>
      <w:r w:rsidRPr="00351EFC">
        <w:rPr>
          <w:rFonts w:ascii="Arial" w:hAnsi="Arial" w:cs="Arial"/>
        </w:rPr>
        <w:t>-</w:t>
      </w:r>
      <w:proofErr w:type="spellStart"/>
      <w:r w:rsidRPr="00351EFC">
        <w:rPr>
          <w:rFonts w:ascii="Arial" w:hAnsi="Arial" w:cs="Arial"/>
        </w:rPr>
        <w:t>Třinecku</w:t>
      </w:r>
      <w:proofErr w:type="spellEnd"/>
      <w:r w:rsidRPr="00351EFC">
        <w:rPr>
          <w:rFonts w:ascii="Arial" w:hAnsi="Arial" w:cs="Arial"/>
        </w:rPr>
        <w:t xml:space="preserve">. V pěti </w:t>
      </w:r>
      <w:proofErr w:type="spellStart"/>
      <w:r w:rsidRPr="00351EFC">
        <w:rPr>
          <w:rFonts w:ascii="Arial" w:hAnsi="Arial" w:cs="Arial"/>
        </w:rPr>
        <w:t>mikroregionech</w:t>
      </w:r>
      <w:proofErr w:type="spellEnd"/>
      <w:r w:rsidRPr="00351E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při hranici se Slovenskem </w:t>
      </w:r>
      <w:r w:rsidRPr="00351EFC">
        <w:rPr>
          <w:rFonts w:ascii="Arial" w:hAnsi="Arial" w:cs="Arial"/>
        </w:rPr>
        <w:t xml:space="preserve">tvoří narození v SO ORP bydliště dokonce </w:t>
      </w:r>
      <w:r>
        <w:rPr>
          <w:rFonts w:ascii="Arial" w:hAnsi="Arial" w:cs="Arial"/>
        </w:rPr>
        <w:t>více než tři čtvrtiny obyvatel.</w:t>
      </w:r>
    </w:p>
    <w:p w:rsidR="00495739" w:rsidRPr="00351EFC" w:rsidRDefault="00495739" w:rsidP="0049573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120130" cy="4308475"/>
            <wp:effectExtent l="19050" t="19050" r="13970" b="15875"/>
            <wp:docPr id="17" name="Obrázek 16" descr="v_OR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ORP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084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95739" w:rsidRPr="00351EFC" w:rsidRDefault="00495739" w:rsidP="00495739">
      <w:pPr>
        <w:spacing w:after="120"/>
        <w:jc w:val="both"/>
        <w:rPr>
          <w:rFonts w:ascii="Arial" w:hAnsi="Arial" w:cs="Arial"/>
        </w:rPr>
      </w:pPr>
      <w:r w:rsidRPr="00351EFC">
        <w:rPr>
          <w:rFonts w:ascii="Arial" w:hAnsi="Arial" w:cs="Arial"/>
        </w:rPr>
        <w:t xml:space="preserve">V Čechách dosahují vyšších podílů narozených v SO ORP bydliště – kolem tří pětin obyvatelstva – především </w:t>
      </w:r>
      <w:proofErr w:type="spellStart"/>
      <w:r w:rsidRPr="00351EFC">
        <w:rPr>
          <w:rFonts w:ascii="Arial" w:hAnsi="Arial" w:cs="Arial"/>
        </w:rPr>
        <w:t>mikroregiony</w:t>
      </w:r>
      <w:proofErr w:type="spellEnd"/>
      <w:r w:rsidRPr="00351E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okrajových částech</w:t>
      </w:r>
      <w:r w:rsidRPr="00351EFC">
        <w:rPr>
          <w:rFonts w:ascii="Arial" w:hAnsi="Arial" w:cs="Arial"/>
        </w:rPr>
        <w:t xml:space="preserve"> Vysočin</w:t>
      </w:r>
      <w:r>
        <w:rPr>
          <w:rFonts w:ascii="Arial" w:hAnsi="Arial" w:cs="Arial"/>
        </w:rPr>
        <w:t>y</w:t>
      </w:r>
      <w:r w:rsidRPr="00351EFC">
        <w:rPr>
          <w:rFonts w:ascii="Arial" w:hAnsi="Arial" w:cs="Arial"/>
        </w:rPr>
        <w:t>, většina Pardubického kraje, SO ORP na pomezí středních a jižních Čech nebo středních a západních Čech, oblast Pošumaví a Podkrkonoší. Nejvyšší hodnoty byly zaznamenány v SO ORP Hlinsko (70,6 %), Polička (69,6 %) a Litomyšl (68,8 %).</w:t>
      </w:r>
    </w:p>
    <w:p w:rsidR="00495739" w:rsidRDefault="00495739" w:rsidP="00495739">
      <w:pPr>
        <w:widowControl w:val="0"/>
        <w:spacing w:after="120"/>
        <w:jc w:val="both"/>
        <w:rPr>
          <w:rFonts w:ascii="Arial" w:hAnsi="Arial" w:cs="Arial"/>
        </w:rPr>
      </w:pPr>
    </w:p>
    <w:p w:rsidR="00495739" w:rsidRDefault="00495739" w:rsidP="00495739">
      <w:pPr>
        <w:widowControl w:val="0"/>
        <w:spacing w:after="60"/>
        <w:jc w:val="both"/>
        <w:rPr>
          <w:rFonts w:ascii="Arial" w:hAnsi="Arial" w:cs="Arial"/>
          <w:b/>
        </w:rPr>
      </w:pPr>
      <w:r w:rsidRPr="008734AE">
        <w:rPr>
          <w:rFonts w:ascii="Arial" w:hAnsi="Arial" w:cs="Arial"/>
          <w:b/>
        </w:rPr>
        <w:t>SO ORP s nejvyšším a nejnižším podílem narozených v SO ORP bydliště k 26. 3. 2011</w:t>
      </w:r>
    </w:p>
    <w:tbl>
      <w:tblPr>
        <w:tblW w:w="6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0"/>
        <w:gridCol w:w="860"/>
        <w:gridCol w:w="540"/>
        <w:gridCol w:w="2080"/>
        <w:gridCol w:w="860"/>
      </w:tblGrid>
      <w:tr w:rsidR="00495739" w:rsidRPr="008734AE" w:rsidTr="000F3DF8">
        <w:trPr>
          <w:trHeight w:val="3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39" w:rsidRPr="008734AE" w:rsidRDefault="00495739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Nejvyšší hodnoty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39" w:rsidRPr="008734AE" w:rsidRDefault="00495739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Nejnižší hodnoty</w:t>
            </w:r>
          </w:p>
        </w:tc>
      </w:tr>
      <w:tr w:rsidR="00495739" w:rsidRPr="008734AE" w:rsidTr="000F3DF8">
        <w:trPr>
          <w:trHeight w:val="6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39" w:rsidRPr="008734AE" w:rsidRDefault="00495739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SO ORP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39" w:rsidRPr="008734AE" w:rsidRDefault="00495739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podíl v % z počtu obyvatel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39" w:rsidRPr="008734AE" w:rsidRDefault="00495739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SO ORP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39" w:rsidRPr="008734AE" w:rsidRDefault="00495739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podíl v % z počtu obyvatel</w:t>
            </w:r>
          </w:p>
        </w:tc>
      </w:tr>
      <w:tr w:rsidR="00495739" w:rsidRPr="008734AE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Uherský Brod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77,8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Černošice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35,1</w:t>
            </w:r>
          </w:p>
        </w:tc>
      </w:tr>
      <w:tr w:rsidR="00495739" w:rsidRPr="008734AE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Valašské Klobouky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Říčany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38,2</w:t>
            </w:r>
          </w:p>
        </w:tc>
      </w:tr>
      <w:tr w:rsidR="00495739" w:rsidRPr="008734AE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Jablunkov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Brandýs n. L. - S. Boleslav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39,2</w:t>
            </w:r>
          </w:p>
        </w:tc>
      </w:tr>
      <w:tr w:rsidR="00495739" w:rsidRPr="008734AE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Vsetín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76,3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Lysá nad Labem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39,8</w:t>
            </w:r>
          </w:p>
        </w:tc>
      </w:tr>
      <w:tr w:rsidR="00495739" w:rsidRPr="008734AE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Veselí nad Moravou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75,3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Kuřim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43,4</w:t>
            </w:r>
          </w:p>
        </w:tc>
      </w:tr>
      <w:tr w:rsidR="00495739" w:rsidRPr="008734AE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Kravaře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Ostrov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43,9</w:t>
            </w:r>
          </w:p>
        </w:tc>
      </w:tr>
      <w:tr w:rsidR="00495739" w:rsidRPr="008734AE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Kyjov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Mariánské Lázně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45,0</w:t>
            </w:r>
          </w:p>
        </w:tc>
      </w:tr>
      <w:tr w:rsidR="00495739" w:rsidRPr="008734AE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Uherské Hradiště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Neratovice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</w:tr>
      <w:tr w:rsidR="00495739" w:rsidRPr="008734AE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Velké Meziříčí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72,6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Kraslice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46,0</w:t>
            </w:r>
          </w:p>
        </w:tc>
      </w:tr>
      <w:tr w:rsidR="00495739" w:rsidRPr="008734AE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Boskovice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71,9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Podbořany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39" w:rsidRPr="008734AE" w:rsidRDefault="00495739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4AE">
              <w:rPr>
                <w:rFonts w:ascii="Arial" w:hAnsi="Arial" w:cs="Arial"/>
                <w:color w:val="000000"/>
                <w:sz w:val="16"/>
                <w:szCs w:val="16"/>
              </w:rPr>
              <w:t>46,5</w:t>
            </w:r>
          </w:p>
        </w:tc>
      </w:tr>
    </w:tbl>
    <w:p w:rsidR="00495739" w:rsidRDefault="00495739" w:rsidP="00495739">
      <w:pPr>
        <w:widowControl w:val="0"/>
        <w:spacing w:after="60"/>
        <w:jc w:val="both"/>
        <w:rPr>
          <w:rFonts w:ascii="Arial" w:hAnsi="Arial" w:cs="Arial"/>
          <w:b/>
        </w:rPr>
      </w:pPr>
    </w:p>
    <w:p w:rsidR="00495739" w:rsidRPr="008C45A1" w:rsidRDefault="00495739" w:rsidP="00495739">
      <w:pPr>
        <w:spacing w:after="120"/>
        <w:jc w:val="both"/>
        <w:rPr>
          <w:rFonts w:ascii="Arial" w:hAnsi="Arial" w:cs="Arial"/>
        </w:rPr>
      </w:pPr>
      <w:r w:rsidRPr="008C45A1">
        <w:rPr>
          <w:rFonts w:ascii="Arial" w:hAnsi="Arial" w:cs="Arial"/>
        </w:rPr>
        <w:t xml:space="preserve">Rekordně nízké hodnoty podílu narozených v SO ORP bydliště – méně než dvě pětiny – byly </w:t>
      </w:r>
      <w:r>
        <w:rPr>
          <w:rFonts w:ascii="Arial" w:hAnsi="Arial" w:cs="Arial"/>
        </w:rPr>
        <w:t>dosaženy</w:t>
      </w:r>
      <w:r w:rsidRPr="008C45A1">
        <w:rPr>
          <w:rFonts w:ascii="Arial" w:hAnsi="Arial" w:cs="Arial"/>
        </w:rPr>
        <w:t xml:space="preserve"> u </w:t>
      </w:r>
      <w:proofErr w:type="spellStart"/>
      <w:r w:rsidRPr="008C45A1">
        <w:rPr>
          <w:rFonts w:ascii="Arial" w:hAnsi="Arial" w:cs="Arial"/>
        </w:rPr>
        <w:t>mikroregionů</w:t>
      </w:r>
      <w:proofErr w:type="spellEnd"/>
      <w:r w:rsidRPr="008C45A1">
        <w:rPr>
          <w:rFonts w:ascii="Arial" w:hAnsi="Arial" w:cs="Arial"/>
        </w:rPr>
        <w:t xml:space="preserve"> v zázemí Prahy. Hodnoty mezi 40 – 50 % mají kromě dalších středočeských SO ORP některé </w:t>
      </w:r>
      <w:proofErr w:type="spellStart"/>
      <w:r w:rsidRPr="008C45A1">
        <w:rPr>
          <w:rFonts w:ascii="Arial" w:hAnsi="Arial" w:cs="Arial"/>
        </w:rPr>
        <w:t>mikroregiony</w:t>
      </w:r>
      <w:proofErr w:type="spellEnd"/>
      <w:r w:rsidRPr="008C45A1">
        <w:rPr>
          <w:rFonts w:ascii="Arial" w:hAnsi="Arial" w:cs="Arial"/>
        </w:rPr>
        <w:t xml:space="preserve"> v západních Čechách, především na Karlovarsku a v přilehlých částech Ústeckého a Plzeňského kraje a na Českolipsku.</w:t>
      </w:r>
    </w:p>
    <w:p w:rsidR="00B62D0F" w:rsidRPr="00495739" w:rsidRDefault="00495739" w:rsidP="00495739">
      <w:pPr>
        <w:spacing w:after="120"/>
        <w:jc w:val="both"/>
        <w:rPr>
          <w:rFonts w:ascii="Arial" w:hAnsi="Arial" w:cs="Arial"/>
        </w:rPr>
      </w:pPr>
      <w:r w:rsidRPr="008C45A1">
        <w:rPr>
          <w:rFonts w:ascii="Arial" w:hAnsi="Arial" w:cs="Arial"/>
        </w:rPr>
        <w:t xml:space="preserve">Na Moravě jsou nejnižší podíly narozených v SO ORP bydliště v Brně a jeho zázemí, v ostravské aglomeraci a v oblasti Jeseníků. Jedná se ale většinou o hodnoty mezi 50 – 55 %; méně než polovina obyvatel narozených v SO ORP byla na Moravě zaznamenána pouze ve třech případech - </w:t>
      </w:r>
      <w:proofErr w:type="spellStart"/>
      <w:r w:rsidRPr="008C45A1">
        <w:rPr>
          <w:rFonts w:ascii="Arial" w:hAnsi="Arial" w:cs="Arial"/>
        </w:rPr>
        <w:t>Kuřim</w:t>
      </w:r>
      <w:proofErr w:type="spellEnd"/>
      <w:r w:rsidRPr="008C45A1">
        <w:rPr>
          <w:rFonts w:ascii="Arial" w:hAnsi="Arial" w:cs="Arial"/>
        </w:rPr>
        <w:t xml:space="preserve"> 43,4 %, Havířov 48,1 % a Orlová 49,6 %.</w:t>
      </w:r>
    </w:p>
    <w:sectPr w:rsidR="00B62D0F" w:rsidRPr="00495739" w:rsidSect="004957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95739"/>
    <w:rsid w:val="00495739"/>
    <w:rsid w:val="0098706B"/>
    <w:rsid w:val="00B62D0F"/>
    <w:rsid w:val="00C5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adpis2">
    <w:name w:val="Mnadpis2"/>
    <w:basedOn w:val="Normln"/>
    <w:link w:val="Mnadpis2Char"/>
    <w:qFormat/>
    <w:rsid w:val="00495739"/>
    <w:pPr>
      <w:widowControl w:val="0"/>
      <w:ind w:left="709" w:hanging="709"/>
    </w:pPr>
    <w:rPr>
      <w:rFonts w:ascii="Arial" w:hAnsi="Arial" w:cs="Arial"/>
      <w:b/>
      <w:color w:val="000000"/>
      <w:sz w:val="24"/>
      <w:szCs w:val="24"/>
    </w:rPr>
  </w:style>
  <w:style w:type="character" w:customStyle="1" w:styleId="Mnadpis2Char">
    <w:name w:val="Mnadpis2 Char"/>
    <w:basedOn w:val="Standardnpsmoodstavce"/>
    <w:link w:val="Mnadpis2"/>
    <w:rsid w:val="00495739"/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73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5377</Characters>
  <Application>Microsoft Office Word</Application>
  <DocSecurity>0</DocSecurity>
  <Lines>44</Lines>
  <Paragraphs>12</Paragraphs>
  <ScaleCrop>false</ScaleCrop>
  <Company>ČSÚ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Radolfová</dc:creator>
  <cp:lastModifiedBy>Marie Radolfová</cp:lastModifiedBy>
  <cp:revision>2</cp:revision>
  <cp:lastPrinted>2014-04-18T13:36:00Z</cp:lastPrinted>
  <dcterms:created xsi:type="dcterms:W3CDTF">2014-04-18T13:37:00Z</dcterms:created>
  <dcterms:modified xsi:type="dcterms:W3CDTF">2014-04-18T13:37:00Z</dcterms:modified>
</cp:coreProperties>
</file>