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8A" w:rsidRPr="00D8339D" w:rsidRDefault="00B8548A" w:rsidP="00B8548A">
      <w:pPr>
        <w:pStyle w:val="Nadpis8"/>
        <w:spacing w:after="120" w:line="233" w:lineRule="auto"/>
        <w:rPr>
          <w:rStyle w:val="Siln"/>
          <w:rFonts w:cs="Arial"/>
          <w:b/>
          <w:bCs/>
        </w:rPr>
      </w:pPr>
      <w:bookmarkStart w:id="0" w:name="_GoBack"/>
      <w:bookmarkEnd w:id="0"/>
      <w:r>
        <w:rPr>
          <w:rStyle w:val="Siln"/>
          <w:rFonts w:cs="Arial"/>
          <w:b/>
          <w:bCs/>
        </w:rPr>
        <w:t>ZMĚNY ÚZEMNÍ STRUKTURY</w:t>
      </w:r>
      <w:r w:rsidRPr="00D8339D">
        <w:rPr>
          <w:rStyle w:val="Siln"/>
          <w:rFonts w:cs="Arial"/>
          <w:b/>
          <w:bCs/>
        </w:rPr>
        <w:t xml:space="preserve"> </w:t>
      </w:r>
      <w:r w:rsidR="00D8339D" w:rsidRPr="00D8339D">
        <w:rPr>
          <w:rStyle w:val="Siln"/>
          <w:rFonts w:cs="Arial"/>
          <w:b/>
          <w:bCs/>
        </w:rPr>
        <w:t>K 1. 1. 2021</w:t>
      </w:r>
    </w:p>
    <w:p w:rsidR="003F0A24" w:rsidRDefault="00571410" w:rsidP="00B8548A">
      <w:pPr>
        <w:pStyle w:val="Zkladntext3"/>
        <w:spacing w:after="120"/>
        <w:rPr>
          <w:rFonts w:cs="Arial"/>
          <w:szCs w:val="20"/>
        </w:rPr>
      </w:pPr>
      <w:r>
        <w:rPr>
          <w:rFonts w:cs="Arial"/>
          <w:szCs w:val="20"/>
        </w:rPr>
        <w:t xml:space="preserve">K </w:t>
      </w:r>
      <w:r w:rsidR="00D8339D">
        <w:rPr>
          <w:rFonts w:cs="Arial"/>
          <w:szCs w:val="20"/>
        </w:rPr>
        <w:t>1.</w:t>
      </w:r>
      <w:r>
        <w:rPr>
          <w:rFonts w:cs="Arial"/>
          <w:szCs w:val="20"/>
        </w:rPr>
        <w:t> </w:t>
      </w:r>
      <w:r w:rsidR="00D8339D">
        <w:rPr>
          <w:rFonts w:cs="Arial"/>
          <w:szCs w:val="20"/>
        </w:rPr>
        <w:t>1.</w:t>
      </w:r>
      <w:r>
        <w:rPr>
          <w:rFonts w:cs="Arial"/>
          <w:szCs w:val="20"/>
        </w:rPr>
        <w:t> </w:t>
      </w:r>
      <w:r w:rsidR="00D8339D">
        <w:rPr>
          <w:rFonts w:cs="Arial"/>
          <w:szCs w:val="20"/>
        </w:rPr>
        <w:t xml:space="preserve">2021 nabyl účinnosti </w:t>
      </w:r>
      <w:r w:rsidR="00D8339D" w:rsidRPr="004363BE">
        <w:rPr>
          <w:rFonts w:cs="Arial"/>
          <w:b/>
          <w:szCs w:val="20"/>
        </w:rPr>
        <w:t>zákon č. 51/2020 Sb., o</w:t>
      </w:r>
      <w:r>
        <w:rPr>
          <w:rFonts w:cs="Arial"/>
          <w:b/>
          <w:szCs w:val="20"/>
        </w:rPr>
        <w:t> </w:t>
      </w:r>
      <w:r w:rsidR="00D8339D" w:rsidRPr="004363BE">
        <w:rPr>
          <w:rFonts w:cs="Arial"/>
          <w:b/>
          <w:szCs w:val="20"/>
        </w:rPr>
        <w:t>územně správním členění státu</w:t>
      </w:r>
      <w:r w:rsidR="00D8339D" w:rsidRPr="00D8339D">
        <w:rPr>
          <w:rFonts w:cs="Arial"/>
          <w:szCs w:val="20"/>
        </w:rPr>
        <w:t xml:space="preserve"> a o</w:t>
      </w:r>
      <w:r>
        <w:rPr>
          <w:rFonts w:cs="Arial"/>
          <w:szCs w:val="20"/>
        </w:rPr>
        <w:t> </w:t>
      </w:r>
      <w:r w:rsidR="00D8339D" w:rsidRPr="00D8339D">
        <w:rPr>
          <w:rFonts w:cs="Arial"/>
          <w:szCs w:val="20"/>
        </w:rPr>
        <w:t xml:space="preserve">změně souvisejících zákonů ze dne 29. ledna 2020 </w:t>
      </w:r>
      <w:r w:rsidR="00D8339D">
        <w:rPr>
          <w:rFonts w:cs="Arial"/>
          <w:szCs w:val="20"/>
        </w:rPr>
        <w:t>(</w:t>
      </w:r>
      <w:r w:rsidR="00D8339D" w:rsidRPr="00D8339D">
        <w:rPr>
          <w:rFonts w:cs="Arial"/>
          <w:szCs w:val="20"/>
        </w:rPr>
        <w:t>zveřejněn v částce 22/2020 Sb</w:t>
      </w:r>
      <w:r w:rsidR="0003704E">
        <w:rPr>
          <w:rFonts w:cs="Arial"/>
          <w:szCs w:val="20"/>
        </w:rPr>
        <w:t>.</w:t>
      </w:r>
      <w:r w:rsidR="00D8339D">
        <w:rPr>
          <w:rFonts w:cs="Arial"/>
          <w:szCs w:val="20"/>
        </w:rPr>
        <w:t>)</w:t>
      </w:r>
      <w:r w:rsidR="00D8339D" w:rsidRPr="00D8339D">
        <w:rPr>
          <w:rFonts w:cs="Arial"/>
          <w:szCs w:val="20"/>
        </w:rPr>
        <w:t xml:space="preserve">. </w:t>
      </w:r>
      <w:r w:rsidR="00D8339D">
        <w:rPr>
          <w:rFonts w:cs="Arial"/>
          <w:szCs w:val="20"/>
        </w:rPr>
        <w:t>V</w:t>
      </w:r>
      <w:r w:rsidR="0003704E">
        <w:rPr>
          <w:rFonts w:cs="Arial"/>
          <w:szCs w:val="20"/>
        </w:rPr>
        <w:t> návaznosti na tento zákon a</w:t>
      </w:r>
      <w:r>
        <w:rPr>
          <w:rFonts w:cs="Arial"/>
          <w:szCs w:val="20"/>
        </w:rPr>
        <w:t> </w:t>
      </w:r>
      <w:r w:rsidR="0003704E">
        <w:rPr>
          <w:rFonts w:cs="Arial"/>
          <w:szCs w:val="20"/>
        </w:rPr>
        <w:t xml:space="preserve">Vyhlášku </w:t>
      </w:r>
      <w:r w:rsidR="0003704E" w:rsidRPr="0003704E">
        <w:rPr>
          <w:rFonts w:cs="Arial"/>
          <w:szCs w:val="20"/>
        </w:rPr>
        <w:t>č.</w:t>
      </w:r>
      <w:r w:rsidR="0003704E">
        <w:rPr>
          <w:rFonts w:cs="Arial"/>
          <w:szCs w:val="20"/>
        </w:rPr>
        <w:t> </w:t>
      </w:r>
      <w:r w:rsidR="0003704E" w:rsidRPr="0003704E">
        <w:rPr>
          <w:rFonts w:cs="Arial"/>
          <w:szCs w:val="20"/>
        </w:rPr>
        <w:t>346/2020 Sb., o stanovení správních obvodů obcí s rozšířenou působností, území obvodů hlavního města Prahy a příslušnosti některých obcí do jiného okresu ze dne 28. července 2020</w:t>
      </w:r>
      <w:r w:rsidR="0003704E">
        <w:rPr>
          <w:rFonts w:cs="Arial"/>
          <w:szCs w:val="20"/>
        </w:rPr>
        <w:t>,</w:t>
      </w:r>
      <w:r w:rsidR="00D8339D">
        <w:rPr>
          <w:rFonts w:cs="Arial"/>
          <w:szCs w:val="20"/>
        </w:rPr>
        <w:t xml:space="preserve"> došlo ke</w:t>
      </w:r>
      <w:r w:rsidR="00B46946">
        <w:rPr>
          <w:rFonts w:cs="Arial"/>
          <w:szCs w:val="20"/>
        </w:rPr>
        <w:t> </w:t>
      </w:r>
      <w:r w:rsidR="00D8339D">
        <w:rPr>
          <w:rFonts w:cs="Arial"/>
          <w:szCs w:val="20"/>
        </w:rPr>
        <w:t>změně územního vymezení několika okresů a několika správních obvodů s rozšířenou působností (území krajů zůstalo nezměněno</w:t>
      </w:r>
      <w:r w:rsidR="003F0A24">
        <w:rPr>
          <w:rFonts w:cs="Arial"/>
          <w:szCs w:val="20"/>
        </w:rPr>
        <w:t>)</w:t>
      </w:r>
      <w:r w:rsidR="00D8339D">
        <w:rPr>
          <w:rFonts w:cs="Arial"/>
          <w:szCs w:val="20"/>
        </w:rPr>
        <w:t>.</w:t>
      </w:r>
    </w:p>
    <w:p w:rsidR="004363BE" w:rsidRDefault="004363BE" w:rsidP="004363BE">
      <w:pPr>
        <w:pStyle w:val="Zkladntext3"/>
        <w:spacing w:after="120"/>
        <w:rPr>
          <w:rFonts w:cs="Arial"/>
          <w:szCs w:val="20"/>
        </w:rPr>
      </w:pPr>
      <w:r>
        <w:rPr>
          <w:rFonts w:cs="Arial"/>
          <w:szCs w:val="20"/>
        </w:rPr>
        <w:t xml:space="preserve">Z pohledu </w:t>
      </w:r>
      <w:r w:rsidRPr="004363BE">
        <w:rPr>
          <w:rFonts w:cs="Arial"/>
          <w:b/>
          <w:szCs w:val="20"/>
        </w:rPr>
        <w:t>okresů</w:t>
      </w:r>
      <w:r>
        <w:rPr>
          <w:rFonts w:cs="Arial"/>
          <w:szCs w:val="20"/>
        </w:rPr>
        <w:t xml:space="preserve"> došlo </w:t>
      </w:r>
      <w:r w:rsidR="00D97DDB">
        <w:rPr>
          <w:rFonts w:cs="Arial"/>
          <w:szCs w:val="20"/>
        </w:rPr>
        <w:t xml:space="preserve">ve Středočeském kraji </w:t>
      </w:r>
      <w:r w:rsidR="00571410">
        <w:rPr>
          <w:rFonts w:cs="Arial"/>
          <w:szCs w:val="20"/>
        </w:rPr>
        <w:t xml:space="preserve">k </w:t>
      </w:r>
      <w:r w:rsidR="003F0A24">
        <w:rPr>
          <w:rFonts w:cs="Arial"/>
          <w:szCs w:val="20"/>
        </w:rPr>
        <w:t>přesunu</w:t>
      </w:r>
      <w:r>
        <w:rPr>
          <w:rFonts w:cs="Arial"/>
          <w:szCs w:val="20"/>
        </w:rPr>
        <w:t xml:space="preserve"> 1 obce</w:t>
      </w:r>
      <w:r w:rsidR="003F0A24" w:rsidRPr="003F0A24">
        <w:rPr>
          <w:rFonts w:cs="Arial"/>
          <w:szCs w:val="20"/>
        </w:rPr>
        <w:t xml:space="preserve"> z okresu Nymburk do okresu Kolín</w:t>
      </w:r>
      <w:r>
        <w:rPr>
          <w:rFonts w:cs="Arial"/>
          <w:szCs w:val="20"/>
        </w:rPr>
        <w:t xml:space="preserve">, </w:t>
      </w:r>
      <w:r w:rsidR="00D97DDB">
        <w:rPr>
          <w:rFonts w:cs="Arial"/>
          <w:szCs w:val="20"/>
        </w:rPr>
        <w:t xml:space="preserve">v Plzeňském kraji </w:t>
      </w:r>
      <w:r w:rsidR="003F0A24" w:rsidRPr="003F0A24">
        <w:rPr>
          <w:rFonts w:cs="Arial"/>
          <w:szCs w:val="20"/>
        </w:rPr>
        <w:t>9 obcí z okresu Domažlice do okresu Plzeň-jih</w:t>
      </w:r>
      <w:r>
        <w:rPr>
          <w:rFonts w:cs="Arial"/>
          <w:szCs w:val="20"/>
        </w:rPr>
        <w:t xml:space="preserve">, </w:t>
      </w:r>
      <w:r w:rsidR="00D97DDB">
        <w:rPr>
          <w:rFonts w:cs="Arial"/>
          <w:szCs w:val="20"/>
        </w:rPr>
        <w:t xml:space="preserve">v Libereckém kraji </w:t>
      </w:r>
      <w:r>
        <w:rPr>
          <w:rFonts w:cs="Arial"/>
          <w:szCs w:val="20"/>
        </w:rPr>
        <w:t>1</w:t>
      </w:r>
      <w:r w:rsidR="003F0A24" w:rsidRPr="003F0A24">
        <w:rPr>
          <w:rFonts w:cs="Arial"/>
          <w:szCs w:val="20"/>
        </w:rPr>
        <w:t xml:space="preserve"> obc</w:t>
      </w:r>
      <w:r>
        <w:rPr>
          <w:rFonts w:cs="Arial"/>
          <w:szCs w:val="20"/>
        </w:rPr>
        <w:t>e</w:t>
      </w:r>
      <w:r w:rsidR="00D97DDB">
        <w:rPr>
          <w:rFonts w:cs="Arial"/>
          <w:szCs w:val="20"/>
        </w:rPr>
        <w:t xml:space="preserve"> </w:t>
      </w:r>
      <w:r w:rsidR="003F0A24" w:rsidRPr="003F0A24">
        <w:rPr>
          <w:rFonts w:cs="Arial"/>
          <w:szCs w:val="20"/>
        </w:rPr>
        <w:t>z okresu Semily do okresu Jablonec nad Nisou</w:t>
      </w:r>
      <w:r>
        <w:rPr>
          <w:rFonts w:cs="Arial"/>
          <w:szCs w:val="20"/>
        </w:rPr>
        <w:t xml:space="preserve"> a ve</w:t>
      </w:r>
      <w:r w:rsidR="00D97DDB">
        <w:rPr>
          <w:rFonts w:cs="Arial"/>
          <w:szCs w:val="20"/>
        </w:rPr>
        <w:t xml:space="preserve"> Zlínském </w:t>
      </w:r>
      <w:r>
        <w:rPr>
          <w:rFonts w:cs="Arial"/>
          <w:szCs w:val="20"/>
        </w:rPr>
        <w:t xml:space="preserve">kraji </w:t>
      </w:r>
      <w:r w:rsidR="009A48BD">
        <w:rPr>
          <w:rFonts w:cs="Arial"/>
          <w:szCs w:val="20"/>
        </w:rPr>
        <w:t>2</w:t>
      </w:r>
      <w:r w:rsidR="00D97DDB" w:rsidRPr="00D97DDB">
        <w:rPr>
          <w:rFonts w:cs="Arial"/>
          <w:szCs w:val="20"/>
        </w:rPr>
        <w:t xml:space="preserve"> obc</w:t>
      </w:r>
      <w:r>
        <w:rPr>
          <w:rFonts w:cs="Arial"/>
          <w:szCs w:val="20"/>
        </w:rPr>
        <w:t>í</w:t>
      </w:r>
      <w:r w:rsidR="00D97DDB" w:rsidRPr="00D97DDB">
        <w:rPr>
          <w:rFonts w:cs="Arial"/>
          <w:szCs w:val="20"/>
        </w:rPr>
        <w:t xml:space="preserve"> z okresu Vsetín do okresu Zlín</w:t>
      </w:r>
      <w:r>
        <w:rPr>
          <w:rFonts w:cs="Arial"/>
          <w:szCs w:val="20"/>
        </w:rPr>
        <w:t>.</w:t>
      </w:r>
    </w:p>
    <w:p w:rsidR="004363BE" w:rsidRDefault="00D97DDB" w:rsidP="004363BE">
      <w:pPr>
        <w:pStyle w:val="Zkladntext3"/>
        <w:spacing w:after="120"/>
        <w:rPr>
          <w:bCs/>
          <w:szCs w:val="20"/>
        </w:rPr>
      </w:pPr>
      <w:r>
        <w:rPr>
          <w:rFonts w:cs="Arial"/>
          <w:szCs w:val="20"/>
        </w:rPr>
        <w:t xml:space="preserve">Ve </w:t>
      </w:r>
      <w:r w:rsidRPr="004363BE">
        <w:rPr>
          <w:rFonts w:cs="Arial"/>
          <w:b/>
          <w:szCs w:val="20"/>
        </w:rPr>
        <w:t>správních obvodech obcí s rozšířenou působností</w:t>
      </w:r>
      <w:r>
        <w:rPr>
          <w:rFonts w:cs="Arial"/>
          <w:szCs w:val="20"/>
        </w:rPr>
        <w:t xml:space="preserve"> </w:t>
      </w:r>
      <w:r w:rsidR="004363BE">
        <w:rPr>
          <w:rFonts w:cs="Arial"/>
          <w:szCs w:val="20"/>
        </w:rPr>
        <w:t xml:space="preserve">(SO ORP) byly přesunuty </w:t>
      </w:r>
      <w:r>
        <w:rPr>
          <w:rFonts w:cs="Arial"/>
          <w:szCs w:val="20"/>
        </w:rPr>
        <w:t xml:space="preserve">ve Středočeském kraji </w:t>
      </w:r>
      <w:r w:rsidRPr="00D97DDB">
        <w:rPr>
          <w:rFonts w:cs="Arial"/>
          <w:szCs w:val="20"/>
        </w:rPr>
        <w:t>3</w:t>
      </w:r>
      <w:r w:rsidR="004363BE">
        <w:rPr>
          <w:rFonts w:cs="Arial"/>
          <w:szCs w:val="20"/>
        </w:rPr>
        <w:t> </w:t>
      </w:r>
      <w:r w:rsidRPr="00D97DDB">
        <w:rPr>
          <w:rFonts w:cs="Arial"/>
          <w:szCs w:val="20"/>
        </w:rPr>
        <w:t xml:space="preserve">obce </w:t>
      </w:r>
      <w:r w:rsidR="004363BE">
        <w:rPr>
          <w:rFonts w:cs="Arial"/>
          <w:szCs w:val="20"/>
        </w:rPr>
        <w:t>z</w:t>
      </w:r>
      <w:r w:rsidRPr="00D97DDB">
        <w:rPr>
          <w:rFonts w:cs="Arial"/>
          <w:szCs w:val="20"/>
        </w:rPr>
        <w:t xml:space="preserve"> SO ORP Český Brod do</w:t>
      </w:r>
      <w:r w:rsidR="009A48BD">
        <w:rPr>
          <w:rFonts w:cs="Arial"/>
          <w:szCs w:val="20"/>
        </w:rPr>
        <w:t> </w:t>
      </w:r>
      <w:r w:rsidRPr="00D97DDB">
        <w:rPr>
          <w:rFonts w:cs="Arial"/>
          <w:szCs w:val="20"/>
        </w:rPr>
        <w:t>SO</w:t>
      </w:r>
      <w:r w:rsidR="009A48BD">
        <w:rPr>
          <w:rFonts w:cs="Arial"/>
          <w:szCs w:val="20"/>
        </w:rPr>
        <w:t> </w:t>
      </w:r>
      <w:r w:rsidRPr="00D97DDB">
        <w:rPr>
          <w:rFonts w:cs="Arial"/>
          <w:szCs w:val="20"/>
        </w:rPr>
        <w:t>ORP Lysá nad Labem</w:t>
      </w:r>
      <w:r w:rsidR="004363BE">
        <w:rPr>
          <w:rFonts w:cs="Arial"/>
          <w:szCs w:val="20"/>
        </w:rPr>
        <w:t xml:space="preserve">, </w:t>
      </w:r>
      <w:r w:rsidR="009A48BD">
        <w:rPr>
          <w:rFonts w:cs="Arial"/>
          <w:szCs w:val="20"/>
        </w:rPr>
        <w:t xml:space="preserve">v Libereckém kraji </w:t>
      </w:r>
      <w:r w:rsidRPr="00D97DDB">
        <w:rPr>
          <w:rFonts w:cs="Arial"/>
          <w:szCs w:val="20"/>
        </w:rPr>
        <w:t>1 obec</w:t>
      </w:r>
      <w:r w:rsidR="009A48BD">
        <w:rPr>
          <w:rFonts w:cs="Arial"/>
          <w:szCs w:val="20"/>
        </w:rPr>
        <w:t xml:space="preserve"> </w:t>
      </w:r>
      <w:r w:rsidRPr="00D97DDB">
        <w:rPr>
          <w:rFonts w:cs="Arial"/>
          <w:szCs w:val="20"/>
        </w:rPr>
        <w:t>z SO ORP Turnov do</w:t>
      </w:r>
      <w:r w:rsidR="004363BE">
        <w:rPr>
          <w:rFonts w:cs="Arial"/>
          <w:szCs w:val="20"/>
        </w:rPr>
        <w:t> </w:t>
      </w:r>
      <w:r w:rsidRPr="00D97DDB">
        <w:rPr>
          <w:rFonts w:cs="Arial"/>
          <w:szCs w:val="20"/>
        </w:rPr>
        <w:t>SO ORP Jablonec nad Nisou</w:t>
      </w:r>
      <w:r w:rsidR="004363BE">
        <w:rPr>
          <w:rFonts w:cs="Arial"/>
          <w:szCs w:val="20"/>
        </w:rPr>
        <w:t xml:space="preserve"> a v</w:t>
      </w:r>
      <w:r w:rsidR="009A48BD" w:rsidRPr="009F442E">
        <w:rPr>
          <w:rFonts w:cs="Arial"/>
          <w:szCs w:val="20"/>
        </w:rPr>
        <w:t xml:space="preserve"> Kraji Vysočina </w:t>
      </w:r>
      <w:r w:rsidRPr="009F442E">
        <w:rPr>
          <w:rFonts w:cs="Arial"/>
          <w:szCs w:val="20"/>
        </w:rPr>
        <w:t>1 obec</w:t>
      </w:r>
      <w:r w:rsidR="009A48BD" w:rsidRPr="009F442E">
        <w:rPr>
          <w:rFonts w:cs="Arial"/>
          <w:szCs w:val="20"/>
        </w:rPr>
        <w:t xml:space="preserve"> (</w:t>
      </w:r>
      <w:r w:rsidRPr="009F442E">
        <w:rPr>
          <w:bCs/>
          <w:szCs w:val="20"/>
        </w:rPr>
        <w:t>z SO ORP Jihlava do SO ORP Havlíčkův Brod</w:t>
      </w:r>
      <w:r w:rsidR="00571410">
        <w:rPr>
          <w:bCs/>
          <w:szCs w:val="20"/>
        </w:rPr>
        <w:t>)</w:t>
      </w:r>
      <w:r w:rsidR="004363BE">
        <w:rPr>
          <w:bCs/>
          <w:szCs w:val="20"/>
        </w:rPr>
        <w:t>.</w:t>
      </w:r>
    </w:p>
    <w:p w:rsidR="00CF5AA4" w:rsidRDefault="00CF5AA4" w:rsidP="00CF5AA4">
      <w:pPr>
        <w:pStyle w:val="Zkladntext3"/>
        <w:rPr>
          <w:rFonts w:cs="Arial"/>
          <w:szCs w:val="20"/>
        </w:rPr>
      </w:pPr>
      <w:r>
        <w:rPr>
          <w:rFonts w:cs="Arial"/>
          <w:szCs w:val="20"/>
        </w:rPr>
        <w:t xml:space="preserve">Všechny údaje jsou ve statistických bulletinech zásadně publikovány </w:t>
      </w:r>
      <w:r w:rsidRPr="00CF5AA4">
        <w:rPr>
          <w:rFonts w:cs="Arial"/>
          <w:b/>
          <w:szCs w:val="20"/>
        </w:rPr>
        <w:t>v územní struktuře platné v příslušném roce</w:t>
      </w:r>
      <w:r>
        <w:rPr>
          <w:rFonts w:cs="Arial"/>
          <w:szCs w:val="20"/>
        </w:rPr>
        <w:t>. Při posuzování dat v meziročním vývoji je proto nutno změny území zohlednit.</w:t>
      </w:r>
    </w:p>
    <w:p w:rsidR="00CF5AA4" w:rsidRDefault="00CF5AA4" w:rsidP="00CF5AA4">
      <w:pPr>
        <w:pStyle w:val="Nadpis8"/>
        <w:spacing w:line="233" w:lineRule="auto"/>
        <w:rPr>
          <w:rStyle w:val="Siln"/>
          <w:rFonts w:cs="Arial"/>
          <w:b/>
          <w:bCs/>
        </w:rPr>
      </w:pPr>
    </w:p>
    <w:p w:rsidR="001613CD" w:rsidRPr="00C63FAD" w:rsidRDefault="001613CD" w:rsidP="00E271D6">
      <w:pPr>
        <w:pStyle w:val="Nadpis8"/>
        <w:spacing w:after="120" w:line="233" w:lineRule="auto"/>
        <w:rPr>
          <w:rStyle w:val="Siln"/>
          <w:rFonts w:cs="Arial"/>
        </w:rPr>
      </w:pPr>
      <w:r w:rsidRPr="00C63FAD">
        <w:rPr>
          <w:rStyle w:val="Siln"/>
          <w:rFonts w:cs="Arial"/>
          <w:b/>
          <w:bCs/>
        </w:rPr>
        <w:t>OBYVATELSTVO</w:t>
      </w:r>
      <w:r w:rsidRPr="00C63FAD">
        <w:rPr>
          <w:rStyle w:val="Siln"/>
          <w:rFonts w:cs="Arial"/>
        </w:rPr>
        <w:t xml:space="preserve"> </w:t>
      </w:r>
    </w:p>
    <w:p w:rsidR="005F1FC7" w:rsidRDefault="005F1FC7" w:rsidP="005F1FC7">
      <w:pPr>
        <w:pStyle w:val="Zkladntext3"/>
        <w:spacing w:after="120"/>
        <w:rPr>
          <w:rFonts w:cs="Arial"/>
          <w:szCs w:val="20"/>
        </w:rPr>
      </w:pPr>
      <w:r w:rsidRPr="00F44E55">
        <w:rPr>
          <w:rFonts w:cs="Arial"/>
          <w:szCs w:val="20"/>
        </w:rPr>
        <w:t xml:space="preserve">Základem pro údaje </w:t>
      </w:r>
      <w:r w:rsidRPr="005F1FC7">
        <w:rPr>
          <w:rFonts w:cs="Arial"/>
          <w:b/>
          <w:szCs w:val="20"/>
        </w:rPr>
        <w:t>o počtu a struktuře obyvatelstva</w:t>
      </w:r>
      <w:r w:rsidRPr="00F44E55">
        <w:rPr>
          <w:rFonts w:cs="Arial"/>
          <w:szCs w:val="20"/>
        </w:rPr>
        <w:t xml:space="preserve"> jsou výsledky sčítání lidu, domů a bytů, která jsou uskutečňována zhruba v desetiletých intervalech. Na tyto výsledky pak navazují (každoroční) intercenzální statistické bilance obyvatel vycházející ze zpracování statistických hlášení ČSÚ o sňatcích, narozeních, úmrtích a rozvodech a dat o stěhování </w:t>
      </w:r>
      <w:r>
        <w:rPr>
          <w:rFonts w:cs="Arial"/>
          <w:szCs w:val="20"/>
        </w:rPr>
        <w:t xml:space="preserve">přebíraných </w:t>
      </w:r>
      <w:r w:rsidRPr="00F44E55">
        <w:rPr>
          <w:rFonts w:cs="Arial"/>
          <w:szCs w:val="20"/>
        </w:rPr>
        <w:t xml:space="preserve">z informačních systémů Ministerstva vnitra ČR. </w:t>
      </w:r>
    </w:p>
    <w:p w:rsidR="005F1FC7" w:rsidRDefault="005F1FC7" w:rsidP="005F1FC7">
      <w:pPr>
        <w:pStyle w:val="Zkladntext3"/>
        <w:spacing w:after="120"/>
        <w:rPr>
          <w:rFonts w:cs="Arial"/>
          <w:szCs w:val="20"/>
        </w:rPr>
      </w:pPr>
      <w:r>
        <w:rPr>
          <w:rFonts w:cs="Arial"/>
          <w:szCs w:val="20"/>
        </w:rPr>
        <w:t>Od 1. května 2004 se veškeré údaje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p>
    <w:p w:rsidR="007228C6" w:rsidRDefault="007228C6" w:rsidP="007228C6">
      <w:pPr>
        <w:pStyle w:val="Zkladntext3"/>
        <w:spacing w:after="120"/>
        <w:rPr>
          <w:rFonts w:cs="Arial"/>
          <w:szCs w:val="20"/>
        </w:rPr>
      </w:pPr>
      <w:r w:rsidRPr="007228C6">
        <w:rPr>
          <w:rFonts w:cs="Arial"/>
          <w:b/>
          <w:szCs w:val="20"/>
        </w:rPr>
        <w:t>Všechny</w:t>
      </w:r>
      <w:r>
        <w:rPr>
          <w:rFonts w:cs="Arial"/>
          <w:szCs w:val="20"/>
        </w:rPr>
        <w:t xml:space="preserve"> </w:t>
      </w:r>
      <w:r w:rsidRPr="007228C6">
        <w:rPr>
          <w:rFonts w:cs="Arial"/>
          <w:b/>
          <w:szCs w:val="20"/>
        </w:rPr>
        <w:t>údaje jsou předběžné</w:t>
      </w:r>
      <w:r>
        <w:rPr>
          <w:rFonts w:cs="Arial"/>
          <w:szCs w:val="20"/>
        </w:rPr>
        <w:t xml:space="preserve">, </w:t>
      </w:r>
      <w:r w:rsidRPr="005C3A82">
        <w:rPr>
          <w:rFonts w:cs="Arial"/>
          <w:szCs w:val="20"/>
        </w:rPr>
        <w:t>nezahrnují osoby s udělenou dočasnou ochranou v souvislosti s ozbrojeným konfliktem na území</w:t>
      </w:r>
      <w:r>
        <w:rPr>
          <w:rFonts w:cs="Arial"/>
          <w:szCs w:val="20"/>
        </w:rPr>
        <w:t xml:space="preserve"> </w:t>
      </w:r>
      <w:r w:rsidRPr="005C3A82">
        <w:rPr>
          <w:rFonts w:cs="Arial"/>
          <w:szCs w:val="20"/>
        </w:rPr>
        <w:t>Ukrajiny vyvolaným invazí vojsk Ruské federace</w:t>
      </w:r>
      <w:r>
        <w:rPr>
          <w:rFonts w:cs="Arial"/>
          <w:szCs w:val="20"/>
        </w:rPr>
        <w:t>.</w:t>
      </w:r>
    </w:p>
    <w:p w:rsidR="005F1FC7" w:rsidRDefault="005F1FC7" w:rsidP="005F1FC7">
      <w:pPr>
        <w:pStyle w:val="Zkladntext3"/>
        <w:spacing w:after="120"/>
        <w:rPr>
          <w:rFonts w:cs="Arial"/>
          <w:szCs w:val="20"/>
        </w:rPr>
      </w:pPr>
      <w:r>
        <w:rPr>
          <w:rFonts w:cs="Arial"/>
          <w:szCs w:val="20"/>
        </w:rPr>
        <w:t xml:space="preserve">Údaje zohledňují i </w:t>
      </w:r>
      <w:r w:rsidRPr="00F44E55">
        <w:rPr>
          <w:rFonts w:cs="Arial"/>
          <w:szCs w:val="20"/>
        </w:rPr>
        <w:t>událost</w:t>
      </w:r>
      <w:r>
        <w:rPr>
          <w:rFonts w:cs="Arial"/>
          <w:szCs w:val="20"/>
        </w:rPr>
        <w:t>i</w:t>
      </w:r>
      <w:r w:rsidRPr="00F44E55">
        <w:rPr>
          <w:rFonts w:cs="Arial"/>
          <w:szCs w:val="20"/>
        </w:rPr>
        <w:t xml:space="preserve"> </w:t>
      </w:r>
      <w:r>
        <w:rPr>
          <w:rFonts w:cs="Arial"/>
          <w:szCs w:val="20"/>
        </w:rPr>
        <w:t>(</w:t>
      </w:r>
      <w:r w:rsidRPr="00F44E55">
        <w:rPr>
          <w:rFonts w:cs="Arial"/>
          <w:szCs w:val="20"/>
        </w:rPr>
        <w:t>sňatky, narození a úmrtí</w:t>
      </w:r>
      <w:r>
        <w:rPr>
          <w:rFonts w:cs="Arial"/>
          <w:szCs w:val="20"/>
        </w:rPr>
        <w:t>)</w:t>
      </w:r>
      <w:r w:rsidRPr="00F44E55">
        <w:rPr>
          <w:rFonts w:cs="Arial"/>
          <w:szCs w:val="20"/>
        </w:rPr>
        <w:t xml:space="preserve"> českých občanů s trvalým bydlištěm na území ČR, které nastaly v cizině, pokud byly </w:t>
      </w:r>
      <w:r>
        <w:rPr>
          <w:rFonts w:cs="Arial"/>
          <w:szCs w:val="20"/>
        </w:rPr>
        <w:t xml:space="preserve">nahlášeny a </w:t>
      </w:r>
      <w:r w:rsidRPr="00F44E55">
        <w:rPr>
          <w:rFonts w:cs="Arial"/>
          <w:szCs w:val="20"/>
        </w:rPr>
        <w:t>evidovány zvláštní matrikou</w:t>
      </w:r>
      <w:r>
        <w:rPr>
          <w:rFonts w:cs="Arial"/>
          <w:szCs w:val="20"/>
        </w:rPr>
        <w:t xml:space="preserve"> v termínu, který umožňuje jejich zařazení do statistiky</w:t>
      </w:r>
      <w:r w:rsidRPr="00F44E55">
        <w:rPr>
          <w:rFonts w:cs="Arial"/>
          <w:szCs w:val="20"/>
        </w:rPr>
        <w:t xml:space="preserve">. </w:t>
      </w:r>
    </w:p>
    <w:p w:rsidR="005F1FC7" w:rsidRPr="00F44E55" w:rsidRDefault="005F1FC7" w:rsidP="005F1FC7">
      <w:pPr>
        <w:pStyle w:val="Zkladntext3"/>
        <w:spacing w:after="120"/>
        <w:rPr>
          <w:rFonts w:cs="Arial"/>
          <w:szCs w:val="20"/>
        </w:rPr>
      </w:pPr>
      <w:r w:rsidRPr="00F44E55">
        <w:rPr>
          <w:rFonts w:cs="Arial"/>
          <w:szCs w:val="20"/>
        </w:rPr>
        <w:t>Údaje jsou zveřejňovány čtvrtletně v členění do krajů a okresů (v Praze také do správních obvodů a městských částí), jednou ročně pak i do</w:t>
      </w:r>
      <w:r w:rsidR="00E93E4C">
        <w:rPr>
          <w:rFonts w:cs="Arial"/>
          <w:szCs w:val="20"/>
        </w:rPr>
        <w:t xml:space="preserve"> </w:t>
      </w:r>
      <w:r w:rsidRPr="00F44E55">
        <w:rPr>
          <w:rFonts w:cs="Arial"/>
          <w:szCs w:val="20"/>
        </w:rPr>
        <w:t xml:space="preserve">jednotlivých obcí. </w:t>
      </w:r>
    </w:p>
    <w:p w:rsidR="005F1FC7" w:rsidRPr="00F44E55" w:rsidRDefault="005F1FC7" w:rsidP="005F1FC7">
      <w:pPr>
        <w:spacing w:after="120"/>
        <w:jc w:val="both"/>
        <w:rPr>
          <w:rFonts w:ascii="Arial" w:hAnsi="Arial" w:cs="Arial"/>
          <w:sz w:val="20"/>
          <w:szCs w:val="20"/>
        </w:rPr>
      </w:pPr>
      <w:r w:rsidRPr="00F44E55">
        <w:rPr>
          <w:rFonts w:ascii="Arial" w:hAnsi="Arial" w:cs="Arial"/>
          <w:sz w:val="20"/>
          <w:szCs w:val="20"/>
        </w:rPr>
        <w:t xml:space="preserve">Údaje pro intenzitní ukazatele </w:t>
      </w:r>
      <w:r w:rsidRPr="005F1FC7">
        <w:rPr>
          <w:rFonts w:ascii="Arial" w:hAnsi="Arial" w:cs="Arial"/>
          <w:b/>
          <w:sz w:val="20"/>
          <w:szCs w:val="20"/>
        </w:rPr>
        <w:t>hrubých relativních měr</w:t>
      </w:r>
      <w:r w:rsidRPr="00F44E55">
        <w:rPr>
          <w:rFonts w:ascii="Arial" w:hAnsi="Arial" w:cs="Arial"/>
          <w:b/>
          <w:bCs/>
          <w:sz w:val="20"/>
          <w:szCs w:val="20"/>
        </w:rPr>
        <w:t xml:space="preserve"> </w:t>
      </w:r>
      <w:r w:rsidRPr="00F44E55">
        <w:rPr>
          <w:rFonts w:ascii="Arial" w:hAnsi="Arial" w:cs="Arial"/>
          <w:sz w:val="20"/>
          <w:szCs w:val="20"/>
        </w:rPr>
        <w:t xml:space="preserve">demografických událostí jsou vztaženy na 1 000 obyvatel středního stavu. </w:t>
      </w:r>
      <w:r w:rsidRPr="005F1FC7">
        <w:rPr>
          <w:rFonts w:ascii="Arial" w:hAnsi="Arial" w:cs="Arial"/>
          <w:b/>
          <w:sz w:val="20"/>
          <w:szCs w:val="20"/>
        </w:rPr>
        <w:t>Střední stav obyvatel</w:t>
      </w:r>
      <w:r w:rsidRPr="00F44E55">
        <w:rPr>
          <w:rFonts w:ascii="Arial" w:hAnsi="Arial" w:cs="Arial"/>
          <w:sz w:val="20"/>
          <w:szCs w:val="20"/>
        </w:rPr>
        <w:t xml:space="preserve"> obecně vyjadřuje počet obyvatel daného území </w:t>
      </w:r>
      <w:r>
        <w:rPr>
          <w:rFonts w:ascii="Arial" w:hAnsi="Arial" w:cs="Arial"/>
          <w:sz w:val="20"/>
          <w:szCs w:val="20"/>
        </w:rPr>
        <w:t>v</w:t>
      </w:r>
      <w:r w:rsidRPr="00F44E55">
        <w:rPr>
          <w:rFonts w:ascii="Arial" w:hAnsi="Arial" w:cs="Arial"/>
          <w:sz w:val="20"/>
          <w:szCs w:val="20"/>
        </w:rPr>
        <w:t xml:space="preserve"> okamžiku, který byl zvolen za střed sledovaného období. Za střední stav obyvatel v kalendářním roce je považován počet obyvatel </w:t>
      </w:r>
      <w:r>
        <w:rPr>
          <w:rFonts w:ascii="Arial" w:hAnsi="Arial" w:cs="Arial"/>
          <w:sz w:val="20"/>
          <w:szCs w:val="20"/>
        </w:rPr>
        <w:t xml:space="preserve">daného území o půlnoci z 30. 6. na </w:t>
      </w:r>
      <w:r w:rsidRPr="00F44E55">
        <w:rPr>
          <w:rFonts w:ascii="Arial" w:hAnsi="Arial" w:cs="Arial"/>
          <w:sz w:val="20"/>
          <w:szCs w:val="20"/>
        </w:rPr>
        <w:t>1. 7. sledovaného roku</w:t>
      </w:r>
      <w:r>
        <w:rPr>
          <w:rFonts w:ascii="Arial" w:hAnsi="Arial" w:cs="Arial"/>
          <w:sz w:val="20"/>
          <w:szCs w:val="20"/>
        </w:rPr>
        <w:t>, který vychází z bilance pohybu obyvatel daného území od počátku roku do konce června</w:t>
      </w:r>
      <w:r w:rsidRPr="00F44E55">
        <w:rPr>
          <w:rFonts w:ascii="Arial" w:hAnsi="Arial" w:cs="Arial"/>
          <w:sz w:val="20"/>
          <w:szCs w:val="20"/>
        </w:rPr>
        <w:t xml:space="preserve">. </w:t>
      </w:r>
      <w:r>
        <w:rPr>
          <w:rFonts w:ascii="Arial" w:hAnsi="Arial" w:cs="Arial"/>
          <w:sz w:val="20"/>
          <w:szCs w:val="20"/>
        </w:rPr>
        <w:t>Za s</w:t>
      </w:r>
      <w:r w:rsidRPr="00F44E55">
        <w:rPr>
          <w:rFonts w:ascii="Arial" w:hAnsi="Arial" w:cs="Arial"/>
          <w:sz w:val="20"/>
          <w:szCs w:val="20"/>
        </w:rPr>
        <w:t xml:space="preserve">třední stav obyvatel </w:t>
      </w:r>
      <w:r>
        <w:rPr>
          <w:rFonts w:ascii="Arial" w:hAnsi="Arial" w:cs="Arial"/>
          <w:sz w:val="20"/>
          <w:szCs w:val="20"/>
        </w:rPr>
        <w:t>v období (vymezeném kalendářními měsíci) kratším než jeden rok je považován</w:t>
      </w:r>
      <w:r w:rsidRPr="00F44E55">
        <w:rPr>
          <w:rFonts w:ascii="Arial" w:hAnsi="Arial" w:cs="Arial"/>
          <w:sz w:val="20"/>
          <w:szCs w:val="20"/>
        </w:rPr>
        <w:t xml:space="preserve"> průměr středních </w:t>
      </w:r>
      <w:r>
        <w:rPr>
          <w:rFonts w:ascii="Arial" w:hAnsi="Arial" w:cs="Arial"/>
          <w:sz w:val="20"/>
          <w:szCs w:val="20"/>
        </w:rPr>
        <w:t xml:space="preserve">měsíčních </w:t>
      </w:r>
      <w:r w:rsidRPr="00F44E55">
        <w:rPr>
          <w:rFonts w:ascii="Arial" w:hAnsi="Arial" w:cs="Arial"/>
          <w:sz w:val="20"/>
          <w:szCs w:val="20"/>
        </w:rPr>
        <w:t xml:space="preserve">stavů </w:t>
      </w:r>
      <w:r>
        <w:rPr>
          <w:rFonts w:ascii="Arial" w:hAnsi="Arial" w:cs="Arial"/>
          <w:sz w:val="20"/>
          <w:szCs w:val="20"/>
        </w:rPr>
        <w:t>za dané období, přičemž měsíční střední stav je průměrem z počátečního a koncového stavu daného měsíce</w:t>
      </w:r>
      <w:r w:rsidRPr="00F44E55">
        <w:rPr>
          <w:rFonts w:ascii="Arial" w:hAnsi="Arial" w:cs="Arial"/>
          <w:sz w:val="20"/>
          <w:szCs w:val="20"/>
        </w:rPr>
        <w:t xml:space="preserve">. </w:t>
      </w:r>
    </w:p>
    <w:p w:rsidR="005F1FC7" w:rsidRPr="00F44E55" w:rsidRDefault="005F1FC7" w:rsidP="00D97DDB">
      <w:pPr>
        <w:jc w:val="both"/>
        <w:rPr>
          <w:rFonts w:ascii="Arial" w:hAnsi="Arial" w:cs="Arial"/>
          <w:sz w:val="20"/>
          <w:szCs w:val="20"/>
        </w:rPr>
      </w:pPr>
      <w:r w:rsidRPr="005E6922">
        <w:rPr>
          <w:rFonts w:ascii="Arial" w:hAnsi="Arial" w:cs="Arial"/>
          <w:b/>
          <w:sz w:val="20"/>
          <w:szCs w:val="20"/>
        </w:rPr>
        <w:t>Kojenecká úmrtnost</w:t>
      </w:r>
      <w:r w:rsidRPr="00F44E55">
        <w:rPr>
          <w:rFonts w:ascii="Arial" w:hAnsi="Arial" w:cs="Arial"/>
          <w:sz w:val="20"/>
          <w:szCs w:val="20"/>
        </w:rPr>
        <w:t xml:space="preserve"> </w:t>
      </w:r>
      <w:r>
        <w:rPr>
          <w:rFonts w:ascii="Arial" w:hAnsi="Arial" w:cs="Arial"/>
          <w:sz w:val="20"/>
          <w:szCs w:val="20"/>
        </w:rPr>
        <w:t>vyjadřuje</w:t>
      </w:r>
      <w:r w:rsidRPr="00F44E55">
        <w:rPr>
          <w:rFonts w:ascii="Arial" w:hAnsi="Arial" w:cs="Arial"/>
          <w:sz w:val="20"/>
          <w:szCs w:val="20"/>
        </w:rPr>
        <w:t xml:space="preserve"> </w:t>
      </w:r>
      <w:r>
        <w:rPr>
          <w:rFonts w:ascii="Arial" w:hAnsi="Arial" w:cs="Arial"/>
          <w:sz w:val="20"/>
          <w:szCs w:val="20"/>
        </w:rPr>
        <w:t xml:space="preserve">poměr </w:t>
      </w:r>
      <w:r w:rsidRPr="00F44E55">
        <w:rPr>
          <w:rFonts w:ascii="Arial" w:hAnsi="Arial" w:cs="Arial"/>
          <w:sz w:val="20"/>
          <w:szCs w:val="20"/>
        </w:rPr>
        <w:t>počt</w:t>
      </w:r>
      <w:r>
        <w:rPr>
          <w:rFonts w:ascii="Arial" w:hAnsi="Arial" w:cs="Arial"/>
          <w:sz w:val="20"/>
          <w:szCs w:val="20"/>
        </w:rPr>
        <w:t>u dětí</w:t>
      </w:r>
      <w:r w:rsidRPr="00F44E55">
        <w:rPr>
          <w:rFonts w:ascii="Arial" w:hAnsi="Arial" w:cs="Arial"/>
          <w:sz w:val="20"/>
          <w:szCs w:val="20"/>
        </w:rPr>
        <w:t xml:space="preserve"> zemřelých před dosažením věku 1 roku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r w:rsidRPr="005E6922">
        <w:rPr>
          <w:rFonts w:ascii="Arial" w:hAnsi="Arial" w:cs="Arial"/>
          <w:b/>
          <w:sz w:val="20"/>
          <w:szCs w:val="20"/>
        </w:rPr>
        <w:t>Novorozenecká úmrtnost</w:t>
      </w:r>
      <w:r w:rsidRPr="00F44E55">
        <w:rPr>
          <w:rFonts w:ascii="Arial" w:hAnsi="Arial" w:cs="Arial"/>
          <w:sz w:val="20"/>
          <w:szCs w:val="20"/>
        </w:rPr>
        <w:t xml:space="preserve"> </w:t>
      </w:r>
      <w:r>
        <w:rPr>
          <w:rFonts w:ascii="Arial" w:hAnsi="Arial" w:cs="Arial"/>
          <w:sz w:val="20"/>
          <w:szCs w:val="20"/>
        </w:rPr>
        <w:t>vyjadřuje poměr</w:t>
      </w:r>
      <w:r w:rsidRPr="00F44E55">
        <w:rPr>
          <w:rFonts w:ascii="Arial" w:hAnsi="Arial" w:cs="Arial"/>
          <w:sz w:val="20"/>
          <w:szCs w:val="20"/>
        </w:rPr>
        <w:t xml:space="preserve"> počt</w:t>
      </w:r>
      <w:r>
        <w:rPr>
          <w:rFonts w:ascii="Arial" w:hAnsi="Arial" w:cs="Arial"/>
          <w:sz w:val="20"/>
          <w:szCs w:val="20"/>
        </w:rPr>
        <w:t>u</w:t>
      </w:r>
      <w:r w:rsidRPr="00F44E55">
        <w:rPr>
          <w:rFonts w:ascii="Arial" w:hAnsi="Arial" w:cs="Arial"/>
          <w:sz w:val="20"/>
          <w:szCs w:val="20"/>
        </w:rPr>
        <w:t xml:space="preserve"> zemřelých dětí před dosažením věku 28 dnů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p>
    <w:p w:rsidR="00E271D6" w:rsidRPr="00FD1B27" w:rsidRDefault="00E271D6" w:rsidP="00E271D6">
      <w:pPr>
        <w:jc w:val="both"/>
        <w:rPr>
          <w:rFonts w:ascii="Arial" w:hAnsi="Arial" w:cs="Arial"/>
          <w:szCs w:val="20"/>
        </w:rPr>
      </w:pPr>
    </w:p>
    <w:p w:rsidR="00E271D6" w:rsidRPr="00C63FAD" w:rsidRDefault="000A050D" w:rsidP="00FD1B27">
      <w:pPr>
        <w:pStyle w:val="Nadpis8"/>
        <w:spacing w:line="233" w:lineRule="auto"/>
        <w:rPr>
          <w:rStyle w:val="Siln"/>
          <w:rFonts w:cs="Arial"/>
        </w:rPr>
      </w:pPr>
      <w:r>
        <w:rPr>
          <w:rStyle w:val="Siln"/>
          <w:rFonts w:cs="Arial"/>
          <w:b/>
          <w:bCs/>
        </w:rPr>
        <w:t>ZAMĚSTNANOST A NEZAMĚSTNANOST (VŠPS)</w:t>
      </w:r>
      <w:r w:rsidR="00E271D6" w:rsidRPr="00C63FAD">
        <w:rPr>
          <w:rStyle w:val="Siln"/>
          <w:rFonts w:cs="Arial"/>
        </w:rPr>
        <w:t xml:space="preserve"> </w:t>
      </w:r>
    </w:p>
    <w:p w:rsidR="00E271D6" w:rsidRPr="00C63FAD" w:rsidRDefault="00E271D6" w:rsidP="00E271D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w:t>
      </w:r>
      <w:r w:rsidR="000A050D">
        <w:rPr>
          <w:rFonts w:cs="Arial"/>
          <w:szCs w:val="20"/>
        </w:rPr>
        <w:t xml:space="preserve">(VŠPS) </w:t>
      </w:r>
      <w:r w:rsidRPr="00C63FAD">
        <w:rPr>
          <w:rFonts w:cs="Arial"/>
          <w:szCs w:val="20"/>
        </w:rPr>
        <w:t>je prováděno v náhodně vybraných bytech (0,6 % všech trvale obydlených bytů). Zjištěné údaje jsou převáženy četností jednotlivých věkových skupin mužů a žen.</w:t>
      </w:r>
    </w:p>
    <w:p w:rsidR="005C3A82" w:rsidRDefault="005C3A82" w:rsidP="005C3A82">
      <w:pPr>
        <w:pStyle w:val="Zkladntext3"/>
        <w:spacing w:before="120" w:after="120"/>
        <w:rPr>
          <w:rFonts w:cs="Arial"/>
          <w:szCs w:val="20"/>
        </w:rPr>
      </w:pPr>
      <w:r>
        <w:rPr>
          <w:rFonts w:cs="Arial"/>
          <w:szCs w:val="20"/>
        </w:rPr>
        <w:t xml:space="preserve">Ve všech </w:t>
      </w:r>
      <w:r w:rsidRPr="005C3A82">
        <w:rPr>
          <w:rFonts w:cs="Arial"/>
          <w:szCs w:val="20"/>
        </w:rPr>
        <w:t>údajích jsou promítnuty výsledky Sčítání lidu, domů a bytů 2021</w:t>
      </w:r>
      <w:r>
        <w:rPr>
          <w:rFonts w:cs="Arial"/>
          <w:szCs w:val="20"/>
        </w:rPr>
        <w:t>.</w:t>
      </w:r>
    </w:p>
    <w:p w:rsidR="009D4D95" w:rsidRDefault="009D4D95" w:rsidP="009D4D95">
      <w:pPr>
        <w:pStyle w:val="Normlnweb"/>
        <w:spacing w:before="0" w:beforeAutospacing="0" w:after="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CF5AA4" w:rsidRPr="00FD1B27" w:rsidRDefault="00CF5AA4" w:rsidP="009D4D95">
      <w:pPr>
        <w:pStyle w:val="Normlnweb"/>
        <w:spacing w:before="120" w:beforeAutospacing="0" w:after="120" w:afterAutospacing="0"/>
        <w:jc w:val="center"/>
        <w:rPr>
          <w:rFonts w:ascii="Arial" w:hAnsi="Arial" w:cs="Arial"/>
          <w:b/>
          <w:color w:val="auto"/>
          <w:sz w:val="20"/>
          <w:highlight w:val="yellow"/>
        </w:rPr>
      </w:pPr>
    </w:p>
    <w:p w:rsidR="009D4D95" w:rsidRPr="007A48C0" w:rsidRDefault="009D4D95" w:rsidP="00625CCC">
      <w:pPr>
        <w:pStyle w:val="Normlnweb"/>
        <w:spacing w:before="120" w:beforeAutospacing="0" w:after="60" w:afterAutospacing="0"/>
        <w:jc w:val="center"/>
        <w:rPr>
          <w:rFonts w:ascii="Arial" w:hAnsi="Arial" w:cs="Arial"/>
          <w:b/>
          <w:noProof/>
          <w:color w:val="auto"/>
          <w:sz w:val="20"/>
        </w:rPr>
      </w:pPr>
      <w:r w:rsidRPr="00CA0CE4">
        <w:rPr>
          <w:rFonts w:ascii="Arial" w:hAnsi="Arial" w:cs="Arial"/>
          <w:b/>
          <w:color w:val="auto"/>
          <w:sz w:val="20"/>
        </w:rPr>
        <w:lastRenderedPageBreak/>
        <w:t>Intervaly spolehlivosti (95%) pro odhad počtu zaměstnaných v NH,</w:t>
      </w:r>
      <w:r w:rsidRPr="00CA0CE4">
        <w:rPr>
          <w:rFonts w:ascii="Arial" w:hAnsi="Arial" w:cs="Arial"/>
          <w:b/>
          <w:color w:val="auto"/>
          <w:sz w:val="20"/>
        </w:rPr>
        <w:br/>
        <w:t xml:space="preserve">nezaměstnaných a </w:t>
      </w:r>
      <w:r w:rsidR="00D64D80" w:rsidRPr="00CA0CE4">
        <w:rPr>
          <w:rFonts w:ascii="Arial" w:hAnsi="Arial" w:cs="Arial"/>
          <w:b/>
          <w:color w:val="auto"/>
          <w:sz w:val="20"/>
        </w:rPr>
        <w:t xml:space="preserve">obecné míry </w:t>
      </w:r>
      <w:r w:rsidRPr="00CA0CE4">
        <w:rPr>
          <w:rFonts w:ascii="Arial" w:hAnsi="Arial" w:cs="Arial"/>
          <w:b/>
          <w:color w:val="auto"/>
          <w:sz w:val="20"/>
        </w:rPr>
        <w:t>nezaměstnanosti (</w:t>
      </w:r>
      <w:r w:rsidR="002B07DD">
        <w:rPr>
          <w:rFonts w:ascii="Arial" w:hAnsi="Arial" w:cs="Arial"/>
          <w:b/>
          <w:color w:val="auto"/>
          <w:sz w:val="20"/>
        </w:rPr>
        <w:t>4</w:t>
      </w:r>
      <w:r w:rsidRPr="00CA0CE4">
        <w:rPr>
          <w:rFonts w:ascii="Arial" w:hAnsi="Arial" w:cs="Arial"/>
          <w:b/>
          <w:color w:val="auto"/>
          <w:sz w:val="20"/>
        </w:rPr>
        <w:t>. čtvrtletí 202</w:t>
      </w:r>
      <w:r w:rsidR="007A48C0">
        <w:rPr>
          <w:rFonts w:ascii="Arial" w:hAnsi="Arial" w:cs="Arial"/>
          <w:b/>
          <w:color w:val="auto"/>
          <w:sz w:val="20"/>
        </w:rPr>
        <w:t>2</w:t>
      </w:r>
      <w:r w:rsidRPr="00CA0CE4">
        <w:rPr>
          <w:rFonts w:ascii="Arial" w:hAnsi="Arial" w:cs="Arial"/>
          <w:b/>
          <w:color w:val="auto"/>
          <w:sz w:val="20"/>
        </w:rPr>
        <w:t>)</w:t>
      </w:r>
    </w:p>
    <w:p w:rsidR="00290A84" w:rsidRDefault="002B07DD" w:rsidP="00625CCC">
      <w:pPr>
        <w:pStyle w:val="Normlnweb"/>
        <w:spacing w:before="0" w:beforeAutospacing="0" w:after="120" w:afterAutospacing="0"/>
        <w:jc w:val="center"/>
        <w:rPr>
          <w:rFonts w:ascii="Arial" w:hAnsi="Arial" w:cs="Arial"/>
          <w:b/>
          <w:color w:val="auto"/>
          <w:sz w:val="20"/>
        </w:rPr>
      </w:pPr>
      <w:r w:rsidRPr="002B07DD">
        <w:rPr>
          <w:rFonts w:ascii="Arial" w:hAnsi="Arial" w:cs="Arial"/>
          <w:b/>
          <w:noProof/>
          <w:color w:val="auto"/>
          <w:sz w:val="20"/>
        </w:rPr>
        <w:drawing>
          <wp:inline distT="0" distB="0" distL="0" distR="0">
            <wp:extent cx="6112510" cy="3796665"/>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2510" cy="3796665"/>
                    </a:xfrm>
                    <a:prstGeom prst="rect">
                      <a:avLst/>
                    </a:prstGeom>
                    <a:noFill/>
                    <a:ln>
                      <a:noFill/>
                    </a:ln>
                  </pic:spPr>
                </pic:pic>
              </a:graphicData>
            </a:graphic>
          </wp:inline>
        </w:drawing>
      </w:r>
    </w:p>
    <w:p w:rsidR="00E271D6" w:rsidRPr="00C63FAD" w:rsidRDefault="00E271D6" w:rsidP="009F442E">
      <w:pPr>
        <w:pStyle w:val="Zkladntext3"/>
        <w:spacing w:before="120" w:after="120"/>
        <w:rPr>
          <w:rFonts w:cs="Arial"/>
          <w:szCs w:val="20"/>
        </w:rPr>
      </w:pPr>
      <w:r w:rsidRPr="00C63FAD">
        <w:rPr>
          <w:rFonts w:cs="Arial"/>
          <w:szCs w:val="20"/>
        </w:rPr>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w:t>
      </w:r>
      <w:r w:rsidR="0028066A">
        <w:rPr>
          <w:rFonts w:cs="Arial"/>
          <w:szCs w:val="20"/>
        </w:rPr>
        <w:t xml:space="preserve"> </w:t>
      </w:r>
      <w:r w:rsidRPr="00C63FAD">
        <w:rPr>
          <w:rFonts w:cs="Arial"/>
          <w:szCs w:val="20"/>
        </w:rPr>
        <w:t xml:space="preserve">příslušely mezi zaměstnance vč. členů produkčních družstev, pracující na vlastní účet, zaměstnavatele či pomáhající rodinné příslušníky. </w:t>
      </w:r>
    </w:p>
    <w:p w:rsidR="00E271D6" w:rsidRPr="00C63FAD" w:rsidRDefault="00E271D6" w:rsidP="00E271D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sidR="00E93E4C">
        <w:rPr>
          <w:rFonts w:cs="Arial"/>
          <w:szCs w:val="20"/>
        </w:rPr>
        <w:t xml:space="preserve"> </w:t>
      </w:r>
      <w:r w:rsidRPr="00C63FAD">
        <w:rPr>
          <w:rFonts w:cs="Arial"/>
          <w:szCs w:val="20"/>
        </w:rPr>
        <w:t>práce, aktivně ji hledaly a byly připraveny k nástupu do zaměstnání nejpozději do 14 dnů. Za</w:t>
      </w:r>
      <w:r w:rsidR="00E93E4C">
        <w:rPr>
          <w:rFonts w:cs="Arial"/>
          <w:szCs w:val="20"/>
        </w:rPr>
        <w:t xml:space="preserve"> </w:t>
      </w:r>
      <w:r w:rsidRPr="00C63FAD">
        <w:rPr>
          <w:rFonts w:cs="Arial"/>
          <w:szCs w:val="20"/>
        </w:rPr>
        <w:t>nezaměstnané</w:t>
      </w:r>
      <w:r>
        <w:rPr>
          <w:rFonts w:cs="Arial"/>
          <w:szCs w:val="20"/>
        </w:rPr>
        <w:t xml:space="preserve"> </w:t>
      </w:r>
      <w:r w:rsidRPr="00C63FAD">
        <w:rPr>
          <w:rFonts w:cs="Arial"/>
          <w:szCs w:val="20"/>
        </w:rPr>
        <w:t xml:space="preserve">jsou považování i ti, kteří již práci našli, ale nástup je stanoven nejpozději do tří měsíců. </w:t>
      </w:r>
    </w:p>
    <w:p w:rsidR="00E271D6" w:rsidRPr="00C63FAD" w:rsidRDefault="00E271D6" w:rsidP="00E271D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Pr>
          <w:rFonts w:cs="Arial"/>
          <w:szCs w:val="20"/>
        </w:rPr>
        <w:t xml:space="preserve">naných (pracovní síly) na počtu </w:t>
      </w:r>
      <w:r w:rsidRPr="00C63FAD">
        <w:rPr>
          <w:rFonts w:cs="Arial"/>
          <w:szCs w:val="20"/>
        </w:rPr>
        <w:t xml:space="preserve">všech osob starších patnácti let </w:t>
      </w:r>
      <w:r>
        <w:rPr>
          <w:rFonts w:cs="Arial"/>
          <w:szCs w:val="20"/>
        </w:rPr>
        <w:t>–</w:t>
      </w:r>
      <w:r w:rsidRPr="00C63FAD">
        <w:rPr>
          <w:rFonts w:cs="Arial"/>
          <w:szCs w:val="20"/>
        </w:rPr>
        <w:t xml:space="preserve"> udává se v %. </w:t>
      </w:r>
    </w:p>
    <w:p w:rsidR="00E271D6" w:rsidRPr="00C63FAD" w:rsidRDefault="00E271D6" w:rsidP="009D4D95">
      <w:pPr>
        <w:pStyle w:val="Zkladntext3"/>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Pr>
          <w:rFonts w:cs="Arial"/>
          <w:szCs w:val="20"/>
        </w:rPr>
        <w:t>–</w:t>
      </w:r>
      <w:r w:rsidRPr="00C63FAD">
        <w:rPr>
          <w:rFonts w:cs="Arial"/>
          <w:szCs w:val="20"/>
        </w:rPr>
        <w:t xml:space="preserve"> udává se v %. </w:t>
      </w:r>
    </w:p>
    <w:p w:rsidR="00E271D6" w:rsidRDefault="00E271D6" w:rsidP="003E0A67">
      <w:pPr>
        <w:pStyle w:val="Nadpis8"/>
        <w:spacing w:line="233" w:lineRule="auto"/>
        <w:rPr>
          <w:rStyle w:val="Siln"/>
          <w:rFonts w:cs="Arial"/>
          <w:b/>
          <w:bCs/>
        </w:rPr>
      </w:pPr>
    </w:p>
    <w:p w:rsidR="001613CD" w:rsidRPr="00C63FAD" w:rsidRDefault="001613CD" w:rsidP="00FD1B27">
      <w:pPr>
        <w:pStyle w:val="Nadpis8"/>
        <w:spacing w:line="233" w:lineRule="auto"/>
        <w:rPr>
          <w:rStyle w:val="Siln"/>
          <w:rFonts w:cs="Arial"/>
        </w:rPr>
      </w:pPr>
      <w:r w:rsidRPr="00C63FAD">
        <w:rPr>
          <w:rStyle w:val="Siln"/>
          <w:rFonts w:cs="Arial"/>
          <w:b/>
          <w:bCs/>
        </w:rPr>
        <w:t>ZAMĚSTNAN</w:t>
      </w:r>
      <w:r w:rsidR="00E271D6">
        <w:rPr>
          <w:rStyle w:val="Siln"/>
          <w:rFonts w:cs="Arial"/>
          <w:b/>
          <w:bCs/>
        </w:rPr>
        <w:t>CI</w:t>
      </w:r>
      <w:r w:rsidRPr="00C63FAD">
        <w:rPr>
          <w:rStyle w:val="Siln"/>
          <w:rFonts w:cs="Arial"/>
          <w:b/>
          <w:bCs/>
        </w:rPr>
        <w:t xml:space="preserve"> A MZDY</w:t>
      </w:r>
      <w:r w:rsidRPr="00C63FAD">
        <w:rPr>
          <w:rStyle w:val="Siln"/>
          <w:rFonts w:cs="Arial"/>
        </w:rPr>
        <w:t xml:space="preserve"> </w:t>
      </w:r>
    </w:p>
    <w:p w:rsidR="00987DCD" w:rsidRPr="00A16978" w:rsidRDefault="00506239" w:rsidP="00987DCD">
      <w:pPr>
        <w:pStyle w:val="Zkladntext3"/>
        <w:spacing w:before="120" w:after="120" w:line="233" w:lineRule="auto"/>
        <w:rPr>
          <w:rFonts w:cs="Arial"/>
          <w:szCs w:val="20"/>
        </w:rPr>
      </w:pPr>
      <w:r>
        <w:rPr>
          <w:rFonts w:cs="Arial"/>
          <w:bCs/>
          <w:szCs w:val="20"/>
        </w:rPr>
        <w:t>Údaje</w:t>
      </w:r>
      <w:r w:rsidR="00987DCD" w:rsidRPr="000A050D">
        <w:rPr>
          <w:rFonts w:cs="Arial"/>
          <w:bCs/>
          <w:szCs w:val="20"/>
        </w:rPr>
        <w:t xml:space="preserve"> </w:t>
      </w:r>
      <w:r w:rsidR="00987DCD" w:rsidRPr="00506239">
        <w:rPr>
          <w:rFonts w:cs="Arial"/>
          <w:bCs/>
          <w:szCs w:val="20"/>
        </w:rPr>
        <w:t>jsou publikovány</w:t>
      </w:r>
      <w:r w:rsidR="00987DCD" w:rsidRPr="00A16978">
        <w:rPr>
          <w:rFonts w:cs="Arial"/>
          <w:b/>
          <w:bCs/>
          <w:szCs w:val="20"/>
        </w:rPr>
        <w:t xml:space="preserve"> za celou populaci podniků </w:t>
      </w:r>
      <w:r w:rsidR="00987DCD" w:rsidRPr="00A16978">
        <w:rPr>
          <w:rFonts w:cs="Arial"/>
          <w:szCs w:val="20"/>
        </w:rPr>
        <w:t xml:space="preserve">se zvýšeným důrazem na </w:t>
      </w:r>
      <w:r w:rsidR="00987DCD" w:rsidRPr="00A16978">
        <w:rPr>
          <w:rFonts w:cs="Arial"/>
          <w:b/>
          <w:bCs/>
          <w:szCs w:val="20"/>
        </w:rPr>
        <w:t>průměrné</w:t>
      </w:r>
      <w:r w:rsidR="00987DCD" w:rsidRPr="00A16978">
        <w:rPr>
          <w:rFonts w:cs="Arial"/>
          <w:szCs w:val="20"/>
        </w:rPr>
        <w:t xml:space="preserve"> </w:t>
      </w:r>
      <w:r w:rsidR="00987DCD" w:rsidRPr="00A16978">
        <w:rPr>
          <w:rFonts w:cs="Arial"/>
          <w:b/>
          <w:bCs/>
          <w:szCs w:val="20"/>
        </w:rPr>
        <w:t>mzdy zaměstnanců přepočtené na plně zaměstnané</w:t>
      </w:r>
      <w:r w:rsidR="00987DCD" w:rsidRPr="00A16978">
        <w:rPr>
          <w:rFonts w:cs="Arial"/>
          <w:szCs w:val="20"/>
        </w:rPr>
        <w:t>, které zohledňují délku pracovního úvazku.</w:t>
      </w:r>
    </w:p>
    <w:p w:rsidR="00987DCD" w:rsidRPr="00A16978" w:rsidRDefault="00987DCD" w:rsidP="00987DCD">
      <w:pPr>
        <w:pStyle w:val="Normlnweb"/>
        <w:spacing w:before="0" w:beforeAutospacing="0" w:after="120" w:afterAutospacing="0"/>
        <w:jc w:val="both"/>
        <w:rPr>
          <w:rFonts w:ascii="Arial" w:hAnsi="Arial" w:cs="Arial"/>
          <w:color w:val="auto"/>
          <w:sz w:val="20"/>
          <w:szCs w:val="20"/>
        </w:rPr>
      </w:pPr>
      <w:r w:rsidRPr="00A16978">
        <w:rPr>
          <w:rFonts w:ascii="Arial" w:hAnsi="Arial" w:cs="Arial"/>
          <w:b/>
          <w:color w:val="auto"/>
          <w:sz w:val="20"/>
          <w:szCs w:val="20"/>
        </w:rPr>
        <w:t>Od roku 2011 je územní třídění (na rozdíl od předchozích let) provedeno</w:t>
      </w:r>
      <w:r w:rsidRPr="00A16978">
        <w:rPr>
          <w:rFonts w:ascii="Arial" w:hAnsi="Arial" w:cs="Arial"/>
          <w:color w:val="auto"/>
          <w:sz w:val="20"/>
          <w:szCs w:val="20"/>
        </w:rPr>
        <w:t xml:space="preserve"> </w:t>
      </w:r>
      <w:r w:rsidRPr="00A16978">
        <w:rPr>
          <w:rFonts w:ascii="Arial" w:hAnsi="Arial" w:cs="Arial"/>
          <w:b/>
          <w:bCs/>
          <w:color w:val="auto"/>
          <w:sz w:val="20"/>
          <w:szCs w:val="20"/>
        </w:rPr>
        <w:t>podle místa skutečného pracoviště zaměstnanců, tzv. pracovištní metodou</w:t>
      </w:r>
      <w:r w:rsidRPr="00A16978">
        <w:rPr>
          <w:rFonts w:ascii="Arial" w:hAnsi="Arial" w:cs="Arial"/>
          <w:bCs/>
          <w:color w:val="auto"/>
          <w:sz w:val="20"/>
          <w:szCs w:val="20"/>
        </w:rPr>
        <w:t>, která poskytuje pravdivější regionální pohled na trh práce než</w:t>
      </w:r>
      <w:r w:rsidRPr="00A16978">
        <w:rPr>
          <w:rFonts w:ascii="Arial" w:hAnsi="Arial" w:cs="Arial"/>
          <w:b/>
          <w:bCs/>
          <w:color w:val="auto"/>
          <w:sz w:val="20"/>
          <w:szCs w:val="20"/>
        </w:rPr>
        <w:t xml:space="preserve"> </w:t>
      </w:r>
      <w:r w:rsidRPr="00A16978">
        <w:rPr>
          <w:rFonts w:ascii="Arial" w:hAnsi="Arial" w:cs="Arial"/>
          <w:bCs/>
          <w:color w:val="auto"/>
          <w:sz w:val="20"/>
          <w:szCs w:val="20"/>
        </w:rPr>
        <w:t>dříve zveřejňovaná podniková metoda (zařazení celého vykazujícího ekonomického subjektu do</w:t>
      </w:r>
      <w:r w:rsidR="00506239">
        <w:rPr>
          <w:rFonts w:ascii="Arial" w:hAnsi="Arial" w:cs="Arial"/>
          <w:bCs/>
          <w:color w:val="auto"/>
          <w:sz w:val="20"/>
          <w:szCs w:val="20"/>
        </w:rPr>
        <w:t> </w:t>
      </w:r>
      <w:r w:rsidRPr="00A16978">
        <w:rPr>
          <w:rFonts w:ascii="Arial" w:hAnsi="Arial" w:cs="Arial"/>
          <w:bCs/>
          <w:color w:val="auto"/>
          <w:sz w:val="20"/>
          <w:szCs w:val="20"/>
        </w:rPr>
        <w:t xml:space="preserve">kraje, v němž sídlí jeho ústředí). </w:t>
      </w:r>
    </w:p>
    <w:p w:rsidR="00987DCD" w:rsidRPr="00A16978" w:rsidRDefault="00987DCD" w:rsidP="00987DCD">
      <w:pPr>
        <w:pStyle w:val="Zkladntext3"/>
        <w:spacing w:after="120"/>
        <w:rPr>
          <w:rFonts w:cs="Arial"/>
          <w:szCs w:val="20"/>
        </w:rPr>
      </w:pPr>
      <w:r w:rsidRPr="00A16978">
        <w:rPr>
          <w:rFonts w:cs="Arial"/>
          <w:b/>
          <w:bCs/>
          <w:szCs w:val="20"/>
        </w:rPr>
        <w:t>Průměrný evidenční počet zaměstnanců přepočtený</w:t>
      </w:r>
      <w:r w:rsidRPr="00A16978">
        <w:rPr>
          <w:rFonts w:cs="Arial"/>
          <w:szCs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w:t>
      </w:r>
      <w:r w:rsidR="00E93E4C">
        <w:rPr>
          <w:rFonts w:cs="Arial"/>
          <w:szCs w:val="20"/>
        </w:rPr>
        <w:t xml:space="preserve"> </w:t>
      </w:r>
      <w:r w:rsidRPr="00A16978">
        <w:rPr>
          <w:rFonts w:cs="Arial"/>
          <w:szCs w:val="20"/>
        </w:rPr>
        <w:t xml:space="preserve">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987DCD" w:rsidRPr="00A16978" w:rsidRDefault="00987DCD" w:rsidP="00987DCD">
      <w:pPr>
        <w:spacing w:after="120"/>
        <w:jc w:val="both"/>
        <w:rPr>
          <w:rFonts w:ascii="Arial" w:hAnsi="Arial" w:cs="Arial"/>
          <w:sz w:val="20"/>
          <w:szCs w:val="20"/>
        </w:rPr>
      </w:pPr>
      <w:r w:rsidRPr="00A16978">
        <w:rPr>
          <w:rFonts w:ascii="Arial" w:hAnsi="Arial" w:cs="Arial"/>
          <w:b/>
          <w:bCs/>
          <w:sz w:val="20"/>
          <w:szCs w:val="20"/>
        </w:rPr>
        <w:t>Průměrná hrubá měsíční mzda</w:t>
      </w:r>
      <w:r w:rsidRPr="00A16978">
        <w:rPr>
          <w:rFonts w:ascii="Arial" w:hAnsi="Arial" w:cs="Arial"/>
          <w:sz w:val="20"/>
          <w:szCs w:val="20"/>
        </w:rPr>
        <w:t xml:space="preserve"> představuje podíl mezd bez ostatních osobních nákladů připadající na</w:t>
      </w:r>
      <w:r w:rsidR="00506239">
        <w:rPr>
          <w:rFonts w:ascii="Arial" w:hAnsi="Arial" w:cs="Arial"/>
          <w:sz w:val="20"/>
          <w:szCs w:val="20"/>
        </w:rPr>
        <w:t> </w:t>
      </w:r>
      <w:r w:rsidRPr="00A16978">
        <w:rPr>
          <w:rFonts w:ascii="Arial" w:hAnsi="Arial" w:cs="Arial"/>
          <w:sz w:val="20"/>
          <w:szCs w:val="20"/>
        </w:rPr>
        <w:t xml:space="preserve">jednoho zaměstnance evidenčního počtu za měsíc. Do mezd se zahrnují základní mzdy a platy, příplatky a doplatky ke mzdě nebo platu, odměny, náhrady mezd a platů, odměny za pracovní pohotovost a jiné složky </w:t>
      </w:r>
      <w:r w:rsidRPr="00A16978">
        <w:rPr>
          <w:rFonts w:ascii="Arial" w:hAnsi="Arial" w:cs="Arial"/>
          <w:sz w:val="20"/>
          <w:szCs w:val="20"/>
        </w:rPr>
        <w:lastRenderedPageBreak/>
        <w:t>mzdy nebo platu, které byly v daném období zaměstnancům zúčtovány k výplatě. Nezahrnují se náhrady mzdy nebo platu za dobu trvání dočasné pracovní neschopnosti nebo karantény placené zaměstnavatelem.</w:t>
      </w:r>
    </w:p>
    <w:p w:rsidR="00987DCD" w:rsidRPr="00A16978" w:rsidRDefault="00987DCD" w:rsidP="00987DCD">
      <w:pPr>
        <w:pStyle w:val="Zkladntext3"/>
        <w:rPr>
          <w:rFonts w:cs="Arial"/>
          <w:szCs w:val="20"/>
        </w:rPr>
      </w:pPr>
      <w:r w:rsidRPr="00A16978">
        <w:rPr>
          <w:rFonts w:cs="Arial"/>
          <w:szCs w:val="20"/>
        </w:rPr>
        <w:t xml:space="preserve">Jedná se o hrubé mzdy, tj. před snížením o pojistné na veřejné zdravotní pojištění a sociální zabezpečení, zálohové splátky daně z příjmů fyzických osob a další zákonné nebo se zaměstnancem dohodnuté srážky. </w:t>
      </w:r>
    </w:p>
    <w:p w:rsidR="001120C8" w:rsidRDefault="00987DCD" w:rsidP="00987DCD">
      <w:pPr>
        <w:rPr>
          <w:color w:val="000000" w:themeColor="text1"/>
        </w:rPr>
      </w:pPr>
      <w:r>
        <w:rPr>
          <w:rFonts w:ascii="Arial" w:hAnsi="Arial" w:cs="Arial"/>
          <w:sz w:val="20"/>
        </w:rPr>
        <w:t xml:space="preserve">Podrobnější informace jsou k dispozici na </w:t>
      </w:r>
      <w:hyperlink r:id="rId9" w:history="1">
        <w:r w:rsidRPr="00471816">
          <w:rPr>
            <w:rStyle w:val="Hypertextovodkaz"/>
            <w:rFonts w:ascii="Arial" w:hAnsi="Arial" w:cs="Arial"/>
            <w:color w:val="000000" w:themeColor="text1"/>
            <w:sz w:val="20"/>
          </w:rPr>
          <w:t>https://www.czso.cz/csu/czso/1-pmz_m</w:t>
        </w:r>
      </w:hyperlink>
      <w:r>
        <w:rPr>
          <w:color w:val="000000" w:themeColor="text1"/>
        </w:rPr>
        <w:t>.</w:t>
      </w:r>
    </w:p>
    <w:p w:rsidR="00987DCD" w:rsidRPr="00B46946" w:rsidRDefault="00987DCD" w:rsidP="00987DCD">
      <w:pPr>
        <w:rPr>
          <w:rFonts w:ascii="Arial" w:hAnsi="Arial" w:cs="Arial"/>
          <w:b/>
          <w:sz w:val="22"/>
        </w:rPr>
      </w:pPr>
    </w:p>
    <w:p w:rsidR="009C5FE5" w:rsidRPr="00C63FAD" w:rsidRDefault="009C5FE5" w:rsidP="00E5328D">
      <w:pPr>
        <w:pStyle w:val="Nadpis8"/>
        <w:rPr>
          <w:rStyle w:val="Siln"/>
          <w:rFonts w:cs="Arial"/>
          <w:b/>
          <w:bCs/>
        </w:rPr>
      </w:pPr>
      <w:r w:rsidRPr="00C63FAD">
        <w:rPr>
          <w:rStyle w:val="Siln"/>
          <w:rFonts w:cs="Arial"/>
          <w:b/>
          <w:bCs/>
        </w:rPr>
        <w:t xml:space="preserve">NEZAMĚSTNANOST (MPSV) </w:t>
      </w:r>
    </w:p>
    <w:p w:rsidR="00987DCD" w:rsidRPr="00C63FAD" w:rsidRDefault="00987DCD" w:rsidP="00987DCD">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009D4D95" w:rsidRPr="009D4D95">
        <w:rPr>
          <w:rFonts w:ascii="Arial" w:hAnsi="Arial" w:cs="Arial"/>
          <w:b/>
          <w:color w:val="auto"/>
          <w:sz w:val="20"/>
          <w:szCs w:val="20"/>
        </w:rPr>
        <w:t xml:space="preserve">registrované </w:t>
      </w:r>
      <w:r w:rsidRPr="009D4D95">
        <w:rPr>
          <w:rFonts w:ascii="Arial" w:hAnsi="Arial" w:cs="Arial"/>
          <w:b/>
          <w:bCs/>
          <w:color w:val="auto"/>
          <w:sz w:val="20"/>
          <w:szCs w:val="20"/>
        </w:rPr>
        <w:t>nezam</w:t>
      </w:r>
      <w:r w:rsidRPr="00C63FAD">
        <w:rPr>
          <w:rFonts w:ascii="Arial" w:hAnsi="Arial" w:cs="Arial"/>
          <w:b/>
          <w:bCs/>
          <w:color w:val="auto"/>
          <w:sz w:val="20"/>
          <w:szCs w:val="20"/>
        </w:rPr>
        <w:t>ěstnanosti</w:t>
      </w:r>
      <w:r w:rsidRPr="006B662A">
        <w:rPr>
          <w:rFonts w:ascii="Arial" w:hAnsi="Arial" w:cs="Arial"/>
          <w:bCs/>
          <w:color w:val="auto"/>
          <w:sz w:val="20"/>
          <w:szCs w:val="20"/>
        </w:rPr>
        <w:t xml:space="preserve"> </w:t>
      </w:r>
      <w:r w:rsidRPr="00C63FAD">
        <w:rPr>
          <w:rFonts w:ascii="Arial" w:hAnsi="Arial" w:cs="Arial"/>
          <w:color w:val="auto"/>
          <w:sz w:val="20"/>
          <w:szCs w:val="20"/>
        </w:rPr>
        <w:t>jsou převzaty z informačního systému Ministerstva práce a</w:t>
      </w:r>
      <w:r w:rsidR="009D4D95">
        <w:rPr>
          <w:rFonts w:ascii="Arial" w:hAnsi="Arial" w:cs="Arial"/>
          <w:color w:val="auto"/>
          <w:sz w:val="20"/>
          <w:szCs w:val="20"/>
        </w:rPr>
        <w:t> </w:t>
      </w:r>
      <w:r w:rsidRPr="00C63FAD">
        <w:rPr>
          <w:rFonts w:ascii="Arial" w:hAnsi="Arial" w:cs="Arial"/>
          <w:color w:val="auto"/>
          <w:sz w:val="20"/>
          <w:szCs w:val="20"/>
        </w:rPr>
        <w:t xml:space="preserve">sociálních věcí (podle evidence úřadů práce). </w:t>
      </w:r>
      <w:r w:rsidRPr="00C63FAD">
        <w:rPr>
          <w:rFonts w:ascii="Arial" w:hAnsi="Arial" w:cs="Arial"/>
          <w:b/>
          <w:color w:val="auto"/>
          <w:sz w:val="20"/>
          <w:szCs w:val="20"/>
        </w:rPr>
        <w:t>Uchazeči o zaměstnání v evidenci úřadu práce</w:t>
      </w:r>
      <w:r w:rsidRPr="00C63FAD">
        <w:rPr>
          <w:rFonts w:ascii="Arial" w:hAnsi="Arial" w:cs="Arial"/>
          <w:color w:val="auto"/>
          <w:sz w:val="20"/>
          <w:szCs w:val="20"/>
        </w:rPr>
        <w:t xml:space="preserve"> jsou fyzické osoby, které osobně požáda</w:t>
      </w:r>
      <w:r>
        <w:rPr>
          <w:rFonts w:ascii="Arial" w:hAnsi="Arial" w:cs="Arial"/>
          <w:color w:val="auto"/>
          <w:sz w:val="20"/>
          <w:szCs w:val="20"/>
        </w:rPr>
        <w:t>jí</w:t>
      </w:r>
      <w:r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Pr="00C63FAD" w:rsidDel="00CC501A">
        <w:rPr>
          <w:rFonts w:ascii="Arial" w:hAnsi="Arial" w:cs="Arial"/>
          <w:color w:val="auto"/>
          <w:sz w:val="20"/>
          <w:szCs w:val="20"/>
        </w:rPr>
        <w:t xml:space="preserve"> </w:t>
      </w:r>
      <w:r w:rsidRPr="00C63FAD">
        <w:rPr>
          <w:rFonts w:ascii="Arial" w:hAnsi="Arial" w:cs="Arial"/>
          <w:b/>
          <w:color w:val="auto"/>
          <w:sz w:val="20"/>
          <w:szCs w:val="20"/>
        </w:rPr>
        <w:t xml:space="preserve">Dosažitelní </w:t>
      </w:r>
      <w:r w:rsidRPr="00432B7E">
        <w:rPr>
          <w:rFonts w:ascii="Arial" w:hAnsi="Arial" w:cs="Arial"/>
          <w:b/>
          <w:color w:val="auto"/>
          <w:sz w:val="20"/>
          <w:szCs w:val="20"/>
        </w:rPr>
        <w:t>uchazeči o zaměstnání</w:t>
      </w:r>
      <w:r w:rsidRPr="00C63FAD">
        <w:rPr>
          <w:rFonts w:ascii="Arial" w:hAnsi="Arial" w:cs="Arial"/>
          <w:color w:val="auto"/>
          <w:sz w:val="20"/>
          <w:szCs w:val="20"/>
        </w:rPr>
        <w:t xml:space="preserve"> </w:t>
      </w:r>
      <w:r w:rsidRPr="00C63FAD">
        <w:rPr>
          <w:rFonts w:ascii="Arial" w:hAnsi="Arial" w:cs="Arial"/>
          <w:b/>
          <w:color w:val="auto"/>
          <w:sz w:val="20"/>
          <w:szCs w:val="20"/>
        </w:rPr>
        <w:t>v evidenci úřadu práce</w:t>
      </w:r>
      <w:r w:rsidRPr="00C63FAD">
        <w:rPr>
          <w:rFonts w:ascii="Arial" w:hAnsi="Arial" w:cs="Arial"/>
          <w:color w:val="auto"/>
          <w:sz w:val="20"/>
          <w:szCs w:val="20"/>
        </w:rPr>
        <w:t xml:space="preserve"> jsou evidovaní uchazeči (včetně občanů EU a EHP), kteří mohou bezprostředně nastoupit do</w:t>
      </w:r>
      <w:r w:rsidR="00506239">
        <w:rPr>
          <w:rFonts w:ascii="Arial" w:hAnsi="Arial" w:cs="Arial"/>
          <w:color w:val="auto"/>
          <w:sz w:val="20"/>
          <w:szCs w:val="20"/>
        </w:rPr>
        <w:t> </w:t>
      </w:r>
      <w:r w:rsidRPr="00C63FAD">
        <w:rPr>
          <w:rFonts w:ascii="Arial" w:hAnsi="Arial" w:cs="Arial"/>
          <w:color w:val="auto"/>
          <w:sz w:val="20"/>
          <w:szCs w:val="20"/>
        </w:rPr>
        <w:t>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Pr>
          <w:rFonts w:ascii="Arial" w:hAnsi="Arial" w:cs="Arial"/>
          <w:color w:val="auto"/>
          <w:sz w:val="20"/>
          <w:szCs w:val="20"/>
        </w:rPr>
        <w:t> </w:t>
      </w:r>
      <w:r w:rsidRPr="00C63FAD">
        <w:rPr>
          <w:rFonts w:ascii="Arial" w:hAnsi="Arial" w:cs="Arial"/>
          <w:color w:val="auto"/>
          <w:sz w:val="20"/>
          <w:szCs w:val="20"/>
        </w:rPr>
        <w:t>nevykonávají krátkodobé zaměstnání).</w:t>
      </w:r>
    </w:p>
    <w:p w:rsidR="00987DCD" w:rsidRDefault="00987DCD" w:rsidP="00987DCD">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v evidenci úřadu práce ve věku 15–64 let ze všech obyvatel ve stejném věku. </w:t>
      </w:r>
    </w:p>
    <w:p w:rsidR="00987DCD" w:rsidRDefault="00987DCD" w:rsidP="00987DCD">
      <w:pPr>
        <w:jc w:val="both"/>
        <w:rPr>
          <w:rFonts w:ascii="Arial" w:hAnsi="Arial" w:cs="Arial"/>
          <w:sz w:val="20"/>
          <w:szCs w:val="20"/>
        </w:rPr>
      </w:pPr>
      <w:r w:rsidRPr="00C63FAD">
        <w:rPr>
          <w:rFonts w:ascii="Arial" w:hAnsi="Arial" w:cs="Arial"/>
          <w:b/>
          <w:sz w:val="20"/>
          <w:szCs w:val="20"/>
        </w:rPr>
        <w:t>Pracovními místy v evidenci úřadu práce</w:t>
      </w:r>
      <w:r w:rsidRPr="00C63FAD">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C63FAD">
        <w:rPr>
          <w:rFonts w:ascii="Arial" w:hAnsi="Arial" w:cs="Arial"/>
          <w:b/>
          <w:sz w:val="20"/>
          <w:szCs w:val="20"/>
        </w:rPr>
        <w:t>agentury práce</w:t>
      </w:r>
      <w:r w:rsidRPr="00C63FAD">
        <w:rPr>
          <w:rFonts w:ascii="Arial" w:hAnsi="Arial" w:cs="Arial"/>
          <w:sz w:val="20"/>
          <w:szCs w:val="20"/>
        </w:rPr>
        <w:t xml:space="preserve"> (zákon č. 435/2004 Sb. o zaměstnanosti § 35).</w:t>
      </w:r>
    </w:p>
    <w:p w:rsidR="00987DCD" w:rsidRPr="00C63FAD" w:rsidRDefault="00987DCD" w:rsidP="00987DCD">
      <w:pPr>
        <w:jc w:val="both"/>
        <w:rPr>
          <w:rFonts w:ascii="Arial" w:hAnsi="Arial" w:cs="Arial"/>
          <w:sz w:val="20"/>
          <w:szCs w:val="20"/>
        </w:rPr>
      </w:pPr>
    </w:p>
    <w:p w:rsidR="00956E81" w:rsidRPr="00C63FAD" w:rsidRDefault="005D1668" w:rsidP="00956E81">
      <w:pPr>
        <w:pStyle w:val="Nadpis8"/>
        <w:rPr>
          <w:rFonts w:cs="Arial"/>
          <w:b w:val="0"/>
          <w:bCs w:val="0"/>
        </w:rPr>
      </w:pPr>
      <w:r>
        <w:rPr>
          <w:rStyle w:val="Siln"/>
          <w:rFonts w:cs="Arial"/>
          <w:b/>
          <w:bCs/>
        </w:rPr>
        <w:t>EKONOMICKÉ SUBJEKTY</w:t>
      </w:r>
    </w:p>
    <w:p w:rsidR="00987DCD" w:rsidRPr="00C63FAD" w:rsidRDefault="005D1668" w:rsidP="00987DCD">
      <w:pPr>
        <w:pStyle w:val="Zkladntext3"/>
        <w:spacing w:before="120" w:after="120"/>
        <w:rPr>
          <w:rFonts w:cs="Arial"/>
        </w:rPr>
      </w:pPr>
      <w:r w:rsidRPr="005D1668">
        <w:rPr>
          <w:rFonts w:cs="Arial"/>
          <w:szCs w:val="20"/>
        </w:rPr>
        <w:t>Údaje o ekonomických subjektech jsou sestaveny z dat vedených v</w:t>
      </w:r>
      <w:r w:rsidR="00987DCD" w:rsidRPr="00C63FAD">
        <w:rPr>
          <w:rFonts w:cs="Arial"/>
        </w:rPr>
        <w:t xml:space="preserve"> Registr</w:t>
      </w:r>
      <w:r>
        <w:rPr>
          <w:rFonts w:cs="Arial"/>
        </w:rPr>
        <w:t>u</w:t>
      </w:r>
      <w:r w:rsidR="00987DCD" w:rsidRPr="00C63FAD">
        <w:rPr>
          <w:rFonts w:cs="Arial"/>
        </w:rPr>
        <w:t xml:space="preserve"> ekonomických subjektů (dále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z administrativních zdrojů. Po spuštění základních registrů veřejné správy od 1. 7. 2012 se hlavním zdrojem pro jeho aktualizaci stal Registr osob (ROS). </w:t>
      </w:r>
    </w:p>
    <w:p w:rsidR="00987DCD" w:rsidRPr="00C63FAD" w:rsidRDefault="00987DCD" w:rsidP="00987DCD">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Pr="00C63FAD">
        <w:rPr>
          <w:rFonts w:cs="Arial"/>
          <w:b/>
          <w:bCs/>
          <w:szCs w:val="24"/>
        </w:rPr>
        <w:t>Fyzické osoby</w:t>
      </w:r>
      <w:r w:rsidRPr="00CA5B96">
        <w:rPr>
          <w:rFonts w:cs="Arial"/>
          <w:bCs/>
          <w:szCs w:val="24"/>
        </w:rPr>
        <w:t xml:space="preserve"> </w:t>
      </w:r>
      <w:r w:rsidRPr="00C63FAD">
        <w:rPr>
          <w:rFonts w:cs="Arial"/>
          <w:szCs w:val="24"/>
        </w:rPr>
        <w:t xml:space="preserve">zahrnují soukromé podnikatele </w:t>
      </w:r>
      <w:r w:rsidRPr="00C63FAD">
        <w:rPr>
          <w:rFonts w:cs="Arial"/>
        </w:rPr>
        <w:t>podnikající</w:t>
      </w:r>
      <w:r w:rsidRPr="00C63FAD">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rsidR="00987DCD" w:rsidRPr="00C63FAD" w:rsidRDefault="00987DCD" w:rsidP="00987DCD">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Pr="00C63FAD">
        <w:rPr>
          <w:rFonts w:cs="Arial"/>
          <w:lang w:eastAsia="ko-KR"/>
        </w:rPr>
        <w:t>evropská hospodářská zájmová sdružení (kód 931) a evropské společnosti (932)</w:t>
      </w:r>
      <w:r w:rsidRPr="00C63FAD">
        <w:rPr>
          <w:rFonts w:cs="Arial"/>
        </w:rPr>
        <w:t xml:space="preserve">. </w:t>
      </w:r>
      <w:r w:rsidRPr="00C63FAD">
        <w:rPr>
          <w:rFonts w:cs="Arial"/>
          <w:b/>
          <w:bCs/>
        </w:rPr>
        <w:t>Družstva</w:t>
      </w:r>
      <w:r w:rsidRPr="00C63FAD">
        <w:rPr>
          <w:rFonts w:cs="Arial"/>
        </w:rPr>
        <w:t xml:space="preserve"> zahrnují i evropské družstevní společnosti (kód 933). </w:t>
      </w:r>
    </w:p>
    <w:p w:rsidR="00987DCD" w:rsidRPr="00C63FAD" w:rsidRDefault="00987DCD" w:rsidP="00987DC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 xml:space="preserve">i odpovídá sekcím a oddílům </w:t>
      </w:r>
      <w:r w:rsidR="005D1668">
        <w:rPr>
          <w:rFonts w:ascii="Arial" w:hAnsi="Arial" w:cs="Arial"/>
          <w:sz w:val="20"/>
        </w:rPr>
        <w:t>K</w:t>
      </w:r>
      <w:r w:rsidRPr="00C63FAD">
        <w:rPr>
          <w:rFonts w:ascii="Arial" w:hAnsi="Arial" w:cs="Arial"/>
          <w:sz w:val="20"/>
        </w:rPr>
        <w:t>lasifikace ekonomických činností CZ</w:t>
      </w:r>
      <w:r w:rsidRPr="00C63FAD">
        <w:rPr>
          <w:rFonts w:ascii="Arial" w:hAnsi="Arial" w:cs="Arial"/>
          <w:sz w:val="20"/>
        </w:rPr>
        <w:noBreakHyphen/>
        <w:t xml:space="preserve">NACE. Členění </w:t>
      </w:r>
      <w:r>
        <w:rPr>
          <w:rFonts w:ascii="Arial" w:hAnsi="Arial" w:cs="Arial"/>
          <w:sz w:val="20"/>
        </w:rPr>
        <w:t>pro</w:t>
      </w:r>
      <w:r w:rsidRPr="00C63FAD">
        <w:rPr>
          <w:rFonts w:ascii="Arial" w:hAnsi="Arial" w:cs="Arial"/>
          <w:sz w:val="20"/>
        </w:rPr>
        <w:t xml:space="preserve"> zařazení subjektů do institucionálních sektorů (pouze roční data) vychází z Klasifikace institucionálních </w:t>
      </w:r>
      <w:r w:rsidRPr="00C63FAD">
        <w:rPr>
          <w:rFonts w:ascii="Arial" w:hAnsi="Arial" w:cs="Arial"/>
          <w:sz w:val="20"/>
          <w:szCs w:val="20"/>
        </w:rPr>
        <w:t>sektorů</w:t>
      </w:r>
      <w:r w:rsidRPr="00C63FAD">
        <w:rPr>
          <w:rFonts w:ascii="Arial" w:hAnsi="Arial" w:cs="Arial"/>
          <w:sz w:val="20"/>
        </w:rPr>
        <w:t xml:space="preserve"> a subsektorů (dle ESA 2010).</w:t>
      </w:r>
    </w:p>
    <w:p w:rsidR="001613CD" w:rsidRPr="006A3D8E" w:rsidRDefault="001613CD" w:rsidP="00815C7C">
      <w:pPr>
        <w:pStyle w:val="Nadpis8"/>
        <w:rPr>
          <w:rStyle w:val="Siln"/>
        </w:rPr>
      </w:pPr>
    </w:p>
    <w:p w:rsidR="005D1668" w:rsidRPr="00C63FAD" w:rsidRDefault="005D1668" w:rsidP="005D1668">
      <w:pPr>
        <w:pStyle w:val="Nadpis8"/>
        <w:rPr>
          <w:rFonts w:cs="Arial"/>
          <w:b w:val="0"/>
          <w:bCs w:val="0"/>
        </w:rPr>
      </w:pPr>
      <w:r w:rsidRPr="00C63FAD">
        <w:rPr>
          <w:rStyle w:val="Siln"/>
          <w:rFonts w:cs="Arial"/>
          <w:b/>
          <w:bCs/>
        </w:rPr>
        <w:t>ZEMĚDĚLSTVÍ</w:t>
      </w:r>
      <w:r w:rsidRPr="00C63FAD">
        <w:rPr>
          <w:rFonts w:cs="Arial"/>
          <w:b w:val="0"/>
          <w:bCs w:val="0"/>
        </w:rPr>
        <w:t xml:space="preserve"> </w:t>
      </w:r>
    </w:p>
    <w:p w:rsidR="005D1668" w:rsidRPr="00C63FAD" w:rsidRDefault="005D1668" w:rsidP="0031028F">
      <w:pPr>
        <w:pStyle w:val="Zkladntext3"/>
        <w:spacing w:before="120" w:after="120"/>
        <w:rPr>
          <w:rFonts w:cs="Arial"/>
        </w:rPr>
      </w:pPr>
      <w:r w:rsidRPr="0079301E">
        <w:rPr>
          <w:rFonts w:cs="Arial"/>
          <w:b/>
          <w:szCs w:val="20"/>
        </w:rPr>
        <w:t>Výroba masa</w:t>
      </w:r>
      <w:r w:rsidRPr="00E62003">
        <w:rPr>
          <w:rFonts w:cs="Arial"/>
          <w:szCs w:val="20"/>
        </w:rPr>
        <w:t xml:space="preserve"> (bez drůbežího) představuje jatečnou hmotnost zvířat (bez ohledu na to, zda jsou tuzemského původu nebo byla dovezena ze zahraničí) poražených na registrovaných jatkách. Zahrnuje maso (i</w:t>
      </w:r>
      <w:r>
        <w:rPr>
          <w:rFonts w:cs="Arial"/>
          <w:szCs w:val="20"/>
        </w:rPr>
        <w:t> </w:t>
      </w:r>
      <w:r w:rsidRPr="00E62003">
        <w:rPr>
          <w:rFonts w:cs="Arial"/>
          <w:szCs w:val="20"/>
        </w:rPr>
        <w:t>z</w:t>
      </w:r>
      <w:r>
        <w:rPr>
          <w:rFonts w:cs="Arial"/>
          <w:szCs w:val="20"/>
        </w:rPr>
        <w:t> </w:t>
      </w:r>
      <w:r w:rsidRPr="00E62003">
        <w:rPr>
          <w:rFonts w:cs="Arial"/>
          <w:szCs w:val="20"/>
        </w:rPr>
        <w:t>nutných porážek), které bylo uznáno za vhodné pro lidskou spotřebu. Jatečná hmotnost je hmotnost jatečně upravených těl dle definice stanovené v nařízeních Rady EU.</w:t>
      </w:r>
      <w:r>
        <w:rPr>
          <w:rFonts w:cs="Arial"/>
          <w:szCs w:val="20"/>
        </w:rPr>
        <w:t xml:space="preserve"> </w:t>
      </w:r>
      <w:r w:rsidRPr="00C63FAD">
        <w:rPr>
          <w:rFonts w:cs="Arial"/>
          <w:szCs w:val="20"/>
        </w:rPr>
        <w:t>Výroba masa</w:t>
      </w:r>
      <w:r>
        <w:rPr>
          <w:rFonts w:cs="Arial"/>
          <w:szCs w:val="20"/>
        </w:rPr>
        <w:t xml:space="preserve"> celkem (bez drůbežího)</w:t>
      </w:r>
      <w:r w:rsidRPr="00C63FAD">
        <w:rPr>
          <w:rFonts w:cs="Arial"/>
          <w:szCs w:val="20"/>
        </w:rPr>
        <w:t xml:space="preserve"> zahrnuje výrobu hovězího, telecího, vepřového, skopového, </w:t>
      </w:r>
      <w:r>
        <w:rPr>
          <w:rFonts w:cs="Arial"/>
          <w:szCs w:val="20"/>
        </w:rPr>
        <w:t xml:space="preserve">jehněčího, </w:t>
      </w:r>
      <w:r w:rsidRPr="00C63FAD">
        <w:rPr>
          <w:rFonts w:cs="Arial"/>
          <w:szCs w:val="20"/>
        </w:rPr>
        <w:t>kozího a koňského masa</w:t>
      </w:r>
      <w:r>
        <w:rPr>
          <w:rFonts w:cs="Arial"/>
          <w:szCs w:val="20"/>
        </w:rPr>
        <w:t xml:space="preserve">. </w:t>
      </w:r>
      <w:r w:rsidRPr="00F752DB">
        <w:rPr>
          <w:rFonts w:cs="Arial"/>
          <w:szCs w:val="20"/>
        </w:rPr>
        <w:t>Telecí maso je maso skotu poraženého ve věku do osmi měsíců, jehněčí maso je maso ovcí por</w:t>
      </w:r>
      <w:r>
        <w:rPr>
          <w:rFonts w:cs="Arial"/>
          <w:szCs w:val="20"/>
        </w:rPr>
        <w:t>ažených ve věku do jednoho roku</w:t>
      </w:r>
    </w:p>
    <w:p w:rsidR="005D1668" w:rsidRPr="00C63FAD" w:rsidRDefault="005D1668" w:rsidP="005D1668">
      <w:pPr>
        <w:jc w:val="both"/>
        <w:rPr>
          <w:rFonts w:ascii="Arial" w:hAnsi="Arial" w:cs="Arial"/>
          <w:sz w:val="20"/>
          <w:szCs w:val="26"/>
        </w:rPr>
      </w:pPr>
      <w:r w:rsidRPr="00C63FAD">
        <w:rPr>
          <w:rFonts w:ascii="Arial" w:hAnsi="Arial" w:cs="Arial"/>
          <w:sz w:val="20"/>
          <w:szCs w:val="26"/>
        </w:rPr>
        <w:t xml:space="preserve">Obsah tabulky K.2 </w:t>
      </w:r>
      <w:r>
        <w:rPr>
          <w:rFonts w:ascii="Arial" w:hAnsi="Arial" w:cs="Arial"/>
          <w:sz w:val="20"/>
          <w:szCs w:val="26"/>
        </w:rPr>
        <w:t xml:space="preserve">(popřípadě K.3) </w:t>
      </w:r>
      <w:r w:rsidRPr="00C63FAD">
        <w:rPr>
          <w:rFonts w:ascii="Arial" w:hAnsi="Arial" w:cs="Arial"/>
          <w:sz w:val="20"/>
          <w:szCs w:val="26"/>
        </w:rPr>
        <w:t xml:space="preserve">je proměnlivý: </w:t>
      </w:r>
      <w:r>
        <w:rPr>
          <w:rFonts w:ascii="Arial" w:hAnsi="Arial" w:cs="Arial"/>
          <w:sz w:val="20"/>
          <w:szCs w:val="26"/>
        </w:rPr>
        <w:t xml:space="preserve">v </w:t>
      </w:r>
      <w:r w:rsidRPr="00C63FAD">
        <w:rPr>
          <w:rFonts w:ascii="Arial" w:hAnsi="Arial" w:cs="Arial"/>
          <w:sz w:val="20"/>
          <w:szCs w:val="26"/>
        </w:rPr>
        <w:t>bulletin</w:t>
      </w:r>
      <w:r>
        <w:rPr>
          <w:rFonts w:ascii="Arial" w:hAnsi="Arial" w:cs="Arial"/>
          <w:sz w:val="20"/>
          <w:szCs w:val="26"/>
        </w:rPr>
        <w:t>u</w:t>
      </w:r>
      <w:r w:rsidRPr="00C63FAD">
        <w:rPr>
          <w:rFonts w:ascii="Arial" w:hAnsi="Arial" w:cs="Arial"/>
          <w:sz w:val="20"/>
          <w:szCs w:val="26"/>
        </w:rPr>
        <w:t xml:space="preserve"> za 1. čtvrtletí </w:t>
      </w:r>
      <w:r>
        <w:rPr>
          <w:rFonts w:ascii="Arial" w:hAnsi="Arial" w:cs="Arial"/>
          <w:sz w:val="20"/>
          <w:szCs w:val="26"/>
        </w:rPr>
        <w:t xml:space="preserve">je uveden </w:t>
      </w:r>
      <w:r w:rsidRPr="00C63FAD">
        <w:rPr>
          <w:rFonts w:ascii="Arial" w:hAnsi="Arial" w:cs="Arial"/>
          <w:b/>
          <w:sz w:val="20"/>
          <w:szCs w:val="26"/>
        </w:rPr>
        <w:t>s</w:t>
      </w:r>
      <w:r>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Pr="00F53B9F">
        <w:rPr>
          <w:rFonts w:ascii="Arial" w:hAnsi="Arial" w:cs="Arial"/>
          <w:sz w:val="20"/>
          <w:szCs w:val="26"/>
        </w:rPr>
        <w:t>a odhad hektarových výnosů sklizně</w:t>
      </w:r>
      <w:r>
        <w:rPr>
          <w:rFonts w:ascii="Arial" w:hAnsi="Arial" w:cs="Arial"/>
          <w:sz w:val="20"/>
          <w:szCs w:val="26"/>
        </w:rPr>
        <w:t xml:space="preserve"> </w:t>
      </w:r>
      <w:r w:rsidRPr="00C63FAD">
        <w:rPr>
          <w:rFonts w:ascii="Arial" w:hAnsi="Arial" w:cs="Arial"/>
          <w:sz w:val="20"/>
          <w:szCs w:val="26"/>
        </w:rPr>
        <w:t xml:space="preserve">zemědělských plodin </w:t>
      </w:r>
      <w:r>
        <w:rPr>
          <w:rFonts w:ascii="Arial" w:hAnsi="Arial" w:cs="Arial"/>
          <w:sz w:val="20"/>
          <w:szCs w:val="26"/>
        </w:rPr>
        <w:t xml:space="preserve">k 15. 9. </w:t>
      </w:r>
      <w:r w:rsidRPr="00C63FAD">
        <w:rPr>
          <w:rFonts w:ascii="Arial" w:hAnsi="Arial" w:cs="Arial"/>
          <w:sz w:val="20"/>
          <w:szCs w:val="26"/>
        </w:rPr>
        <w:t xml:space="preserve">a bulletin za 1. až 4. čtvrtletí </w:t>
      </w:r>
      <w:r w:rsidRPr="00C63FAD">
        <w:rPr>
          <w:rFonts w:ascii="Arial" w:hAnsi="Arial" w:cs="Arial"/>
          <w:b/>
          <w:sz w:val="20"/>
          <w:szCs w:val="26"/>
        </w:rPr>
        <w:t>výsledky sklizně</w:t>
      </w:r>
      <w:r>
        <w:rPr>
          <w:rFonts w:ascii="Arial" w:hAnsi="Arial" w:cs="Arial"/>
          <w:b/>
          <w:sz w:val="20"/>
          <w:szCs w:val="26"/>
        </w:rPr>
        <w:t xml:space="preserve"> </w:t>
      </w:r>
      <w:r w:rsidRPr="00F53B9F">
        <w:rPr>
          <w:rFonts w:ascii="Arial" w:hAnsi="Arial" w:cs="Arial"/>
          <w:sz w:val="20"/>
          <w:szCs w:val="26"/>
        </w:rPr>
        <w:t>a hektarové výnosy sklizně</w:t>
      </w:r>
      <w:r>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5D1668" w:rsidRPr="00C63FAD" w:rsidRDefault="005D1668" w:rsidP="0031028F">
      <w:pPr>
        <w:pStyle w:val="Nadpis8"/>
        <w:rPr>
          <w:rFonts w:cs="Arial"/>
          <w:b w:val="0"/>
          <w:bCs w:val="0"/>
        </w:rPr>
      </w:pPr>
      <w:r w:rsidRPr="00C63FAD">
        <w:rPr>
          <w:rStyle w:val="Siln"/>
          <w:rFonts w:cs="Arial"/>
          <w:b/>
          <w:bCs/>
        </w:rPr>
        <w:lastRenderedPageBreak/>
        <w:t>PRŮMYSL</w:t>
      </w:r>
      <w:r w:rsidRPr="00C63FAD">
        <w:rPr>
          <w:rFonts w:cs="Arial"/>
          <w:b w:val="0"/>
          <w:bCs w:val="0"/>
        </w:rPr>
        <w:t xml:space="preserve"> </w:t>
      </w:r>
    </w:p>
    <w:p w:rsidR="005D1668" w:rsidRDefault="005D1668" w:rsidP="0031028F">
      <w:pPr>
        <w:pStyle w:val="Zkladntext3"/>
        <w:spacing w:before="120" w:after="120"/>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 kategorii 100 a více zaměstnanců je zjišťování úplné.</w:t>
      </w:r>
    </w:p>
    <w:p w:rsidR="005D1668" w:rsidRDefault="005D1668" w:rsidP="0031028F">
      <w:pPr>
        <w:pStyle w:val="Zkladntext3"/>
        <w:spacing w:after="120"/>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w:t>
      </w:r>
      <w:r>
        <w:rPr>
          <w:bCs/>
        </w:rPr>
        <w:t>–</w:t>
      </w:r>
      <w:r w:rsidRPr="006A20C7">
        <w:rPr>
          <w:bCs/>
        </w:rPr>
        <w:t>39, jedná se tedy o</w:t>
      </w:r>
      <w:r>
        <w:rPr>
          <w:bCs/>
        </w:rPr>
        <w:t> </w:t>
      </w:r>
      <w:r w:rsidRPr="006A20C7">
        <w:rPr>
          <w:bCs/>
        </w:rPr>
        <w:t>tržby očištěné od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5D1668" w:rsidRDefault="005D1668" w:rsidP="0031028F">
      <w:pPr>
        <w:pStyle w:val="Zkladntext3"/>
        <w:spacing w:after="120"/>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 zaměstnavatele mzdu.</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5D1668" w:rsidRPr="0031028F" w:rsidRDefault="005D1668" w:rsidP="005D1668">
      <w:pPr>
        <w:pStyle w:val="Zkladntext3"/>
        <w:rPr>
          <w:rFonts w:cs="Arial"/>
          <w:sz w:val="24"/>
          <w:szCs w:val="24"/>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 </w:t>
      </w:r>
      <w:r w:rsidRPr="004B5E9E">
        <w:rPr>
          <w:rFonts w:cs="Arial"/>
        </w:rPr>
        <w:t>Nezahrnují se náhrady mzdy nebo platu za dobu trvání dočasné pracovní neschopnosti nebo karantény placené zaměstnavatelem.</w:t>
      </w:r>
    </w:p>
    <w:p w:rsidR="005D1668" w:rsidRPr="006A3D8E" w:rsidRDefault="005D1668" w:rsidP="005D1668">
      <w:pPr>
        <w:pStyle w:val="Nadpis8"/>
        <w:rPr>
          <w:rStyle w:val="Siln"/>
          <w:rFonts w:cs="Arial"/>
          <w:b/>
          <w:bCs/>
        </w:rPr>
      </w:pPr>
    </w:p>
    <w:p w:rsidR="005D1668" w:rsidRPr="00C63FAD" w:rsidRDefault="005D1668" w:rsidP="005D1668">
      <w:pPr>
        <w:pStyle w:val="Nadpis8"/>
        <w:rPr>
          <w:rFonts w:cs="Arial"/>
          <w:b w:val="0"/>
          <w:bCs w:val="0"/>
        </w:rPr>
      </w:pPr>
      <w:r w:rsidRPr="00C63FAD">
        <w:rPr>
          <w:rStyle w:val="Siln"/>
          <w:rFonts w:cs="Arial"/>
          <w:b/>
          <w:bCs/>
        </w:rPr>
        <w:t>STAVEBNICTVÍ</w:t>
      </w:r>
      <w:r w:rsidRPr="00C63FAD">
        <w:rPr>
          <w:rFonts w:cs="Arial"/>
          <w:b w:val="0"/>
          <w:bCs w:val="0"/>
        </w:rPr>
        <w:t xml:space="preserve"> </w:t>
      </w:r>
    </w:p>
    <w:p w:rsidR="005D1668" w:rsidRPr="00CC0ABB" w:rsidRDefault="005D1668" w:rsidP="005D1668">
      <w:pPr>
        <w:pStyle w:val="Normlnweb"/>
        <w:spacing w:before="120" w:beforeAutospacing="0" w:after="120" w:afterAutospacing="0"/>
        <w:jc w:val="both"/>
        <w:rPr>
          <w:rFonts w:ascii="Arial" w:hAnsi="Arial" w:cs="Arial"/>
          <w:sz w:val="20"/>
          <w:szCs w:val="20"/>
        </w:rPr>
      </w:pPr>
      <w:r w:rsidRPr="00CC0ABB">
        <w:rPr>
          <w:rFonts w:ascii="Arial" w:hAnsi="Arial" w:cs="Arial"/>
          <w:sz w:val="20"/>
          <w:szCs w:val="20"/>
        </w:rPr>
        <w:t xml:space="preserve">Údaje jsou publikovány za podnikatelské subjekty s převažující stavební činností (oddíl 41, 42 a 43 klasifikace CZ-NACE) </w:t>
      </w:r>
      <w:r w:rsidRPr="00CC0ABB">
        <w:rPr>
          <w:rFonts w:ascii="Arial" w:hAnsi="Arial" w:cs="Arial"/>
          <w:b/>
          <w:bCs/>
          <w:sz w:val="20"/>
          <w:szCs w:val="20"/>
        </w:rPr>
        <w:t>s 50 a více zaměstnanci</w:t>
      </w:r>
      <w:r w:rsidRPr="00CC0ABB">
        <w:rPr>
          <w:rFonts w:ascii="Arial" w:hAnsi="Arial" w:cs="Arial"/>
          <w:sz w:val="20"/>
          <w:szCs w:val="20"/>
        </w:rPr>
        <w:t xml:space="preserve">. Subjekty jsou územně zařazeny podle </w:t>
      </w:r>
      <w:r w:rsidRPr="00CC0ABB">
        <w:rPr>
          <w:rFonts w:ascii="Arial" w:hAnsi="Arial" w:cs="Arial"/>
          <w:b/>
          <w:bCs/>
          <w:sz w:val="20"/>
          <w:szCs w:val="20"/>
        </w:rPr>
        <w:t>kraje sídla podniku</w:t>
      </w:r>
      <w:r w:rsidRPr="00CC0ABB">
        <w:rPr>
          <w:rFonts w:ascii="Arial" w:hAnsi="Arial" w:cs="Arial"/>
          <w:sz w:val="20"/>
          <w:szCs w:val="20"/>
        </w:rPr>
        <w:t>.</w:t>
      </w:r>
    </w:p>
    <w:p w:rsidR="005D1668" w:rsidRPr="00CC0ABB" w:rsidRDefault="005D1668" w:rsidP="0031028F">
      <w:pPr>
        <w:pStyle w:val="Normlnweb"/>
        <w:spacing w:before="0" w:beforeAutospacing="0" w:after="120" w:afterAutospacing="0"/>
        <w:jc w:val="both"/>
        <w:rPr>
          <w:rFonts w:ascii="Arial" w:hAnsi="Arial" w:cs="Arial"/>
          <w:sz w:val="20"/>
          <w:szCs w:val="20"/>
        </w:rPr>
      </w:pPr>
      <w:r w:rsidRPr="00CC0ABB">
        <w:rPr>
          <w:rFonts w:ascii="Arial" w:hAnsi="Arial" w:cs="Arial"/>
          <w:b/>
          <w:bCs/>
          <w:sz w:val="20"/>
          <w:szCs w:val="20"/>
        </w:rPr>
        <w:t>Průměrný evidenční počet zaměstnanců</w:t>
      </w:r>
      <w:r w:rsidRPr="00CC0ABB">
        <w:rPr>
          <w:rFonts w:ascii="Arial" w:hAnsi="Arial" w:cs="Arial"/>
          <w:sz w:val="20"/>
          <w:szCs w:val="20"/>
        </w:rPr>
        <w:t xml:space="preserve"> ve fyzických osobách zahrnuje všechny stálé a dočasné zaměstnance, kteří jsou v pracovním poměru ke sledovaným podnikům. Mzdy jsou uváděny v hrubých částkách</w:t>
      </w:r>
      <w:r>
        <w:rPr>
          <w:rFonts w:ascii="Arial" w:hAnsi="Arial" w:cs="Arial"/>
          <w:sz w:val="20"/>
          <w:szCs w:val="20"/>
        </w:rPr>
        <w:t xml:space="preserve"> bez ostatních osobních nákladů (OON)</w:t>
      </w:r>
      <w:r w:rsidRPr="00CC0ABB">
        <w:rPr>
          <w:rFonts w:ascii="Arial" w:hAnsi="Arial" w:cs="Arial"/>
          <w:sz w:val="20"/>
          <w:szCs w:val="20"/>
        </w:rPr>
        <w:t>.</w:t>
      </w:r>
    </w:p>
    <w:p w:rsidR="005D1668" w:rsidRPr="00CC0ABB" w:rsidRDefault="005D1668" w:rsidP="0031028F">
      <w:pPr>
        <w:pStyle w:val="Normlnweb"/>
        <w:spacing w:before="0" w:beforeAutospacing="0" w:after="120" w:afterAutospacing="0"/>
        <w:jc w:val="both"/>
        <w:rPr>
          <w:rFonts w:ascii="Arial" w:hAnsi="Arial" w:cs="Arial"/>
          <w:sz w:val="20"/>
          <w:szCs w:val="20"/>
        </w:rPr>
      </w:pPr>
      <w:r w:rsidRPr="00CC0ABB">
        <w:rPr>
          <w:rFonts w:ascii="Arial" w:hAnsi="Arial" w:cs="Arial"/>
          <w:b/>
          <w:bCs/>
          <w:sz w:val="20"/>
          <w:szCs w:val="20"/>
        </w:rPr>
        <w:t>Stavební práce</w:t>
      </w:r>
      <w:r w:rsidRPr="00CC0ABB">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5D1668">
        <w:rPr>
          <w:rFonts w:ascii="Arial" w:hAnsi="Arial" w:cs="Arial"/>
          <w:sz w:val="20"/>
          <w:szCs w:val="20"/>
        </w:rPr>
        <w:t xml:space="preserve">Hodnota stavebních prací je uváděna bez daně z přidané hodnoty. </w:t>
      </w:r>
      <w:r w:rsidRPr="00CC0ABB">
        <w:rPr>
          <w:rFonts w:ascii="Arial" w:hAnsi="Arial" w:cs="Arial"/>
          <w:b/>
          <w:bCs/>
          <w:sz w:val="20"/>
          <w:szCs w:val="20"/>
        </w:rPr>
        <w:t xml:space="preserve">Základní stavební výroba (ZSV) </w:t>
      </w:r>
      <w:r w:rsidRPr="00CC0ABB">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5D1668" w:rsidRPr="00CC0ABB" w:rsidRDefault="005D1668" w:rsidP="0031028F">
      <w:pPr>
        <w:pStyle w:val="Normlnweb"/>
        <w:spacing w:before="0" w:beforeAutospacing="0" w:after="120" w:afterAutospacing="0"/>
        <w:jc w:val="both"/>
        <w:rPr>
          <w:rFonts w:ascii="Arial" w:hAnsi="Arial" w:cs="Arial"/>
          <w:sz w:val="20"/>
          <w:szCs w:val="20"/>
        </w:rPr>
      </w:pPr>
      <w:r w:rsidRPr="00AA25C4">
        <w:rPr>
          <w:rFonts w:ascii="Arial" w:hAnsi="Arial" w:cs="Arial"/>
          <w:b/>
          <w:sz w:val="20"/>
          <w:szCs w:val="20"/>
        </w:rPr>
        <w:t>Pozemní stavitelství</w:t>
      </w:r>
      <w:r w:rsidRPr="00CC0ABB">
        <w:rPr>
          <w:rFonts w:ascii="Arial" w:hAnsi="Arial" w:cs="Arial"/>
          <w:sz w:val="20"/>
          <w:szCs w:val="20"/>
        </w:rPr>
        <w:t xml:space="preserve"> zahrnuje veškeré stavební práce provedené na pozemních stavbách v tuzemsku, tj. výstavbu bytových a nebytových budov.</w:t>
      </w:r>
    </w:p>
    <w:p w:rsidR="005D1668" w:rsidRDefault="005D1668" w:rsidP="0031028F">
      <w:pPr>
        <w:pStyle w:val="Normlnweb"/>
        <w:spacing w:before="0" w:beforeAutospacing="0" w:after="0" w:afterAutospacing="0"/>
        <w:jc w:val="both"/>
        <w:rPr>
          <w:rFonts w:ascii="Arial" w:hAnsi="Arial" w:cs="Arial"/>
          <w:sz w:val="20"/>
          <w:szCs w:val="20"/>
        </w:rPr>
      </w:pPr>
      <w:r w:rsidRPr="00AA25C4">
        <w:rPr>
          <w:rFonts w:ascii="Arial" w:hAnsi="Arial" w:cs="Arial"/>
          <w:b/>
          <w:sz w:val="20"/>
          <w:szCs w:val="20"/>
        </w:rPr>
        <w:t>Inženýrské stavitelství</w:t>
      </w:r>
      <w:r w:rsidRPr="00CC0ABB">
        <w:rPr>
          <w:rFonts w:ascii="Arial" w:hAnsi="Arial" w:cs="Arial"/>
          <w:sz w:val="20"/>
          <w:szCs w:val="20"/>
        </w:rPr>
        <w:t xml:space="preserve"> zahrnuje veškeré stavební práce provedené na inženýrských stavbách v tuzemsku (výstavba silnic a železnic, výstavba inženýrských sítí a ostatních staveb jako např. vodních děl). </w:t>
      </w:r>
    </w:p>
    <w:p w:rsidR="005D1668" w:rsidRDefault="005D1668" w:rsidP="00C92701">
      <w:pPr>
        <w:pStyle w:val="Nadpis8"/>
        <w:rPr>
          <w:rStyle w:val="Siln"/>
          <w:rFonts w:cs="Arial"/>
          <w:b/>
          <w:bCs/>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Stavebním povolením</w:t>
      </w:r>
      <w:r w:rsidRPr="00987DCD">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p>
    <w:p w:rsidR="00987DCD" w:rsidRPr="00987DCD" w:rsidRDefault="00987DCD" w:rsidP="0031028F">
      <w:pPr>
        <w:spacing w:after="120"/>
        <w:jc w:val="both"/>
        <w:rPr>
          <w:rFonts w:ascii="Arial" w:hAnsi="Arial" w:cs="Arial"/>
          <w:sz w:val="20"/>
          <w:szCs w:val="20"/>
        </w:rPr>
      </w:pPr>
      <w:r w:rsidRPr="00987DCD">
        <w:rPr>
          <w:rFonts w:ascii="Arial" w:hAnsi="Arial" w:cs="Arial"/>
          <w:b/>
          <w:bCs/>
          <w:sz w:val="20"/>
          <w:szCs w:val="20"/>
        </w:rPr>
        <w:t xml:space="preserve">Orientační hodnota </w:t>
      </w:r>
      <w:r w:rsidRPr="00987DCD">
        <w:rPr>
          <w:rFonts w:ascii="Arial" w:hAnsi="Arial" w:cs="Arial"/>
          <w:bCs/>
          <w:sz w:val="20"/>
          <w:szCs w:val="20"/>
        </w:rPr>
        <w:t>staveb</w:t>
      </w:r>
      <w:r w:rsidRPr="00987DCD">
        <w:rPr>
          <w:rFonts w:ascii="Arial" w:hAnsi="Arial" w:cs="Arial"/>
          <w:sz w:val="20"/>
          <w:szCs w:val="20"/>
        </w:rPr>
        <w:t xml:space="preserve"> zahrnuje celkové náklady včetně technologie (v běžných cenách) vynaložené na přípravu, realizaci a uvedení stavby do provozu.</w:t>
      </w:r>
    </w:p>
    <w:p w:rsidR="005D1668" w:rsidRDefault="00987DCD" w:rsidP="0031028F">
      <w:pPr>
        <w:pStyle w:val="Normlnweb"/>
        <w:spacing w:before="0" w:beforeAutospacing="0" w:after="0" w:afterAutospacing="0"/>
        <w:jc w:val="both"/>
        <w:rPr>
          <w:rFonts w:ascii="Arial" w:hAnsi="Arial" w:cs="Arial"/>
          <w:sz w:val="20"/>
          <w:szCs w:val="20"/>
        </w:rPr>
      </w:pPr>
      <w:r w:rsidRPr="00987DCD">
        <w:rPr>
          <w:rFonts w:ascii="Arial" w:hAnsi="Arial" w:cs="Arial"/>
          <w:sz w:val="20"/>
          <w:szCs w:val="20"/>
        </w:rPr>
        <w:t>Nová výstavba představuje zcela novou konstrukci, nové stavební dílo. Změnami dokončených staveb se</w:t>
      </w:r>
      <w:r w:rsidR="0068210D">
        <w:rPr>
          <w:rFonts w:ascii="Arial" w:hAnsi="Arial" w:cs="Arial"/>
          <w:sz w:val="20"/>
          <w:szCs w:val="20"/>
        </w:rPr>
        <w:t xml:space="preserve"> </w:t>
      </w:r>
      <w:r w:rsidRPr="00987DCD">
        <w:rPr>
          <w:rFonts w:ascii="Arial" w:hAnsi="Arial" w:cs="Arial"/>
          <w:sz w:val="20"/>
          <w:szCs w:val="20"/>
        </w:rPr>
        <w:t>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p>
    <w:p w:rsidR="0031028F" w:rsidRDefault="0031028F" w:rsidP="005D1668">
      <w:pPr>
        <w:jc w:val="both"/>
        <w:rPr>
          <w:rFonts w:ascii="Arial" w:hAnsi="Arial" w:cs="Arial"/>
          <w:sz w:val="20"/>
          <w:szCs w:val="20"/>
        </w:rPr>
      </w:pPr>
    </w:p>
    <w:p w:rsidR="00987DCD" w:rsidRDefault="00987DCD" w:rsidP="005D1668">
      <w:pPr>
        <w:jc w:val="both"/>
        <w:rPr>
          <w:rFonts w:ascii="Arial" w:hAnsi="Arial" w:cs="Arial"/>
          <w:sz w:val="20"/>
          <w:szCs w:val="20"/>
        </w:rPr>
      </w:pPr>
    </w:p>
    <w:p w:rsidR="00C92701" w:rsidRPr="00C63FAD" w:rsidRDefault="00C92701" w:rsidP="00C92701">
      <w:pPr>
        <w:pStyle w:val="Nadpis8"/>
        <w:rPr>
          <w:rFonts w:cs="Arial"/>
          <w:b w:val="0"/>
          <w:bCs w:val="0"/>
        </w:rPr>
      </w:pPr>
      <w:r w:rsidRPr="00C63FAD">
        <w:rPr>
          <w:rStyle w:val="Siln"/>
          <w:rFonts w:cs="Arial"/>
          <w:b/>
          <w:bCs/>
        </w:rPr>
        <w:lastRenderedPageBreak/>
        <w:t>BYTOVÁ VÝSTAVBA</w:t>
      </w:r>
      <w:r w:rsidRPr="00C63FAD">
        <w:rPr>
          <w:rFonts w:cs="Arial"/>
          <w:b w:val="0"/>
          <w:bCs w:val="0"/>
        </w:rPr>
        <w:t xml:space="preserve"> </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Bytem</w:t>
      </w:r>
      <w:r w:rsidRPr="00CC0ABB">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987DCD" w:rsidRPr="00CC0ABB" w:rsidRDefault="00987DCD" w:rsidP="00BA5C00">
      <w:pPr>
        <w:pStyle w:val="GroupWiseView"/>
        <w:tabs>
          <w:tab w:val="left" w:pos="1500"/>
          <w:tab w:val="left" w:pos="3000"/>
        </w:tabs>
        <w:spacing w:after="120"/>
        <w:jc w:val="both"/>
        <w:rPr>
          <w:rFonts w:ascii="Arial" w:hAnsi="Arial" w:cs="Arial"/>
          <w:color w:val="000000"/>
          <w:sz w:val="20"/>
          <w:szCs w:val="20"/>
        </w:rPr>
      </w:pPr>
      <w:r w:rsidRPr="00CC0ABB">
        <w:rPr>
          <w:rFonts w:ascii="Arial" w:hAnsi="Arial" w:cs="Arial"/>
          <w:b/>
          <w:bCs/>
          <w:color w:val="000000"/>
          <w:sz w:val="20"/>
          <w:szCs w:val="20"/>
        </w:rPr>
        <w:t>Byty zahájené</w:t>
      </w:r>
      <w:r w:rsidRPr="00CC0ABB">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w:t>
      </w:r>
    </w:p>
    <w:p w:rsidR="00987DCD" w:rsidRDefault="00987DCD" w:rsidP="00BA5C00">
      <w:pPr>
        <w:pStyle w:val="GroupWiseView"/>
        <w:tabs>
          <w:tab w:val="left" w:pos="1500"/>
          <w:tab w:val="left" w:pos="3000"/>
        </w:tabs>
        <w:jc w:val="both"/>
        <w:rPr>
          <w:rFonts w:ascii="Arial" w:hAnsi="Arial" w:cs="Arial"/>
          <w:color w:val="000000"/>
          <w:sz w:val="20"/>
          <w:szCs w:val="20"/>
        </w:rPr>
      </w:pPr>
      <w:r w:rsidRPr="00CC0ABB">
        <w:rPr>
          <w:rFonts w:ascii="Arial" w:hAnsi="Arial" w:cs="Arial"/>
          <w:b/>
          <w:bCs/>
          <w:color w:val="000000"/>
          <w:sz w:val="20"/>
          <w:szCs w:val="20"/>
        </w:rPr>
        <w:t>Byty dokončené</w:t>
      </w:r>
      <w:r w:rsidRPr="00CC0ABB">
        <w:rPr>
          <w:rFonts w:ascii="Arial" w:hAnsi="Arial" w:cs="Arial"/>
          <w:color w:val="000000"/>
          <w:sz w:val="20"/>
          <w:szCs w:val="20"/>
        </w:rPr>
        <w:t xml:space="preserve"> jsou byty v nových budovách, kterým bylo přiděleno číslo popisné/evidenční nebo nově dokončené byty ve stávajících budovách.</w:t>
      </w:r>
    </w:p>
    <w:p w:rsidR="009D4D95" w:rsidRDefault="009D4D95" w:rsidP="009D4D95">
      <w:pPr>
        <w:pStyle w:val="Nadpis8"/>
        <w:rPr>
          <w:rFonts w:cs="Arial"/>
        </w:rPr>
      </w:pPr>
    </w:p>
    <w:p w:rsidR="001613CD" w:rsidRPr="00C63FAD" w:rsidRDefault="001613CD">
      <w:pPr>
        <w:pStyle w:val="Nadpis8"/>
        <w:rPr>
          <w:rFonts w:cs="Arial"/>
        </w:rPr>
      </w:pPr>
      <w:r w:rsidRPr="00C63FAD">
        <w:rPr>
          <w:rFonts w:cs="Arial"/>
        </w:rPr>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BA5C00">
      <w:pPr>
        <w:pStyle w:val="Rbntext"/>
        <w:spacing w:before="0"/>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BA5C00">
      <w:pPr>
        <w:spacing w:before="120" w:after="120"/>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w:t>
      </w:r>
      <w:r w:rsidRPr="00B8548A">
        <w:rPr>
          <w:rFonts w:ascii="Arial" w:hAnsi="Arial" w:cs="Arial"/>
          <w:b/>
          <w:sz w:val="20"/>
        </w:rPr>
        <w:t>registrovaných a objasněných trestných činech</w:t>
      </w:r>
      <w:r>
        <w:rPr>
          <w:rFonts w:ascii="Arial" w:hAnsi="Arial" w:cs="Arial"/>
          <w:sz w:val="20"/>
        </w:rPr>
        <w:t xml:space="preserve">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w:t>
      </w:r>
      <w:r w:rsidR="00FB4582">
        <w:rPr>
          <w:rFonts w:ascii="Arial" w:hAnsi="Arial" w:cs="Arial"/>
          <w:sz w:val="20"/>
          <w:szCs w:val="20"/>
        </w:rPr>
        <w:t>i</w:t>
      </w:r>
      <w:r w:rsidRPr="004A29BE">
        <w:rPr>
          <w:rFonts w:ascii="Arial" w:hAnsi="Arial" w:cs="Arial"/>
          <w:sz w:val="20"/>
          <w:szCs w:val="20"/>
        </w:rPr>
        <w:t>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 xml:space="preserve">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Pr="00BA5C00" w:rsidRDefault="00B73E2E" w:rsidP="005D1668">
      <w:pPr>
        <w:pStyle w:val="Rtextmetodika"/>
        <w:rPr>
          <w:rFonts w:cs="Arial"/>
          <w:sz w:val="20"/>
        </w:rPr>
      </w:pPr>
      <w:r w:rsidRPr="00BA5C00">
        <w:rPr>
          <w:rFonts w:cs="Arial"/>
          <w:sz w:val="20"/>
        </w:rPr>
        <w:t xml:space="preserve">Údaje o </w:t>
      </w:r>
      <w:r w:rsidRPr="00BA5C00">
        <w:rPr>
          <w:rFonts w:cs="Arial"/>
          <w:b/>
          <w:bCs/>
          <w:sz w:val="20"/>
        </w:rPr>
        <w:t>požárech</w:t>
      </w:r>
      <w:r w:rsidRPr="00BA5C00">
        <w:rPr>
          <w:rFonts w:cs="Arial"/>
          <w:sz w:val="20"/>
        </w:rPr>
        <w:t xml:space="preserve"> byly převzaty z podkladů Hasičského záchranného sboru ČR.</w:t>
      </w:r>
    </w:p>
    <w:p w:rsidR="005D1668" w:rsidRPr="00BA5C00" w:rsidRDefault="005D1668" w:rsidP="005D1668">
      <w:pPr>
        <w:pStyle w:val="Rtextmetodika"/>
        <w:rPr>
          <w:rFonts w:cs="Arial"/>
          <w:sz w:val="20"/>
        </w:rPr>
      </w:pPr>
      <w:r w:rsidRPr="00BA5C00">
        <w:rPr>
          <w:rFonts w:cs="Arial"/>
          <w:b/>
          <w:sz w:val="20"/>
        </w:rPr>
        <w:lastRenderedPageBreak/>
        <w:t>Požár</w:t>
      </w:r>
      <w:r w:rsidRPr="00BA5C00">
        <w:rPr>
          <w:rFonts w:cs="Arial"/>
          <w:sz w:val="20"/>
        </w:rPr>
        <w:t xml:space="preserve"> představuje každé nežádoucí hoření, při kterém došlo k usmrcení či zranění osob nebo zvířat anebo ke škodám na materiálních hodnotách nebo životním prostředí. Za požár se považuje i nežádoucí hoření, při kterém byly osoby, zvířata nebo materiální hodnoty nebo životní prostředí bezprostředně ohroženy.</w:t>
      </w:r>
    </w:p>
    <w:p w:rsidR="005D1668" w:rsidRPr="00BA5C00" w:rsidRDefault="005D1668" w:rsidP="005D1668">
      <w:pPr>
        <w:pStyle w:val="Rtextmetodika"/>
        <w:rPr>
          <w:rFonts w:cs="Arial"/>
          <w:bCs/>
          <w:iCs/>
          <w:sz w:val="20"/>
        </w:rPr>
      </w:pPr>
      <w:r w:rsidRPr="00BA5C00">
        <w:rPr>
          <w:rFonts w:cs="Arial"/>
          <w:b/>
          <w:bCs/>
          <w:iCs/>
          <w:sz w:val="20"/>
        </w:rPr>
        <w:t>Usmrcené osoby celkem</w:t>
      </w:r>
      <w:r w:rsidRPr="00BA5C00">
        <w:rPr>
          <w:rFonts w:cs="Arial"/>
          <w:bCs/>
          <w:iCs/>
          <w:sz w:val="20"/>
        </w:rPr>
        <w:t xml:space="preserve"> jsou </w:t>
      </w:r>
      <w:r w:rsidRPr="00BA5C00">
        <w:rPr>
          <w:rFonts w:cs="Arial"/>
          <w:sz w:val="20"/>
        </w:rPr>
        <w:t>všechny</w:t>
      </w:r>
      <w:r w:rsidRPr="00BA5C00">
        <w:rPr>
          <w:rFonts w:cs="Arial"/>
          <w:bCs/>
          <w:iCs/>
          <w:sz w:val="20"/>
        </w:rPr>
        <w:t xml:space="preserve"> usmrcené osoby nalezené na místě požáru. Údaj zahrnuje i osoby, jejichž smrt prokazatelně nenastala v přímé souvislosti s požárem např. v důsledku infarktu, vraždy apod.</w:t>
      </w:r>
    </w:p>
    <w:p w:rsidR="005D1668" w:rsidRPr="00BA5C00" w:rsidRDefault="005D1668" w:rsidP="005D1668">
      <w:pPr>
        <w:pStyle w:val="Rbntext"/>
        <w:spacing w:before="0"/>
        <w:rPr>
          <w:rFonts w:cs="Arial"/>
          <w:sz w:val="22"/>
          <w:szCs w:val="18"/>
        </w:rPr>
      </w:pPr>
      <w:r w:rsidRPr="00BA5C00">
        <w:rPr>
          <w:b/>
          <w:bCs/>
          <w:iCs/>
          <w:szCs w:val="18"/>
        </w:rPr>
        <w:t>Usmrcené osoby v přímé souvislosti</w:t>
      </w:r>
      <w:r w:rsidRPr="00BA5C00">
        <w:rPr>
          <w:bCs/>
          <w:iCs/>
          <w:szCs w:val="18"/>
        </w:rPr>
        <w:t xml:space="preserve"> jsou jak osoby, které zemřely v důsledku popálenin, intoxikace zplodinami hoření apod., tak osoby, u kterých nebylo možné zjistit, zda prokazatelně zemřely v přímé souvislosti s požárem.</w:t>
      </w:r>
    </w:p>
    <w:p w:rsidR="00EE2E0B" w:rsidRDefault="00EE2E0B" w:rsidP="00BA5C00">
      <w:pPr>
        <w:pStyle w:val="Nadpis20"/>
        <w:spacing w:before="0"/>
        <w:rPr>
          <w:rFonts w:cs="Arial"/>
          <w:bCs/>
          <w:sz w:val="24"/>
        </w:rPr>
      </w:pPr>
    </w:p>
    <w:p w:rsidR="005C3A82" w:rsidRPr="005C3A82" w:rsidRDefault="005C3A82" w:rsidP="005C3A82">
      <w:pPr>
        <w:pStyle w:val="Rbntext"/>
        <w:spacing w:before="0"/>
        <w:rPr>
          <w:rFonts w:cs="Arial"/>
          <w:b/>
          <w:bCs/>
          <w:sz w:val="24"/>
          <w:szCs w:val="24"/>
        </w:rPr>
      </w:pPr>
      <w:r w:rsidRPr="005C3A82">
        <w:rPr>
          <w:rFonts w:cs="Arial"/>
          <w:b/>
          <w:bCs/>
          <w:sz w:val="24"/>
          <w:szCs w:val="24"/>
        </w:rPr>
        <w:t>ŽIVOTNÍ PODMÍNKY</w:t>
      </w:r>
    </w:p>
    <w:p w:rsidR="005C3A82" w:rsidRPr="00FB4582" w:rsidRDefault="005C3A82" w:rsidP="00FB4582">
      <w:pPr>
        <w:spacing w:before="120" w:after="120"/>
        <w:jc w:val="both"/>
        <w:rPr>
          <w:rFonts w:ascii="Arial" w:hAnsi="Arial" w:cs="Arial"/>
          <w:sz w:val="20"/>
          <w:szCs w:val="20"/>
        </w:rPr>
      </w:pPr>
      <w:r w:rsidRPr="00FB4582">
        <w:rPr>
          <w:rFonts w:ascii="Arial" w:hAnsi="Arial" w:cs="Arial"/>
          <w:bCs/>
          <w:iCs/>
          <w:sz w:val="20"/>
          <w:szCs w:val="20"/>
        </w:rPr>
        <w:t xml:space="preserve">Na </w:t>
      </w:r>
      <w:r w:rsidRPr="00FB4582">
        <w:rPr>
          <w:rFonts w:ascii="Arial" w:hAnsi="Arial" w:cs="Arial"/>
          <w:sz w:val="20"/>
          <w:szCs w:val="20"/>
        </w:rPr>
        <w:t>základě</w:t>
      </w:r>
      <w:r w:rsidRPr="00FB4582">
        <w:rPr>
          <w:rFonts w:ascii="Arial" w:hAnsi="Arial" w:cs="Arial"/>
          <w:bCs/>
          <w:iCs/>
          <w:sz w:val="20"/>
          <w:szCs w:val="20"/>
        </w:rPr>
        <w:t xml:space="preserve"> členství v Evropské unii provedl Český statistický úřad další ročník výběrového šetření EU-SILC o příjmech a životních podmínkách domácností pod názvem „Životní podmínky 2022“. Cílem tohoto šetření je dlouhodobě</w:t>
      </w:r>
      <w:r w:rsidRPr="00FB4582">
        <w:rPr>
          <w:rFonts w:ascii="Arial" w:hAnsi="Arial" w:cs="Arial"/>
          <w:sz w:val="20"/>
          <w:szCs w:val="20"/>
        </w:rPr>
        <w:t xml:space="preserve"> získávat srovnatelná data o sociální situaci domácností, která jsou díky jednotné metodice porovnatelná i s dalšími zeměmi EU.</w:t>
      </w:r>
    </w:p>
    <w:p w:rsidR="005C3A82" w:rsidRPr="00FB4582" w:rsidRDefault="005C3A82" w:rsidP="005C3A82">
      <w:pPr>
        <w:pStyle w:val="Rtextmetodika"/>
        <w:rPr>
          <w:rFonts w:cs="Arial"/>
          <w:sz w:val="20"/>
        </w:rPr>
      </w:pPr>
      <w:r w:rsidRPr="00FB4582">
        <w:rPr>
          <w:sz w:val="20"/>
        </w:rPr>
        <w:t>Šetření je realizováno jako čtyřletý rotační panel, každoročně se část domácností obmění. Výsledky šetření jsou vzhledem k velikosti výběrového souboru reprezentativní jen do úrovně krajů.</w:t>
      </w:r>
      <w:r w:rsidRPr="00FB4582">
        <w:rPr>
          <w:rFonts w:cs="Arial"/>
          <w:b/>
          <w:bCs/>
          <w:sz w:val="20"/>
        </w:rPr>
        <w:t xml:space="preserve"> Při interpretaci výsledků šetření je třeba mít na paměti, že vznikly zpracováním dat získaných z výběrového šetření a jsou zatíženy určitou statistickou chybou (výběrovou i nevýběrovou).</w:t>
      </w:r>
      <w:r w:rsidRPr="00FB4582">
        <w:rPr>
          <w:rFonts w:cs="Arial"/>
          <w:sz w:val="20"/>
        </w:rPr>
        <w:t xml:space="preserve"> </w:t>
      </w:r>
    </w:p>
    <w:p w:rsidR="005C3A82" w:rsidRPr="00FB4582" w:rsidRDefault="005C3A82" w:rsidP="005C3A82">
      <w:pPr>
        <w:pStyle w:val="Rtextmetodika"/>
        <w:rPr>
          <w:sz w:val="20"/>
        </w:rPr>
      </w:pPr>
      <w:r w:rsidRPr="00FB4582">
        <w:rPr>
          <w:sz w:val="20"/>
        </w:rPr>
        <w:t xml:space="preserve">Do šetření byly zahrnuty všechny osoby, které v době šetření měly ve vybraném bytě obvyklé bydliště, a to včetně osob dočasně nepřítomných. Toto se vztahovalo i na cizí státní příslušníky a podnájemníky. </w:t>
      </w:r>
      <w:r w:rsidRPr="00FB4582">
        <w:rPr>
          <w:b/>
          <w:bCs/>
          <w:sz w:val="20"/>
        </w:rPr>
        <w:t>Hospodařící domácnost</w:t>
      </w:r>
      <w:r w:rsidRPr="00FB4582">
        <w:rPr>
          <w:sz w:val="20"/>
        </w:rPr>
        <w:t xml:space="preserve"> tvoří jedinec nebo skupina osob, které spolu trvale žijí a společně hradí základní a</w:t>
      </w:r>
      <w:r w:rsidR="00FB4582">
        <w:rPr>
          <w:sz w:val="20"/>
        </w:rPr>
        <w:t> </w:t>
      </w:r>
      <w:r w:rsidRPr="00FB4582">
        <w:rPr>
          <w:sz w:val="20"/>
        </w:rPr>
        <w:t xml:space="preserve">provozní výdaje domácnosti. </w:t>
      </w:r>
      <w:r w:rsidRPr="00FB4582">
        <w:rPr>
          <w:b/>
          <w:bCs/>
          <w:sz w:val="20"/>
        </w:rPr>
        <w:t>Příjmy osob a domácností</w:t>
      </w:r>
      <w:r w:rsidRPr="00FB4582">
        <w:rPr>
          <w:sz w:val="20"/>
        </w:rPr>
        <w:t xml:space="preserve"> jsou zjišťovány vždy za kalendářní rok předcházející šetření (2021).</w:t>
      </w:r>
    </w:p>
    <w:p w:rsidR="005C3A82" w:rsidRPr="00FB4582" w:rsidRDefault="005C3A82" w:rsidP="005C3A82">
      <w:pPr>
        <w:pStyle w:val="Rtextmetodika"/>
        <w:rPr>
          <w:rFonts w:cs="Arial"/>
          <w:sz w:val="20"/>
        </w:rPr>
      </w:pPr>
      <w:r w:rsidRPr="00FB4582">
        <w:rPr>
          <w:sz w:val="20"/>
        </w:rPr>
        <w:t>Podrobné</w:t>
      </w:r>
      <w:r w:rsidRPr="00FB4582">
        <w:rPr>
          <w:rFonts w:cs="Arial"/>
          <w:sz w:val="20"/>
        </w:rPr>
        <w:t xml:space="preserve"> výsledky šetření, metodika a tabulky s odhady 95% intervalu spolehlivosti, jsou uvedeny ve zdrojové publikaci „</w:t>
      </w:r>
      <w:r w:rsidRPr="00FB4582">
        <w:rPr>
          <w:rFonts w:cs="Arial"/>
          <w:b/>
          <w:bCs/>
          <w:sz w:val="20"/>
        </w:rPr>
        <w:t>Příjmy a životní podmínky domácností v roce 2022</w:t>
      </w:r>
      <w:r w:rsidRPr="00FB4582">
        <w:rPr>
          <w:rFonts w:cs="Arial"/>
          <w:sz w:val="20"/>
        </w:rPr>
        <w:t>“, která je dostupná na internetových stránkách ČSÚ.</w:t>
      </w:r>
    </w:p>
    <w:p w:rsidR="00903E1E" w:rsidRDefault="00903E1E" w:rsidP="00B46946">
      <w:pPr>
        <w:pStyle w:val="Nadpis20"/>
        <w:spacing w:before="0"/>
        <w:rPr>
          <w:rFonts w:cs="Arial"/>
          <w:bCs/>
          <w:sz w:val="24"/>
        </w:rPr>
      </w:pPr>
    </w:p>
    <w:p w:rsidR="00EE2E0B" w:rsidRPr="00C63FAD" w:rsidRDefault="00EE2E0B" w:rsidP="00B46946">
      <w:pPr>
        <w:pStyle w:val="Nadpis20"/>
        <w:spacing w:before="0"/>
        <w:rPr>
          <w:rFonts w:cs="Arial"/>
          <w:b w:val="0"/>
          <w:bCs/>
          <w:sz w:val="24"/>
        </w:rPr>
      </w:pPr>
      <w:r>
        <w:rPr>
          <w:rFonts w:cs="Arial"/>
          <w:bCs/>
          <w:sz w:val="24"/>
        </w:rPr>
        <w:t>MEZIROČNÍ VÝVOJ UKAZATELŮ</w:t>
      </w:r>
    </w:p>
    <w:p w:rsidR="00EE2E0B" w:rsidRDefault="00EE2E0B" w:rsidP="00EE2E0B">
      <w:pPr>
        <w:spacing w:before="120" w:after="120" w:line="228" w:lineRule="auto"/>
        <w:jc w:val="both"/>
        <w:rPr>
          <w:rFonts w:ascii="Arial" w:hAnsi="Arial" w:cs="Arial"/>
          <w:sz w:val="20"/>
        </w:rPr>
      </w:pPr>
      <w:r>
        <w:rPr>
          <w:rFonts w:ascii="Arial" w:hAnsi="Arial" w:cs="Arial"/>
          <w:sz w:val="20"/>
        </w:rPr>
        <w:t xml:space="preserve">Velikost meziročního indexu </w:t>
      </w:r>
      <w:r w:rsidR="00176436">
        <w:rPr>
          <w:rFonts w:ascii="Arial" w:hAnsi="Arial" w:cs="Arial"/>
          <w:sz w:val="20"/>
        </w:rPr>
        <w:t xml:space="preserve">(např. v průmyslu, stavebnictví, zemědělství) </w:t>
      </w:r>
      <w:r>
        <w:rPr>
          <w:rFonts w:ascii="Arial" w:hAnsi="Arial" w:cs="Arial"/>
          <w:sz w:val="20"/>
        </w:rPr>
        <w:t xml:space="preserve">může být ovlivněna </w:t>
      </w:r>
      <w:r w:rsidRPr="00EE2E0B">
        <w:rPr>
          <w:rFonts w:ascii="Arial" w:hAnsi="Arial" w:cs="Arial"/>
          <w:sz w:val="20"/>
        </w:rPr>
        <w:t xml:space="preserve">skutečností, že se při </w:t>
      </w:r>
      <w:r>
        <w:rPr>
          <w:rFonts w:ascii="Arial" w:hAnsi="Arial" w:cs="Arial"/>
          <w:sz w:val="20"/>
        </w:rPr>
        <w:t xml:space="preserve">jeho </w:t>
      </w:r>
      <w:r w:rsidRPr="00EE2E0B">
        <w:rPr>
          <w:rFonts w:ascii="Arial" w:hAnsi="Arial" w:cs="Arial"/>
          <w:sz w:val="20"/>
        </w:rPr>
        <w:t xml:space="preserve">výpočtu vychází ze srovnání souboru subjektů, které splňují </w:t>
      </w:r>
      <w:r>
        <w:rPr>
          <w:rFonts w:ascii="Arial" w:hAnsi="Arial" w:cs="Arial"/>
          <w:sz w:val="20"/>
        </w:rPr>
        <w:t xml:space="preserve">příslušná </w:t>
      </w:r>
      <w:r w:rsidRPr="00EE2E0B">
        <w:rPr>
          <w:rFonts w:ascii="Arial" w:hAnsi="Arial" w:cs="Arial"/>
          <w:sz w:val="20"/>
        </w:rPr>
        <w:t xml:space="preserve">kritéria (převažující činnost, sídlo v kraji, </w:t>
      </w:r>
      <w:r w:rsidR="00D64D80">
        <w:rPr>
          <w:rFonts w:ascii="Arial" w:hAnsi="Arial" w:cs="Arial"/>
          <w:sz w:val="20"/>
        </w:rPr>
        <w:t xml:space="preserve">hranice </w:t>
      </w:r>
      <w:r>
        <w:rPr>
          <w:rFonts w:ascii="Arial" w:hAnsi="Arial" w:cs="Arial"/>
          <w:sz w:val="20"/>
        </w:rPr>
        <w:t>počtu</w:t>
      </w:r>
      <w:r w:rsidRPr="00EE2E0B">
        <w:rPr>
          <w:rFonts w:ascii="Arial" w:hAnsi="Arial" w:cs="Arial"/>
          <w:sz w:val="20"/>
        </w:rPr>
        <w:t xml:space="preserve"> zaměstnanců) ve sledovaném roce a souboru subjektů, které tato kritéria splňovaly ve </w:t>
      </w:r>
      <w:r w:rsidR="00503BA3">
        <w:rPr>
          <w:rFonts w:ascii="Arial" w:hAnsi="Arial" w:cs="Arial"/>
          <w:sz w:val="20"/>
        </w:rPr>
        <w:t>stejném</w:t>
      </w:r>
      <w:r w:rsidRPr="00EE2E0B">
        <w:rPr>
          <w:rFonts w:ascii="Arial" w:hAnsi="Arial" w:cs="Arial"/>
          <w:sz w:val="20"/>
        </w:rPr>
        <w:t xml:space="preserve"> období předchozího </w:t>
      </w:r>
      <w:r>
        <w:rPr>
          <w:rFonts w:ascii="Arial" w:hAnsi="Arial" w:cs="Arial"/>
          <w:sz w:val="20"/>
        </w:rPr>
        <w:t>r</w:t>
      </w:r>
      <w:r w:rsidRPr="00EE2E0B">
        <w:rPr>
          <w:rFonts w:ascii="Arial" w:hAnsi="Arial" w:cs="Arial"/>
          <w:sz w:val="20"/>
        </w:rPr>
        <w:t xml:space="preserve">oku. Nejsou prováděny přepočty na srovnatelnou organizační </w:t>
      </w:r>
      <w:r w:rsidR="009F442E">
        <w:rPr>
          <w:rFonts w:ascii="Arial" w:hAnsi="Arial" w:cs="Arial"/>
          <w:sz w:val="20"/>
        </w:rPr>
        <w:t xml:space="preserve">ani územní </w:t>
      </w:r>
      <w:r w:rsidRPr="00EE2E0B">
        <w:rPr>
          <w:rFonts w:ascii="Arial" w:hAnsi="Arial" w:cs="Arial"/>
          <w:sz w:val="20"/>
        </w:rPr>
        <w:t>strukturu.</w:t>
      </w:r>
      <w:r>
        <w:rPr>
          <w:rFonts w:ascii="Arial" w:hAnsi="Arial" w:cs="Arial"/>
          <w:sz w:val="20"/>
        </w:rPr>
        <w:t xml:space="preserve"> </w:t>
      </w:r>
    </w:p>
    <w:p w:rsidR="00EE2E0B" w:rsidRDefault="00EE2E0B" w:rsidP="00EE2E0B">
      <w:pPr>
        <w:spacing w:line="228" w:lineRule="auto"/>
        <w:jc w:val="both"/>
        <w:rPr>
          <w:rFonts w:ascii="Arial" w:hAnsi="Arial" w:cs="Arial"/>
          <w:sz w:val="20"/>
        </w:rPr>
      </w:pPr>
      <w:r w:rsidRPr="00C63FAD">
        <w:rPr>
          <w:rFonts w:ascii="Arial" w:hAnsi="Arial" w:cs="Arial"/>
          <w:sz w:val="20"/>
        </w:rPr>
        <w:t>Indexy 20</w:t>
      </w:r>
      <w:r>
        <w:rPr>
          <w:rFonts w:ascii="Arial" w:hAnsi="Arial" w:cs="Arial"/>
          <w:sz w:val="20"/>
        </w:rPr>
        <w:t>2</w:t>
      </w:r>
      <w:r w:rsidR="00D0053D">
        <w:rPr>
          <w:rFonts w:ascii="Arial" w:hAnsi="Arial" w:cs="Arial"/>
          <w:sz w:val="20"/>
        </w:rPr>
        <w:t>2</w:t>
      </w:r>
      <w:r w:rsidRPr="00C63FAD">
        <w:rPr>
          <w:rFonts w:ascii="Arial" w:hAnsi="Arial" w:cs="Arial"/>
          <w:sz w:val="20"/>
        </w:rPr>
        <w:t>/20</w:t>
      </w:r>
      <w:r w:rsidR="00D0053D">
        <w:rPr>
          <w:rFonts w:ascii="Arial" w:hAnsi="Arial" w:cs="Arial"/>
          <w:sz w:val="20"/>
        </w:rPr>
        <w:t>21</w:t>
      </w:r>
      <w:r w:rsidRPr="00C63FAD">
        <w:rPr>
          <w:rFonts w:ascii="Arial" w:hAnsi="Arial" w:cs="Arial"/>
          <w:sz w:val="20"/>
        </w:rPr>
        <w:t>, respektive 20</w:t>
      </w:r>
      <w:r w:rsidR="00AD0885">
        <w:rPr>
          <w:rFonts w:ascii="Arial" w:hAnsi="Arial" w:cs="Arial"/>
          <w:sz w:val="20"/>
        </w:rPr>
        <w:t>2</w:t>
      </w:r>
      <w:r w:rsidR="00D0053D">
        <w:rPr>
          <w:rFonts w:ascii="Arial" w:hAnsi="Arial" w:cs="Arial"/>
          <w:sz w:val="20"/>
        </w:rPr>
        <w:t>1</w:t>
      </w:r>
      <w:r w:rsidRPr="00C63FAD">
        <w:rPr>
          <w:rFonts w:ascii="Arial" w:hAnsi="Arial" w:cs="Arial"/>
          <w:sz w:val="20"/>
        </w:rPr>
        <w:t>/20</w:t>
      </w:r>
      <w:r w:rsidR="00D0053D">
        <w:rPr>
          <w:rFonts w:ascii="Arial" w:hAnsi="Arial" w:cs="Arial"/>
          <w:sz w:val="20"/>
        </w:rPr>
        <w:t>20</w:t>
      </w:r>
      <w:r w:rsidRPr="00C63FAD">
        <w:rPr>
          <w:rFonts w:ascii="Arial" w:hAnsi="Arial" w:cs="Arial"/>
          <w:sz w:val="20"/>
        </w:rPr>
        <w:t>, jsou uváděny v %.</w:t>
      </w: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EE2E0B" w:rsidRPr="00C63FAD" w:rsidRDefault="00145516" w:rsidP="00EE2E0B">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r w:rsidR="00EE2E0B">
        <w:rPr>
          <w:rFonts w:ascii="Arial" w:hAnsi="Arial" w:cs="Arial"/>
          <w:sz w:val="20"/>
        </w:rPr>
        <w:t xml:space="preserve"> </w:t>
      </w:r>
    </w:p>
    <w:sectPr w:rsidR="00EE2E0B" w:rsidRPr="00C63FAD" w:rsidSect="002B07D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0D" w:rsidRDefault="00FD630D">
      <w:r>
        <w:separator/>
      </w:r>
    </w:p>
  </w:endnote>
  <w:endnote w:type="continuationSeparator" w:id="0">
    <w:p w:rsidR="00FD630D" w:rsidRDefault="00FD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123B74">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8227F3">
      <w:rPr>
        <w:rStyle w:val="slostrnky"/>
        <w:noProof/>
      </w:rPr>
      <w:t>6</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0D" w:rsidRDefault="00FD630D">
      <w:r>
        <w:separator/>
      </w:r>
    </w:p>
  </w:footnote>
  <w:footnote w:type="continuationSeparator" w:id="0">
    <w:p w:rsidR="00FD630D" w:rsidRDefault="00FD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86A"/>
    <w:multiLevelType w:val="hybridMultilevel"/>
    <w:tmpl w:val="D1288262"/>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3704E"/>
    <w:rsid w:val="00045849"/>
    <w:rsid w:val="00045CF4"/>
    <w:rsid w:val="00053BB7"/>
    <w:rsid w:val="00056DCA"/>
    <w:rsid w:val="000645A7"/>
    <w:rsid w:val="00076703"/>
    <w:rsid w:val="00084D9B"/>
    <w:rsid w:val="000A050D"/>
    <w:rsid w:val="000B5E2F"/>
    <w:rsid w:val="000B6E61"/>
    <w:rsid w:val="000E0F17"/>
    <w:rsid w:val="000F3315"/>
    <w:rsid w:val="000F4D30"/>
    <w:rsid w:val="000F4ED6"/>
    <w:rsid w:val="000F649F"/>
    <w:rsid w:val="00101CCB"/>
    <w:rsid w:val="00111AB0"/>
    <w:rsid w:val="001120C8"/>
    <w:rsid w:val="00112C8D"/>
    <w:rsid w:val="00123B74"/>
    <w:rsid w:val="00144A26"/>
    <w:rsid w:val="00145516"/>
    <w:rsid w:val="001613CD"/>
    <w:rsid w:val="001638A3"/>
    <w:rsid w:val="00163FBB"/>
    <w:rsid w:val="00176436"/>
    <w:rsid w:val="00181802"/>
    <w:rsid w:val="001950B2"/>
    <w:rsid w:val="001A75A9"/>
    <w:rsid w:val="001B593D"/>
    <w:rsid w:val="001B7B3E"/>
    <w:rsid w:val="001C0952"/>
    <w:rsid w:val="001E43EF"/>
    <w:rsid w:val="001E5325"/>
    <w:rsid w:val="001F038B"/>
    <w:rsid w:val="002048FC"/>
    <w:rsid w:val="00206A0D"/>
    <w:rsid w:val="002107AF"/>
    <w:rsid w:val="00213F42"/>
    <w:rsid w:val="00217461"/>
    <w:rsid w:val="00221F5E"/>
    <w:rsid w:val="00224BF2"/>
    <w:rsid w:val="0027200D"/>
    <w:rsid w:val="00276BEE"/>
    <w:rsid w:val="0028066A"/>
    <w:rsid w:val="00290A84"/>
    <w:rsid w:val="002B07DD"/>
    <w:rsid w:val="002B41D5"/>
    <w:rsid w:val="002C1422"/>
    <w:rsid w:val="002D562D"/>
    <w:rsid w:val="0031028F"/>
    <w:rsid w:val="003175E6"/>
    <w:rsid w:val="0032458C"/>
    <w:rsid w:val="00331477"/>
    <w:rsid w:val="00331C29"/>
    <w:rsid w:val="0033610D"/>
    <w:rsid w:val="0034429F"/>
    <w:rsid w:val="003534A7"/>
    <w:rsid w:val="00374492"/>
    <w:rsid w:val="003A617B"/>
    <w:rsid w:val="003A6A47"/>
    <w:rsid w:val="003B13B8"/>
    <w:rsid w:val="003B36FF"/>
    <w:rsid w:val="003C207C"/>
    <w:rsid w:val="003D6D1D"/>
    <w:rsid w:val="003E03B6"/>
    <w:rsid w:val="003E0A67"/>
    <w:rsid w:val="003F0A24"/>
    <w:rsid w:val="003F396C"/>
    <w:rsid w:val="003F68BA"/>
    <w:rsid w:val="00405671"/>
    <w:rsid w:val="004170D2"/>
    <w:rsid w:val="004243EF"/>
    <w:rsid w:val="00432B7E"/>
    <w:rsid w:val="004363BE"/>
    <w:rsid w:val="0045273C"/>
    <w:rsid w:val="00471816"/>
    <w:rsid w:val="00474DFE"/>
    <w:rsid w:val="00483B94"/>
    <w:rsid w:val="00485AB3"/>
    <w:rsid w:val="004973B8"/>
    <w:rsid w:val="004B20EB"/>
    <w:rsid w:val="004C0881"/>
    <w:rsid w:val="004E3467"/>
    <w:rsid w:val="004E596E"/>
    <w:rsid w:val="004E763F"/>
    <w:rsid w:val="004F0E90"/>
    <w:rsid w:val="004F4394"/>
    <w:rsid w:val="00503BA3"/>
    <w:rsid w:val="00506239"/>
    <w:rsid w:val="005119B0"/>
    <w:rsid w:val="005311E4"/>
    <w:rsid w:val="0053315E"/>
    <w:rsid w:val="00543DEE"/>
    <w:rsid w:val="00544311"/>
    <w:rsid w:val="0054674E"/>
    <w:rsid w:val="005467D7"/>
    <w:rsid w:val="0055094C"/>
    <w:rsid w:val="00554481"/>
    <w:rsid w:val="00556EB6"/>
    <w:rsid w:val="00557118"/>
    <w:rsid w:val="00561EF0"/>
    <w:rsid w:val="0056293F"/>
    <w:rsid w:val="00571410"/>
    <w:rsid w:val="00584D9A"/>
    <w:rsid w:val="00597E81"/>
    <w:rsid w:val="005A62E9"/>
    <w:rsid w:val="005A70A3"/>
    <w:rsid w:val="005A7B7F"/>
    <w:rsid w:val="005C3A82"/>
    <w:rsid w:val="005C7856"/>
    <w:rsid w:val="005D1668"/>
    <w:rsid w:val="005D197A"/>
    <w:rsid w:val="005D3F17"/>
    <w:rsid w:val="005E6922"/>
    <w:rsid w:val="005F1FC7"/>
    <w:rsid w:val="006058EB"/>
    <w:rsid w:val="00617B58"/>
    <w:rsid w:val="00625CCC"/>
    <w:rsid w:val="00632820"/>
    <w:rsid w:val="00644C64"/>
    <w:rsid w:val="0064650C"/>
    <w:rsid w:val="00655228"/>
    <w:rsid w:val="0066431A"/>
    <w:rsid w:val="00665988"/>
    <w:rsid w:val="00671EAA"/>
    <w:rsid w:val="006767BC"/>
    <w:rsid w:val="0068210D"/>
    <w:rsid w:val="0068466A"/>
    <w:rsid w:val="006A233D"/>
    <w:rsid w:val="006A3D8E"/>
    <w:rsid w:val="006B2CD1"/>
    <w:rsid w:val="006B662A"/>
    <w:rsid w:val="006C1291"/>
    <w:rsid w:val="006C63A8"/>
    <w:rsid w:val="006D1634"/>
    <w:rsid w:val="006D3A53"/>
    <w:rsid w:val="006D6D51"/>
    <w:rsid w:val="006D726B"/>
    <w:rsid w:val="006E3019"/>
    <w:rsid w:val="006F6345"/>
    <w:rsid w:val="007003DC"/>
    <w:rsid w:val="007012DA"/>
    <w:rsid w:val="00714181"/>
    <w:rsid w:val="007166B0"/>
    <w:rsid w:val="00717B0B"/>
    <w:rsid w:val="007228C6"/>
    <w:rsid w:val="00726CDC"/>
    <w:rsid w:val="00733B61"/>
    <w:rsid w:val="00736658"/>
    <w:rsid w:val="00761002"/>
    <w:rsid w:val="007639B7"/>
    <w:rsid w:val="00767361"/>
    <w:rsid w:val="00787B6D"/>
    <w:rsid w:val="0079256B"/>
    <w:rsid w:val="0079738B"/>
    <w:rsid w:val="007A48C0"/>
    <w:rsid w:val="007B3135"/>
    <w:rsid w:val="007B5D42"/>
    <w:rsid w:val="007C2441"/>
    <w:rsid w:val="007D0670"/>
    <w:rsid w:val="007D0F87"/>
    <w:rsid w:val="007E228D"/>
    <w:rsid w:val="007E76F3"/>
    <w:rsid w:val="007F0639"/>
    <w:rsid w:val="007F638D"/>
    <w:rsid w:val="00803590"/>
    <w:rsid w:val="00812E3B"/>
    <w:rsid w:val="00813FC0"/>
    <w:rsid w:val="00814D7F"/>
    <w:rsid w:val="00815C7C"/>
    <w:rsid w:val="008227F3"/>
    <w:rsid w:val="008340DA"/>
    <w:rsid w:val="0083418A"/>
    <w:rsid w:val="00843265"/>
    <w:rsid w:val="00895EC8"/>
    <w:rsid w:val="00897F81"/>
    <w:rsid w:val="008A42D8"/>
    <w:rsid w:val="008B5ED6"/>
    <w:rsid w:val="008C6169"/>
    <w:rsid w:val="008D1CC6"/>
    <w:rsid w:val="008D363E"/>
    <w:rsid w:val="008F0599"/>
    <w:rsid w:val="008F5202"/>
    <w:rsid w:val="00903E1E"/>
    <w:rsid w:val="00905AB6"/>
    <w:rsid w:val="00933876"/>
    <w:rsid w:val="00935912"/>
    <w:rsid w:val="009442FF"/>
    <w:rsid w:val="00946BB7"/>
    <w:rsid w:val="009557E0"/>
    <w:rsid w:val="00956E81"/>
    <w:rsid w:val="00957B75"/>
    <w:rsid w:val="009629D9"/>
    <w:rsid w:val="009646E9"/>
    <w:rsid w:val="00970347"/>
    <w:rsid w:val="009703EF"/>
    <w:rsid w:val="00983E7F"/>
    <w:rsid w:val="00987DCD"/>
    <w:rsid w:val="009A48BD"/>
    <w:rsid w:val="009C5FE5"/>
    <w:rsid w:val="009D4D95"/>
    <w:rsid w:val="009D6DF2"/>
    <w:rsid w:val="009D6EF3"/>
    <w:rsid w:val="009E00D4"/>
    <w:rsid w:val="009F00A6"/>
    <w:rsid w:val="009F2EFB"/>
    <w:rsid w:val="009F442E"/>
    <w:rsid w:val="00A045CC"/>
    <w:rsid w:val="00A301F5"/>
    <w:rsid w:val="00A33CEA"/>
    <w:rsid w:val="00A34793"/>
    <w:rsid w:val="00A34E15"/>
    <w:rsid w:val="00A5623B"/>
    <w:rsid w:val="00A56FAA"/>
    <w:rsid w:val="00A650B4"/>
    <w:rsid w:val="00A746E7"/>
    <w:rsid w:val="00A82BFD"/>
    <w:rsid w:val="00A831B9"/>
    <w:rsid w:val="00A90995"/>
    <w:rsid w:val="00AA7877"/>
    <w:rsid w:val="00AC5C01"/>
    <w:rsid w:val="00AD0885"/>
    <w:rsid w:val="00AD163D"/>
    <w:rsid w:val="00AD3BE8"/>
    <w:rsid w:val="00B03D7E"/>
    <w:rsid w:val="00B048DE"/>
    <w:rsid w:val="00B15532"/>
    <w:rsid w:val="00B2092E"/>
    <w:rsid w:val="00B30D8A"/>
    <w:rsid w:val="00B31589"/>
    <w:rsid w:val="00B46946"/>
    <w:rsid w:val="00B73E2E"/>
    <w:rsid w:val="00B8548A"/>
    <w:rsid w:val="00B862CB"/>
    <w:rsid w:val="00B93505"/>
    <w:rsid w:val="00B95665"/>
    <w:rsid w:val="00BA010C"/>
    <w:rsid w:val="00BA5C00"/>
    <w:rsid w:val="00BC08CC"/>
    <w:rsid w:val="00BC2FE0"/>
    <w:rsid w:val="00BC68E9"/>
    <w:rsid w:val="00BD2EC3"/>
    <w:rsid w:val="00BE70D9"/>
    <w:rsid w:val="00C14E0A"/>
    <w:rsid w:val="00C3455D"/>
    <w:rsid w:val="00C6244D"/>
    <w:rsid w:val="00C63FAD"/>
    <w:rsid w:val="00C75C59"/>
    <w:rsid w:val="00C85808"/>
    <w:rsid w:val="00C92701"/>
    <w:rsid w:val="00CA0CE4"/>
    <w:rsid w:val="00CA2FB3"/>
    <w:rsid w:val="00CA5B96"/>
    <w:rsid w:val="00CB0B69"/>
    <w:rsid w:val="00CB26E1"/>
    <w:rsid w:val="00CB5336"/>
    <w:rsid w:val="00CC1FBA"/>
    <w:rsid w:val="00CD5903"/>
    <w:rsid w:val="00CF5312"/>
    <w:rsid w:val="00CF5AA4"/>
    <w:rsid w:val="00D0053D"/>
    <w:rsid w:val="00D006FF"/>
    <w:rsid w:val="00D20F62"/>
    <w:rsid w:val="00D24220"/>
    <w:rsid w:val="00D4505A"/>
    <w:rsid w:val="00D454FC"/>
    <w:rsid w:val="00D62381"/>
    <w:rsid w:val="00D64D80"/>
    <w:rsid w:val="00D65896"/>
    <w:rsid w:val="00D7145E"/>
    <w:rsid w:val="00D73C03"/>
    <w:rsid w:val="00D75E89"/>
    <w:rsid w:val="00D8339D"/>
    <w:rsid w:val="00D928BF"/>
    <w:rsid w:val="00D97DDB"/>
    <w:rsid w:val="00DA0916"/>
    <w:rsid w:val="00DA4343"/>
    <w:rsid w:val="00DA573C"/>
    <w:rsid w:val="00DA6DC9"/>
    <w:rsid w:val="00DE19BF"/>
    <w:rsid w:val="00DF3484"/>
    <w:rsid w:val="00DF54F1"/>
    <w:rsid w:val="00E02963"/>
    <w:rsid w:val="00E04409"/>
    <w:rsid w:val="00E0727D"/>
    <w:rsid w:val="00E123BC"/>
    <w:rsid w:val="00E271D6"/>
    <w:rsid w:val="00E27AF8"/>
    <w:rsid w:val="00E32933"/>
    <w:rsid w:val="00E44FFE"/>
    <w:rsid w:val="00E45CE4"/>
    <w:rsid w:val="00E47CD0"/>
    <w:rsid w:val="00E5328D"/>
    <w:rsid w:val="00E55CBE"/>
    <w:rsid w:val="00E6298F"/>
    <w:rsid w:val="00E6407C"/>
    <w:rsid w:val="00E87189"/>
    <w:rsid w:val="00E87A33"/>
    <w:rsid w:val="00E87E2A"/>
    <w:rsid w:val="00E93E4C"/>
    <w:rsid w:val="00E947DA"/>
    <w:rsid w:val="00E95B0D"/>
    <w:rsid w:val="00EA2B20"/>
    <w:rsid w:val="00EB372D"/>
    <w:rsid w:val="00EB7A75"/>
    <w:rsid w:val="00EC1D74"/>
    <w:rsid w:val="00EE2E0B"/>
    <w:rsid w:val="00EE6248"/>
    <w:rsid w:val="00EE633C"/>
    <w:rsid w:val="00EF27D4"/>
    <w:rsid w:val="00F01EE3"/>
    <w:rsid w:val="00F03D0F"/>
    <w:rsid w:val="00F03E13"/>
    <w:rsid w:val="00F05DD8"/>
    <w:rsid w:val="00F162EF"/>
    <w:rsid w:val="00F35224"/>
    <w:rsid w:val="00F3686A"/>
    <w:rsid w:val="00F50B9C"/>
    <w:rsid w:val="00F70D76"/>
    <w:rsid w:val="00F752DB"/>
    <w:rsid w:val="00F97E98"/>
    <w:rsid w:val="00FA06ED"/>
    <w:rsid w:val="00FA5FFC"/>
    <w:rsid w:val="00FB4582"/>
    <w:rsid w:val="00FB6678"/>
    <w:rsid w:val="00FD1B27"/>
    <w:rsid w:val="00FD630D"/>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C515E6-AD1F-4171-82BE-790393B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 w:type="paragraph" w:styleId="Seznam">
    <w:name w:val="List"/>
    <w:basedOn w:val="Normln"/>
    <w:uiPriority w:val="99"/>
    <w:semiHidden/>
    <w:unhideWhenUsed/>
    <w:qFormat/>
    <w:rsid w:val="005D1668"/>
    <w:pPr>
      <w:spacing w:after="240" w:line="288" w:lineRule="auto"/>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1-pmz_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9698D-B508-4CBC-97FF-27167DAC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3239</Words>
  <Characters>19678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22872</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Honner Jan</cp:lastModifiedBy>
  <cp:revision>2</cp:revision>
  <cp:lastPrinted>2020-03-23T12:31:00Z</cp:lastPrinted>
  <dcterms:created xsi:type="dcterms:W3CDTF">2023-03-23T16:40:00Z</dcterms:created>
  <dcterms:modified xsi:type="dcterms:W3CDTF">2023-03-23T16:40:00Z</dcterms:modified>
</cp:coreProperties>
</file>