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27BA" w14:textId="77777777" w:rsidR="00DD1A46" w:rsidRDefault="00DD1A46" w:rsidP="00DD1A46">
      <w:pPr>
        <w:pStyle w:val="Nadpis1"/>
      </w:pPr>
      <w:bookmarkStart w:id="0" w:name="_Toc193366677"/>
      <w:bookmarkStart w:id="1" w:name="_Toc240366894"/>
      <w:bookmarkStart w:id="2" w:name="_Toc232503735"/>
      <w:r>
        <w:t>3. Výkonnost odvětví</w:t>
      </w:r>
      <w:bookmarkEnd w:id="1"/>
    </w:p>
    <w:tbl>
      <w:tblPr>
        <w:tblW w:w="9646" w:type="dxa"/>
        <w:tblInd w:w="-20" w:type="dxa"/>
        <w:tblCellMar>
          <w:left w:w="0" w:type="dxa"/>
          <w:right w:w="0" w:type="dxa"/>
        </w:tblCellMar>
        <w:tblLook w:val="00A0" w:firstRow="1" w:lastRow="0" w:firstColumn="1" w:lastColumn="0" w:noHBand="0" w:noVBand="0"/>
      </w:tblPr>
      <w:tblGrid>
        <w:gridCol w:w="1765"/>
        <w:gridCol w:w="178"/>
        <w:gridCol w:w="7703"/>
      </w:tblGrid>
      <w:tr w:rsidR="00DD1A46" w:rsidRPr="004A0F58" w14:paraId="38B8E782" w14:textId="77777777" w:rsidTr="00E962EE">
        <w:trPr>
          <w:trHeight w:val="145"/>
        </w:trPr>
        <w:tc>
          <w:tcPr>
            <w:tcW w:w="1814" w:type="dxa"/>
            <w:gridSpan w:val="3"/>
            <w:tcMar>
              <w:left w:w="0" w:type="dxa"/>
            </w:tcMar>
          </w:tcPr>
          <w:p w14:paraId="4CB0E11D" w14:textId="77777777" w:rsidR="00DD1A46" w:rsidRDefault="00DD1A46" w:rsidP="00E962EE">
            <w:pPr>
              <w:pStyle w:val="Nadpis3"/>
              <w:rPr>
                <w:color w:val="0D0D0D" w:themeColor="text1" w:themeTint="F2"/>
                <w:spacing w:val="-4"/>
              </w:rPr>
            </w:pPr>
            <w:bookmarkStart w:id="3" w:name="_Toc240366895"/>
            <w:r>
              <w:rPr>
                <w:lang w:eastAsia="en-US"/>
              </w:rPr>
              <w:t>3</w:t>
            </w:r>
            <w:r w:rsidRPr="006B2C72">
              <w:rPr>
                <w:lang w:eastAsia="en-US"/>
              </w:rPr>
              <w:t xml:space="preserve">.1 </w:t>
            </w:r>
            <w:r>
              <w:rPr>
                <w:lang w:eastAsia="en-US"/>
              </w:rPr>
              <w:t>Zemědělství a průmysl</w:t>
            </w:r>
            <w:bookmarkEnd w:id="3"/>
          </w:p>
        </w:tc>
      </w:tr>
      <w:tr w:rsidR="00DD1A46" w:rsidRPr="004A0F58" w14:paraId="598C835B" w14:textId="77777777" w:rsidTr="00E962EE">
        <w:trPr>
          <w:trHeight w:val="145"/>
        </w:trPr>
        <w:tc>
          <w:tcPr>
            <w:tcW w:w="1814" w:type="dxa"/>
            <w:tcMar>
              <w:left w:w="0" w:type="dxa"/>
            </w:tcMar>
          </w:tcPr>
          <w:p w14:paraId="28963521" w14:textId="77777777" w:rsidR="00DD1A46" w:rsidRDefault="00DD1A46" w:rsidP="00E962EE">
            <w:pPr>
              <w:pStyle w:val="Marginlie"/>
              <w:spacing w:after="240"/>
              <w:rPr>
                <w:color w:val="0D0D0D" w:themeColor="text1" w:themeTint="F2"/>
                <w:spacing w:val="0"/>
              </w:rPr>
            </w:pPr>
            <w:r>
              <w:rPr>
                <w:color w:val="0D0D0D" w:themeColor="text1" w:themeTint="F2"/>
                <w:spacing w:val="0"/>
              </w:rPr>
              <w:t>Růst výroby masa pokračoval, byť mírnějšími tempy než v letech 2024 i 2025. Táhl ho segment hovězího masa.</w:t>
            </w:r>
          </w:p>
          <w:p w14:paraId="2580F0BB" w14:textId="77777777" w:rsidR="00DD1A46" w:rsidRDefault="00DD1A46" w:rsidP="00E962EE">
            <w:pPr>
              <w:pStyle w:val="Marginlie"/>
              <w:spacing w:after="240"/>
              <w:rPr>
                <w:color w:val="0D0D0D" w:themeColor="text1" w:themeTint="F2"/>
                <w:spacing w:val="0"/>
              </w:rPr>
            </w:pPr>
          </w:p>
          <w:p w14:paraId="5EA0032F" w14:textId="77777777" w:rsidR="00DD1A46" w:rsidRDefault="00DD1A46" w:rsidP="00E962EE">
            <w:pPr>
              <w:pStyle w:val="Marginlie"/>
              <w:spacing w:after="240"/>
              <w:rPr>
                <w:color w:val="0D0D0D" w:themeColor="text1" w:themeTint="F2"/>
                <w:spacing w:val="0"/>
              </w:rPr>
            </w:pPr>
          </w:p>
          <w:p w14:paraId="3BA70654" w14:textId="77777777" w:rsidR="00DD1A46" w:rsidRDefault="00DD1A46" w:rsidP="00E962EE">
            <w:pPr>
              <w:pStyle w:val="Marginlie"/>
              <w:spacing w:after="240"/>
              <w:rPr>
                <w:color w:val="0D0D0D" w:themeColor="text1" w:themeTint="F2"/>
                <w:spacing w:val="0"/>
              </w:rPr>
            </w:pPr>
            <w:r>
              <w:rPr>
                <w:color w:val="0D0D0D" w:themeColor="text1" w:themeTint="F2"/>
                <w:spacing w:val="0"/>
              </w:rPr>
              <w:t>Výroba mléka nadále poměrně svižně rostla, navzdory aktuálně nízkým výkupním cenám.</w:t>
            </w:r>
          </w:p>
        </w:tc>
        <w:tc>
          <w:tcPr>
            <w:tcW w:w="181" w:type="dxa"/>
            <w:tcMar>
              <w:left w:w="0" w:type="dxa"/>
            </w:tcMar>
          </w:tcPr>
          <w:p w14:paraId="11AA9FB5"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9BD9867" w14:textId="77777777" w:rsidR="00DD1A46" w:rsidRPr="00424A1B" w:rsidRDefault="00DD1A46" w:rsidP="00E962EE">
            <w:pPr>
              <w:spacing w:after="200"/>
              <w:rPr>
                <w:color w:val="0D0D0D" w:themeColor="text1" w:themeTint="F2"/>
                <w:spacing w:val="-2"/>
              </w:rPr>
            </w:pPr>
            <w:r w:rsidRPr="00424A1B">
              <w:rPr>
                <w:rFonts w:eastAsia="Arial" w:cs="Arial"/>
                <w:spacing w:val="-2"/>
                <w:szCs w:val="20"/>
              </w:rPr>
              <w:t>V živočišné výrobě letos zatím pokračovaly hlavní trendy z předchozího období. Fyzická výroba masa v tuzemských jatkách v 1. pololetí meziročně posílila o 2,5 % (mírně nižším tempem než v letech 2024 i 2025). Růst výroby byl tažen zejména segmentem drůbežího masa, kde došlo ke zvýšení o 4,9 %. Dlouhodobě rostoucí obliba tohoto masa mezi tuzemskými spotřebiteli spolu s krátkou dobou výkrmu brojlerů dává zemědělcům lepší předpoklady pro stabilnější hospodářské výsledky i v období cenových turbulencí. V dosud dominantním segmentu vepřového masa se výroba zvyšovala volněji (+1,7 %). U hovězího masa přetrvává pokles již dva a půl roku, jeho letošní tempo (</w:t>
            </w:r>
            <w:r w:rsidRPr="00424A1B">
              <w:rPr>
                <w:color w:val="0D0D0D" w:themeColor="text1" w:themeTint="F2"/>
                <w:spacing w:val="-2"/>
              </w:rPr>
              <w:t>–</w:t>
            </w:r>
            <w:r w:rsidRPr="00424A1B">
              <w:rPr>
                <w:rFonts w:eastAsia="Arial" w:cs="Arial"/>
                <w:spacing w:val="-2"/>
                <w:szCs w:val="20"/>
              </w:rPr>
              <w:t>1,0 %) však patří v tomto kontextu k nižším. Rychle rostoucí spotřebitelské ceny hovězího, zřetelně patrné v posledních čtvrtletích, mohou přimět konzumenty k hledání alternativ (např. větší příklon ke spotřebě vepřového masa). Dlouhodobě roste také výroba mléka. Jeho přímý nákup od producentů se v 1. pololetí meziročně zvýšil o 4,0 %, z toho samotný nákup této komodity mlékárnami ke zpracování se zvýšil o 3,6 %. Výkupní ceny mléka od tuzemských prvovýrobců se s ohledem na jeho aktuální nadbytek na evropském trhu dále snižovaly a</w:t>
            </w:r>
            <w:r w:rsidRPr="00424A1B">
              <w:rPr>
                <w:color w:val="0D0D0D" w:themeColor="text1" w:themeTint="F2"/>
                <w:spacing w:val="-2"/>
              </w:rPr>
              <w:t> </w:t>
            </w:r>
            <w:r w:rsidRPr="00424A1B">
              <w:rPr>
                <w:rFonts w:eastAsia="Arial" w:cs="Arial"/>
                <w:spacing w:val="-2"/>
                <w:szCs w:val="20"/>
              </w:rPr>
              <w:t>ve 2. čtvrtletí dosáhly hranice 10 korun za litr (u jakostní třídy Q).</w:t>
            </w:r>
          </w:p>
        </w:tc>
      </w:tr>
      <w:tr w:rsidR="00DD1A46" w:rsidRPr="004A0F58" w14:paraId="76E5D1C8" w14:textId="77777777" w:rsidTr="00E962EE">
        <w:trPr>
          <w:trHeight w:val="145"/>
        </w:trPr>
        <w:tc>
          <w:tcPr>
            <w:tcW w:w="1814" w:type="dxa"/>
            <w:tcMar>
              <w:left w:w="0" w:type="dxa"/>
            </w:tcMar>
          </w:tcPr>
          <w:p w14:paraId="7E980F06" w14:textId="77777777" w:rsidR="00DD1A46" w:rsidRDefault="00DD1A46" w:rsidP="00E962EE">
            <w:pPr>
              <w:pStyle w:val="Marginlie"/>
              <w:spacing w:after="240"/>
              <w:rPr>
                <w:color w:val="0D0D0D" w:themeColor="text1" w:themeTint="F2"/>
                <w:spacing w:val="0"/>
              </w:rPr>
            </w:pPr>
            <w:r>
              <w:rPr>
                <w:color w:val="0D0D0D" w:themeColor="text1" w:themeTint="F2"/>
                <w:spacing w:val="0"/>
              </w:rPr>
              <w:t>Letošní úroda základních obilovin i olejnin je zřetelně podprůměrná, především vlivem nízkých hektarových výnosů. Na druhou stranu v kvalitativních parametrech lze úrodu hodnotit jako převážně velmi dobrou.</w:t>
            </w:r>
          </w:p>
        </w:tc>
        <w:tc>
          <w:tcPr>
            <w:tcW w:w="181" w:type="dxa"/>
            <w:tcMar>
              <w:left w:w="0" w:type="dxa"/>
            </w:tcMar>
          </w:tcPr>
          <w:p w14:paraId="2A8558A2"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8A617A4" w14:textId="77777777" w:rsidR="00DD1A46" w:rsidRPr="00424A1B" w:rsidRDefault="00DD1A46" w:rsidP="00E962EE">
            <w:pPr>
              <w:rPr>
                <w:spacing w:val="-2"/>
              </w:rPr>
            </w:pPr>
            <w:r w:rsidRPr="00424A1B">
              <w:rPr>
                <w:color w:val="0D0D0D" w:themeColor="text1" w:themeTint="F2"/>
                <w:spacing w:val="-2"/>
              </w:rPr>
              <w:t>I dle třetího letošního odhadu sklizně (k 15. srpnu) se na rok 2026 očekává celkově znatelně slabší úroda základních plodin. Obilovin (vč. kukuřice na zrno) by se mělo sklidit 7,033 mil. tun (nejméně za posledních osm let, z toho u základních obilovin dokonce nejméně za posledních čtrnáct let) a řepky 805 tis. tun (nejméně za dvacet jedna let). Meziroční pokles úrody obilovin činí 17,2 % a 21,3 % u řepky, proti desetiletému průměru (za období 2016 až 2025) jde o redukci o 11,1 %, resp. 31,7 %. Příčinou meziročního poklesu je kombinace nepříznivého počasí letos v zimě, na jaře i v létě (zejména kvůli nedostatku srážek, vč. sněhu, zčásti pak i jarním mrazům), a vysoké srovnávací základny v důsledku velmi dobré loňské úrody (u obilovin byla nejvyšší po roce 2016). Dílčí vliv má i pokles osevních ploch – meziročně u základních obilovin o</w:t>
            </w:r>
            <w:r w:rsidRPr="00424A1B">
              <w:rPr>
                <w:rFonts w:eastAsia="Arial" w:cs="Arial"/>
                <w:spacing w:val="-2"/>
                <w:szCs w:val="20"/>
              </w:rPr>
              <w:t> </w:t>
            </w:r>
            <w:r w:rsidRPr="00424A1B">
              <w:rPr>
                <w:color w:val="0D0D0D" w:themeColor="text1" w:themeTint="F2"/>
                <w:spacing w:val="-2"/>
              </w:rPr>
              <w:t>2,1</w:t>
            </w:r>
            <w:r w:rsidRPr="00424A1B">
              <w:rPr>
                <w:rFonts w:eastAsia="Arial" w:cs="Arial"/>
                <w:spacing w:val="-2"/>
                <w:szCs w:val="20"/>
              </w:rPr>
              <w:t> </w:t>
            </w:r>
            <w:r w:rsidRPr="00424A1B">
              <w:rPr>
                <w:color w:val="0D0D0D" w:themeColor="text1" w:themeTint="F2"/>
                <w:spacing w:val="-2"/>
              </w:rPr>
              <w:t>% a řepky o 8,6 %</w:t>
            </w:r>
            <w:r w:rsidRPr="00424A1B">
              <w:rPr>
                <w:rStyle w:val="Znakapoznpodarou"/>
                <w:color w:val="0D0D0D" w:themeColor="text1" w:themeTint="F2"/>
                <w:spacing w:val="-2"/>
              </w:rPr>
              <w:footnoteReference w:id="1"/>
            </w:r>
            <w:r w:rsidRPr="00424A1B">
              <w:rPr>
                <w:color w:val="0D0D0D" w:themeColor="text1" w:themeTint="F2"/>
                <w:spacing w:val="-2"/>
              </w:rPr>
              <w:t>. V rámci obilovin se proti roku 2025 předpokládá vyšší úroda jen u váhově okrajových plodin – triticale a pšenice jarní, u nichž byl pokles hektarových výnosů kompenzován svižným nárůstem osevních ploch. Díky teplému a převážně suchému počasí v letních měsících probíhaly letošní žně nebývale rychlým tempem. To se pozitivně odrazilo na vyšší technologické kvalitě sklizeného zrna</w:t>
            </w:r>
            <w:r w:rsidRPr="00424A1B">
              <w:rPr>
                <w:rStyle w:val="Znakapoznpodarou"/>
                <w:color w:val="0D0D0D" w:themeColor="text1" w:themeTint="F2"/>
                <w:spacing w:val="-2"/>
              </w:rPr>
              <w:footnoteReference w:id="2"/>
            </w:r>
            <w:r w:rsidRPr="00424A1B">
              <w:rPr>
                <w:color w:val="0D0D0D" w:themeColor="text1" w:themeTint="F2"/>
                <w:spacing w:val="-2"/>
              </w:rPr>
              <w:t xml:space="preserve"> jak u potravinářské pšenice, tak sladovnického ječmene. Dle odhadu se předpokládá také výrazný meziroční pokles sklizně dalších plodin. Brambor by se mělo sklidit 544 tis. tun (–26,0 %), řepy cukrové 3,221 mil. tun (–18,4 %), kukuřice na zeleno 6,401 mil. tun (–19,9 %) a vojtěšky 301 tis. tun (–22,4 %).</w:t>
            </w:r>
          </w:p>
        </w:tc>
      </w:tr>
      <w:tr w:rsidR="00DD1A46" w:rsidRPr="004A0F58" w14:paraId="1B3F8E12" w14:textId="77777777" w:rsidTr="00E962EE">
        <w:trPr>
          <w:trHeight w:val="145"/>
        </w:trPr>
        <w:tc>
          <w:tcPr>
            <w:tcW w:w="1814" w:type="dxa"/>
            <w:tcMar>
              <w:left w:w="0" w:type="dxa"/>
            </w:tcMar>
          </w:tcPr>
          <w:p w14:paraId="69ADD260"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Na tuzemský průmysl působila na počátku roku řada negativních vnějších faktorů. Během jara se situace částečně zlepšovala.</w:t>
            </w:r>
          </w:p>
        </w:tc>
        <w:tc>
          <w:tcPr>
            <w:tcW w:w="181" w:type="dxa"/>
            <w:tcMar>
              <w:left w:w="0" w:type="dxa"/>
            </w:tcMar>
          </w:tcPr>
          <w:p w14:paraId="4C6C9C4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7DB4C6E7" w14:textId="77777777" w:rsidR="00DD1A46" w:rsidRPr="00424A1B" w:rsidRDefault="00DD1A46" w:rsidP="00E962EE">
            <w:pPr>
              <w:spacing w:after="200"/>
              <w:rPr>
                <w:color w:val="0D0D0D" w:themeColor="text1" w:themeTint="F2"/>
                <w:spacing w:val="-2"/>
              </w:rPr>
            </w:pPr>
            <w:r w:rsidRPr="00424A1B">
              <w:rPr>
                <w:color w:val="0D0D0D" w:themeColor="text1" w:themeTint="F2"/>
                <w:spacing w:val="-2"/>
              </w:rPr>
              <w:t>Po roce 2025, kdy se v tuzemském průmyslu dále stabilizovaly nákladové tlaky a přes kolísavý vývoj podmínek (i vlivem napětí v obchodních vztazích EU a USA) rostla zahraniční i domácí poptávka (mj. díky oživení investiční aktivity), došlo na počátku letošního roku ke zhoršení. Zpomalení již tak poměrně slabého hospodářského růstu v Unii (vč. pro Česko klíčových obchodních partnerů) umocnila březnová eskalace války na Blízkém východě. Ta vedla k rychlému a citelnému růstu světových cen klíčových energetických komodit a dalších surovin, navíc oslabila (zejména v eurozóně) křehkou podnikatelskou i spotřebitelskou důvěru a zvýšila riziko širších i hlubších dopadů u tradičních výrobních odvětví (v důsledku narušení globálních dodavatelských řetězců). Nicméně ve 2. čtvrtletí 2026 se ceny některých komodit stabilizovaly a důvěra v klíčových ekonomikách se částečně zotavila.</w:t>
            </w:r>
          </w:p>
        </w:tc>
      </w:tr>
      <w:tr w:rsidR="00DD1A46" w:rsidRPr="004A0F58" w14:paraId="1B985CE1" w14:textId="77777777" w:rsidTr="00E962EE">
        <w:trPr>
          <w:trHeight w:val="145"/>
        </w:trPr>
        <w:tc>
          <w:tcPr>
            <w:tcW w:w="1814" w:type="dxa"/>
            <w:tcMar>
              <w:left w:w="0" w:type="dxa"/>
            </w:tcMar>
          </w:tcPr>
          <w:p w14:paraId="703A0FA5"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lastRenderedPageBreak/>
              <w:t xml:space="preserve">Zejména díky investičně zaměřeným oborům průmyslová produkce během 2. čtvrtletí ožila </w:t>
            </w:r>
            <w:r>
              <w:rPr>
                <w:color w:val="0D0D0D" w:themeColor="text1" w:themeTint="F2"/>
                <w:spacing w:val="0"/>
              </w:rPr>
              <w:br/>
              <w:t>a překonala tak dílčí útlum z počátku roku.</w:t>
            </w:r>
          </w:p>
        </w:tc>
        <w:tc>
          <w:tcPr>
            <w:tcW w:w="181" w:type="dxa"/>
            <w:tcMar>
              <w:left w:w="0" w:type="dxa"/>
            </w:tcMar>
          </w:tcPr>
          <w:p w14:paraId="7E77153D"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976BF5E" w14:textId="77777777" w:rsidR="00DD1A46" w:rsidRPr="00A3673B" w:rsidRDefault="00DD1A46" w:rsidP="00E962EE">
            <w:pPr>
              <w:spacing w:after="200"/>
              <w:rPr>
                <w:color w:val="0D0D0D" w:themeColor="text1" w:themeTint="F2"/>
                <w:spacing w:val="-2"/>
              </w:rPr>
            </w:pPr>
            <w:r w:rsidRPr="00A3673B">
              <w:rPr>
                <w:color w:val="0D0D0D" w:themeColor="text1" w:themeTint="F2"/>
                <w:spacing w:val="-2"/>
              </w:rPr>
              <w:t>Na tuto situaci reagoval i tuzemský průmysl</w:t>
            </w:r>
            <w:r>
              <w:rPr>
                <w:color w:val="0D0D0D" w:themeColor="text1" w:themeTint="F2"/>
                <w:spacing w:val="-2"/>
              </w:rPr>
              <w:t>. J</w:t>
            </w:r>
            <w:r w:rsidRPr="00A3673B">
              <w:rPr>
                <w:color w:val="0D0D0D" w:themeColor="text1" w:themeTint="F2"/>
                <w:spacing w:val="-2"/>
              </w:rPr>
              <w:t>eho produkce</w:t>
            </w:r>
            <w:r w:rsidRPr="00A3673B">
              <w:rPr>
                <w:rStyle w:val="Znakapoznpodarou"/>
                <w:color w:val="0D0D0D" w:themeColor="text1" w:themeTint="F2"/>
                <w:spacing w:val="-2"/>
              </w:rPr>
              <w:footnoteReference w:id="3"/>
            </w:r>
            <w:r w:rsidRPr="00A3673B">
              <w:rPr>
                <w:color w:val="0D0D0D" w:themeColor="text1" w:themeTint="F2"/>
                <w:spacing w:val="-2"/>
              </w:rPr>
              <w:t xml:space="preserve"> se po výraznějším oživení, jež nastalo ve 4. čtvrtletí 2025, na počátku letošního roku mezikvartálně mírně snížila (o</w:t>
            </w:r>
            <w:r w:rsidRPr="00C87B0B">
              <w:rPr>
                <w:color w:val="0D0D0D" w:themeColor="text1" w:themeTint="F2"/>
                <w:spacing w:val="-4"/>
              </w:rPr>
              <w:t> </w:t>
            </w:r>
            <w:r w:rsidRPr="00A3673B">
              <w:rPr>
                <w:color w:val="0D0D0D" w:themeColor="text1" w:themeTint="F2"/>
                <w:spacing w:val="-2"/>
              </w:rPr>
              <w:t xml:space="preserve">0,9 %). Na tomto poklesu se podílely zejména investičně zaměřené obory a také relativně malý segment oborů vyrábějících produkty dlouhodobé spotřeby (ten se ovšem s útlumem poptávky potýkal i po většinu loňského roku). Ve 2. čtvrtletí se </w:t>
            </w:r>
            <w:r>
              <w:rPr>
                <w:color w:val="0D0D0D" w:themeColor="text1" w:themeTint="F2"/>
                <w:spacing w:val="-2"/>
              </w:rPr>
              <w:t>ale</w:t>
            </w:r>
            <w:r w:rsidRPr="00A3673B">
              <w:rPr>
                <w:color w:val="0D0D0D" w:themeColor="text1" w:themeTint="F2"/>
                <w:spacing w:val="-2"/>
              </w:rPr>
              <w:t xml:space="preserve"> výkon průmyslu zvýšil o rovná </w:t>
            </w:r>
            <w:r>
              <w:rPr>
                <w:color w:val="0D0D0D" w:themeColor="text1" w:themeTint="F2"/>
                <w:spacing w:val="-2"/>
              </w:rPr>
              <w:t>1,9</w:t>
            </w:r>
            <w:r w:rsidRPr="00A3673B">
              <w:rPr>
                <w:color w:val="0D0D0D" w:themeColor="text1" w:themeTint="F2"/>
                <w:spacing w:val="-2"/>
              </w:rPr>
              <w:t xml:space="preserve"> %, neboť se zotavila poptávka v investičně zaměřených oborech </w:t>
            </w:r>
            <w:r>
              <w:rPr>
                <w:color w:val="0D0D0D" w:themeColor="text1" w:themeTint="F2"/>
                <w:spacing w:val="-2"/>
              </w:rPr>
              <w:t>a segmentech vyrábějících</w:t>
            </w:r>
            <w:r w:rsidRPr="00C87B0B">
              <w:rPr>
                <w:color w:val="0D0D0D" w:themeColor="text1" w:themeTint="F2"/>
                <w:spacing w:val="-4"/>
              </w:rPr>
              <w:t> </w:t>
            </w:r>
            <w:r w:rsidRPr="00A3673B">
              <w:rPr>
                <w:color w:val="0D0D0D" w:themeColor="text1" w:themeTint="F2"/>
                <w:spacing w:val="-2"/>
              </w:rPr>
              <w:t>meziprodukt</w:t>
            </w:r>
            <w:r>
              <w:rPr>
                <w:color w:val="0D0D0D" w:themeColor="text1" w:themeTint="F2"/>
                <w:spacing w:val="-2"/>
              </w:rPr>
              <w:t>y</w:t>
            </w:r>
            <w:r w:rsidRPr="00A3673B">
              <w:rPr>
                <w:color w:val="0D0D0D" w:themeColor="text1" w:themeTint="F2"/>
                <w:spacing w:val="-2"/>
              </w:rPr>
              <w:t xml:space="preserve"> a </w:t>
            </w:r>
            <w:proofErr w:type="spellStart"/>
            <w:r w:rsidRPr="00A3673B">
              <w:rPr>
                <w:color w:val="0D0D0D" w:themeColor="text1" w:themeTint="F2"/>
                <w:spacing w:val="-2"/>
              </w:rPr>
              <w:t>prorůstově</w:t>
            </w:r>
            <w:proofErr w:type="spellEnd"/>
            <w:r w:rsidRPr="00A3673B">
              <w:rPr>
                <w:color w:val="0D0D0D" w:themeColor="text1" w:themeTint="F2"/>
                <w:spacing w:val="-2"/>
              </w:rPr>
              <w:t xml:space="preserve"> působila také energetika. Celková průmyslová produkce se tak udržela mírně nad úrovní z vrcholu z období poslední konjunktury, resp. 2. čtvrtletí 2019 (2,</w:t>
            </w:r>
            <w:r>
              <w:rPr>
                <w:color w:val="0D0D0D" w:themeColor="text1" w:themeTint="F2"/>
                <w:spacing w:val="-2"/>
              </w:rPr>
              <w:t>2</w:t>
            </w:r>
            <w:r w:rsidRPr="00A3673B">
              <w:rPr>
                <w:color w:val="0D0D0D" w:themeColor="text1" w:themeTint="F2"/>
                <w:spacing w:val="-2"/>
              </w:rPr>
              <w:t xml:space="preserve"> %)</w:t>
            </w:r>
            <w:r w:rsidRPr="00A3673B">
              <w:rPr>
                <w:rStyle w:val="Znakapoznpodarou"/>
                <w:color w:val="0D0D0D" w:themeColor="text1" w:themeTint="F2"/>
                <w:spacing w:val="-2"/>
              </w:rPr>
              <w:footnoteReference w:id="4"/>
            </w:r>
            <w:r w:rsidRPr="00A3673B">
              <w:rPr>
                <w:color w:val="0D0D0D" w:themeColor="text1" w:themeTint="F2"/>
                <w:spacing w:val="-2"/>
              </w:rPr>
              <w:t>.</w:t>
            </w:r>
          </w:p>
        </w:tc>
      </w:tr>
      <w:tr w:rsidR="00DD1A46" w:rsidRPr="004A0F58" w14:paraId="0BBB06AA" w14:textId="77777777" w:rsidTr="00E962EE">
        <w:trPr>
          <w:trHeight w:val="145"/>
        </w:trPr>
        <w:tc>
          <w:tcPr>
            <w:tcW w:w="1814" w:type="dxa"/>
            <w:tcMar>
              <w:left w:w="0" w:type="dxa"/>
            </w:tcMar>
          </w:tcPr>
          <w:p w14:paraId="3F2FF483" w14:textId="77777777" w:rsidR="00DD1A46" w:rsidRDefault="00DD1A46" w:rsidP="00E962EE">
            <w:pPr>
              <w:pStyle w:val="Marginlie"/>
              <w:spacing w:after="240"/>
              <w:rPr>
                <w:color w:val="0D0D0D" w:themeColor="text1" w:themeTint="F2"/>
                <w:spacing w:val="0"/>
              </w:rPr>
            </w:pPr>
            <w:r w:rsidRPr="004A0F58">
              <w:rPr>
                <w:color w:val="0D0D0D" w:themeColor="text1" w:themeTint="F2"/>
                <w:spacing w:val="0"/>
              </w:rPr>
              <w:t>K mírnému růstu průmyslové produkce letos nejvíce přispěla výroba dopravních prostředků</w:t>
            </w:r>
            <w:r>
              <w:rPr>
                <w:color w:val="0D0D0D" w:themeColor="text1" w:themeTint="F2"/>
                <w:spacing w:val="0"/>
              </w:rPr>
              <w:t xml:space="preserve"> a většina dalších investičně orientovaných oborů v čele s kovodělným průmyslem.</w:t>
            </w:r>
            <w:r w:rsidRPr="004A0F58">
              <w:rPr>
                <w:color w:val="0D0D0D" w:themeColor="text1" w:themeTint="F2"/>
                <w:spacing w:val="0"/>
              </w:rPr>
              <w:t xml:space="preserve"> </w:t>
            </w:r>
          </w:p>
          <w:p w14:paraId="2DC41816" w14:textId="77777777" w:rsidR="00DD1A46" w:rsidRDefault="00DD1A46" w:rsidP="00E962EE">
            <w:pPr>
              <w:pStyle w:val="Marginlie"/>
              <w:rPr>
                <w:color w:val="0D0D0D" w:themeColor="text1" w:themeTint="F2"/>
                <w:spacing w:val="0"/>
              </w:rPr>
            </w:pPr>
          </w:p>
          <w:p w14:paraId="56DCDD4E" w14:textId="77777777" w:rsidR="00DD1A46" w:rsidRDefault="00DD1A46" w:rsidP="00E962EE">
            <w:pPr>
              <w:pStyle w:val="Marginlie"/>
              <w:rPr>
                <w:color w:val="0D0D0D" w:themeColor="text1" w:themeTint="F2"/>
                <w:spacing w:val="0"/>
              </w:rPr>
            </w:pPr>
          </w:p>
          <w:p w14:paraId="7222E6F4" w14:textId="77777777" w:rsidR="00DD1A46" w:rsidRDefault="00DD1A46" w:rsidP="00E962EE">
            <w:pPr>
              <w:pStyle w:val="Marginlie"/>
              <w:rPr>
                <w:color w:val="0D0D0D" w:themeColor="text1" w:themeTint="F2"/>
                <w:spacing w:val="0"/>
              </w:rPr>
            </w:pPr>
          </w:p>
          <w:p w14:paraId="400314E1" w14:textId="77777777" w:rsidR="00DD1A46" w:rsidRDefault="00DD1A46" w:rsidP="00E962EE">
            <w:pPr>
              <w:pStyle w:val="Marginlie"/>
              <w:rPr>
                <w:color w:val="0D0D0D" w:themeColor="text1" w:themeTint="F2"/>
                <w:spacing w:val="0"/>
              </w:rPr>
            </w:pPr>
          </w:p>
          <w:p w14:paraId="5144C77D" w14:textId="77777777" w:rsidR="00DD1A46" w:rsidRDefault="00DD1A46" w:rsidP="00E962EE">
            <w:pPr>
              <w:pStyle w:val="Marginlie"/>
              <w:rPr>
                <w:color w:val="0D0D0D" w:themeColor="text1" w:themeTint="F2"/>
                <w:spacing w:val="0"/>
              </w:rPr>
            </w:pPr>
          </w:p>
          <w:p w14:paraId="56A5F8C0" w14:textId="77777777" w:rsidR="00DD1A46" w:rsidRDefault="00DD1A46" w:rsidP="00E962EE">
            <w:pPr>
              <w:pStyle w:val="Marginlie"/>
              <w:rPr>
                <w:color w:val="0D0D0D" w:themeColor="text1" w:themeTint="F2"/>
                <w:spacing w:val="0"/>
              </w:rPr>
            </w:pPr>
          </w:p>
          <w:p w14:paraId="3844BEA2" w14:textId="77777777" w:rsidR="00DD1A46" w:rsidRDefault="00DD1A46" w:rsidP="00E962EE">
            <w:pPr>
              <w:pStyle w:val="Marginlie"/>
              <w:rPr>
                <w:color w:val="0D0D0D" w:themeColor="text1" w:themeTint="F2"/>
                <w:spacing w:val="0"/>
              </w:rPr>
            </w:pPr>
          </w:p>
          <w:p w14:paraId="4052215F"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Během jarních měsíců výrazně zrychlila produkce v elektronickém průmyslu.</w:t>
            </w:r>
          </w:p>
        </w:tc>
        <w:tc>
          <w:tcPr>
            <w:tcW w:w="181" w:type="dxa"/>
            <w:tcMar>
              <w:left w:w="0" w:type="dxa"/>
            </w:tcMar>
          </w:tcPr>
          <w:p w14:paraId="29D70F28"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A6D3C9C"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 xml:space="preserve">Za celé 1. pololetí 2026 se výkon průmyslu meziročně zvýšil o </w:t>
            </w:r>
            <w:r>
              <w:rPr>
                <w:color w:val="0D0D0D" w:themeColor="text1" w:themeTint="F2"/>
                <w:spacing w:val="-4"/>
              </w:rPr>
              <w:t>1</w:t>
            </w:r>
            <w:r w:rsidRPr="00C87B0B">
              <w:rPr>
                <w:color w:val="0D0D0D" w:themeColor="text1" w:themeTint="F2"/>
                <w:spacing w:val="-4"/>
              </w:rPr>
              <w:t>,</w:t>
            </w:r>
            <w:r>
              <w:rPr>
                <w:color w:val="0D0D0D" w:themeColor="text1" w:themeTint="F2"/>
                <w:spacing w:val="-4"/>
              </w:rPr>
              <w:t>9</w:t>
            </w:r>
            <w:r w:rsidRPr="00C87B0B">
              <w:rPr>
                <w:color w:val="0D0D0D" w:themeColor="text1" w:themeTint="F2"/>
                <w:spacing w:val="-4"/>
              </w:rPr>
              <w:t xml:space="preserve"> % a na mírné růstové trajektorii se pohyboval již od počátku loňského roku. I přes toto skromnější tempo se produkce navyšovala v drtivé většině významnějších oborů. Letošní vývoj byl nejvíce ovlivněn oborem výroby motorových vozidel, jehož výkon se zvýšil o 3,3 % − tedy nejvíce za poslední dva a půl roku. Projevil se zde lehký růst domácí i zahraniční poptávky. Kromě finálních výrobců vozidel</w:t>
            </w:r>
            <w:r w:rsidRPr="00C87B0B">
              <w:rPr>
                <w:rStyle w:val="Znakapoznpodarou"/>
                <w:color w:val="0D0D0D" w:themeColor="text1" w:themeTint="F2"/>
                <w:spacing w:val="-4"/>
              </w:rPr>
              <w:footnoteReference w:id="5"/>
            </w:r>
            <w:r w:rsidRPr="00C87B0B">
              <w:rPr>
                <w:color w:val="0D0D0D" w:themeColor="text1" w:themeTint="F2"/>
                <w:spacing w:val="-4"/>
              </w:rPr>
              <w:t xml:space="preserve"> ovlivňují významně výkon výše uvedeného oboru také tuzemští subdodavatelé autodílů (působící v rámci odvětví automobilového průmyslu). Pokračoval dynamický růst menšího oboru výroby ostatních (zejména kolejových) dopravních prostředků, jenž profitoval z dlouhodobější preference nízkoemisní dopravy a v posledních letech také z rostoucích veřejných výdajů v oblasti obrany a bezpečnosti. V jeho růstu (+11,</w:t>
            </w:r>
            <w:r>
              <w:rPr>
                <w:color w:val="0D0D0D" w:themeColor="text1" w:themeTint="F2"/>
                <w:spacing w:val="-4"/>
              </w:rPr>
              <w:t>1</w:t>
            </w:r>
            <w:r w:rsidRPr="00C87B0B">
              <w:rPr>
                <w:color w:val="0D0D0D" w:themeColor="text1" w:themeTint="F2"/>
                <w:spacing w:val="-4"/>
              </w:rPr>
              <w:t xml:space="preserve"> %), nejvyšším ze všech </w:t>
            </w:r>
            <w:r>
              <w:rPr>
                <w:color w:val="0D0D0D" w:themeColor="text1" w:themeTint="F2"/>
                <w:spacing w:val="-4"/>
              </w:rPr>
              <w:t>zpracovatelských</w:t>
            </w:r>
            <w:r w:rsidRPr="00C87B0B">
              <w:rPr>
                <w:color w:val="0D0D0D" w:themeColor="text1" w:themeTint="F2"/>
                <w:spacing w:val="-4"/>
              </w:rPr>
              <w:t xml:space="preserve"> oborů, se letos odrazila především silná domácí poptávka</w:t>
            </w:r>
            <w:r>
              <w:rPr>
                <w:rStyle w:val="Znakapoznpodarou"/>
                <w:color w:val="0D0D0D" w:themeColor="text1" w:themeTint="F2"/>
                <w:spacing w:val="-4"/>
              </w:rPr>
              <w:footnoteReference w:id="6"/>
            </w:r>
            <w:r w:rsidRPr="00C87B0B">
              <w:rPr>
                <w:color w:val="0D0D0D" w:themeColor="text1" w:themeTint="F2"/>
                <w:spacing w:val="-4"/>
              </w:rPr>
              <w:t>. Rozvíjely se rovněž další investičně zaměřené obory. Nadále se dařilo i diverzifikované</w:t>
            </w:r>
            <w:r>
              <w:rPr>
                <w:color w:val="0D0D0D" w:themeColor="text1" w:themeTint="F2"/>
                <w:spacing w:val="-4"/>
              </w:rPr>
              <w:t>mu</w:t>
            </w:r>
            <w:r w:rsidRPr="00C87B0B">
              <w:rPr>
                <w:color w:val="0D0D0D" w:themeColor="text1" w:themeTint="F2"/>
                <w:spacing w:val="-4"/>
              </w:rPr>
              <w:t xml:space="preserve"> kovodělnému průmyslu (+4,</w:t>
            </w:r>
            <w:r>
              <w:rPr>
                <w:color w:val="0D0D0D" w:themeColor="text1" w:themeTint="F2"/>
                <w:spacing w:val="-4"/>
              </w:rPr>
              <w:t>3</w:t>
            </w:r>
            <w:r w:rsidRPr="00C87B0B">
              <w:rPr>
                <w:color w:val="0D0D0D" w:themeColor="text1" w:themeTint="F2"/>
                <w:spacing w:val="-4"/>
              </w:rPr>
              <w:t xml:space="preserve"> %), jemuž pomáhal malý, ale stále dynamický segment zbrojní výroby. Výroba kovových konstrukcí ale nacházela uplatnění také v automobilovém průmyslu a stavebnictví. Po slabším loňském roku výrazně ožila produkce ve výrobě počítačů, elektronických a optických přístrojů (+8,</w:t>
            </w:r>
            <w:r>
              <w:rPr>
                <w:color w:val="0D0D0D" w:themeColor="text1" w:themeTint="F2"/>
                <w:spacing w:val="-4"/>
              </w:rPr>
              <w:t>8</w:t>
            </w:r>
            <w:r w:rsidRPr="00C87B0B">
              <w:rPr>
                <w:color w:val="0D0D0D" w:themeColor="text1" w:themeTint="F2"/>
                <w:spacing w:val="-4"/>
              </w:rPr>
              <w:t> %), a to hlavně díky 2. čtvrtletí 2026, kdy byl její růst nejvyšší za poslední</w:t>
            </w:r>
            <w:r>
              <w:rPr>
                <w:color w:val="0D0D0D" w:themeColor="text1" w:themeTint="F2"/>
                <w:spacing w:val="-4"/>
              </w:rPr>
              <w:t>ch osm</w:t>
            </w:r>
            <w:r w:rsidRPr="00C87B0B">
              <w:rPr>
                <w:color w:val="0D0D0D" w:themeColor="text1" w:themeTint="F2"/>
                <w:spacing w:val="-4"/>
              </w:rPr>
              <w:t xml:space="preserve"> a půl roku (+1</w:t>
            </w:r>
            <w:r>
              <w:rPr>
                <w:color w:val="0D0D0D" w:themeColor="text1" w:themeTint="F2"/>
                <w:spacing w:val="-4"/>
              </w:rPr>
              <w:t>4</w:t>
            </w:r>
            <w:r w:rsidRPr="00C87B0B">
              <w:rPr>
                <w:color w:val="0D0D0D" w:themeColor="text1" w:themeTint="F2"/>
                <w:spacing w:val="-4"/>
              </w:rPr>
              <w:t>,</w:t>
            </w:r>
            <w:r>
              <w:rPr>
                <w:color w:val="0D0D0D" w:themeColor="text1" w:themeTint="F2"/>
                <w:spacing w:val="-4"/>
              </w:rPr>
              <w:t>0</w:t>
            </w:r>
            <w:r w:rsidRPr="00C87B0B">
              <w:rPr>
                <w:color w:val="0D0D0D" w:themeColor="text1" w:themeTint="F2"/>
                <w:spacing w:val="-4"/>
              </w:rPr>
              <w:t xml:space="preserve"> %). Tento vývoj předznamenávaly silně rostoucí dovozy výrobních komponent </w:t>
            </w:r>
            <w:r>
              <w:rPr>
                <w:color w:val="0D0D0D" w:themeColor="text1" w:themeTint="F2"/>
                <w:spacing w:val="-4"/>
              </w:rPr>
              <w:t xml:space="preserve">již </w:t>
            </w:r>
            <w:r w:rsidRPr="00C87B0B">
              <w:rPr>
                <w:color w:val="0D0D0D" w:themeColor="text1" w:themeTint="F2"/>
                <w:spacing w:val="-4"/>
              </w:rPr>
              <w:t>na počátku letošního roku. Na výkon tohoto oboru vedle tradičně klíčové zahraniční poptávky působila i tuzemská, částečně podporována pokračujícím rozvojem fotovoltaiky. Všechny výše uvedené investičně zaměřené obory přispěly v 1. pololetí k růstu celého průmyslu 1,5</w:t>
            </w:r>
            <w:r>
              <w:rPr>
                <w:color w:val="0D0D0D" w:themeColor="text1" w:themeTint="F2"/>
                <w:spacing w:val="-4"/>
              </w:rPr>
              <w:t xml:space="preserve">5 </w:t>
            </w:r>
            <w:r w:rsidRPr="00C87B0B">
              <w:rPr>
                <w:color w:val="0D0D0D" w:themeColor="text1" w:themeTint="F2"/>
                <w:spacing w:val="-4"/>
              </w:rPr>
              <w:t xml:space="preserve">p. b., z toho samotná výroba motorových vozidel 0,65 p. b. </w:t>
            </w:r>
          </w:p>
        </w:tc>
      </w:tr>
      <w:tr w:rsidR="00DD1A46" w:rsidRPr="004A0F58" w14:paraId="5AC50362" w14:textId="77777777" w:rsidTr="00E962EE">
        <w:trPr>
          <w:trHeight w:val="145"/>
        </w:trPr>
        <w:tc>
          <w:tcPr>
            <w:tcW w:w="1814" w:type="dxa"/>
            <w:tcMar>
              <w:left w:w="0" w:type="dxa"/>
            </w:tcMar>
          </w:tcPr>
          <w:p w14:paraId="20FB6101" w14:textId="77777777" w:rsidR="00DD1A46" w:rsidRPr="004A0F58" w:rsidRDefault="00DD1A46" w:rsidP="00E962EE">
            <w:pPr>
              <w:pStyle w:val="Marginlie"/>
              <w:spacing w:after="240"/>
              <w:rPr>
                <w:color w:val="0D0D0D" w:themeColor="text1" w:themeTint="F2"/>
                <w:spacing w:val="0"/>
              </w:rPr>
            </w:pPr>
            <w:bookmarkStart w:id="4" w:name="_Hlk238599940"/>
            <w:r>
              <w:rPr>
                <w:color w:val="0D0D0D" w:themeColor="text1" w:themeTint="F2"/>
                <w:spacing w:val="0"/>
              </w:rPr>
              <w:t>E</w:t>
            </w:r>
            <w:r w:rsidRPr="004A0F58">
              <w:rPr>
                <w:color w:val="0D0D0D" w:themeColor="text1" w:themeTint="F2"/>
                <w:spacing w:val="0"/>
              </w:rPr>
              <w:t>nergeticky náročn</w:t>
            </w:r>
            <w:r>
              <w:rPr>
                <w:color w:val="0D0D0D" w:themeColor="text1" w:themeTint="F2"/>
                <w:spacing w:val="0"/>
              </w:rPr>
              <w:t>é</w:t>
            </w:r>
            <w:r w:rsidRPr="004A0F58">
              <w:rPr>
                <w:color w:val="0D0D0D" w:themeColor="text1" w:themeTint="F2"/>
                <w:spacing w:val="0"/>
              </w:rPr>
              <w:t xml:space="preserve"> obor</w:t>
            </w:r>
            <w:r>
              <w:rPr>
                <w:color w:val="0D0D0D" w:themeColor="text1" w:themeTint="F2"/>
                <w:spacing w:val="0"/>
              </w:rPr>
              <w:t>y</w:t>
            </w:r>
            <w:r w:rsidRPr="004A0F58">
              <w:rPr>
                <w:color w:val="0D0D0D" w:themeColor="text1" w:themeTint="F2"/>
                <w:spacing w:val="0"/>
              </w:rPr>
              <w:t xml:space="preserve"> </w:t>
            </w:r>
            <w:r>
              <w:rPr>
                <w:color w:val="0D0D0D" w:themeColor="text1" w:themeTint="F2"/>
                <w:spacing w:val="0"/>
              </w:rPr>
              <w:t xml:space="preserve">hutnictví, slévárenství </w:t>
            </w:r>
            <w:r>
              <w:rPr>
                <w:color w:val="0D0D0D" w:themeColor="text1" w:themeTint="F2"/>
                <w:spacing w:val="0"/>
              </w:rPr>
              <w:br/>
              <w:t>a chemického průmyslu navázaly na</w:t>
            </w:r>
            <w:r w:rsidRPr="004A0F58">
              <w:rPr>
                <w:color w:val="0D0D0D" w:themeColor="text1" w:themeTint="F2"/>
                <w:spacing w:val="0"/>
              </w:rPr>
              <w:t xml:space="preserve"> </w:t>
            </w:r>
            <w:r>
              <w:rPr>
                <w:color w:val="0D0D0D" w:themeColor="text1" w:themeTint="F2"/>
                <w:spacing w:val="0"/>
              </w:rPr>
              <w:t>loňské</w:t>
            </w:r>
            <w:r w:rsidRPr="004A0F58">
              <w:rPr>
                <w:color w:val="0D0D0D" w:themeColor="text1" w:themeTint="F2"/>
                <w:spacing w:val="0"/>
              </w:rPr>
              <w:t xml:space="preserve"> oživení.</w:t>
            </w:r>
          </w:p>
        </w:tc>
        <w:tc>
          <w:tcPr>
            <w:tcW w:w="181" w:type="dxa"/>
            <w:tcMar>
              <w:left w:w="0" w:type="dxa"/>
            </w:tcMar>
          </w:tcPr>
          <w:p w14:paraId="66C53482"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67C5491"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 xml:space="preserve">Průmyslovou produkci letos podpořila rovněž drtivá většina energeticky náročnějších oborů vyrábějících meziprodukty. Největší vliv mělo gumárenství a </w:t>
            </w:r>
            <w:proofErr w:type="spellStart"/>
            <w:r w:rsidRPr="00C87B0B">
              <w:rPr>
                <w:color w:val="0D0D0D" w:themeColor="text1" w:themeTint="F2"/>
                <w:spacing w:val="-4"/>
              </w:rPr>
              <w:t>plastikářství</w:t>
            </w:r>
            <w:proofErr w:type="spellEnd"/>
            <w:r w:rsidRPr="00C87B0B">
              <w:rPr>
                <w:color w:val="0D0D0D" w:themeColor="text1" w:themeTint="F2"/>
                <w:spacing w:val="-4"/>
              </w:rPr>
              <w:t xml:space="preserve">, jehož </w:t>
            </w:r>
            <w:r>
              <w:rPr>
                <w:color w:val="0D0D0D" w:themeColor="text1" w:themeTint="F2"/>
                <w:spacing w:val="-4"/>
              </w:rPr>
              <w:t>2,5</w:t>
            </w:r>
            <w:r w:rsidRPr="00C87B0B">
              <w:rPr>
                <w:color w:val="0D0D0D" w:themeColor="text1" w:themeTint="F2"/>
                <w:spacing w:val="-4"/>
              </w:rPr>
              <w:t>% růst vyvěral zejména z vyšší domácí poptávky ze strany automobilového průmyslu. Chemický průmysl navázal na oživení z druhé poloviny roku 2025 a letos posílil o 4,</w:t>
            </w:r>
            <w:r>
              <w:rPr>
                <w:color w:val="0D0D0D" w:themeColor="text1" w:themeTint="F2"/>
                <w:spacing w:val="-4"/>
              </w:rPr>
              <w:t>2</w:t>
            </w:r>
            <w:r w:rsidRPr="00C87B0B">
              <w:rPr>
                <w:color w:val="0D0D0D" w:themeColor="text1" w:themeTint="F2"/>
                <w:spacing w:val="-4"/>
              </w:rPr>
              <w:t xml:space="preserve"> % (nejvíce za poslední čtyři a půl roku), z drtivé části vlivem vyšší zahraniční poptávky. Ta podpořila i produkci hutnictví</w:t>
            </w:r>
            <w:r>
              <w:rPr>
                <w:color w:val="0D0D0D" w:themeColor="text1" w:themeTint="F2"/>
                <w:spacing w:val="-4"/>
              </w:rPr>
              <w:t>, vč.</w:t>
            </w:r>
            <w:r w:rsidRPr="00C87B0B">
              <w:rPr>
                <w:color w:val="0D0D0D" w:themeColor="text1" w:themeTint="F2"/>
                <w:spacing w:val="-4"/>
              </w:rPr>
              <w:t xml:space="preserve"> slévárenství (+</w:t>
            </w:r>
            <w:r>
              <w:rPr>
                <w:color w:val="0D0D0D" w:themeColor="text1" w:themeTint="F2"/>
                <w:spacing w:val="-4"/>
              </w:rPr>
              <w:t>5</w:t>
            </w:r>
            <w:r w:rsidRPr="00C87B0B">
              <w:rPr>
                <w:color w:val="0D0D0D" w:themeColor="text1" w:themeTint="F2"/>
                <w:spacing w:val="-4"/>
              </w:rPr>
              <w:t xml:space="preserve">,1 %), které tak navázalo na loňské </w:t>
            </w:r>
            <w:r>
              <w:rPr>
                <w:color w:val="0D0D0D" w:themeColor="text1" w:themeTint="F2"/>
                <w:spacing w:val="-4"/>
              </w:rPr>
              <w:t>dílčí zotavení</w:t>
            </w:r>
            <w:r w:rsidRPr="00C87B0B">
              <w:rPr>
                <w:color w:val="0D0D0D" w:themeColor="text1" w:themeTint="F2"/>
                <w:spacing w:val="-4"/>
              </w:rPr>
              <w:t xml:space="preserve"> (po hlubokém útlumu </w:t>
            </w:r>
            <w:r>
              <w:rPr>
                <w:color w:val="0D0D0D" w:themeColor="text1" w:themeTint="F2"/>
                <w:spacing w:val="-4"/>
              </w:rPr>
              <w:t xml:space="preserve">produkce </w:t>
            </w:r>
            <w:r w:rsidRPr="00C87B0B">
              <w:rPr>
                <w:color w:val="0D0D0D" w:themeColor="text1" w:themeTint="F2"/>
                <w:spacing w:val="-4"/>
              </w:rPr>
              <w:t>v letech 2022 až 2024</w:t>
            </w:r>
            <w:r w:rsidRPr="00C87B0B">
              <w:rPr>
                <w:rStyle w:val="Znakapoznpodarou"/>
                <w:color w:val="0D0D0D" w:themeColor="text1" w:themeTint="F2"/>
                <w:spacing w:val="-4"/>
              </w:rPr>
              <w:footnoteReference w:id="7"/>
            </w:r>
            <w:r w:rsidRPr="00C87B0B">
              <w:rPr>
                <w:color w:val="0D0D0D" w:themeColor="text1" w:themeTint="F2"/>
                <w:spacing w:val="-4"/>
              </w:rPr>
              <w:t>, nejdelším a nejhlubším v současném miléniu). Mírnější (1</w:t>
            </w:r>
            <w:r>
              <w:rPr>
                <w:color w:val="0D0D0D" w:themeColor="text1" w:themeTint="F2"/>
                <w:spacing w:val="-4"/>
              </w:rPr>
              <w:t>,0</w:t>
            </w:r>
            <w:r w:rsidRPr="00C87B0B">
              <w:rPr>
                <w:color w:val="0D0D0D" w:themeColor="text1" w:themeTint="F2"/>
                <w:spacing w:val="-4"/>
              </w:rPr>
              <w:t xml:space="preserve"> až 2</w:t>
            </w:r>
            <w:r>
              <w:rPr>
                <w:color w:val="0D0D0D" w:themeColor="text1" w:themeTint="F2"/>
                <w:spacing w:val="-4"/>
              </w:rPr>
              <w:t>,5</w:t>
            </w:r>
            <w:r w:rsidRPr="00C87B0B">
              <w:rPr>
                <w:color w:val="0D0D0D" w:themeColor="text1" w:themeTint="F2"/>
                <w:spacing w:val="-4"/>
              </w:rPr>
              <w:t xml:space="preserve">%) růst pak letos zaznamenala výroba elektrických zařízení </w:t>
            </w:r>
            <w:r>
              <w:rPr>
                <w:color w:val="0D0D0D" w:themeColor="text1" w:themeTint="F2"/>
                <w:spacing w:val="-4"/>
              </w:rPr>
              <w:br/>
            </w:r>
            <w:r w:rsidRPr="00C87B0B">
              <w:rPr>
                <w:color w:val="0D0D0D" w:themeColor="text1" w:themeTint="F2"/>
                <w:spacing w:val="-4"/>
              </w:rPr>
              <w:lastRenderedPageBreak/>
              <w:t>a také menší obory papírenství a t</w:t>
            </w:r>
            <w:r>
              <w:rPr>
                <w:color w:val="0D0D0D" w:themeColor="text1" w:themeTint="F2"/>
                <w:spacing w:val="-4"/>
              </w:rPr>
              <w:t>éž</w:t>
            </w:r>
            <w:r w:rsidRPr="00C87B0B">
              <w:rPr>
                <w:color w:val="0D0D0D" w:themeColor="text1" w:themeTint="F2"/>
                <w:spacing w:val="-4"/>
              </w:rPr>
              <w:t xml:space="preserve"> textilního průmyslu, jehož klíčová část je zaměřena na výrobu netkaných textilií užitých např. ve stavebnictví. Všechny výše uvedené obory přispěly souhrnně k růstu celého průmyslu 0,6</w:t>
            </w:r>
            <w:r>
              <w:rPr>
                <w:color w:val="0D0D0D" w:themeColor="text1" w:themeTint="F2"/>
                <w:spacing w:val="-4"/>
              </w:rPr>
              <w:t>4</w:t>
            </w:r>
            <w:r w:rsidRPr="00C87B0B">
              <w:rPr>
                <w:color w:val="0D0D0D" w:themeColor="text1" w:themeTint="F2"/>
                <w:spacing w:val="-4"/>
              </w:rPr>
              <w:t xml:space="preserve"> p. b. </w:t>
            </w:r>
          </w:p>
        </w:tc>
      </w:tr>
      <w:bookmarkEnd w:id="4"/>
      <w:tr w:rsidR="00DD1A46" w:rsidRPr="004A0F58" w14:paraId="42D2ACE4" w14:textId="77777777" w:rsidTr="00E962EE">
        <w:trPr>
          <w:trHeight w:val="145"/>
        </w:trPr>
        <w:tc>
          <w:tcPr>
            <w:tcW w:w="1814" w:type="dxa"/>
            <w:tcMar>
              <w:left w:w="0" w:type="dxa"/>
            </w:tcMar>
          </w:tcPr>
          <w:p w14:paraId="531FB618" w14:textId="77777777" w:rsidR="00DD1A46" w:rsidRDefault="00DD1A46" w:rsidP="00E962EE">
            <w:pPr>
              <w:pStyle w:val="Marginlie"/>
              <w:rPr>
                <w:color w:val="0D0D0D" w:themeColor="text1" w:themeTint="F2"/>
                <w:spacing w:val="0"/>
              </w:rPr>
            </w:pPr>
            <w:r>
              <w:rPr>
                <w:color w:val="0D0D0D" w:themeColor="text1" w:themeTint="F2"/>
                <w:spacing w:val="0"/>
              </w:rPr>
              <w:lastRenderedPageBreak/>
              <w:t>Výroba elektřiny se zvýšila především díky paroplynovým elektrárnám.</w:t>
            </w:r>
          </w:p>
          <w:p w14:paraId="02999B5A" w14:textId="77777777" w:rsidR="00DD1A46" w:rsidRDefault="00DD1A46" w:rsidP="00E962EE">
            <w:pPr>
              <w:pStyle w:val="Marginlie"/>
              <w:rPr>
                <w:color w:val="0D0D0D" w:themeColor="text1" w:themeTint="F2"/>
                <w:spacing w:val="0"/>
              </w:rPr>
            </w:pPr>
          </w:p>
          <w:p w14:paraId="59E97CFF" w14:textId="77777777" w:rsidR="00DD1A46" w:rsidRDefault="00DD1A46" w:rsidP="00E962EE">
            <w:pPr>
              <w:pStyle w:val="Marginlie"/>
              <w:rPr>
                <w:color w:val="0D0D0D" w:themeColor="text1" w:themeTint="F2"/>
                <w:spacing w:val="0"/>
              </w:rPr>
            </w:pPr>
          </w:p>
          <w:p w14:paraId="6D6D3068" w14:textId="77777777" w:rsidR="00DD1A46" w:rsidRDefault="00DD1A46" w:rsidP="00E962EE">
            <w:pPr>
              <w:pStyle w:val="Marginlie"/>
              <w:spacing w:line="240" w:lineRule="auto"/>
              <w:rPr>
                <w:color w:val="0D0D0D" w:themeColor="text1" w:themeTint="F2"/>
                <w:spacing w:val="0"/>
              </w:rPr>
            </w:pPr>
          </w:p>
          <w:p w14:paraId="10E6FA99" w14:textId="77777777" w:rsidR="00DD1A46" w:rsidRDefault="00DD1A46" w:rsidP="00E962EE">
            <w:pPr>
              <w:pStyle w:val="Marginlie"/>
              <w:spacing w:line="240" w:lineRule="auto"/>
              <w:rPr>
                <w:color w:val="0D0D0D" w:themeColor="text1" w:themeTint="F2"/>
                <w:spacing w:val="0"/>
              </w:rPr>
            </w:pPr>
          </w:p>
          <w:p w14:paraId="082879F4" w14:textId="77777777" w:rsidR="00DD1A46" w:rsidRPr="004A0F58" w:rsidRDefault="00DD1A46" w:rsidP="00E962EE">
            <w:pPr>
              <w:pStyle w:val="Marginlie"/>
              <w:spacing w:line="240" w:lineRule="auto"/>
              <w:rPr>
                <w:color w:val="0D0D0D" w:themeColor="text1" w:themeTint="F2"/>
                <w:spacing w:val="0"/>
              </w:rPr>
            </w:pPr>
          </w:p>
          <w:p w14:paraId="13DB4C3A" w14:textId="77777777" w:rsidR="00DD1A46" w:rsidRDefault="00DD1A46" w:rsidP="00E962EE">
            <w:pPr>
              <w:pStyle w:val="Marginlie"/>
              <w:spacing w:after="240"/>
              <w:rPr>
                <w:color w:val="0D0D0D" w:themeColor="text1" w:themeTint="F2"/>
                <w:spacing w:val="0"/>
              </w:rPr>
            </w:pPr>
            <w:r w:rsidRPr="004A0F58">
              <w:rPr>
                <w:color w:val="0D0D0D" w:themeColor="text1" w:themeTint="F2"/>
                <w:spacing w:val="0"/>
              </w:rPr>
              <w:t>Tuzemská spotřeba elektřiny i plynu</w:t>
            </w:r>
            <w:r>
              <w:rPr>
                <w:color w:val="0D0D0D" w:themeColor="text1" w:themeTint="F2"/>
                <w:spacing w:val="0"/>
              </w:rPr>
              <w:t xml:space="preserve"> </w:t>
            </w:r>
            <w:r w:rsidRPr="004A0F58">
              <w:rPr>
                <w:color w:val="0D0D0D" w:themeColor="text1" w:themeTint="F2"/>
                <w:spacing w:val="0"/>
              </w:rPr>
              <w:t>druhým rokem v řadě mírně rostla.</w:t>
            </w:r>
            <w:r>
              <w:rPr>
                <w:color w:val="0D0D0D" w:themeColor="text1" w:themeTint="F2"/>
                <w:spacing w:val="0"/>
              </w:rPr>
              <w:t xml:space="preserve"> Projevila se menší ochota zákazníků k dalším úsporám, ale také vliv chladnějšího počasí v lednu a dubnu.</w:t>
            </w:r>
          </w:p>
        </w:tc>
        <w:tc>
          <w:tcPr>
            <w:tcW w:w="181" w:type="dxa"/>
            <w:tcMar>
              <w:left w:w="0" w:type="dxa"/>
            </w:tcMar>
          </w:tcPr>
          <w:p w14:paraId="5F080497"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1A5058C" w14:textId="7773C9AE" w:rsidR="00DD1A46" w:rsidRPr="00DC2D30" w:rsidRDefault="00DD1A46" w:rsidP="00E962EE">
            <w:pPr>
              <w:spacing w:after="200"/>
              <w:rPr>
                <w:color w:val="0D0D0D" w:themeColor="text1" w:themeTint="F2"/>
                <w:spacing w:val="-4"/>
              </w:rPr>
            </w:pPr>
            <w:r w:rsidRPr="00DC2D30">
              <w:rPr>
                <w:color w:val="0D0D0D" w:themeColor="text1" w:themeTint="F2"/>
                <w:spacing w:val="-4"/>
              </w:rPr>
              <w:t xml:space="preserve">Vedle toho působilo </w:t>
            </w:r>
            <w:proofErr w:type="spellStart"/>
            <w:r w:rsidRPr="00DC2D30">
              <w:rPr>
                <w:color w:val="0D0D0D" w:themeColor="text1" w:themeTint="F2"/>
                <w:spacing w:val="-4"/>
              </w:rPr>
              <w:t>prorůstově</w:t>
            </w:r>
            <w:proofErr w:type="spellEnd"/>
            <w:r w:rsidRPr="00DC2D30">
              <w:rPr>
                <w:color w:val="0D0D0D" w:themeColor="text1" w:themeTint="F2"/>
                <w:spacing w:val="-4"/>
              </w:rPr>
              <w:t xml:space="preserve"> i významné odvětví energetiky, jehož produkce letos posílila o 2,7 % a k růstu celého průmyslu přispěla 0,23 p. b. Čistá výroba elektřiny v 1. pololetí meziročně vzrostla o 2,6 % (na 37,3 </w:t>
            </w:r>
            <w:proofErr w:type="spellStart"/>
            <w:r w:rsidRPr="00DC2D30">
              <w:rPr>
                <w:color w:val="0D0D0D" w:themeColor="text1" w:themeTint="F2"/>
                <w:spacing w:val="-4"/>
              </w:rPr>
              <w:t>TWh</w:t>
            </w:r>
            <w:proofErr w:type="spellEnd"/>
            <w:r w:rsidRPr="00DC2D30">
              <w:rPr>
                <w:color w:val="0D0D0D" w:themeColor="text1" w:themeTint="F2"/>
                <w:spacing w:val="-4"/>
              </w:rPr>
              <w:t>), především díky vyšší produkci paroplynových elektráren (+28 %). Více dodaly i přečerpávací vodní elektrárny (+33 %) a fotovoltaické elektrárny (+6,7 %, při růstu instalovaného výkonu o 9,6 %). Naopak vlivem plánovaných letošních technologických odstávek i vysoké loňské srovnávací základny klesla produkce z jaderných zařízení (−1,2 %), menší celkový vliv měl i pokles u vodních (−17,7 %) a</w:t>
            </w:r>
            <w:r w:rsidR="009B1F0B">
              <w:rPr>
                <w:color w:val="0D0D0D" w:themeColor="text1" w:themeTint="F2"/>
                <w:spacing w:val="-4"/>
              </w:rPr>
              <w:t> </w:t>
            </w:r>
            <w:r w:rsidRPr="00DC2D30">
              <w:rPr>
                <w:color w:val="0D0D0D" w:themeColor="text1" w:themeTint="F2"/>
                <w:spacing w:val="-4"/>
              </w:rPr>
              <w:t>větrných elektráren (−7,9 %). Rostla rovněž celková tuzemská spotřeba elektřiny a</w:t>
            </w:r>
            <w:r w:rsidR="009B1F0B">
              <w:rPr>
                <w:color w:val="0D0D0D" w:themeColor="text1" w:themeTint="F2"/>
                <w:spacing w:val="-4"/>
              </w:rPr>
              <w:t> </w:t>
            </w:r>
            <w:r w:rsidRPr="00DC2D30">
              <w:rPr>
                <w:color w:val="0D0D0D" w:themeColor="text1" w:themeTint="F2"/>
                <w:spacing w:val="-4"/>
              </w:rPr>
              <w:t>potvrdila tak změnu trendu od poloviny roku 2024. Vyšší poptávka byla patrná napříč celým segmentem trhu</w:t>
            </w:r>
            <w:r w:rsidRPr="00DC2D30">
              <w:rPr>
                <w:rStyle w:val="Znakapoznpodarou"/>
                <w:color w:val="0D0D0D" w:themeColor="text1" w:themeTint="F2"/>
                <w:spacing w:val="-4"/>
              </w:rPr>
              <w:footnoteReference w:id="8"/>
            </w:r>
            <w:r w:rsidRPr="00DC2D30">
              <w:rPr>
                <w:color w:val="0D0D0D" w:themeColor="text1" w:themeTint="F2"/>
                <w:spacing w:val="-4"/>
              </w:rPr>
              <w:t>. Druhý rok v řadě se mírně zvýšila i spotřeba plynu</w:t>
            </w:r>
            <w:r w:rsidRPr="00DC2D30">
              <w:rPr>
                <w:rStyle w:val="Znakapoznpodarou"/>
                <w:color w:val="0D0D0D" w:themeColor="text1" w:themeTint="F2"/>
                <w:spacing w:val="-4"/>
              </w:rPr>
              <w:footnoteReference w:id="9"/>
            </w:r>
            <w:r w:rsidRPr="00DC2D30">
              <w:rPr>
                <w:color w:val="0D0D0D" w:themeColor="text1" w:themeTint="F2"/>
                <w:spacing w:val="-4"/>
              </w:rPr>
              <w:t>. Nárůst spotřeby elektřiny i plynu odrážel vliv chladnějšího počasí letos v lednu i dubnu</w:t>
            </w:r>
            <w:r w:rsidRPr="00DC2D30">
              <w:rPr>
                <w:rStyle w:val="Znakapoznpodarou"/>
                <w:color w:val="0D0D0D" w:themeColor="text1" w:themeTint="F2"/>
                <w:spacing w:val="-4"/>
              </w:rPr>
              <w:footnoteReference w:id="10"/>
            </w:r>
            <w:r w:rsidRPr="00DC2D30">
              <w:rPr>
                <w:color w:val="0D0D0D" w:themeColor="text1" w:themeTint="F2"/>
                <w:spacing w:val="-4"/>
              </w:rPr>
              <w:t>. Opačný vliv měla klesající motivace k dalším úsporám ve spotřebě (zejména v domácnostech). Ta se snížila i vlivem stabilizace a následného zlevňování cen energií, jež bylo znatelnější hlavně u zemního plynu. Do vyšší spotřeby se navíc promítaly příznivější finanční situace domácností i postupné oživení výkonu ekonomiky doprovázené stabilizací poptávky v některých energeticky náročných průmyslových oborech.</w:t>
            </w:r>
          </w:p>
        </w:tc>
      </w:tr>
      <w:tr w:rsidR="00DD1A46" w:rsidRPr="004A0F58" w14:paraId="43295E42" w14:textId="77777777" w:rsidTr="00E962EE">
        <w:trPr>
          <w:trHeight w:val="145"/>
        </w:trPr>
        <w:tc>
          <w:tcPr>
            <w:tcW w:w="1814" w:type="dxa"/>
            <w:tcMar>
              <w:left w:w="0" w:type="dxa"/>
            </w:tcMar>
          </w:tcPr>
          <w:p w14:paraId="273F8949"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Mírný růst potravinářství pokračoval díky tuzemské poptávce. Výrazněji ožil obuvnický a kožedělný průmysl. </w:t>
            </w:r>
          </w:p>
        </w:tc>
        <w:tc>
          <w:tcPr>
            <w:tcW w:w="181" w:type="dxa"/>
            <w:tcMar>
              <w:left w:w="0" w:type="dxa"/>
            </w:tcMar>
          </w:tcPr>
          <w:p w14:paraId="4B8282EC"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8E5638F" w14:textId="77777777" w:rsidR="00DD1A46" w:rsidRPr="00DC2D30" w:rsidRDefault="00DD1A46" w:rsidP="00E962EE">
            <w:pPr>
              <w:spacing w:after="200"/>
              <w:rPr>
                <w:color w:val="0D0D0D" w:themeColor="text1" w:themeTint="F2"/>
                <w:spacing w:val="-4"/>
              </w:rPr>
            </w:pPr>
            <w:r w:rsidRPr="00DC2D30">
              <w:rPr>
                <w:color w:val="0D0D0D" w:themeColor="text1" w:themeTint="F2"/>
                <w:spacing w:val="-4"/>
              </w:rPr>
              <w:t xml:space="preserve">Z oborů vyrábějících spotřební zboží díky rostoucí kupní síle domácností i jejich důvěře v ekonomiku profitoval obor ostatní zpracovatelský průmysl zahrnující např. výrobu sportovních potřeb, her, hraček či bižuterie. Růst produkce zde vystoupal na 5,7 %, a to výhradně díky sílící zahraniční poptávce. Mírněji vzrostl výkon v potravinářství (+1,5 %) </w:t>
            </w:r>
            <w:r w:rsidRPr="00DC2D30">
              <w:rPr>
                <w:color w:val="0D0D0D" w:themeColor="text1" w:themeTint="F2"/>
                <w:spacing w:val="-4"/>
              </w:rPr>
              <w:br/>
              <w:t xml:space="preserve">a výrobě nápojů (+2,6 %), pro něž je tradičně určující tuzemská poptávka. Ta významně pomohla v oživení obuvnického a kožedělného průmyslu (+7,3 %) a také v oděvnictví </w:t>
            </w:r>
            <w:r w:rsidRPr="00DC2D30">
              <w:rPr>
                <w:color w:val="0D0D0D" w:themeColor="text1" w:themeTint="F2"/>
                <w:spacing w:val="-4"/>
              </w:rPr>
              <w:br/>
              <w:t>(+3,4 %). Výše uvedené „spotřební obory“ přispěly letos v součtu k růstu celého průmyslu pouze 0,28 p. b.</w:t>
            </w:r>
          </w:p>
        </w:tc>
      </w:tr>
      <w:tr w:rsidR="00DD1A46" w:rsidRPr="004A0F58" w14:paraId="42DB9659" w14:textId="77777777" w:rsidTr="00E962EE">
        <w:trPr>
          <w:trHeight w:val="145"/>
        </w:trPr>
        <w:tc>
          <w:tcPr>
            <w:tcW w:w="1814" w:type="dxa"/>
            <w:tcMar>
              <w:left w:w="0" w:type="dxa"/>
            </w:tcMar>
          </w:tcPr>
          <w:p w14:paraId="2511E6BD" w14:textId="77777777" w:rsidR="00DD1A46" w:rsidRDefault="00DD1A46" w:rsidP="00E962EE">
            <w:pPr>
              <w:pStyle w:val="Marginlie"/>
              <w:rPr>
                <w:color w:val="0D0D0D" w:themeColor="text1" w:themeTint="F2"/>
                <w:spacing w:val="0"/>
              </w:rPr>
            </w:pPr>
            <w:r>
              <w:rPr>
                <w:color w:val="0D0D0D" w:themeColor="text1" w:themeTint="F2"/>
                <w:spacing w:val="0"/>
              </w:rPr>
              <w:t>Proti růstu průmyslu působilo nejvíce strojírenství limitované</w:t>
            </w:r>
            <w:r w:rsidRPr="004A0F58">
              <w:rPr>
                <w:color w:val="0D0D0D" w:themeColor="text1" w:themeTint="F2"/>
                <w:spacing w:val="0"/>
              </w:rPr>
              <w:t xml:space="preserve"> slabší zahraniční poptávk</w:t>
            </w:r>
            <w:r>
              <w:rPr>
                <w:color w:val="0D0D0D" w:themeColor="text1" w:themeTint="F2"/>
                <w:spacing w:val="0"/>
              </w:rPr>
              <w:t>ou</w:t>
            </w:r>
            <w:r w:rsidRPr="004A0F58">
              <w:rPr>
                <w:color w:val="0D0D0D" w:themeColor="text1" w:themeTint="F2"/>
                <w:spacing w:val="0"/>
              </w:rPr>
              <w:t>.</w:t>
            </w:r>
          </w:p>
          <w:p w14:paraId="3ACDB58E" w14:textId="77777777" w:rsidR="00DD1A46" w:rsidRDefault="00DD1A46" w:rsidP="00E962EE">
            <w:pPr>
              <w:pStyle w:val="Marginlie"/>
              <w:rPr>
                <w:color w:val="0D0D0D" w:themeColor="text1" w:themeTint="F2"/>
                <w:spacing w:val="0"/>
              </w:rPr>
            </w:pPr>
            <w:r>
              <w:rPr>
                <w:color w:val="0D0D0D" w:themeColor="text1" w:themeTint="F2"/>
                <w:spacing w:val="0"/>
              </w:rPr>
              <w:t xml:space="preserve">V těžbě uhlí pokračoval </w:t>
            </w:r>
            <w:r w:rsidRPr="00084363">
              <w:rPr>
                <w:color w:val="0D0D0D" w:themeColor="text1" w:themeTint="F2"/>
                <w:spacing w:val="-4"/>
              </w:rPr>
              <w:t xml:space="preserve">řízený útlum. </w:t>
            </w:r>
            <w:r>
              <w:rPr>
                <w:color w:val="0D0D0D" w:themeColor="text1" w:themeTint="F2"/>
                <w:spacing w:val="-4"/>
              </w:rPr>
              <w:t>Nadále</w:t>
            </w:r>
            <w:r>
              <w:rPr>
                <w:color w:val="0D0D0D" w:themeColor="text1" w:themeTint="F2"/>
                <w:spacing w:val="0"/>
              </w:rPr>
              <w:t xml:space="preserve"> se snižovala i těžba stavebních materiálů. </w:t>
            </w:r>
          </w:p>
          <w:p w14:paraId="00BADAB6"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1B652E98"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13B932B9"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Růst výkonu tuzemského průmyslu letos (stejně jako v první polovině loňského roku) nejvíce tlumilo strojírenství, kde produkce meziročně klesla o 2,</w:t>
            </w:r>
            <w:r>
              <w:rPr>
                <w:color w:val="0D0D0D" w:themeColor="text1" w:themeTint="F2"/>
                <w:spacing w:val="-4"/>
              </w:rPr>
              <w:t>5</w:t>
            </w:r>
            <w:r w:rsidRPr="00C87B0B">
              <w:rPr>
                <w:color w:val="0D0D0D" w:themeColor="text1" w:themeTint="F2"/>
                <w:spacing w:val="-4"/>
              </w:rPr>
              <w:t xml:space="preserve"> % a nadále postrádala výraznější odbytový impuls zejména ze zahraničí. Aktuálně se nedařilo ani oboru opravy strojů a zařízení zaměřenému tradičně spíše na domácí trh (např. opravy jaderných zařízení). Výkon </w:t>
            </w:r>
            <w:r>
              <w:rPr>
                <w:color w:val="0D0D0D" w:themeColor="text1" w:themeTint="F2"/>
                <w:spacing w:val="-4"/>
              </w:rPr>
              <w:t>se tu snížil</w:t>
            </w:r>
            <w:r w:rsidRPr="00C87B0B">
              <w:rPr>
                <w:color w:val="0D0D0D" w:themeColor="text1" w:themeTint="F2"/>
                <w:spacing w:val="-4"/>
              </w:rPr>
              <w:t xml:space="preserve"> o </w:t>
            </w:r>
            <w:r>
              <w:rPr>
                <w:color w:val="0D0D0D" w:themeColor="text1" w:themeTint="F2"/>
                <w:spacing w:val="-4"/>
              </w:rPr>
              <w:t>5</w:t>
            </w:r>
            <w:r w:rsidRPr="00C87B0B">
              <w:rPr>
                <w:color w:val="0D0D0D" w:themeColor="text1" w:themeTint="F2"/>
                <w:spacing w:val="-4"/>
              </w:rPr>
              <w:t>,</w:t>
            </w:r>
            <w:r>
              <w:rPr>
                <w:color w:val="0D0D0D" w:themeColor="text1" w:themeTint="F2"/>
                <w:spacing w:val="-4"/>
              </w:rPr>
              <w:t>1</w:t>
            </w:r>
            <w:r w:rsidRPr="00C87B0B">
              <w:rPr>
                <w:color w:val="0D0D0D" w:themeColor="text1" w:themeTint="F2"/>
                <w:spacing w:val="-4"/>
              </w:rPr>
              <w:t xml:space="preserve"> %</w:t>
            </w:r>
            <w:r>
              <w:rPr>
                <w:color w:val="0D0D0D" w:themeColor="text1" w:themeTint="F2"/>
                <w:spacing w:val="-4"/>
              </w:rPr>
              <w:t xml:space="preserve"> </w:t>
            </w:r>
            <w:r w:rsidRPr="00BA76C1">
              <w:rPr>
                <w:color w:val="0D0D0D" w:themeColor="text1" w:themeTint="F2"/>
                <w:spacing w:val="-4"/>
              </w:rPr>
              <w:t>−</w:t>
            </w:r>
            <w:r>
              <w:rPr>
                <w:color w:val="0D0D0D" w:themeColor="text1" w:themeTint="F2"/>
                <w:spacing w:val="-4"/>
              </w:rPr>
              <w:t xml:space="preserve"> nejvíce </w:t>
            </w:r>
            <w:r w:rsidRPr="00C87B0B">
              <w:rPr>
                <w:color w:val="0D0D0D" w:themeColor="text1" w:themeTint="F2"/>
                <w:spacing w:val="-4"/>
              </w:rPr>
              <w:t>za posledních pět a půl roku. Výše uvedené „investiční obory“ působily proti růstu celého průmyslu v úhrnu 0,</w:t>
            </w:r>
            <w:r>
              <w:rPr>
                <w:color w:val="0D0D0D" w:themeColor="text1" w:themeTint="F2"/>
                <w:spacing w:val="-4"/>
              </w:rPr>
              <w:t>35</w:t>
            </w:r>
            <w:r w:rsidRPr="00C87B0B">
              <w:rPr>
                <w:color w:val="0D0D0D" w:themeColor="text1" w:themeTint="F2"/>
                <w:spacing w:val="-4"/>
              </w:rPr>
              <w:t xml:space="preserve"> p. b. S hlubšími problémy se stále potýkaly některé vesměs energeticky náročné obory vyrábějící meziprodukty. V těžbě </w:t>
            </w:r>
            <w:r>
              <w:rPr>
                <w:color w:val="0D0D0D" w:themeColor="text1" w:themeTint="F2"/>
                <w:spacing w:val="-4"/>
              </w:rPr>
              <w:br/>
            </w:r>
            <w:r w:rsidRPr="00C87B0B">
              <w:rPr>
                <w:color w:val="0D0D0D" w:themeColor="text1" w:themeTint="F2"/>
                <w:spacing w:val="-4"/>
              </w:rPr>
              <w:t xml:space="preserve">a dobývání produkce meziročně </w:t>
            </w:r>
            <w:r>
              <w:rPr>
                <w:color w:val="0D0D0D" w:themeColor="text1" w:themeTint="F2"/>
                <w:spacing w:val="-4"/>
              </w:rPr>
              <w:t>klesl</w:t>
            </w:r>
            <w:r w:rsidRPr="00C87B0B">
              <w:rPr>
                <w:color w:val="0D0D0D" w:themeColor="text1" w:themeTint="F2"/>
                <w:spacing w:val="-4"/>
              </w:rPr>
              <w:t>a o 4,</w:t>
            </w:r>
            <w:r>
              <w:rPr>
                <w:color w:val="0D0D0D" w:themeColor="text1" w:themeTint="F2"/>
                <w:spacing w:val="-4"/>
              </w:rPr>
              <w:t>1</w:t>
            </w:r>
            <w:r w:rsidRPr="00C87B0B">
              <w:rPr>
                <w:color w:val="0D0D0D" w:themeColor="text1" w:themeTint="F2"/>
                <w:spacing w:val="-4"/>
              </w:rPr>
              <w:t xml:space="preserve"> %. Pokračoval útlum těžby uhlí (na přelomu roku 2025 a 2026 se v Česku zcela zastavila těžba černého uhlí). </w:t>
            </w:r>
            <w:r>
              <w:rPr>
                <w:color w:val="0D0D0D" w:themeColor="text1" w:themeTint="F2"/>
                <w:spacing w:val="-4"/>
              </w:rPr>
              <w:t>Produkce se mírněji snížila</w:t>
            </w:r>
            <w:r w:rsidRPr="00C87B0B">
              <w:rPr>
                <w:color w:val="0D0D0D" w:themeColor="text1" w:themeTint="F2"/>
                <w:spacing w:val="-4"/>
              </w:rPr>
              <w:t xml:space="preserve"> </w:t>
            </w:r>
            <w:r>
              <w:rPr>
                <w:color w:val="0D0D0D" w:themeColor="text1" w:themeTint="F2"/>
                <w:spacing w:val="-4"/>
              </w:rPr>
              <w:t>v</w:t>
            </w:r>
            <w:r w:rsidRPr="00C87B0B">
              <w:rPr>
                <w:color w:val="0D0D0D" w:themeColor="text1" w:themeTint="F2"/>
                <w:spacing w:val="-4"/>
              </w:rPr>
              <w:t xml:space="preserve"> těžb</w:t>
            </w:r>
            <w:r>
              <w:rPr>
                <w:color w:val="0D0D0D" w:themeColor="text1" w:themeTint="F2"/>
                <w:spacing w:val="-4"/>
              </w:rPr>
              <w:t>ě</w:t>
            </w:r>
            <w:r w:rsidRPr="00C87B0B">
              <w:rPr>
                <w:color w:val="0D0D0D" w:themeColor="text1" w:themeTint="F2"/>
                <w:spacing w:val="-4"/>
              </w:rPr>
              <w:t xml:space="preserve"> stavebních materiálů</w:t>
            </w:r>
            <w:r>
              <w:rPr>
                <w:color w:val="0D0D0D" w:themeColor="text1" w:themeTint="F2"/>
                <w:spacing w:val="-4"/>
              </w:rPr>
              <w:t xml:space="preserve"> a</w:t>
            </w:r>
            <w:r w:rsidRPr="00C87B0B">
              <w:rPr>
                <w:color w:val="0D0D0D" w:themeColor="text1" w:themeTint="F2"/>
                <w:spacing w:val="-4"/>
              </w:rPr>
              <w:t xml:space="preserve"> její pokles pokračoval v zásadě již čtvrtý rok v řadě. Rostoucí poptávka zde kromě zvýšených výrobních nákladů stále více narážela na současné limity dané počtem povolených dobývacích prostor. Nepatrně se snížila </w:t>
            </w:r>
            <w:r>
              <w:rPr>
                <w:color w:val="0D0D0D" w:themeColor="text1" w:themeTint="F2"/>
                <w:spacing w:val="-4"/>
              </w:rPr>
              <w:t>rovněž</w:t>
            </w:r>
            <w:r w:rsidRPr="00C87B0B">
              <w:rPr>
                <w:color w:val="0D0D0D" w:themeColor="text1" w:themeTint="F2"/>
                <w:spacing w:val="-4"/>
              </w:rPr>
              <w:t xml:space="preserve"> produkce dřevozpracujícího průmyslu, neboť sílící tuzemská poptávka zde nedokázala plně vykompenzovat slabší odbyt v zahraničí.</w:t>
            </w:r>
          </w:p>
        </w:tc>
      </w:tr>
      <w:tr w:rsidR="00DD1A46" w:rsidRPr="004A0F58" w14:paraId="57CEA3D6" w14:textId="77777777" w:rsidTr="00E962EE">
        <w:trPr>
          <w:trHeight w:val="145"/>
        </w:trPr>
        <w:tc>
          <w:tcPr>
            <w:tcW w:w="1814" w:type="dxa"/>
            <w:tcMar>
              <w:left w:w="0" w:type="dxa"/>
            </w:tcMar>
          </w:tcPr>
          <w:p w14:paraId="7D2399D3"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Propad produkce v nábytkářství souvisel </w:t>
            </w:r>
            <w:r>
              <w:rPr>
                <w:color w:val="0D0D0D" w:themeColor="text1" w:themeTint="F2"/>
                <w:spacing w:val="0"/>
              </w:rPr>
              <w:lastRenderedPageBreak/>
              <w:t>s výpadkem zahraniční poptávky.</w:t>
            </w:r>
          </w:p>
        </w:tc>
        <w:tc>
          <w:tcPr>
            <w:tcW w:w="181" w:type="dxa"/>
            <w:tcMar>
              <w:left w:w="0" w:type="dxa"/>
            </w:tcMar>
          </w:tcPr>
          <w:p w14:paraId="59D132B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49940C2C" w14:textId="77777777" w:rsidR="00DD1A46" w:rsidRDefault="00DD1A46" w:rsidP="00E962EE">
            <w:pPr>
              <w:spacing w:after="0"/>
              <w:rPr>
                <w:color w:val="0D0D0D" w:themeColor="text1" w:themeTint="F2"/>
                <w:spacing w:val="-2"/>
              </w:rPr>
            </w:pPr>
            <w:r>
              <w:rPr>
                <w:color w:val="0D0D0D" w:themeColor="text1" w:themeTint="F2"/>
                <w:spacing w:val="-2"/>
              </w:rPr>
              <w:t>Výkon</w:t>
            </w:r>
            <w:r w:rsidRPr="009D2D2C">
              <w:rPr>
                <w:color w:val="0D0D0D" w:themeColor="text1" w:themeTint="F2"/>
                <w:spacing w:val="-2"/>
              </w:rPr>
              <w:t xml:space="preserve"> se letos snížil i v některých malých oborech zaměřených na tvorbu produktů krátkodobé či dlouhodobé spotřeby.</w:t>
            </w:r>
            <w:r>
              <w:rPr>
                <w:color w:val="0D0D0D" w:themeColor="text1" w:themeTint="F2"/>
                <w:spacing w:val="-2"/>
              </w:rPr>
              <w:t xml:space="preserve"> </w:t>
            </w:r>
            <w:r>
              <w:rPr>
                <w:color w:val="0D0D0D" w:themeColor="text1" w:themeTint="F2"/>
                <w:spacing w:val="-4"/>
              </w:rPr>
              <w:t xml:space="preserve">V nábytkářském průmyslu se produkce meziročně propadla téměř o desetinu, tedy nejvíce ze všech průmyslových oborů. V pozadí stál </w:t>
            </w:r>
            <w:r>
              <w:rPr>
                <w:color w:val="0D0D0D" w:themeColor="text1" w:themeTint="F2"/>
                <w:spacing w:val="-4"/>
              </w:rPr>
              <w:lastRenderedPageBreak/>
              <w:t>výpadek zahraniční poptávky. Naopak slabý odbyt z tuzemska snížil výkon v tiskárenství (</w:t>
            </w:r>
            <w:r w:rsidRPr="00BA76C1">
              <w:rPr>
                <w:color w:val="0D0D0D" w:themeColor="text1" w:themeTint="F2"/>
                <w:spacing w:val="-4"/>
              </w:rPr>
              <w:t>−</w:t>
            </w:r>
            <w:r>
              <w:rPr>
                <w:color w:val="0D0D0D" w:themeColor="text1" w:themeTint="F2"/>
                <w:spacing w:val="-4"/>
              </w:rPr>
              <w:t xml:space="preserve">6,1 %), jehož útlum má však dlouhodobější povahu. </w:t>
            </w:r>
            <w:r w:rsidRPr="00BA76C1">
              <w:rPr>
                <w:color w:val="0D0D0D" w:themeColor="text1" w:themeTint="F2"/>
                <w:spacing w:val="-4"/>
              </w:rPr>
              <w:t>Druhý</w:t>
            </w:r>
            <w:r>
              <w:rPr>
                <w:color w:val="0D0D0D" w:themeColor="text1" w:themeTint="F2"/>
                <w:spacing w:val="-4"/>
              </w:rPr>
              <w:t>m</w:t>
            </w:r>
            <w:r w:rsidRPr="00BA76C1">
              <w:rPr>
                <w:color w:val="0D0D0D" w:themeColor="text1" w:themeTint="F2"/>
                <w:spacing w:val="-4"/>
              </w:rPr>
              <w:t xml:space="preserve"> rok</w:t>
            </w:r>
            <w:r>
              <w:rPr>
                <w:color w:val="0D0D0D" w:themeColor="text1" w:themeTint="F2"/>
                <w:spacing w:val="-4"/>
              </w:rPr>
              <w:t>em</w:t>
            </w:r>
            <w:r w:rsidRPr="00BA76C1">
              <w:rPr>
                <w:color w:val="0D0D0D" w:themeColor="text1" w:themeTint="F2"/>
                <w:spacing w:val="-4"/>
              </w:rPr>
              <w:t xml:space="preserve"> pokračoval </w:t>
            </w:r>
            <w:r>
              <w:rPr>
                <w:color w:val="0D0D0D" w:themeColor="text1" w:themeTint="F2"/>
                <w:spacing w:val="-4"/>
              </w:rPr>
              <w:t xml:space="preserve">i </w:t>
            </w:r>
            <w:r w:rsidRPr="00BA76C1">
              <w:rPr>
                <w:color w:val="0D0D0D" w:themeColor="text1" w:themeTint="F2"/>
                <w:spacing w:val="-4"/>
              </w:rPr>
              <w:t>mírný pokles výkonu v jinak dlouhodobě</w:t>
            </w:r>
            <w:r w:rsidRPr="009D2D2C">
              <w:rPr>
                <w:color w:val="0D0D0D" w:themeColor="text1" w:themeTint="F2"/>
                <w:spacing w:val="-2"/>
              </w:rPr>
              <w:t xml:space="preserve"> dynamicky se rozvíjejícím oboru farmaceutického průmyslu (−</w:t>
            </w:r>
            <w:r>
              <w:rPr>
                <w:color w:val="0D0D0D" w:themeColor="text1" w:themeTint="F2"/>
                <w:spacing w:val="-2"/>
              </w:rPr>
              <w:t>3</w:t>
            </w:r>
            <w:r w:rsidRPr="009D2D2C">
              <w:rPr>
                <w:color w:val="0D0D0D" w:themeColor="text1" w:themeTint="F2"/>
                <w:spacing w:val="-2"/>
              </w:rPr>
              <w:t>,</w:t>
            </w:r>
            <w:r>
              <w:rPr>
                <w:color w:val="0D0D0D" w:themeColor="text1" w:themeTint="F2"/>
                <w:spacing w:val="-2"/>
              </w:rPr>
              <w:t>7</w:t>
            </w:r>
            <w:r w:rsidRPr="009D2D2C">
              <w:rPr>
                <w:color w:val="0D0D0D" w:themeColor="text1" w:themeTint="F2"/>
                <w:spacing w:val="-2"/>
              </w:rPr>
              <w:t xml:space="preserve"> %</w:t>
            </w:r>
            <w:r>
              <w:rPr>
                <w:color w:val="0D0D0D" w:themeColor="text1" w:themeTint="F2"/>
                <w:spacing w:val="-2"/>
              </w:rPr>
              <w:t>, nejvíce od 2. pololetí 2014</w:t>
            </w:r>
            <w:r w:rsidRPr="009D2D2C">
              <w:rPr>
                <w:color w:val="0D0D0D" w:themeColor="text1" w:themeTint="F2"/>
                <w:spacing w:val="-2"/>
              </w:rPr>
              <w:t>). Projevilo se oslabení v klíčové oblasti zahraniční poptávky</w:t>
            </w:r>
            <w:r>
              <w:rPr>
                <w:color w:val="0D0D0D" w:themeColor="text1" w:themeTint="F2"/>
                <w:spacing w:val="-2"/>
              </w:rPr>
              <w:t>,</w:t>
            </w:r>
            <w:r w:rsidRPr="009D2D2C">
              <w:rPr>
                <w:color w:val="0D0D0D" w:themeColor="text1" w:themeTint="F2"/>
                <w:spacing w:val="-2"/>
              </w:rPr>
              <w:t xml:space="preserve"> navíc </w:t>
            </w:r>
            <w:r>
              <w:rPr>
                <w:color w:val="0D0D0D" w:themeColor="text1" w:themeTint="F2"/>
                <w:spacing w:val="-2"/>
              </w:rPr>
              <w:t xml:space="preserve">patrně </w:t>
            </w:r>
            <w:r w:rsidRPr="009D2D2C">
              <w:rPr>
                <w:color w:val="0D0D0D" w:themeColor="text1" w:themeTint="F2"/>
                <w:spacing w:val="-2"/>
              </w:rPr>
              <w:t xml:space="preserve">vyprchal </w:t>
            </w:r>
            <w:r>
              <w:rPr>
                <w:color w:val="0D0D0D" w:themeColor="text1" w:themeTint="F2"/>
                <w:spacing w:val="-2"/>
              </w:rPr>
              <w:t>také</w:t>
            </w:r>
            <w:r w:rsidRPr="009D2D2C">
              <w:rPr>
                <w:color w:val="0D0D0D" w:themeColor="text1" w:themeTint="F2"/>
                <w:spacing w:val="-2"/>
              </w:rPr>
              <w:t xml:space="preserve"> růstový impuls z tuzemského trhu související s vyšší poptávkou veřejného sektoru v oblasti bezpečnosti</w:t>
            </w:r>
            <w:r>
              <w:rPr>
                <w:rStyle w:val="Znakapoznpodarou"/>
                <w:color w:val="0D0D0D" w:themeColor="text1" w:themeTint="F2"/>
                <w:spacing w:val="-2"/>
              </w:rPr>
              <w:footnoteReference w:id="11"/>
            </w:r>
            <w:r w:rsidRPr="009D2D2C">
              <w:rPr>
                <w:color w:val="0D0D0D" w:themeColor="text1" w:themeTint="F2"/>
                <w:spacing w:val="-2"/>
              </w:rPr>
              <w:t>.</w:t>
            </w:r>
            <w:r>
              <w:rPr>
                <w:color w:val="0D0D0D" w:themeColor="text1" w:themeTint="F2"/>
                <w:spacing w:val="-2"/>
              </w:rPr>
              <w:t xml:space="preserve"> </w:t>
            </w:r>
          </w:p>
          <w:p w14:paraId="4FA3BE76" w14:textId="77777777" w:rsidR="00DD1A46" w:rsidRPr="00C87B0B" w:rsidRDefault="00DD1A46" w:rsidP="00E962EE">
            <w:pPr>
              <w:spacing w:after="0"/>
              <w:rPr>
                <w:color w:val="0D0D0D" w:themeColor="text1" w:themeTint="F2"/>
                <w:spacing w:val="-2"/>
              </w:rPr>
            </w:pPr>
          </w:p>
        </w:tc>
      </w:tr>
      <w:tr w:rsidR="00DD1A46" w:rsidRPr="004A0F58" w14:paraId="61AEE186" w14:textId="77777777" w:rsidTr="00E962EE">
        <w:trPr>
          <w:trHeight w:val="145"/>
        </w:trPr>
        <w:tc>
          <w:tcPr>
            <w:tcW w:w="1814" w:type="dxa"/>
            <w:tcMar>
              <w:left w:w="0" w:type="dxa"/>
            </w:tcMar>
          </w:tcPr>
          <w:p w14:paraId="2D7022F5"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41F9DF2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9F2C651" w14:textId="77777777" w:rsidR="00DD1A46" w:rsidRPr="004A0F58" w:rsidRDefault="00DD1A46" w:rsidP="00E962EE">
            <w:pPr>
              <w:spacing w:after="40"/>
              <w:rPr>
                <w:color w:val="0D0D0D" w:themeColor="text1" w:themeTint="F2"/>
              </w:rPr>
            </w:pPr>
            <w:r w:rsidRPr="004A0F58">
              <w:rPr>
                <w:b/>
                <w:color w:val="0D0D0D" w:themeColor="text1" w:themeTint="F2"/>
              </w:rPr>
              <w:t>Graf č. </w:t>
            </w:r>
            <w:r>
              <w:rPr>
                <w:b/>
                <w:color w:val="0D0D0D" w:themeColor="text1" w:themeTint="F2"/>
              </w:rPr>
              <w:t>5</w:t>
            </w:r>
            <w:r w:rsidRPr="004A0F58">
              <w:rPr>
                <w:b/>
                <w:color w:val="0D0D0D" w:themeColor="text1" w:themeTint="F2"/>
              </w:rPr>
              <w:t xml:space="preserve"> </w:t>
            </w:r>
            <w:r>
              <w:rPr>
                <w:rFonts w:cs="Arial"/>
                <w:b/>
                <w:bCs/>
                <w:color w:val="000000"/>
                <w:szCs w:val="20"/>
              </w:rPr>
              <w:t>Rozklad meziroční změny</w:t>
            </w:r>
            <w:r w:rsidRPr="004A0F58">
              <w:rPr>
                <w:b/>
                <w:color w:val="0D0D0D" w:themeColor="text1" w:themeTint="F2"/>
              </w:rPr>
              <w:t xml:space="preserve"> </w:t>
            </w:r>
            <w:r>
              <w:rPr>
                <w:b/>
                <w:color w:val="0D0D0D" w:themeColor="text1" w:themeTint="F2"/>
              </w:rPr>
              <w:t>průmyslové</w:t>
            </w:r>
            <w:r w:rsidRPr="004A0F58">
              <w:rPr>
                <w:b/>
                <w:color w:val="0D0D0D" w:themeColor="text1" w:themeTint="F2"/>
              </w:rPr>
              <w:t xml:space="preserve"> produkce </w:t>
            </w:r>
            <w:r w:rsidRPr="00C4674B">
              <w:rPr>
                <w:bCs/>
                <w:color w:val="0D0D0D" w:themeColor="text1" w:themeTint="F2"/>
              </w:rPr>
              <w:t>(</w:t>
            </w:r>
            <w:r>
              <w:rPr>
                <w:rFonts w:cs="Arial"/>
                <w:bCs/>
                <w:color w:val="000000"/>
                <w:szCs w:val="20"/>
              </w:rPr>
              <w:t xml:space="preserve">příspěvky k růstu, </w:t>
            </w:r>
            <w:r w:rsidRPr="00FC6700">
              <w:rPr>
                <w:rFonts w:cs="Arial"/>
                <w:bCs/>
                <w:color w:val="000000"/>
                <w:szCs w:val="20"/>
              </w:rPr>
              <w:t>v p. b</w:t>
            </w:r>
            <w:r>
              <w:rPr>
                <w:rFonts w:cs="Arial"/>
                <w:bCs/>
                <w:color w:val="000000"/>
                <w:szCs w:val="20"/>
              </w:rPr>
              <w:t>.</w:t>
            </w:r>
            <w:r w:rsidRPr="00FC6700">
              <w:rPr>
                <w:rFonts w:cs="Arial"/>
                <w:bCs/>
                <w:color w:val="000000"/>
                <w:szCs w:val="20"/>
              </w:rPr>
              <w:t>)</w:t>
            </w:r>
          </w:p>
        </w:tc>
      </w:tr>
      <w:tr w:rsidR="00DD1A46" w:rsidRPr="004A0F58" w14:paraId="4D9D5F3E" w14:textId="77777777" w:rsidTr="00E962EE">
        <w:tblPrEx>
          <w:tblCellMar>
            <w:left w:w="70" w:type="dxa"/>
            <w:right w:w="70" w:type="dxa"/>
          </w:tblCellMar>
        </w:tblPrEx>
        <w:trPr>
          <w:trHeight w:val="145"/>
        </w:trPr>
        <w:tc>
          <w:tcPr>
            <w:tcW w:w="1814" w:type="dxa"/>
          </w:tcPr>
          <w:p w14:paraId="0D0EB231" w14:textId="77777777" w:rsidR="00DD1A46" w:rsidRPr="004A0F58" w:rsidRDefault="00DD1A46" w:rsidP="00E962EE">
            <w:pPr>
              <w:pStyle w:val="Marginlie"/>
              <w:spacing w:after="240"/>
              <w:rPr>
                <w:color w:val="0D0D0D" w:themeColor="text1" w:themeTint="F2"/>
                <w:spacing w:val="0"/>
              </w:rPr>
            </w:pPr>
          </w:p>
        </w:tc>
        <w:tc>
          <w:tcPr>
            <w:tcW w:w="181" w:type="dxa"/>
          </w:tcPr>
          <w:p w14:paraId="07D6B37B" w14:textId="77777777" w:rsidR="00DD1A46" w:rsidRPr="004A0F58" w:rsidRDefault="00DD1A46" w:rsidP="00E962EE">
            <w:pPr>
              <w:pStyle w:val="Textpoznpodarou"/>
              <w:spacing w:after="240"/>
              <w:jc w:val="both"/>
              <w:rPr>
                <w:color w:val="0D0D0D" w:themeColor="text1" w:themeTint="F2"/>
              </w:rPr>
            </w:pPr>
          </w:p>
        </w:tc>
        <w:tc>
          <w:tcPr>
            <w:tcW w:w="7711" w:type="dxa"/>
          </w:tcPr>
          <w:p w14:paraId="52B03991" w14:textId="77777777" w:rsidR="00DD1A46" w:rsidRPr="004A0F58" w:rsidRDefault="00DD1A46" w:rsidP="00E962EE">
            <w:pPr>
              <w:spacing w:before="40" w:after="40"/>
              <w:rPr>
                <w:color w:val="0D0D0D" w:themeColor="text1" w:themeTint="F2"/>
              </w:rPr>
            </w:pPr>
            <w:r>
              <w:rPr>
                <w:noProof/>
              </w:rPr>
              <w:drawing>
                <wp:inline distT="0" distB="0" distL="0" distR="0" wp14:anchorId="015D1615" wp14:editId="6B24C2CC">
                  <wp:extent cx="4737600" cy="3553200"/>
                  <wp:effectExtent l="0" t="0" r="6350" b="0"/>
                  <wp:docPr id="889423910" name="Graf 1">
                    <a:extLst xmlns:a="http://schemas.openxmlformats.org/drawingml/2006/main">
                      <a:ext uri="{FF2B5EF4-FFF2-40B4-BE49-F238E27FC236}">
                        <a16:creationId xmlns:a16="http://schemas.microsoft.com/office/drawing/2014/main" id="{B8E84710-8827-4A92-8315-9BABFD761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DD1A46" w:rsidRPr="004A0F58" w14:paraId="5B0022ED" w14:textId="77777777" w:rsidTr="00E962EE">
        <w:trPr>
          <w:trHeight w:val="145"/>
        </w:trPr>
        <w:tc>
          <w:tcPr>
            <w:tcW w:w="1814" w:type="dxa"/>
            <w:tcMar>
              <w:left w:w="0" w:type="dxa"/>
            </w:tcMar>
          </w:tcPr>
          <w:p w14:paraId="295BB91F"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3ED9ADCF"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FEDA5FB" w14:textId="77777777" w:rsidR="00DD1A46" w:rsidRDefault="00DD1A46" w:rsidP="00E962EE">
            <w:pPr>
              <w:spacing w:after="0"/>
              <w:rPr>
                <w:color w:val="0D0D0D" w:themeColor="text1" w:themeTint="F2"/>
                <w:sz w:val="14"/>
                <w:szCs w:val="14"/>
              </w:rPr>
            </w:pPr>
            <w:r>
              <w:rPr>
                <w:color w:val="0D0D0D" w:themeColor="text1" w:themeTint="F2"/>
                <w:sz w:val="14"/>
                <w:szCs w:val="14"/>
              </w:rPr>
              <w:t xml:space="preserve">Poznámka: Produkce je uvedena </w:t>
            </w:r>
            <w:r>
              <w:rPr>
                <w:color w:val="0D0D0D" w:themeColor="text1" w:themeTint="F2"/>
                <w:spacing w:val="-2"/>
                <w:sz w:val="14"/>
                <w:szCs w:val="14"/>
              </w:rPr>
              <w:t>v reálném vyjádření a očištěna o kalendářní vlivy.</w:t>
            </w:r>
          </w:p>
          <w:p w14:paraId="1B05687A" w14:textId="77777777" w:rsidR="00DD1A46" w:rsidRPr="004A0F58" w:rsidRDefault="00DD1A46" w:rsidP="00E962EE">
            <w:pPr>
              <w:spacing w:after="0"/>
              <w:rPr>
                <w:color w:val="0D0D0D" w:themeColor="text1" w:themeTint="F2"/>
                <w:sz w:val="14"/>
                <w:szCs w:val="14"/>
              </w:rPr>
            </w:pPr>
            <w:r w:rsidRPr="004A0F58">
              <w:rPr>
                <w:color w:val="0D0D0D" w:themeColor="text1" w:themeTint="F2"/>
                <w:sz w:val="14"/>
                <w:szCs w:val="14"/>
              </w:rPr>
              <w:t>*Příspěvek zbývajícího zpracovatelského průmyslu zahrnuje i vliv celkové metodické diskrepance pramenící ze změny vah.</w:t>
            </w:r>
          </w:p>
          <w:p w14:paraId="3985BF14" w14:textId="77777777" w:rsidR="00DD1A46" w:rsidRPr="004A0F58" w:rsidRDefault="00DD1A46" w:rsidP="00E962EE">
            <w:pPr>
              <w:spacing w:after="200"/>
              <w:rPr>
                <w:color w:val="0D0D0D" w:themeColor="text1" w:themeTint="F2"/>
              </w:rPr>
            </w:pPr>
            <w:r w:rsidRPr="004A0F58">
              <w:rPr>
                <w:color w:val="0D0D0D" w:themeColor="text1" w:themeTint="F2"/>
                <w:sz w:val="14"/>
                <w:szCs w:val="14"/>
              </w:rPr>
              <w:t>Zdroj: ČSÚ, Eurostat</w:t>
            </w:r>
          </w:p>
        </w:tc>
      </w:tr>
      <w:tr w:rsidR="00DD1A46" w:rsidRPr="004A0F58" w14:paraId="697991C2" w14:textId="77777777" w:rsidTr="00E962EE">
        <w:trPr>
          <w:trHeight w:val="145"/>
        </w:trPr>
        <w:tc>
          <w:tcPr>
            <w:tcW w:w="1814" w:type="dxa"/>
            <w:tcMar>
              <w:left w:w="0" w:type="dxa"/>
            </w:tcMar>
          </w:tcPr>
          <w:p w14:paraId="2F48D4EF"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Růst hodnoty nových </w:t>
            </w:r>
            <w:r w:rsidRPr="00870373">
              <w:rPr>
                <w:color w:val="0D0D0D" w:themeColor="text1" w:themeTint="F2"/>
                <w:spacing w:val="-4"/>
              </w:rPr>
              <w:t>zakázek během 1.</w:t>
            </w:r>
            <w:r>
              <w:rPr>
                <w:color w:val="0D0D0D" w:themeColor="text1" w:themeTint="F2"/>
                <w:spacing w:val="-4"/>
              </w:rPr>
              <w:t xml:space="preserve"> </w:t>
            </w:r>
            <w:r w:rsidRPr="00870373">
              <w:rPr>
                <w:color w:val="0D0D0D" w:themeColor="text1" w:themeTint="F2"/>
                <w:spacing w:val="-4"/>
              </w:rPr>
              <w:t>pololetí</w:t>
            </w:r>
            <w:r>
              <w:rPr>
                <w:color w:val="0D0D0D" w:themeColor="text1" w:themeTint="F2"/>
                <w:spacing w:val="0"/>
              </w:rPr>
              <w:t xml:space="preserve"> lehce zrychloval. Klíčovou roli sehrála zahraniční poptávka v oblasti výroby dopravních prostředků. </w:t>
            </w:r>
          </w:p>
        </w:tc>
        <w:tc>
          <w:tcPr>
            <w:tcW w:w="181" w:type="dxa"/>
            <w:tcMar>
              <w:left w:w="0" w:type="dxa"/>
            </w:tcMar>
          </w:tcPr>
          <w:p w14:paraId="181DB1D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463B3BFF" w14:textId="77777777" w:rsidR="00DD1A46" w:rsidRPr="004A0F58" w:rsidRDefault="00DD1A46" w:rsidP="00E962EE">
            <w:pPr>
              <w:spacing w:after="200"/>
              <w:rPr>
                <w:color w:val="0D0D0D" w:themeColor="text1" w:themeTint="F2"/>
                <w:spacing w:val="-4"/>
              </w:rPr>
            </w:pPr>
            <w:r w:rsidRPr="004A0F58">
              <w:rPr>
                <w:color w:val="0D0D0D" w:themeColor="text1" w:themeTint="F2"/>
                <w:spacing w:val="-4"/>
              </w:rPr>
              <w:t>Meziroční růst nominální hodnoty nových průmyslových zakázek</w:t>
            </w:r>
            <w:r w:rsidRPr="004A0F58">
              <w:rPr>
                <w:color w:val="0D0D0D" w:themeColor="text1" w:themeTint="F2"/>
                <w:spacing w:val="-4"/>
                <w:vertAlign w:val="superscript"/>
              </w:rPr>
              <w:footnoteReference w:id="12"/>
            </w:r>
            <w:r w:rsidRPr="004A0F58">
              <w:rPr>
                <w:color w:val="0D0D0D" w:themeColor="text1" w:themeTint="F2"/>
                <w:spacing w:val="-4"/>
              </w:rPr>
              <w:t>, patrný po většinu loňského roku a kulminující v jeho závěru</w:t>
            </w:r>
            <w:r w:rsidRPr="004A0F58">
              <w:rPr>
                <w:rStyle w:val="Znakapoznpodarou"/>
                <w:color w:val="0D0D0D" w:themeColor="text1" w:themeTint="F2"/>
                <w:spacing w:val="-4"/>
              </w:rPr>
              <w:footnoteReference w:id="13"/>
            </w:r>
            <w:r w:rsidRPr="004A0F58">
              <w:rPr>
                <w:color w:val="0D0D0D" w:themeColor="text1" w:themeTint="F2"/>
                <w:spacing w:val="-4"/>
              </w:rPr>
              <w:t>, letos pokračoval.</w:t>
            </w:r>
            <w:r>
              <w:rPr>
                <w:color w:val="0D0D0D" w:themeColor="text1" w:themeTint="F2"/>
                <w:spacing w:val="-4"/>
              </w:rPr>
              <w:t xml:space="preserve"> </w:t>
            </w:r>
            <w:r w:rsidRPr="004A0F58">
              <w:rPr>
                <w:color w:val="0D0D0D" w:themeColor="text1" w:themeTint="F2"/>
                <w:spacing w:val="-4"/>
              </w:rPr>
              <w:t xml:space="preserve">V 1. čtvrtletí </w:t>
            </w:r>
            <w:r>
              <w:rPr>
                <w:color w:val="0D0D0D" w:themeColor="text1" w:themeTint="F2"/>
                <w:spacing w:val="-4"/>
              </w:rPr>
              <w:t xml:space="preserve">růst </w:t>
            </w:r>
            <w:r w:rsidRPr="004A0F58">
              <w:rPr>
                <w:color w:val="0D0D0D" w:themeColor="text1" w:themeTint="F2"/>
                <w:spacing w:val="-4"/>
              </w:rPr>
              <w:t>dosáhl 4,0 %</w:t>
            </w:r>
            <w:r>
              <w:rPr>
                <w:color w:val="0D0D0D" w:themeColor="text1" w:themeTint="F2"/>
                <w:spacing w:val="-4"/>
              </w:rPr>
              <w:t xml:space="preserve"> a v následujícím období zrychlil na 6,7 %. V obou případech byla dominantním hybatelem </w:t>
            </w:r>
            <w:r w:rsidRPr="000F51C8">
              <w:rPr>
                <w:color w:val="0D0D0D" w:themeColor="text1" w:themeTint="F2"/>
                <w:spacing w:val="-6"/>
              </w:rPr>
              <w:t xml:space="preserve">zahraniční poptávka, hodnota domácích zakázek se za celé pololetí zvýšila totiž jen o </w:t>
            </w:r>
            <w:r>
              <w:rPr>
                <w:color w:val="0D0D0D" w:themeColor="text1" w:themeTint="F2"/>
                <w:spacing w:val="-6"/>
              </w:rPr>
              <w:t>2</w:t>
            </w:r>
            <w:r w:rsidRPr="000F51C8">
              <w:rPr>
                <w:color w:val="0D0D0D" w:themeColor="text1" w:themeTint="F2"/>
                <w:spacing w:val="-6"/>
              </w:rPr>
              <w:t xml:space="preserve"> %.</w:t>
            </w:r>
            <w:r>
              <w:rPr>
                <w:color w:val="0D0D0D" w:themeColor="text1" w:themeTint="F2"/>
                <w:spacing w:val="-4"/>
              </w:rPr>
              <w:t xml:space="preserve"> K růstu nejvíce přispíval automobilový průmysl, kde objednávky za pololetí vzrostly o 7 %. Dynamicky se zvyšovala očekávaná poptávka ve výrobě ostatních dopravních prostředků (+34 %), a to především díky vysokým objednávkám uzavřeným letos v červnu. Příznivé vyhlídky má i výroba počítačů, elektronických a optických přístrojů (+10 %, primárně díky tuzemské poptávce), elektrických zařízení a pokračující oživení potvrzuje i hutnictví. Naopak přetrvávající nepříznivý vývoj naznačují nižší zakázky ve strojírenství (</w:t>
            </w:r>
            <w:r w:rsidRPr="009D2D2C">
              <w:rPr>
                <w:color w:val="0D0D0D" w:themeColor="text1" w:themeTint="F2"/>
                <w:spacing w:val="-2"/>
              </w:rPr>
              <w:t>−</w:t>
            </w:r>
            <w:r>
              <w:rPr>
                <w:color w:val="0D0D0D" w:themeColor="text1" w:themeTint="F2"/>
                <w:spacing w:val="-4"/>
              </w:rPr>
              <w:t>1 %) a farmacii (</w:t>
            </w:r>
            <w:r w:rsidRPr="009D2D2C">
              <w:rPr>
                <w:color w:val="0D0D0D" w:themeColor="text1" w:themeTint="F2"/>
                <w:spacing w:val="-2"/>
              </w:rPr>
              <w:t>−</w:t>
            </w:r>
            <w:r>
              <w:rPr>
                <w:color w:val="0D0D0D" w:themeColor="text1" w:themeTint="F2"/>
                <w:spacing w:val="-2"/>
              </w:rPr>
              <w:t>4</w:t>
            </w:r>
            <w:r>
              <w:rPr>
                <w:color w:val="0D0D0D" w:themeColor="text1" w:themeTint="F2"/>
                <w:spacing w:val="-4"/>
              </w:rPr>
              <w:t xml:space="preserve"> %) a stagnaci (po </w:t>
            </w:r>
            <w:r w:rsidRPr="004A0F58">
              <w:rPr>
                <w:color w:val="0D0D0D" w:themeColor="text1" w:themeTint="F2"/>
                <w:spacing w:val="-4"/>
              </w:rPr>
              <w:t>zohlednění cen výrobců</w:t>
            </w:r>
            <w:r>
              <w:rPr>
                <w:color w:val="0D0D0D" w:themeColor="text1" w:themeTint="F2"/>
                <w:spacing w:val="-4"/>
              </w:rPr>
              <w:t>) v ostatních sledovaných oborech</w:t>
            </w:r>
            <w:r>
              <w:rPr>
                <w:rStyle w:val="Znakapoznpodarou"/>
                <w:color w:val="0D0D0D" w:themeColor="text1" w:themeTint="F2"/>
                <w:spacing w:val="-4"/>
              </w:rPr>
              <w:footnoteReference w:id="14"/>
            </w:r>
            <w:r>
              <w:rPr>
                <w:color w:val="0D0D0D" w:themeColor="text1" w:themeTint="F2"/>
                <w:spacing w:val="-4"/>
              </w:rPr>
              <w:t xml:space="preserve">. </w:t>
            </w:r>
          </w:p>
        </w:tc>
      </w:tr>
      <w:tr w:rsidR="00DD1A46" w:rsidRPr="004A0F58" w14:paraId="0C5F9D49" w14:textId="77777777" w:rsidTr="00E962EE">
        <w:trPr>
          <w:trHeight w:val="145"/>
        </w:trPr>
        <w:tc>
          <w:tcPr>
            <w:tcW w:w="1814" w:type="dxa"/>
            <w:tcMar>
              <w:left w:w="0" w:type="dxa"/>
            </w:tcMar>
          </w:tcPr>
          <w:p w14:paraId="77D99D6F" w14:textId="77777777" w:rsidR="00DD1A46" w:rsidRDefault="00DD1A46" w:rsidP="00E962EE">
            <w:pPr>
              <w:pStyle w:val="Marginlie"/>
              <w:rPr>
                <w:color w:val="0D0D0D" w:themeColor="text1" w:themeTint="F2"/>
                <w:spacing w:val="0"/>
              </w:rPr>
            </w:pPr>
            <w:r w:rsidRPr="004A0F58">
              <w:rPr>
                <w:color w:val="0D0D0D" w:themeColor="text1" w:themeTint="F2"/>
                <w:spacing w:val="0"/>
              </w:rPr>
              <w:t xml:space="preserve">Důvěra firem v průmyslu se </w:t>
            </w:r>
            <w:r>
              <w:rPr>
                <w:color w:val="0D0D0D" w:themeColor="text1" w:themeTint="F2"/>
                <w:spacing w:val="0"/>
              </w:rPr>
              <w:t xml:space="preserve">po jarním kratším </w:t>
            </w:r>
            <w:r>
              <w:rPr>
                <w:color w:val="0D0D0D" w:themeColor="text1" w:themeTint="F2"/>
                <w:spacing w:val="0"/>
              </w:rPr>
              <w:lastRenderedPageBreak/>
              <w:t>útlumu zvýšila.</w:t>
            </w:r>
            <w:r w:rsidRPr="004A0F58">
              <w:rPr>
                <w:color w:val="0D0D0D" w:themeColor="text1" w:themeTint="F2"/>
                <w:spacing w:val="0"/>
              </w:rPr>
              <w:t xml:space="preserve"> </w:t>
            </w:r>
            <w:r>
              <w:rPr>
                <w:color w:val="0D0D0D" w:themeColor="text1" w:themeTint="F2"/>
                <w:spacing w:val="0"/>
              </w:rPr>
              <w:t>I</w:t>
            </w:r>
            <w:r w:rsidRPr="004A0F58">
              <w:rPr>
                <w:color w:val="0D0D0D" w:themeColor="text1" w:themeTint="F2"/>
                <w:spacing w:val="0"/>
              </w:rPr>
              <w:t> </w:t>
            </w:r>
            <w:r>
              <w:rPr>
                <w:color w:val="0D0D0D" w:themeColor="text1" w:themeTint="F2"/>
                <w:spacing w:val="0"/>
              </w:rPr>
              <w:t>tak zůstávala</w:t>
            </w:r>
            <w:r w:rsidRPr="004A0F58">
              <w:rPr>
                <w:color w:val="0D0D0D" w:themeColor="text1" w:themeTint="F2"/>
                <w:spacing w:val="0"/>
              </w:rPr>
              <w:t xml:space="preserve"> v lehce negativním pásmu. </w:t>
            </w:r>
          </w:p>
        </w:tc>
        <w:tc>
          <w:tcPr>
            <w:tcW w:w="181" w:type="dxa"/>
            <w:tcMar>
              <w:left w:w="0" w:type="dxa"/>
            </w:tcMar>
          </w:tcPr>
          <w:p w14:paraId="7279A2F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F6E7A89" w14:textId="003ADA06" w:rsidR="00DD1A46" w:rsidRPr="00DA2AEE" w:rsidRDefault="00DD1A46" w:rsidP="00E962EE">
            <w:pPr>
              <w:spacing w:after="200"/>
              <w:rPr>
                <w:color w:val="0D0D0D" w:themeColor="text1" w:themeTint="F2"/>
              </w:rPr>
            </w:pPr>
            <w:r w:rsidRPr="00DA2AEE">
              <w:rPr>
                <w:color w:val="0D0D0D" w:themeColor="text1" w:themeTint="F2"/>
              </w:rPr>
              <w:t xml:space="preserve">Důvěra podnikatelů v průmyslu se na počátku letošního roku i díky příznivému vývoji nových zakázek zvyšovala a v březnu dosáhla na téměř tříleté maximum. Následně se </w:t>
            </w:r>
            <w:r w:rsidRPr="00DA2AEE">
              <w:rPr>
                <w:color w:val="0D0D0D" w:themeColor="text1" w:themeTint="F2"/>
              </w:rPr>
              <w:lastRenderedPageBreak/>
              <w:t>však projevily negativní dopady eskalace konfliktu na Blízkém východě. Zhoršila se krátkodobá očekávání výroby i hodnocení aktuální (zejména zahraniční) poptávky a</w:t>
            </w:r>
            <w:r w:rsidR="009B1F0B">
              <w:rPr>
                <w:color w:val="0D0D0D" w:themeColor="text1" w:themeTint="F2"/>
              </w:rPr>
              <w:t> </w:t>
            </w:r>
            <w:r w:rsidRPr="00DA2AEE">
              <w:rPr>
                <w:color w:val="0D0D0D" w:themeColor="text1" w:themeTint="F2"/>
              </w:rPr>
              <w:t>posílila se inflační očekávání. Jarní pokles celkové důvěry v průmyslu v Česku (podobně jako ve většině zemí EU) však nebyl razantní a její výše se již na začátku léta vrátila na „předkrizovou“ úroveň. Situace v jednotlivých oborech se však přirozeně lišila</w:t>
            </w:r>
            <w:r w:rsidRPr="00DA2AEE">
              <w:rPr>
                <w:rStyle w:val="Znakapoznpodarou"/>
                <w:color w:val="0D0D0D" w:themeColor="text1" w:themeTint="F2"/>
              </w:rPr>
              <w:footnoteReference w:id="15"/>
            </w:r>
            <w:r w:rsidRPr="00DA2AEE">
              <w:rPr>
                <w:color w:val="0D0D0D" w:themeColor="text1" w:themeTint="F2"/>
              </w:rPr>
              <w:t xml:space="preserve">. Pouze </w:t>
            </w:r>
            <w:r w:rsidRPr="00847F23">
              <w:rPr>
                <w:color w:val="0D0D0D" w:themeColor="text1" w:themeTint="F2"/>
                <w:spacing w:val="-4"/>
              </w:rPr>
              <w:t>6 % průmyslových podniků předpokládalo v půlročním výhledu zhoršení vlastní ekonomické</w:t>
            </w:r>
            <w:r w:rsidRPr="00DA2AEE">
              <w:rPr>
                <w:color w:val="0D0D0D" w:themeColor="text1" w:themeTint="F2"/>
              </w:rPr>
              <w:t xml:space="preserve"> situace (zlepšení pak 12 %). Očekávání vývoje vlastní zaměstnanosti sice zůstala mírně negativní, avšak drtivá většina firem (80 %) předpokládala v nejbližším kvartálu stabilní vývoj.</w:t>
            </w:r>
          </w:p>
        </w:tc>
      </w:tr>
      <w:tr w:rsidR="00DD1A46" w:rsidRPr="004A0F58" w14:paraId="65FF0118" w14:textId="77777777" w:rsidTr="00E962EE">
        <w:trPr>
          <w:trHeight w:val="145"/>
        </w:trPr>
        <w:tc>
          <w:tcPr>
            <w:tcW w:w="1814" w:type="dxa"/>
            <w:tcMar>
              <w:left w:w="0" w:type="dxa"/>
            </w:tcMar>
          </w:tcPr>
          <w:p w14:paraId="4B219FE2"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63FF7AF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B1C4139" w14:textId="77777777" w:rsidR="00DD1A46" w:rsidRPr="004A0F58" w:rsidRDefault="00DD1A46" w:rsidP="00E962EE">
            <w:pPr>
              <w:spacing w:after="40"/>
              <w:rPr>
                <w:color w:val="0D0D0D" w:themeColor="text1" w:themeTint="F2"/>
              </w:rPr>
            </w:pPr>
            <w:r w:rsidRPr="004A0F58">
              <w:rPr>
                <w:b/>
                <w:color w:val="0D0D0D" w:themeColor="text1" w:themeTint="F2"/>
              </w:rPr>
              <w:t>Graf č. </w:t>
            </w:r>
            <w:r>
              <w:rPr>
                <w:b/>
                <w:color w:val="0D0D0D" w:themeColor="text1" w:themeTint="F2"/>
              </w:rPr>
              <w:t>6</w:t>
            </w:r>
            <w:r w:rsidRPr="004A0F58">
              <w:rPr>
                <w:b/>
                <w:color w:val="0D0D0D" w:themeColor="text1" w:themeTint="F2"/>
              </w:rPr>
              <w:t xml:space="preserve"> Nové zakázky v průmyslu</w:t>
            </w:r>
            <w:r w:rsidRPr="004A0F58">
              <w:rPr>
                <w:color w:val="0D0D0D" w:themeColor="text1" w:themeTint="F2"/>
              </w:rPr>
              <w:t xml:space="preserve"> (nominálně, meziročně, v %)</w:t>
            </w:r>
            <w:r w:rsidRPr="004A0F58">
              <w:rPr>
                <w:b/>
                <w:color w:val="0D0D0D" w:themeColor="text1" w:themeTint="F2"/>
              </w:rPr>
              <w:t>, vybrané bariéry růstu</w:t>
            </w:r>
            <w:r w:rsidRPr="004A0F58">
              <w:rPr>
                <w:color w:val="0D0D0D" w:themeColor="text1" w:themeTint="F2"/>
              </w:rPr>
              <w:t xml:space="preserve"> (v %) </w:t>
            </w:r>
            <w:r w:rsidRPr="004A0F58">
              <w:rPr>
                <w:b/>
                <w:color w:val="0D0D0D" w:themeColor="text1" w:themeTint="F2"/>
              </w:rPr>
              <w:t>a saldo důvěry podnikatelů v průmyslu</w:t>
            </w:r>
            <w:r w:rsidRPr="004A0F58">
              <w:rPr>
                <w:color w:val="0D0D0D" w:themeColor="text1" w:themeTint="F2"/>
              </w:rPr>
              <w:t xml:space="preserve"> (v p. b.)</w:t>
            </w:r>
          </w:p>
        </w:tc>
      </w:tr>
      <w:tr w:rsidR="00DD1A46" w:rsidRPr="004A0F58" w14:paraId="6EDEF0DB" w14:textId="77777777" w:rsidTr="00E962EE">
        <w:tblPrEx>
          <w:tblCellMar>
            <w:left w:w="70" w:type="dxa"/>
            <w:right w:w="70" w:type="dxa"/>
          </w:tblCellMar>
        </w:tblPrEx>
        <w:trPr>
          <w:trHeight w:val="145"/>
        </w:trPr>
        <w:tc>
          <w:tcPr>
            <w:tcW w:w="1814" w:type="dxa"/>
          </w:tcPr>
          <w:p w14:paraId="02D9EA50" w14:textId="77777777" w:rsidR="00DD1A46" w:rsidRPr="004A0F58" w:rsidRDefault="00DD1A46" w:rsidP="00E962EE">
            <w:pPr>
              <w:pStyle w:val="Marginlie"/>
              <w:spacing w:after="240"/>
              <w:rPr>
                <w:color w:val="0D0D0D" w:themeColor="text1" w:themeTint="F2"/>
                <w:spacing w:val="0"/>
              </w:rPr>
            </w:pPr>
          </w:p>
        </w:tc>
        <w:tc>
          <w:tcPr>
            <w:tcW w:w="181" w:type="dxa"/>
          </w:tcPr>
          <w:p w14:paraId="7CFEA473" w14:textId="77777777" w:rsidR="00DD1A46" w:rsidRPr="004A0F58" w:rsidRDefault="00DD1A46" w:rsidP="00E962EE">
            <w:pPr>
              <w:pStyle w:val="Textpoznpodarou"/>
              <w:spacing w:after="240"/>
              <w:jc w:val="both"/>
              <w:rPr>
                <w:color w:val="0D0D0D" w:themeColor="text1" w:themeTint="F2"/>
              </w:rPr>
            </w:pPr>
          </w:p>
        </w:tc>
        <w:tc>
          <w:tcPr>
            <w:tcW w:w="7711" w:type="dxa"/>
          </w:tcPr>
          <w:p w14:paraId="4FF7C21F" w14:textId="77777777" w:rsidR="00DD1A46" w:rsidRPr="004A0F58" w:rsidRDefault="00DD1A46" w:rsidP="00E962EE">
            <w:pPr>
              <w:spacing w:before="40" w:after="40"/>
              <w:rPr>
                <w:color w:val="0D0D0D" w:themeColor="text1" w:themeTint="F2"/>
              </w:rPr>
            </w:pPr>
            <w:r>
              <w:rPr>
                <w:noProof/>
              </w:rPr>
              <w:drawing>
                <wp:inline distT="0" distB="0" distL="0" distR="0" wp14:anchorId="7C51FB87" wp14:editId="702B5351">
                  <wp:extent cx="4737100" cy="3452883"/>
                  <wp:effectExtent l="0" t="0" r="6350" b="0"/>
                  <wp:docPr id="178850412" name="Graf 1">
                    <a:extLst xmlns:a="http://schemas.openxmlformats.org/drawingml/2006/main">
                      <a:ext uri="{FF2B5EF4-FFF2-40B4-BE49-F238E27FC236}">
                        <a16:creationId xmlns:a16="http://schemas.microsoft.com/office/drawing/2014/main" id="{C0094A0E-61BE-4079-AF51-5E430105A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DD1A46" w:rsidRPr="004A0F58" w14:paraId="7CBC3420" w14:textId="77777777" w:rsidTr="00E962EE">
        <w:trPr>
          <w:trHeight w:val="145"/>
        </w:trPr>
        <w:tc>
          <w:tcPr>
            <w:tcW w:w="1814" w:type="dxa"/>
            <w:tcMar>
              <w:left w:w="0" w:type="dxa"/>
            </w:tcMar>
          </w:tcPr>
          <w:p w14:paraId="79CAFA57"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7AF2D45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0C7F2E1" w14:textId="77777777" w:rsidR="00DD1A46" w:rsidRDefault="00DD1A46" w:rsidP="00E962EE">
            <w:pPr>
              <w:spacing w:after="0" w:line="240" w:lineRule="auto"/>
              <w:jc w:val="left"/>
              <w:rPr>
                <w:color w:val="0D0D0D" w:themeColor="text1" w:themeTint="F2"/>
                <w:sz w:val="14"/>
                <w:szCs w:val="14"/>
              </w:rPr>
            </w:pPr>
            <w:r>
              <w:rPr>
                <w:color w:val="0D0D0D" w:themeColor="text1" w:themeTint="F2"/>
                <w:sz w:val="14"/>
                <w:szCs w:val="14"/>
              </w:rPr>
              <w:t>Poznámka: B</w:t>
            </w:r>
            <w:r w:rsidRPr="004A0F58">
              <w:rPr>
                <w:color w:val="0D0D0D" w:themeColor="text1" w:themeTint="F2"/>
                <w:sz w:val="14"/>
                <w:szCs w:val="14"/>
              </w:rPr>
              <w:t>ariéry růstu vyjadřují stav v prvním měsíci daného čtvrtletí, saldo důvěry podnikatelů</w:t>
            </w:r>
            <w:r>
              <w:rPr>
                <w:rFonts w:cs="Arial"/>
                <w:color w:val="0D0D0D" w:themeColor="text1" w:themeTint="F2"/>
                <w:spacing w:val="-2"/>
                <w:sz w:val="14"/>
                <w:szCs w:val="14"/>
              </w:rPr>
              <w:t xml:space="preserve">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r>
              <w:rPr>
                <w:rFonts w:cs="Arial"/>
                <w:color w:val="0D0D0D" w:themeColor="text1" w:themeTint="F2"/>
                <w:sz w:val="14"/>
                <w:szCs w:val="14"/>
              </w:rPr>
              <w:t xml:space="preserve"> Z</w:t>
            </w:r>
            <w:r w:rsidRPr="004A0F58">
              <w:rPr>
                <w:color w:val="0D0D0D" w:themeColor="text1" w:themeTint="F2"/>
                <w:sz w:val="14"/>
                <w:szCs w:val="14"/>
              </w:rPr>
              <w:t>akázky jsou očištěny o kalendářní vlivy, ostatní ukazatele jsou sezónně očištěny. Podniky mohly uvést více hlavních růstových bariér současně.</w:t>
            </w:r>
          </w:p>
          <w:p w14:paraId="21BD7848" w14:textId="77777777" w:rsidR="00DD1A46" w:rsidRPr="004A0F58" w:rsidRDefault="00DD1A46" w:rsidP="00E962EE">
            <w:pPr>
              <w:spacing w:after="220" w:line="240" w:lineRule="auto"/>
              <w:jc w:val="left"/>
              <w:rPr>
                <w:color w:val="0D0D0D" w:themeColor="text1" w:themeTint="F2"/>
                <w:sz w:val="14"/>
                <w:szCs w:val="14"/>
              </w:rPr>
            </w:pPr>
            <w:r w:rsidRPr="004A0F58">
              <w:rPr>
                <w:color w:val="0D0D0D" w:themeColor="text1" w:themeTint="F2"/>
                <w:sz w:val="14"/>
                <w:szCs w:val="14"/>
              </w:rPr>
              <w:t>Zdroj: ČSÚ, Eurostat</w:t>
            </w:r>
          </w:p>
        </w:tc>
      </w:tr>
      <w:tr w:rsidR="00DD1A46" w:rsidRPr="004A0F58" w14:paraId="4FD2F707" w14:textId="77777777" w:rsidTr="00E962EE">
        <w:trPr>
          <w:trHeight w:val="145"/>
        </w:trPr>
        <w:tc>
          <w:tcPr>
            <w:tcW w:w="1814" w:type="dxa"/>
            <w:tcMar>
              <w:left w:w="0" w:type="dxa"/>
            </w:tcMar>
          </w:tcPr>
          <w:p w14:paraId="5B28A4E3" w14:textId="77777777" w:rsidR="00DD1A46" w:rsidRPr="004A0F58" w:rsidRDefault="00DD1A46" w:rsidP="00E962EE">
            <w:pPr>
              <w:pStyle w:val="Marginlie"/>
              <w:rPr>
                <w:color w:val="0D0D0D" w:themeColor="text1" w:themeTint="F2"/>
                <w:spacing w:val="0"/>
              </w:rPr>
            </w:pPr>
            <w:r>
              <w:rPr>
                <w:color w:val="0D0D0D" w:themeColor="text1" w:themeTint="F2"/>
                <w:spacing w:val="0"/>
              </w:rPr>
              <w:t>Skoro</w:t>
            </w:r>
            <w:r w:rsidRPr="004A0F58">
              <w:rPr>
                <w:color w:val="0D0D0D" w:themeColor="text1" w:themeTint="F2"/>
                <w:spacing w:val="0"/>
              </w:rPr>
              <w:t xml:space="preserve"> polovinu firem sužovala nedostatečná poptávka. Využití výrobních kapacit </w:t>
            </w:r>
            <w:r>
              <w:rPr>
                <w:color w:val="0D0D0D" w:themeColor="text1" w:themeTint="F2"/>
                <w:spacing w:val="0"/>
              </w:rPr>
              <w:t>však v létě vzrostlo</w:t>
            </w:r>
            <w:r w:rsidRPr="004A0F58">
              <w:rPr>
                <w:color w:val="0D0D0D" w:themeColor="text1" w:themeTint="F2"/>
                <w:spacing w:val="0"/>
              </w:rPr>
              <w:t>.</w:t>
            </w:r>
          </w:p>
        </w:tc>
        <w:tc>
          <w:tcPr>
            <w:tcW w:w="181" w:type="dxa"/>
            <w:tcMar>
              <w:left w:w="0" w:type="dxa"/>
            </w:tcMar>
          </w:tcPr>
          <w:p w14:paraId="414A7CA5"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19C9A29" w14:textId="77777777" w:rsidR="00DD1A46" w:rsidRPr="00233339" w:rsidRDefault="00DD1A46" w:rsidP="00E962EE">
            <w:pPr>
              <w:spacing w:after="200"/>
              <w:rPr>
                <w:color w:val="0D0D0D" w:themeColor="text1" w:themeTint="F2"/>
                <w:spacing w:val="-3"/>
              </w:rPr>
            </w:pPr>
            <w:r w:rsidRPr="004A0F58">
              <w:rPr>
                <w:color w:val="0D0D0D" w:themeColor="text1" w:themeTint="F2"/>
                <w:spacing w:val="-2"/>
              </w:rPr>
              <w:t>Čtvrtý rok v řadě zůstává klíčovou růstovou bariérou v průmyslu nedostatečná poptávka</w:t>
            </w:r>
            <w:r w:rsidRPr="004A0F58">
              <w:rPr>
                <w:rStyle w:val="Znakapoznpodarou"/>
                <w:rFonts w:eastAsia="MS Gothic"/>
                <w:color w:val="0D0D0D" w:themeColor="text1" w:themeTint="F2"/>
                <w:spacing w:val="-2"/>
                <w:szCs w:val="20"/>
              </w:rPr>
              <w:footnoteReference w:id="16"/>
            </w:r>
            <w:r w:rsidRPr="004A0F58">
              <w:rPr>
                <w:color w:val="0D0D0D" w:themeColor="text1" w:themeTint="F2"/>
                <w:spacing w:val="-2"/>
              </w:rPr>
              <w:t>. Tu letos v</w:t>
            </w:r>
            <w:r>
              <w:rPr>
                <w:color w:val="0D0D0D" w:themeColor="text1" w:themeTint="F2"/>
                <w:spacing w:val="-2"/>
              </w:rPr>
              <w:t> červenci</w:t>
            </w:r>
            <w:r w:rsidRPr="004A0F58">
              <w:rPr>
                <w:color w:val="0D0D0D" w:themeColor="text1" w:themeTint="F2"/>
                <w:spacing w:val="-2"/>
              </w:rPr>
              <w:t xml:space="preserve"> uvedlo </w:t>
            </w:r>
            <w:r>
              <w:rPr>
                <w:color w:val="0D0D0D" w:themeColor="text1" w:themeTint="F2"/>
                <w:spacing w:val="-2"/>
              </w:rPr>
              <w:t>48</w:t>
            </w:r>
            <w:r w:rsidRPr="004A0F58">
              <w:rPr>
                <w:color w:val="0D0D0D" w:themeColor="text1" w:themeTint="F2"/>
                <w:spacing w:val="-2"/>
              </w:rPr>
              <w:t> </w:t>
            </w:r>
            <w:r w:rsidRPr="004A0F58">
              <w:rPr>
                <w:rStyle w:val="normaltextrun"/>
                <w:rFonts w:eastAsia="MS Gothic" w:cs="Arial"/>
                <w:color w:val="0D0D0D" w:themeColor="text1" w:themeTint="F2"/>
                <w:spacing w:val="-2"/>
                <w:szCs w:val="20"/>
              </w:rPr>
              <w:t>% podniků</w:t>
            </w:r>
            <w:r>
              <w:rPr>
                <w:rStyle w:val="normaltextrun"/>
                <w:rFonts w:eastAsia="MS Gothic" w:cs="Arial"/>
                <w:color w:val="0D0D0D" w:themeColor="text1" w:themeTint="F2"/>
                <w:spacing w:val="-2"/>
                <w:szCs w:val="20"/>
              </w:rPr>
              <w:t xml:space="preserve"> (podobně jako o rok dříve)</w:t>
            </w:r>
            <w:r w:rsidRPr="004A0F58">
              <w:rPr>
                <w:rStyle w:val="normaltextrun"/>
                <w:rFonts w:eastAsia="MS Gothic" w:cs="Arial"/>
                <w:color w:val="0D0D0D" w:themeColor="text1" w:themeTint="F2"/>
                <w:spacing w:val="-2"/>
                <w:szCs w:val="20"/>
              </w:rPr>
              <w:t xml:space="preserve">. Mírně vzrostl </w:t>
            </w:r>
            <w:r>
              <w:rPr>
                <w:rStyle w:val="normaltextrun"/>
                <w:rFonts w:eastAsia="MS Gothic" w:cs="Arial"/>
                <w:color w:val="0D0D0D" w:themeColor="text1" w:themeTint="F2"/>
                <w:spacing w:val="-2"/>
                <w:szCs w:val="20"/>
              </w:rPr>
              <w:t>ale</w:t>
            </w:r>
            <w:r w:rsidRPr="004A0F58">
              <w:rPr>
                <w:rStyle w:val="normaltextrun"/>
                <w:rFonts w:eastAsia="MS Gothic" w:cs="Arial"/>
                <w:color w:val="0D0D0D" w:themeColor="text1" w:themeTint="F2"/>
                <w:spacing w:val="-2"/>
                <w:szCs w:val="20"/>
              </w:rPr>
              <w:t xml:space="preserve"> podíl podniků limitovaných nedostatkem pracovníků (na 1</w:t>
            </w:r>
            <w:r>
              <w:rPr>
                <w:rStyle w:val="normaltextrun"/>
                <w:rFonts w:eastAsia="MS Gothic" w:cs="Arial"/>
                <w:color w:val="0D0D0D" w:themeColor="text1" w:themeTint="F2"/>
                <w:spacing w:val="-2"/>
                <w:szCs w:val="20"/>
              </w:rPr>
              <w:t>3</w:t>
            </w:r>
            <w:r w:rsidRPr="004A0F58">
              <w:rPr>
                <w:rStyle w:val="normaltextrun"/>
                <w:rFonts w:eastAsia="MS Gothic" w:cs="Arial"/>
                <w:color w:val="0D0D0D" w:themeColor="text1" w:themeTint="F2"/>
                <w:spacing w:val="-2"/>
                <w:szCs w:val="20"/>
              </w:rPr>
              <w:t xml:space="preserve"> %), k pozitivnímu vývoji však došlo v oblasti dostupnosti materiálů či zařízení</w:t>
            </w:r>
            <w:r>
              <w:rPr>
                <w:rStyle w:val="Znakapoznpodarou"/>
                <w:rFonts w:eastAsia="MS Gothic"/>
                <w:color w:val="0D0D0D" w:themeColor="text1" w:themeTint="F2"/>
                <w:spacing w:val="-2"/>
                <w:szCs w:val="20"/>
              </w:rPr>
              <w:footnoteReference w:id="17"/>
            </w:r>
            <w:r w:rsidRPr="004A0F58">
              <w:rPr>
                <w:rStyle w:val="normaltextrun"/>
                <w:rFonts w:eastAsia="MS Gothic" w:cs="Arial"/>
                <w:color w:val="0D0D0D" w:themeColor="text1" w:themeTint="F2"/>
                <w:spacing w:val="-2"/>
                <w:szCs w:val="20"/>
              </w:rPr>
              <w:t>. Využití výrobních kapacit v průmyslu s</w:t>
            </w:r>
            <w:r w:rsidRPr="004A0F58">
              <w:rPr>
                <w:rStyle w:val="normaltextrun"/>
                <w:rFonts w:eastAsia="MS Gothic" w:cs="Arial"/>
                <w:color w:val="0D0D0D" w:themeColor="text1" w:themeTint="F2"/>
              </w:rPr>
              <w:t xml:space="preserve">e </w:t>
            </w:r>
            <w:r>
              <w:rPr>
                <w:rStyle w:val="normaltextrun"/>
                <w:rFonts w:eastAsia="MS Gothic" w:cs="Arial"/>
                <w:color w:val="0D0D0D" w:themeColor="text1" w:themeTint="F2"/>
              </w:rPr>
              <w:t xml:space="preserve">sice </w:t>
            </w:r>
            <w:r w:rsidRPr="004A0F58">
              <w:rPr>
                <w:rStyle w:val="normaltextrun"/>
                <w:rFonts w:eastAsia="MS Gothic" w:cs="Arial"/>
                <w:color w:val="0D0D0D" w:themeColor="text1" w:themeTint="F2"/>
              </w:rPr>
              <w:t>letos od začátku roku snižoval</w:t>
            </w:r>
            <w:r>
              <w:rPr>
                <w:rStyle w:val="normaltextrun"/>
                <w:rFonts w:eastAsia="MS Gothic" w:cs="Arial"/>
                <w:color w:val="0D0D0D" w:themeColor="text1" w:themeTint="F2"/>
              </w:rPr>
              <w:t>o,</w:t>
            </w:r>
            <w:r>
              <w:rPr>
                <w:rStyle w:val="normaltextrun"/>
                <w:rFonts w:eastAsia="MS Gothic" w:cs="Arial"/>
              </w:rPr>
              <w:t xml:space="preserve"> na počátku 3. čtvrtletí však nastal obrat související především s příznivým vývojem poptávky ve výrobě motorových vozidel</w:t>
            </w:r>
            <w:r w:rsidRPr="004A0F58">
              <w:rPr>
                <w:rStyle w:val="normaltextrun"/>
                <w:rFonts w:eastAsia="MS Gothic" w:cs="Arial"/>
                <w:color w:val="0D0D0D" w:themeColor="text1" w:themeTint="F2"/>
              </w:rPr>
              <w:t xml:space="preserve">. </w:t>
            </w:r>
            <w:r>
              <w:rPr>
                <w:rStyle w:val="normaltextrun"/>
                <w:rFonts w:eastAsia="MS Gothic" w:cs="Arial"/>
                <w:color w:val="0D0D0D" w:themeColor="text1" w:themeTint="F2"/>
              </w:rPr>
              <w:t xml:space="preserve">Využití kapacit v celém průmyslu se tak aktuálně těsně přiblížilo 85 % (úrovni běžné v konjunkturním období ve druhé polovině minulé dekády). </w:t>
            </w:r>
          </w:p>
        </w:tc>
      </w:tr>
      <w:tr w:rsidR="00DD1A46" w:rsidRPr="004A0F58" w14:paraId="358D1B4D" w14:textId="77777777" w:rsidTr="00E962EE">
        <w:trPr>
          <w:trHeight w:val="145"/>
        </w:trPr>
        <w:tc>
          <w:tcPr>
            <w:tcW w:w="1814" w:type="dxa"/>
            <w:gridSpan w:val="3"/>
            <w:tcMar>
              <w:left w:w="0" w:type="dxa"/>
            </w:tcMar>
          </w:tcPr>
          <w:p w14:paraId="6B5BA31A" w14:textId="77777777" w:rsidR="00DD1A46" w:rsidRPr="004A0F58" w:rsidRDefault="00DD1A46" w:rsidP="00E962EE">
            <w:pPr>
              <w:pStyle w:val="Nadpis3"/>
              <w:rPr>
                <w:color w:val="0D0D0D" w:themeColor="text1" w:themeTint="F2"/>
                <w:spacing w:val="-2"/>
              </w:rPr>
            </w:pPr>
            <w:bookmarkStart w:id="5" w:name="_Toc240366896"/>
            <w:r>
              <w:rPr>
                <w:lang w:eastAsia="en-US"/>
              </w:rPr>
              <w:t>3</w:t>
            </w:r>
            <w:r w:rsidRPr="006B2C72">
              <w:rPr>
                <w:lang w:eastAsia="en-US"/>
              </w:rPr>
              <w:t>.</w:t>
            </w:r>
            <w:r>
              <w:rPr>
                <w:lang w:eastAsia="en-US"/>
              </w:rPr>
              <w:t>2</w:t>
            </w:r>
            <w:r w:rsidRPr="006B2C72">
              <w:rPr>
                <w:lang w:eastAsia="en-US"/>
              </w:rPr>
              <w:t xml:space="preserve"> </w:t>
            </w:r>
            <w:r>
              <w:rPr>
                <w:lang w:eastAsia="en-US"/>
              </w:rPr>
              <w:t>Stavebnictví</w:t>
            </w:r>
            <w:bookmarkEnd w:id="5"/>
          </w:p>
        </w:tc>
      </w:tr>
      <w:tr w:rsidR="00DD1A46" w:rsidRPr="004A0F58" w14:paraId="22CCB366" w14:textId="77777777" w:rsidTr="00E962EE">
        <w:trPr>
          <w:trHeight w:val="145"/>
        </w:trPr>
        <w:tc>
          <w:tcPr>
            <w:tcW w:w="1814" w:type="dxa"/>
            <w:tcMar>
              <w:left w:w="0" w:type="dxa"/>
            </w:tcMar>
          </w:tcPr>
          <w:p w14:paraId="015D2062" w14:textId="77777777" w:rsidR="00DD1A46" w:rsidRPr="004A0F58" w:rsidRDefault="00DD1A46" w:rsidP="00E962EE">
            <w:pPr>
              <w:pStyle w:val="Marginlie"/>
              <w:rPr>
                <w:color w:val="0D0D0D" w:themeColor="text1" w:themeTint="F2"/>
                <w:spacing w:val="0"/>
              </w:rPr>
            </w:pPr>
            <w:r w:rsidRPr="004A0F58">
              <w:rPr>
                <w:color w:val="0D0D0D" w:themeColor="text1" w:themeTint="F2"/>
                <w:spacing w:val="0"/>
              </w:rPr>
              <w:t xml:space="preserve">Meziroční růst stavební produkce znatelně </w:t>
            </w:r>
            <w:r w:rsidRPr="004A0F58">
              <w:rPr>
                <w:color w:val="0D0D0D" w:themeColor="text1" w:themeTint="F2"/>
                <w:spacing w:val="0"/>
              </w:rPr>
              <w:lastRenderedPageBreak/>
              <w:t>zvolnil. Efekt vysoké srovnávací základny se nejvíce projevil v inženýrském stavitelství.</w:t>
            </w:r>
          </w:p>
        </w:tc>
        <w:tc>
          <w:tcPr>
            <w:tcW w:w="181" w:type="dxa"/>
            <w:tcMar>
              <w:left w:w="0" w:type="dxa"/>
            </w:tcMar>
          </w:tcPr>
          <w:p w14:paraId="6CB0070C"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80B4116" w14:textId="77777777" w:rsidR="00DD1A46" w:rsidRPr="004A0F58" w:rsidRDefault="00DD1A46" w:rsidP="00E962EE">
            <w:pPr>
              <w:spacing w:after="220"/>
              <w:rPr>
                <w:color w:val="0D0D0D" w:themeColor="text1" w:themeTint="F2"/>
                <w:spacing w:val="-2"/>
              </w:rPr>
            </w:pPr>
            <w:r w:rsidRPr="004A0F58">
              <w:rPr>
                <w:color w:val="0D0D0D" w:themeColor="text1" w:themeTint="F2"/>
                <w:spacing w:val="-2"/>
              </w:rPr>
              <w:t xml:space="preserve">Stavebnictví se i </w:t>
            </w:r>
            <w:r>
              <w:rPr>
                <w:color w:val="0D0D0D" w:themeColor="text1" w:themeTint="F2"/>
                <w:spacing w:val="-2"/>
              </w:rPr>
              <w:t>v první polovině</w:t>
            </w:r>
            <w:r w:rsidRPr="004A0F58">
              <w:rPr>
                <w:color w:val="0D0D0D" w:themeColor="text1" w:themeTint="F2"/>
                <w:spacing w:val="-2"/>
              </w:rPr>
              <w:t xml:space="preserve"> letošního roku dále </w:t>
            </w:r>
            <w:r>
              <w:rPr>
                <w:color w:val="0D0D0D" w:themeColor="text1" w:themeTint="F2"/>
                <w:spacing w:val="-2"/>
              </w:rPr>
              <w:t>dařilo</w:t>
            </w:r>
            <w:r w:rsidRPr="004A0F58">
              <w:rPr>
                <w:color w:val="0D0D0D" w:themeColor="text1" w:themeTint="F2"/>
                <w:spacing w:val="-2"/>
              </w:rPr>
              <w:t xml:space="preserve">. Pokračující mírný růst výkonu tuzemské ekonomiky byl totiž v posledních čtvrtletích spojen s významnějším oživením </w:t>
            </w:r>
            <w:r w:rsidRPr="004A0F58">
              <w:rPr>
                <w:color w:val="0D0D0D" w:themeColor="text1" w:themeTint="F2"/>
                <w:spacing w:val="-2"/>
              </w:rPr>
              <w:lastRenderedPageBreak/>
              <w:t>investiční aktivity domácností, firem i státu.</w:t>
            </w:r>
            <w:r>
              <w:rPr>
                <w:color w:val="0D0D0D" w:themeColor="text1" w:themeTint="F2"/>
                <w:spacing w:val="-2"/>
              </w:rPr>
              <w:t xml:space="preserve"> Svižnějšímu</w:t>
            </w:r>
            <w:r w:rsidRPr="004A0F58">
              <w:rPr>
                <w:color w:val="0D0D0D" w:themeColor="text1" w:themeTint="F2"/>
                <w:spacing w:val="-2"/>
              </w:rPr>
              <w:t xml:space="preserve"> rozvoji stavebnictví </w:t>
            </w:r>
            <w:r>
              <w:rPr>
                <w:color w:val="0D0D0D" w:themeColor="text1" w:themeTint="F2"/>
                <w:spacing w:val="-2"/>
              </w:rPr>
              <w:t xml:space="preserve">ale současně </w:t>
            </w:r>
            <w:r w:rsidRPr="004A0F58">
              <w:rPr>
                <w:color w:val="0D0D0D" w:themeColor="text1" w:themeTint="F2"/>
                <w:spacing w:val="-2"/>
              </w:rPr>
              <w:t xml:space="preserve">bránily dlouhodobě významné růstové bariéry (zejména </w:t>
            </w:r>
            <w:r w:rsidRPr="004A0F58">
              <w:rPr>
                <w:rStyle w:val="normaltextrun"/>
                <w:rFonts w:eastAsiaTheme="majorEastAsia" w:cs="Arial"/>
                <w:color w:val="0D0D0D" w:themeColor="text1" w:themeTint="F2"/>
                <w:spacing w:val="-2"/>
                <w:szCs w:val="20"/>
              </w:rPr>
              <w:t>nedostatek pracovníků</w:t>
            </w:r>
            <w:r>
              <w:rPr>
                <w:rStyle w:val="normaltextrun"/>
                <w:rFonts w:eastAsiaTheme="majorEastAsia" w:cs="Arial"/>
                <w:color w:val="0D0D0D" w:themeColor="text1" w:themeTint="F2"/>
                <w:spacing w:val="-2"/>
                <w:szCs w:val="20"/>
              </w:rPr>
              <w:t xml:space="preserve"> – napříč profesemi</w:t>
            </w:r>
            <w:r w:rsidRPr="004A0F58">
              <w:rPr>
                <w:rStyle w:val="normaltextrun"/>
                <w:rFonts w:eastAsiaTheme="majorEastAsia" w:cs="Arial"/>
                <w:color w:val="0D0D0D" w:themeColor="text1" w:themeTint="F2"/>
                <w:spacing w:val="-2"/>
                <w:szCs w:val="20"/>
              </w:rPr>
              <w:t>) a také přetrvávající nákladové tlaky pramenící z růstu cen stavebních materiálů i n</w:t>
            </w:r>
            <w:r w:rsidRPr="004A0F58">
              <w:rPr>
                <w:rStyle w:val="normaltextrun"/>
                <w:rFonts w:eastAsiaTheme="majorEastAsia" w:cs="Arial"/>
                <w:color w:val="0D0D0D" w:themeColor="text1" w:themeTint="F2"/>
              </w:rPr>
              <w:t>adále zvýšené cenové úrovně některých energi</w:t>
            </w:r>
            <w:r>
              <w:rPr>
                <w:rStyle w:val="normaltextrun"/>
                <w:rFonts w:eastAsiaTheme="majorEastAsia" w:cs="Arial"/>
                <w:color w:val="0D0D0D" w:themeColor="text1" w:themeTint="F2"/>
              </w:rPr>
              <w:t>í</w:t>
            </w:r>
            <w:r w:rsidRPr="004A0F58">
              <w:rPr>
                <w:rStyle w:val="normaltextrun"/>
                <w:rFonts w:eastAsiaTheme="majorEastAsia" w:cs="Arial"/>
                <w:color w:val="0D0D0D" w:themeColor="text1" w:themeTint="F2"/>
                <w:spacing w:val="-2"/>
                <w:szCs w:val="20"/>
              </w:rPr>
              <w:t xml:space="preserve">. </w:t>
            </w:r>
            <w:r w:rsidRPr="004A0F58">
              <w:rPr>
                <w:rStyle w:val="normaltextrun"/>
                <w:rFonts w:cs="Arial"/>
                <w:color w:val="0D0D0D" w:themeColor="text1" w:themeTint="F2"/>
                <w:spacing w:val="-2"/>
              </w:rPr>
              <w:t>S</w:t>
            </w:r>
            <w:r w:rsidRPr="004A0F58">
              <w:rPr>
                <w:color w:val="0D0D0D" w:themeColor="text1" w:themeTint="F2"/>
                <w:spacing w:val="-2"/>
              </w:rPr>
              <w:t>tavební produkce</w:t>
            </w:r>
            <w:r w:rsidRPr="004A0F58">
              <w:rPr>
                <w:rStyle w:val="Znakapoznpodarou"/>
                <w:color w:val="0D0D0D" w:themeColor="text1" w:themeTint="F2"/>
                <w:spacing w:val="-2"/>
              </w:rPr>
              <w:footnoteReference w:id="18"/>
            </w:r>
            <w:r>
              <w:rPr>
                <w:color w:val="0D0D0D" w:themeColor="text1" w:themeTint="F2"/>
                <w:spacing w:val="-2"/>
              </w:rPr>
              <w:t xml:space="preserve"> </w:t>
            </w:r>
            <w:r w:rsidRPr="004A0F58">
              <w:rPr>
                <w:color w:val="0D0D0D" w:themeColor="text1" w:themeTint="F2"/>
                <w:spacing w:val="-2"/>
              </w:rPr>
              <w:t>se v 1. čtvrtletí 2026 mezikvartálně zvýšila o 1,</w:t>
            </w:r>
            <w:r>
              <w:rPr>
                <w:color w:val="0D0D0D" w:themeColor="text1" w:themeTint="F2"/>
                <w:spacing w:val="-2"/>
              </w:rPr>
              <w:t>1</w:t>
            </w:r>
            <w:r w:rsidRPr="004A0F58">
              <w:rPr>
                <w:color w:val="0D0D0D" w:themeColor="text1" w:themeTint="F2"/>
                <w:spacing w:val="-2"/>
              </w:rPr>
              <w:t xml:space="preserve"> %</w:t>
            </w:r>
            <w:r>
              <w:rPr>
                <w:color w:val="0D0D0D" w:themeColor="text1" w:themeTint="F2"/>
                <w:spacing w:val="-2"/>
              </w:rPr>
              <w:t xml:space="preserve"> a v následujícím období o 1,2 %. V obou případech se na tom ovšem podílelo pouze pozemní stavitelství. </w:t>
            </w:r>
            <w:r w:rsidRPr="004A0F58">
              <w:rPr>
                <w:bCs/>
                <w:color w:val="0D0D0D" w:themeColor="text1" w:themeTint="F2"/>
                <w:spacing w:val="-4"/>
              </w:rPr>
              <w:t xml:space="preserve">V meziročním pohledu se </w:t>
            </w:r>
            <w:r>
              <w:rPr>
                <w:bCs/>
                <w:color w:val="0D0D0D" w:themeColor="text1" w:themeTint="F2"/>
                <w:spacing w:val="-4"/>
              </w:rPr>
              <w:t>za celé</w:t>
            </w:r>
            <w:r w:rsidRPr="004A0F58">
              <w:rPr>
                <w:bCs/>
                <w:color w:val="0D0D0D" w:themeColor="text1" w:themeTint="F2"/>
                <w:spacing w:val="-4"/>
              </w:rPr>
              <w:t> 1.</w:t>
            </w:r>
            <w:r w:rsidRPr="00233339">
              <w:rPr>
                <w:color w:val="0D0D0D" w:themeColor="text1" w:themeTint="F2"/>
                <w:spacing w:val="-3"/>
              </w:rPr>
              <w:t> </w:t>
            </w:r>
            <w:r>
              <w:rPr>
                <w:bCs/>
                <w:color w:val="0D0D0D" w:themeColor="text1" w:themeTint="F2"/>
                <w:spacing w:val="-4"/>
              </w:rPr>
              <w:t>polo</w:t>
            </w:r>
            <w:r w:rsidRPr="004A0F58">
              <w:rPr>
                <w:bCs/>
                <w:color w:val="0D0D0D" w:themeColor="text1" w:themeTint="F2"/>
                <w:spacing w:val="-4"/>
              </w:rPr>
              <w:t>letí 2026</w:t>
            </w:r>
            <w:r>
              <w:rPr>
                <w:bCs/>
                <w:color w:val="0D0D0D" w:themeColor="text1" w:themeTint="F2"/>
                <w:spacing w:val="-4"/>
              </w:rPr>
              <w:t xml:space="preserve"> výkon posílil o 4,0 % a ačkoli proti loňským tempům zvolnil o více než polovinu, růst produkce přetrvával již dva roky v řadě. K aktuálnímu růstu přispěla nejvíce výstavba budov (</w:t>
            </w:r>
            <w:r>
              <w:rPr>
                <w:color w:val="0D0D0D" w:themeColor="text1" w:themeTint="F2"/>
                <w:spacing w:val="-2"/>
              </w:rPr>
              <w:t xml:space="preserve">kde produkce vzrostla o 8,3 %), podobný vliv měl ale i </w:t>
            </w:r>
            <w:r>
              <w:rPr>
                <w:bCs/>
                <w:color w:val="0D0D0D" w:themeColor="text1" w:themeTint="F2"/>
                <w:spacing w:val="-4"/>
              </w:rPr>
              <w:t xml:space="preserve">segment </w:t>
            </w:r>
            <w:r w:rsidRPr="004A0F58">
              <w:rPr>
                <w:color w:val="0D0D0D" w:themeColor="text1" w:themeTint="F2"/>
                <w:spacing w:val="-2"/>
              </w:rPr>
              <w:t>specializovan</w:t>
            </w:r>
            <w:r>
              <w:rPr>
                <w:color w:val="0D0D0D" w:themeColor="text1" w:themeTint="F2"/>
                <w:spacing w:val="-2"/>
              </w:rPr>
              <w:t>ých</w:t>
            </w:r>
            <w:r w:rsidRPr="004A0F58">
              <w:rPr>
                <w:color w:val="0D0D0D" w:themeColor="text1" w:themeTint="F2"/>
                <w:spacing w:val="-2"/>
              </w:rPr>
              <w:t xml:space="preserve"> stavební</w:t>
            </w:r>
            <w:r>
              <w:rPr>
                <w:color w:val="0D0D0D" w:themeColor="text1" w:themeTint="F2"/>
                <w:spacing w:val="-2"/>
              </w:rPr>
              <w:t>ch</w:t>
            </w:r>
            <w:r w:rsidRPr="004A0F58">
              <w:rPr>
                <w:color w:val="0D0D0D" w:themeColor="text1" w:themeTint="F2"/>
                <w:spacing w:val="-2"/>
              </w:rPr>
              <w:t xml:space="preserve"> činnost</w:t>
            </w:r>
            <w:r>
              <w:rPr>
                <w:color w:val="0D0D0D" w:themeColor="text1" w:themeTint="F2"/>
                <w:spacing w:val="-2"/>
              </w:rPr>
              <w:t>í</w:t>
            </w:r>
            <w:r w:rsidRPr="004A0F58">
              <w:rPr>
                <w:color w:val="0D0D0D" w:themeColor="text1" w:themeTint="F2"/>
                <w:spacing w:val="-2"/>
              </w:rPr>
              <w:t xml:space="preserve">, </w:t>
            </w:r>
            <w:r w:rsidRPr="004A0F58">
              <w:rPr>
                <w:rStyle w:val="normaltextrun"/>
                <w:rFonts w:eastAsiaTheme="majorEastAsia" w:cs="Arial"/>
                <w:color w:val="0D0D0D" w:themeColor="text1" w:themeTint="F2"/>
                <w:spacing w:val="-2"/>
              </w:rPr>
              <w:t>je</w:t>
            </w:r>
            <w:r>
              <w:rPr>
                <w:rStyle w:val="normaltextrun"/>
                <w:rFonts w:eastAsiaTheme="majorEastAsia" w:cs="Arial"/>
                <w:color w:val="0D0D0D" w:themeColor="text1" w:themeTint="F2"/>
                <w:spacing w:val="-2"/>
              </w:rPr>
              <w:t>n</w:t>
            </w:r>
            <w:r w:rsidRPr="004A0F58">
              <w:rPr>
                <w:rStyle w:val="normaltextrun"/>
                <w:rFonts w:eastAsiaTheme="majorEastAsia" w:cs="Arial"/>
                <w:color w:val="0D0D0D" w:themeColor="text1" w:themeTint="F2"/>
                <w:spacing w:val="-2"/>
              </w:rPr>
              <w:t>ž j</w:t>
            </w:r>
            <w:r>
              <w:rPr>
                <w:rStyle w:val="normaltextrun"/>
                <w:rFonts w:eastAsiaTheme="majorEastAsia" w:cs="Arial"/>
                <w:color w:val="0D0D0D" w:themeColor="text1" w:themeTint="F2"/>
                <w:spacing w:val="-2"/>
              </w:rPr>
              <w:t>e</w:t>
            </w:r>
            <w:r w:rsidRPr="004A0F58">
              <w:rPr>
                <w:rStyle w:val="normaltextrun"/>
                <w:rFonts w:eastAsiaTheme="majorEastAsia" w:cs="Arial"/>
                <w:color w:val="0D0D0D" w:themeColor="text1" w:themeTint="F2"/>
                <w:spacing w:val="-2"/>
              </w:rPr>
              <w:t xml:space="preserve"> doménou zpravidla menších podniků </w:t>
            </w:r>
            <w:r>
              <w:rPr>
                <w:rStyle w:val="normaltextrun"/>
                <w:rFonts w:eastAsiaTheme="majorEastAsia" w:cs="Arial"/>
                <w:color w:val="0D0D0D" w:themeColor="text1" w:themeTint="F2"/>
                <w:spacing w:val="-2"/>
              </w:rPr>
              <w:br/>
            </w:r>
            <w:r w:rsidRPr="004A0F58">
              <w:rPr>
                <w:rStyle w:val="normaltextrun"/>
                <w:rFonts w:eastAsiaTheme="majorEastAsia" w:cs="Arial"/>
                <w:color w:val="0D0D0D" w:themeColor="text1" w:themeTint="F2"/>
                <w:spacing w:val="-2"/>
              </w:rPr>
              <w:t>a drobných podnikatelů</w:t>
            </w:r>
            <w:r>
              <w:rPr>
                <w:bCs/>
                <w:color w:val="0D0D0D" w:themeColor="text1" w:themeTint="F2"/>
                <w:spacing w:val="-4"/>
              </w:rPr>
              <w:t xml:space="preserve">. </w:t>
            </w:r>
            <w:r w:rsidRPr="004A0F58">
              <w:rPr>
                <w:rStyle w:val="normaltextrun"/>
                <w:rFonts w:eastAsiaTheme="majorEastAsia" w:cs="Arial"/>
                <w:color w:val="0D0D0D" w:themeColor="text1" w:themeTint="F2"/>
              </w:rPr>
              <w:t>Naopak</w:t>
            </w:r>
            <w:r>
              <w:rPr>
                <w:rStyle w:val="normaltextrun"/>
                <w:rFonts w:eastAsiaTheme="majorEastAsia" w:cs="Arial"/>
                <w:color w:val="0D0D0D" w:themeColor="text1" w:themeTint="F2"/>
              </w:rPr>
              <w:t xml:space="preserve"> </w:t>
            </w:r>
            <w:r w:rsidRPr="004A0F58">
              <w:rPr>
                <w:rStyle w:val="normaltextrun"/>
                <w:rFonts w:cs="Arial"/>
                <w:color w:val="0D0D0D" w:themeColor="text1" w:themeTint="F2"/>
              </w:rPr>
              <w:t>i</w:t>
            </w:r>
            <w:r w:rsidRPr="004A0F58">
              <w:rPr>
                <w:color w:val="0D0D0D" w:themeColor="text1" w:themeTint="F2"/>
                <w:spacing w:val="-2"/>
              </w:rPr>
              <w:t xml:space="preserve">nženýrské stavitelství na </w:t>
            </w:r>
            <w:r>
              <w:rPr>
                <w:color w:val="0D0D0D" w:themeColor="text1" w:themeTint="F2"/>
                <w:spacing w:val="-2"/>
              </w:rPr>
              <w:t xml:space="preserve">loňský </w:t>
            </w:r>
            <w:r w:rsidRPr="004A0F58">
              <w:rPr>
                <w:color w:val="0D0D0D" w:themeColor="text1" w:themeTint="F2"/>
                <w:spacing w:val="-6"/>
              </w:rPr>
              <w:t>dynamický růst nenavázalo a jeho výkon</w:t>
            </w:r>
            <w:r>
              <w:rPr>
                <w:color w:val="0D0D0D" w:themeColor="text1" w:themeTint="F2"/>
                <w:spacing w:val="-6"/>
              </w:rPr>
              <w:t xml:space="preserve"> se</w:t>
            </w:r>
            <w:r w:rsidRPr="004A0F58">
              <w:rPr>
                <w:color w:val="0D0D0D" w:themeColor="text1" w:themeTint="F2"/>
                <w:spacing w:val="-6"/>
              </w:rPr>
              <w:t xml:space="preserve"> </w:t>
            </w:r>
            <w:r>
              <w:rPr>
                <w:color w:val="0D0D0D" w:themeColor="text1" w:themeTint="F2"/>
                <w:spacing w:val="-6"/>
              </w:rPr>
              <w:t>letos velmi mírně snížil (</w:t>
            </w:r>
            <w:r w:rsidRPr="009D2D2C">
              <w:rPr>
                <w:color w:val="0D0D0D" w:themeColor="text1" w:themeTint="F2"/>
                <w:spacing w:val="-2"/>
              </w:rPr>
              <w:t>−</w:t>
            </w:r>
            <w:r>
              <w:rPr>
                <w:color w:val="0D0D0D" w:themeColor="text1" w:themeTint="F2"/>
                <w:spacing w:val="-6"/>
              </w:rPr>
              <w:t>0,7 %)</w:t>
            </w:r>
          </w:p>
        </w:tc>
      </w:tr>
      <w:tr w:rsidR="00DD1A46" w:rsidRPr="004A0F58" w14:paraId="5395C394" w14:textId="77777777" w:rsidTr="00E962EE">
        <w:trPr>
          <w:trHeight w:val="145"/>
        </w:trPr>
        <w:tc>
          <w:tcPr>
            <w:tcW w:w="1814" w:type="dxa"/>
            <w:tcMar>
              <w:left w:w="0" w:type="dxa"/>
            </w:tcMar>
          </w:tcPr>
          <w:p w14:paraId="220B11B2" w14:textId="77777777" w:rsidR="00DD1A46" w:rsidRPr="008C0D3A" w:rsidRDefault="00DD1A46" w:rsidP="00E962EE">
            <w:pPr>
              <w:pStyle w:val="Marginlie"/>
              <w:spacing w:after="240"/>
              <w:rPr>
                <w:color w:val="0D0D0D" w:themeColor="text1" w:themeTint="F2"/>
                <w:spacing w:val="0"/>
              </w:rPr>
            </w:pPr>
          </w:p>
        </w:tc>
        <w:tc>
          <w:tcPr>
            <w:tcW w:w="181" w:type="dxa"/>
            <w:tcMar>
              <w:left w:w="0" w:type="dxa"/>
            </w:tcMar>
          </w:tcPr>
          <w:p w14:paraId="1DB291A3"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689E7FD" w14:textId="77777777" w:rsidR="00DD1A46" w:rsidRPr="009B5583" w:rsidRDefault="00DD1A46" w:rsidP="00E962EE">
            <w:pPr>
              <w:spacing w:after="40"/>
              <w:rPr>
                <w:color w:val="0D0D0D" w:themeColor="text1" w:themeTint="F2"/>
              </w:rPr>
            </w:pPr>
            <w:r w:rsidRPr="009B5583">
              <w:rPr>
                <w:b/>
                <w:color w:val="0D0D0D" w:themeColor="text1" w:themeTint="F2"/>
              </w:rPr>
              <w:t>Graf č. </w:t>
            </w:r>
            <w:r>
              <w:rPr>
                <w:b/>
                <w:color w:val="0D0D0D" w:themeColor="text1" w:themeTint="F2"/>
              </w:rPr>
              <w:t>7</w:t>
            </w:r>
            <w:r w:rsidRPr="009B5583">
              <w:rPr>
                <w:b/>
                <w:color w:val="0D0D0D" w:themeColor="text1" w:themeTint="F2"/>
              </w:rPr>
              <w:t xml:space="preserve"> </w:t>
            </w:r>
            <w:r w:rsidRPr="009B5583">
              <w:rPr>
                <w:rFonts w:cs="Arial"/>
                <w:b/>
                <w:bCs/>
                <w:color w:val="000000"/>
                <w:szCs w:val="20"/>
              </w:rPr>
              <w:t>Rozklad meziroční změny</w:t>
            </w:r>
            <w:r w:rsidRPr="009B5583">
              <w:rPr>
                <w:b/>
                <w:color w:val="0D0D0D" w:themeColor="text1" w:themeTint="F2"/>
              </w:rPr>
              <w:t xml:space="preserve"> stavební produkce </w:t>
            </w:r>
            <w:r w:rsidRPr="009B5583">
              <w:rPr>
                <w:bCs/>
                <w:color w:val="0D0D0D" w:themeColor="text1" w:themeTint="F2"/>
              </w:rPr>
              <w:t>(</w:t>
            </w:r>
            <w:r w:rsidRPr="009B5583">
              <w:rPr>
                <w:rFonts w:cs="Arial"/>
                <w:bCs/>
                <w:color w:val="000000"/>
                <w:szCs w:val="20"/>
              </w:rPr>
              <w:t>příspěvky k růstu, v p. b.)</w:t>
            </w:r>
            <w:r w:rsidRPr="009B5583">
              <w:rPr>
                <w:b/>
                <w:color w:val="0D0D0D" w:themeColor="text1" w:themeTint="F2"/>
              </w:rPr>
              <w:t>,</w:t>
            </w:r>
            <w:r w:rsidRPr="009B5583">
              <w:rPr>
                <w:b/>
                <w:color w:val="0D0D0D" w:themeColor="text1" w:themeTint="F2"/>
              </w:rPr>
              <w:br/>
              <w:t>nové stavební zakázky</w:t>
            </w:r>
            <w:r w:rsidRPr="009B5583">
              <w:rPr>
                <w:color w:val="0D0D0D" w:themeColor="text1" w:themeTint="F2"/>
              </w:rPr>
              <w:t xml:space="preserve"> (nominálně, meziročně, v %)</w:t>
            </w:r>
            <w:r>
              <w:rPr>
                <w:color w:val="0D0D0D" w:themeColor="text1" w:themeTint="F2"/>
              </w:rPr>
              <w:t xml:space="preserve"> </w:t>
            </w:r>
            <w:r w:rsidRPr="009B5583">
              <w:rPr>
                <w:b/>
                <w:bCs/>
                <w:color w:val="0D0D0D" w:themeColor="text1" w:themeTint="F2"/>
              </w:rPr>
              <w:t>a</w:t>
            </w:r>
            <w:r w:rsidRPr="009B5583">
              <w:rPr>
                <w:b/>
                <w:color w:val="0D0D0D" w:themeColor="text1" w:themeTint="F2"/>
              </w:rPr>
              <w:t xml:space="preserve"> důvěra podnikatelů ve stavebnictví</w:t>
            </w:r>
            <w:r w:rsidRPr="009B5583">
              <w:rPr>
                <w:color w:val="0D0D0D" w:themeColor="text1" w:themeTint="F2"/>
              </w:rPr>
              <w:t xml:space="preserve"> (v p. b.)</w:t>
            </w:r>
          </w:p>
        </w:tc>
      </w:tr>
      <w:tr w:rsidR="00DD1A46" w:rsidRPr="004A0F58" w14:paraId="01811A08" w14:textId="77777777" w:rsidTr="00E962EE">
        <w:tblPrEx>
          <w:tblCellMar>
            <w:left w:w="70" w:type="dxa"/>
            <w:right w:w="70" w:type="dxa"/>
          </w:tblCellMar>
        </w:tblPrEx>
        <w:trPr>
          <w:trHeight w:val="145"/>
        </w:trPr>
        <w:tc>
          <w:tcPr>
            <w:tcW w:w="1814" w:type="dxa"/>
          </w:tcPr>
          <w:p w14:paraId="337CE978" w14:textId="77777777" w:rsidR="00DD1A46" w:rsidRPr="004A0F58" w:rsidRDefault="00DD1A46" w:rsidP="00E962EE">
            <w:pPr>
              <w:pStyle w:val="Marginlie"/>
              <w:spacing w:after="240"/>
              <w:rPr>
                <w:color w:val="0D0D0D" w:themeColor="text1" w:themeTint="F2"/>
                <w:spacing w:val="0"/>
              </w:rPr>
            </w:pPr>
          </w:p>
        </w:tc>
        <w:tc>
          <w:tcPr>
            <w:tcW w:w="181" w:type="dxa"/>
          </w:tcPr>
          <w:p w14:paraId="5A157F3A" w14:textId="77777777" w:rsidR="00DD1A46" w:rsidRPr="004A0F58" w:rsidRDefault="00DD1A46" w:rsidP="00E962EE">
            <w:pPr>
              <w:pStyle w:val="Textpoznpodarou"/>
              <w:spacing w:after="240"/>
              <w:jc w:val="both"/>
              <w:rPr>
                <w:color w:val="0D0D0D" w:themeColor="text1" w:themeTint="F2"/>
              </w:rPr>
            </w:pPr>
          </w:p>
        </w:tc>
        <w:tc>
          <w:tcPr>
            <w:tcW w:w="7711" w:type="dxa"/>
          </w:tcPr>
          <w:p w14:paraId="05BEBDB9" w14:textId="77777777" w:rsidR="00DD1A46" w:rsidRPr="004A0F58" w:rsidRDefault="00DD1A46" w:rsidP="00E962EE">
            <w:pPr>
              <w:spacing w:before="40" w:after="40"/>
              <w:rPr>
                <w:color w:val="0D0D0D" w:themeColor="text1" w:themeTint="F2"/>
              </w:rPr>
            </w:pPr>
            <w:r>
              <w:rPr>
                <w:noProof/>
              </w:rPr>
              <w:drawing>
                <wp:inline distT="0" distB="0" distL="0" distR="0" wp14:anchorId="49282C35" wp14:editId="2534C8BE">
                  <wp:extent cx="4737600" cy="3553200"/>
                  <wp:effectExtent l="0" t="0" r="6350" b="0"/>
                  <wp:docPr id="741407080" name="Graf 1">
                    <a:extLst xmlns:a="http://schemas.openxmlformats.org/drawingml/2006/main">
                      <a:ext uri="{FF2B5EF4-FFF2-40B4-BE49-F238E27FC236}">
                        <a16:creationId xmlns:a16="http://schemas.microsoft.com/office/drawing/2014/main" id="{0A385E31-84EC-4D57-940D-F972DCFF6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DD1A46" w:rsidRPr="004A0F58" w14:paraId="08FBFDDD" w14:textId="77777777" w:rsidTr="00E962EE">
        <w:trPr>
          <w:trHeight w:val="145"/>
        </w:trPr>
        <w:tc>
          <w:tcPr>
            <w:tcW w:w="1814" w:type="dxa"/>
            <w:tcMar>
              <w:left w:w="0" w:type="dxa"/>
            </w:tcMar>
          </w:tcPr>
          <w:p w14:paraId="50D064BF"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65B5C3EF"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092A973F" w14:textId="77777777" w:rsidR="00DD1A46" w:rsidRPr="000B2D9E" w:rsidRDefault="00DD1A46" w:rsidP="00E962EE">
            <w:pPr>
              <w:spacing w:after="0"/>
              <w:rPr>
                <w:color w:val="0D0D0D" w:themeColor="text1" w:themeTint="F2"/>
                <w:spacing w:val="-2"/>
                <w:sz w:val="14"/>
                <w:szCs w:val="14"/>
              </w:rPr>
            </w:pPr>
            <w:r w:rsidRPr="000B2D9E">
              <w:rPr>
                <w:color w:val="0D0D0D" w:themeColor="text1" w:themeTint="F2"/>
                <w:spacing w:val="-2"/>
                <w:sz w:val="14"/>
                <w:szCs w:val="14"/>
              </w:rPr>
              <w:t xml:space="preserve">Poznámka: Údaje o stavební produkci jsou </w:t>
            </w:r>
            <w:r>
              <w:rPr>
                <w:color w:val="0D0D0D" w:themeColor="text1" w:themeTint="F2"/>
                <w:spacing w:val="-2"/>
                <w:sz w:val="14"/>
                <w:szCs w:val="14"/>
              </w:rPr>
              <w:t xml:space="preserve">uvedeny v reálném vyjádření a </w:t>
            </w:r>
            <w:r w:rsidRPr="000B2D9E">
              <w:rPr>
                <w:color w:val="0D0D0D" w:themeColor="text1" w:themeTint="F2"/>
                <w:spacing w:val="-2"/>
                <w:sz w:val="14"/>
                <w:szCs w:val="14"/>
              </w:rPr>
              <w:t>očištěny o kalendářní vlivy. Saldo důvěry podnikatelů je sezónně očištěn</w:t>
            </w:r>
            <w:r>
              <w:rPr>
                <w:color w:val="0D0D0D" w:themeColor="text1" w:themeTint="F2"/>
                <w:spacing w:val="-2"/>
                <w:sz w:val="14"/>
                <w:szCs w:val="14"/>
              </w:rPr>
              <w:t>o a</w:t>
            </w:r>
            <w:r w:rsidRPr="000B2D9E">
              <w:rPr>
                <w:color w:val="0D0D0D" w:themeColor="text1" w:themeTint="F2"/>
                <w:spacing w:val="-2"/>
                <w:sz w:val="14"/>
                <w:szCs w:val="14"/>
              </w:rPr>
              <w:t>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p>
          <w:p w14:paraId="41F9032F" w14:textId="77777777" w:rsidR="00DD1A46" w:rsidRPr="004A0F58" w:rsidRDefault="00DD1A46" w:rsidP="00E962EE">
            <w:pPr>
              <w:spacing w:after="200"/>
              <w:rPr>
                <w:color w:val="0D0D0D" w:themeColor="text1" w:themeTint="F2"/>
                <w:sz w:val="16"/>
                <w:szCs w:val="16"/>
              </w:rPr>
            </w:pPr>
            <w:r w:rsidRPr="004A0F58">
              <w:rPr>
                <w:color w:val="0D0D0D" w:themeColor="text1" w:themeTint="F2"/>
                <w:sz w:val="14"/>
                <w:szCs w:val="14"/>
              </w:rPr>
              <w:t>Zdroj: ČSÚ, Eurostat</w:t>
            </w:r>
          </w:p>
        </w:tc>
      </w:tr>
      <w:tr w:rsidR="00DD1A46" w:rsidRPr="004A0F58" w14:paraId="66FDFE54" w14:textId="77777777" w:rsidTr="00E962EE">
        <w:trPr>
          <w:trHeight w:val="170"/>
        </w:trPr>
        <w:tc>
          <w:tcPr>
            <w:tcW w:w="1814" w:type="dxa"/>
            <w:tcMar>
              <w:left w:w="0" w:type="dxa"/>
            </w:tcMar>
          </w:tcPr>
          <w:p w14:paraId="4646CE51" w14:textId="77777777" w:rsidR="00DD1A46" w:rsidRDefault="00DD1A46" w:rsidP="00E962EE">
            <w:pPr>
              <w:pStyle w:val="Marginlie"/>
              <w:rPr>
                <w:color w:val="0D0D0D" w:themeColor="text1" w:themeTint="F2"/>
                <w:spacing w:val="0"/>
              </w:rPr>
            </w:pPr>
            <w:r w:rsidRPr="004A0F58">
              <w:rPr>
                <w:color w:val="0D0D0D" w:themeColor="text1" w:themeTint="F2"/>
                <w:spacing w:val="0"/>
              </w:rPr>
              <w:t xml:space="preserve">Rozsah zahajované bytové výstavby se </w:t>
            </w:r>
            <w:r>
              <w:rPr>
                <w:color w:val="0D0D0D" w:themeColor="text1" w:themeTint="F2"/>
                <w:spacing w:val="0"/>
              </w:rPr>
              <w:t xml:space="preserve">plošně </w:t>
            </w:r>
            <w:r w:rsidRPr="004A0F58">
              <w:rPr>
                <w:color w:val="0D0D0D" w:themeColor="text1" w:themeTint="F2"/>
                <w:spacing w:val="0"/>
              </w:rPr>
              <w:t xml:space="preserve">zvýšil. Dokončených bytů však mírně ubylo, neboť </w:t>
            </w:r>
            <w:r>
              <w:rPr>
                <w:color w:val="0D0D0D" w:themeColor="text1" w:themeTint="F2"/>
                <w:spacing w:val="0"/>
              </w:rPr>
              <w:t>stále</w:t>
            </w:r>
            <w:r w:rsidRPr="004A0F58">
              <w:rPr>
                <w:color w:val="0D0D0D" w:themeColor="text1" w:themeTint="F2"/>
                <w:spacing w:val="0"/>
              </w:rPr>
              <w:t xml:space="preserve"> vázla finalizace </w:t>
            </w:r>
            <w:r>
              <w:rPr>
                <w:color w:val="0D0D0D" w:themeColor="text1" w:themeTint="F2"/>
                <w:spacing w:val="0"/>
              </w:rPr>
              <w:t>rodinných domů</w:t>
            </w:r>
            <w:r w:rsidRPr="004A0F58">
              <w:rPr>
                <w:color w:val="0D0D0D" w:themeColor="text1" w:themeTint="F2"/>
                <w:spacing w:val="0"/>
              </w:rPr>
              <w:t>.</w:t>
            </w:r>
          </w:p>
        </w:tc>
        <w:tc>
          <w:tcPr>
            <w:tcW w:w="181" w:type="dxa"/>
            <w:tcMar>
              <w:left w:w="0" w:type="dxa"/>
            </w:tcMar>
          </w:tcPr>
          <w:p w14:paraId="2565DAC2"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4F861C71" w14:textId="77777777" w:rsidR="00DD1A46" w:rsidRPr="00B40B27" w:rsidRDefault="00DD1A46" w:rsidP="00E962EE">
            <w:pPr>
              <w:spacing w:after="200"/>
              <w:rPr>
                <w:rStyle w:val="normaltextrun"/>
                <w:rFonts w:eastAsiaTheme="majorEastAsia" w:cs="Arial"/>
                <w:color w:val="0D0D0D" w:themeColor="text1" w:themeTint="F2"/>
                <w:spacing w:val="-6"/>
                <w:szCs w:val="20"/>
              </w:rPr>
            </w:pPr>
            <w:r w:rsidRPr="001E7053">
              <w:rPr>
                <w:rStyle w:val="normaltextrun"/>
                <w:rFonts w:eastAsiaTheme="majorEastAsia"/>
                <w:color w:val="0D0D0D" w:themeColor="text1" w:themeTint="F2"/>
                <w:spacing w:val="-3"/>
              </w:rPr>
              <w:t>Rozvoji pozemního stavitelství částečně pomohl segment bytové výstavby. Trendy v rámci různ</w:t>
            </w:r>
            <w:r>
              <w:rPr>
                <w:rStyle w:val="normaltextrun"/>
                <w:rFonts w:eastAsiaTheme="majorEastAsia"/>
                <w:color w:val="0D0D0D" w:themeColor="text1" w:themeTint="F2"/>
                <w:spacing w:val="-3"/>
              </w:rPr>
              <w:t>é</w:t>
            </w:r>
            <w:r w:rsidRPr="001E7053">
              <w:rPr>
                <w:rStyle w:val="normaltextrun"/>
                <w:rFonts w:eastAsiaTheme="majorEastAsia"/>
                <w:color w:val="0D0D0D" w:themeColor="text1" w:themeTint="F2"/>
                <w:spacing w:val="-3"/>
              </w:rPr>
              <w:t xml:space="preserve"> bytové výstavby se ale letos rozcházely. Zatímco pololetní počet zahájených bytů (22,</w:t>
            </w:r>
            <w:r>
              <w:rPr>
                <w:rStyle w:val="normaltextrun"/>
                <w:rFonts w:eastAsiaTheme="majorEastAsia"/>
                <w:color w:val="0D0D0D" w:themeColor="text1" w:themeTint="F2"/>
                <w:spacing w:val="-3"/>
              </w:rPr>
              <w:t>7</w:t>
            </w:r>
            <w:r w:rsidRPr="001E7053">
              <w:rPr>
                <w:rStyle w:val="normaltextrun"/>
                <w:rFonts w:eastAsiaTheme="majorEastAsia"/>
                <w:color w:val="0D0D0D" w:themeColor="text1" w:themeTint="F2"/>
                <w:spacing w:val="-3"/>
              </w:rPr>
              <w:t xml:space="preserve"> tis.) vystoupal nejvýše za poslední čtyři rok</w:t>
            </w:r>
            <w:r>
              <w:rPr>
                <w:rStyle w:val="normaltextrun"/>
                <w:rFonts w:eastAsiaTheme="majorEastAsia"/>
                <w:color w:val="0D0D0D" w:themeColor="text1" w:themeTint="F2"/>
                <w:spacing w:val="-3"/>
              </w:rPr>
              <w:t>y</w:t>
            </w:r>
            <w:r w:rsidRPr="001E7053">
              <w:rPr>
                <w:rStyle w:val="normaltextrun"/>
                <w:rFonts w:eastAsiaTheme="majorEastAsia"/>
                <w:color w:val="0D0D0D" w:themeColor="text1" w:themeTint="F2"/>
                <w:spacing w:val="-3"/>
              </w:rPr>
              <w:t xml:space="preserve"> a meziročně posílil o </w:t>
            </w:r>
            <w:r>
              <w:rPr>
                <w:rStyle w:val="normaltextrun"/>
                <w:rFonts w:eastAsiaTheme="majorEastAsia"/>
                <w:color w:val="0D0D0D" w:themeColor="text1" w:themeTint="F2"/>
                <w:spacing w:val="-3"/>
              </w:rPr>
              <w:t>39</w:t>
            </w:r>
            <w:r w:rsidRPr="001E7053">
              <w:rPr>
                <w:rStyle w:val="normaltextrun"/>
                <w:rFonts w:eastAsiaTheme="majorEastAsia"/>
                <w:color w:val="0D0D0D" w:themeColor="text1" w:themeTint="F2"/>
                <w:spacing w:val="-3"/>
              </w:rPr>
              <w:t xml:space="preserve"> %, dokončených bytů (16,3 tis.) bylo při srovnání stejných období roku nejméně za posledních šest let </w:t>
            </w:r>
            <w:r>
              <w:rPr>
                <w:rStyle w:val="normaltextrun"/>
                <w:rFonts w:eastAsiaTheme="majorEastAsia"/>
                <w:color w:val="0D0D0D" w:themeColor="text1" w:themeTint="F2"/>
                <w:spacing w:val="-3"/>
              </w:rPr>
              <w:br/>
            </w:r>
            <w:r w:rsidRPr="001E7053">
              <w:rPr>
                <w:rStyle w:val="normaltextrun"/>
                <w:rFonts w:eastAsiaTheme="majorEastAsia"/>
                <w:color w:val="0D0D0D" w:themeColor="text1" w:themeTint="F2"/>
                <w:spacing w:val="-3"/>
              </w:rPr>
              <w:t xml:space="preserve">a meziročně se </w:t>
            </w:r>
            <w:r>
              <w:rPr>
                <w:rStyle w:val="normaltextrun"/>
                <w:rFonts w:eastAsiaTheme="majorEastAsia"/>
                <w:color w:val="0D0D0D" w:themeColor="text1" w:themeTint="F2"/>
                <w:spacing w:val="-3"/>
              </w:rPr>
              <w:t xml:space="preserve">letos </w:t>
            </w:r>
            <w:r w:rsidRPr="001E7053">
              <w:rPr>
                <w:rStyle w:val="normaltextrun"/>
                <w:rFonts w:eastAsiaTheme="majorEastAsia"/>
                <w:color w:val="0D0D0D" w:themeColor="text1" w:themeTint="F2"/>
                <w:spacing w:val="-3"/>
              </w:rPr>
              <w:t xml:space="preserve">objem výstavby snížil o 4,4 %. Vázlo zejména dokončování rodinných domů – vzniklo jich nejméně za poslední dvě dekády (5,9 tis.). Naopak k mírnému oživení došlo u bytových domů, převážně díky Praze. V případě zahájených bytů má jejich meziroční růst v zásadě plošný charakter, a to jak z hlediska forem výstavby (největší prorůstový vliv měly byty v bytových domech), tak regionů (zde analogicky Jihomoravský kraj a dále Středočeský kraj, výstavba naopak klesla jen ve třech regionech – mezi nimi </w:t>
            </w:r>
            <w:r w:rsidRPr="001E7053">
              <w:rPr>
                <w:rStyle w:val="normaltextrun"/>
                <w:rFonts w:eastAsiaTheme="majorEastAsia"/>
                <w:color w:val="0D0D0D" w:themeColor="text1" w:themeTint="F2"/>
                <w:spacing w:val="-3"/>
              </w:rPr>
              <w:lastRenderedPageBreak/>
              <w:t>v</w:t>
            </w:r>
            <w:r w:rsidRPr="00233339">
              <w:rPr>
                <w:color w:val="0D0D0D" w:themeColor="text1" w:themeTint="F2"/>
                <w:spacing w:val="-3"/>
              </w:rPr>
              <w:t> </w:t>
            </w:r>
            <w:r w:rsidRPr="001E7053">
              <w:rPr>
                <w:rStyle w:val="normaltextrun"/>
                <w:rFonts w:eastAsiaTheme="majorEastAsia"/>
                <w:color w:val="0D0D0D" w:themeColor="text1" w:themeTint="F2"/>
                <w:spacing w:val="-3"/>
              </w:rPr>
              <w:t>Praze</w:t>
            </w:r>
            <w:r w:rsidRPr="001E7053">
              <w:rPr>
                <w:rStyle w:val="Znakapoznpodarou"/>
                <w:rFonts w:eastAsiaTheme="majorEastAsia"/>
                <w:color w:val="0D0D0D" w:themeColor="text1" w:themeTint="F2"/>
                <w:spacing w:val="-3"/>
              </w:rPr>
              <w:footnoteReference w:id="19"/>
            </w:r>
            <w:r w:rsidRPr="001E7053">
              <w:rPr>
                <w:rStyle w:val="normaltextrun"/>
                <w:rFonts w:eastAsiaTheme="majorEastAsia"/>
                <w:color w:val="0D0D0D" w:themeColor="text1" w:themeTint="F2"/>
                <w:spacing w:val="-3"/>
              </w:rPr>
              <w:t xml:space="preserve">). </w:t>
            </w:r>
            <w:r w:rsidRPr="001E7053">
              <w:rPr>
                <w:rFonts w:eastAsiaTheme="majorEastAsia"/>
                <w:color w:val="0D0D0D" w:themeColor="text1" w:themeTint="F2"/>
                <w:spacing w:val="-3"/>
              </w:rPr>
              <w:t xml:space="preserve">Počet zahájených </w:t>
            </w:r>
            <w:r w:rsidRPr="001E7053">
              <w:rPr>
                <w:rStyle w:val="normaltextrun"/>
                <w:spacing w:val="-3"/>
              </w:rPr>
              <w:t xml:space="preserve">bytů v Česku v současnosti roste především díky </w:t>
            </w:r>
            <w:r w:rsidRPr="001E7053">
              <w:rPr>
                <w:rStyle w:val="normaltextrun"/>
                <w:rFonts w:eastAsia="MS Gothic"/>
                <w:spacing w:val="-3"/>
              </w:rPr>
              <w:t xml:space="preserve">oživení poptávky po stabilizaci hypotečního trhu, uvolnění odložených developerských projektů </w:t>
            </w:r>
            <w:r>
              <w:rPr>
                <w:rStyle w:val="normaltextrun"/>
                <w:rFonts w:eastAsia="MS Gothic"/>
                <w:spacing w:val="-3"/>
              </w:rPr>
              <w:br/>
            </w:r>
            <w:r w:rsidRPr="001E7053">
              <w:rPr>
                <w:rStyle w:val="normaltextrun"/>
                <w:rFonts w:eastAsia="MS Gothic"/>
                <w:spacing w:val="-3"/>
              </w:rPr>
              <w:t>a snaze pokrýt dlouhodobý deficit bydlení</w:t>
            </w:r>
            <w:r w:rsidRPr="001E7053">
              <w:rPr>
                <w:rStyle w:val="normaltextrun"/>
                <w:spacing w:val="-3"/>
              </w:rPr>
              <w:t xml:space="preserve">. Naopak do objemu dokončované </w:t>
            </w:r>
            <w:r w:rsidRPr="001E7053">
              <w:rPr>
                <w:rStyle w:val="normaltextrun"/>
                <w:rFonts w:eastAsia="MS Gothic"/>
                <w:spacing w:val="-3"/>
              </w:rPr>
              <w:t>výstavby se promítá útlum zahajování staveb z předchozích tří let umocněný prodlužováním doby výstavby vlivem růstu nákladů na stavební materiály, celkovou vysokou vytíženost</w:t>
            </w:r>
            <w:r>
              <w:rPr>
                <w:rStyle w:val="normaltextrun"/>
                <w:rFonts w:eastAsia="MS Gothic"/>
                <w:spacing w:val="-3"/>
              </w:rPr>
              <w:t xml:space="preserve">í </w:t>
            </w:r>
            <w:r w:rsidRPr="001E7053">
              <w:rPr>
                <w:rStyle w:val="normaltextrun"/>
                <w:rFonts w:eastAsia="MS Gothic"/>
                <w:spacing w:val="-3"/>
              </w:rPr>
              <w:t xml:space="preserve">stavebních firem </w:t>
            </w:r>
            <w:r>
              <w:rPr>
                <w:rStyle w:val="normaltextrun"/>
                <w:rFonts w:eastAsia="MS Gothic"/>
                <w:spacing w:val="-3"/>
              </w:rPr>
              <w:t>i</w:t>
            </w:r>
            <w:r w:rsidRPr="001E7053">
              <w:rPr>
                <w:rStyle w:val="normaltextrun"/>
                <w:rFonts w:eastAsia="MS Gothic"/>
                <w:spacing w:val="-3"/>
              </w:rPr>
              <w:t xml:space="preserve"> složit</w:t>
            </w:r>
            <w:r>
              <w:rPr>
                <w:rStyle w:val="normaltextrun"/>
                <w:rFonts w:eastAsia="MS Gothic"/>
                <w:spacing w:val="-3"/>
              </w:rPr>
              <w:t>ým</w:t>
            </w:r>
            <w:r w:rsidRPr="001E7053">
              <w:rPr>
                <w:rStyle w:val="normaltextrun"/>
                <w:rFonts w:eastAsia="MS Gothic"/>
                <w:spacing w:val="-3"/>
              </w:rPr>
              <w:t xml:space="preserve"> proces</w:t>
            </w:r>
            <w:r>
              <w:rPr>
                <w:rStyle w:val="normaltextrun"/>
                <w:rFonts w:eastAsia="MS Gothic"/>
                <w:spacing w:val="-3"/>
              </w:rPr>
              <w:t>em</w:t>
            </w:r>
            <w:r w:rsidRPr="001E7053">
              <w:rPr>
                <w:rStyle w:val="normaltextrun"/>
                <w:rFonts w:eastAsia="MS Gothic"/>
                <w:spacing w:val="-3"/>
              </w:rPr>
              <w:t xml:space="preserve"> stavebního řízení</w:t>
            </w:r>
            <w:r w:rsidRPr="00D143A0">
              <w:rPr>
                <w:rStyle w:val="normaltextrun"/>
                <w:rFonts w:eastAsia="MS Gothic"/>
              </w:rPr>
              <w:t>.</w:t>
            </w:r>
            <w:r>
              <w:rPr>
                <w:b/>
                <w:bCs/>
              </w:rPr>
              <w:t xml:space="preserve"> </w:t>
            </w:r>
          </w:p>
        </w:tc>
      </w:tr>
      <w:tr w:rsidR="00DD1A46" w:rsidRPr="004A0F58" w14:paraId="58E6F720" w14:textId="77777777" w:rsidTr="00E962EE">
        <w:trPr>
          <w:trHeight w:val="170"/>
        </w:trPr>
        <w:tc>
          <w:tcPr>
            <w:tcW w:w="1814" w:type="dxa"/>
            <w:tcMar>
              <w:left w:w="0" w:type="dxa"/>
            </w:tcMar>
          </w:tcPr>
          <w:p w14:paraId="3912D035" w14:textId="77777777" w:rsidR="00DD1A46" w:rsidRDefault="00DD1A46" w:rsidP="00E962EE">
            <w:pPr>
              <w:pStyle w:val="Marginlie"/>
              <w:rPr>
                <w:spacing w:val="0"/>
              </w:rPr>
            </w:pPr>
            <w:r>
              <w:rPr>
                <w:color w:val="0D0D0D" w:themeColor="text1" w:themeTint="F2"/>
                <w:spacing w:val="0"/>
              </w:rPr>
              <w:lastRenderedPageBreak/>
              <w:t>M</w:t>
            </w:r>
            <w:r>
              <w:rPr>
                <w:spacing w:val="0"/>
              </w:rPr>
              <w:t xml:space="preserve">eziroční růst hodnoty nových stavebních zakázek se ve 2. čtvrtletí obnovil. </w:t>
            </w:r>
          </w:p>
          <w:p w14:paraId="21CA461D" w14:textId="77777777" w:rsidR="00DD1A46" w:rsidRDefault="00DD1A46" w:rsidP="00E962EE">
            <w:pPr>
              <w:pStyle w:val="Marginlie"/>
              <w:rPr>
                <w:color w:val="0D0D0D" w:themeColor="text1" w:themeTint="F2"/>
                <w:spacing w:val="0"/>
              </w:rPr>
            </w:pPr>
          </w:p>
          <w:p w14:paraId="67F09D9A" w14:textId="77777777" w:rsidR="00DD1A46" w:rsidRDefault="00DD1A46" w:rsidP="00E962EE">
            <w:pPr>
              <w:pStyle w:val="Marginlie"/>
              <w:rPr>
                <w:color w:val="0D0D0D" w:themeColor="text1" w:themeTint="F2"/>
                <w:spacing w:val="0"/>
              </w:rPr>
            </w:pPr>
          </w:p>
          <w:p w14:paraId="14DAF956" w14:textId="77777777" w:rsidR="00DD1A46" w:rsidRDefault="00DD1A46" w:rsidP="00E962EE">
            <w:pPr>
              <w:pStyle w:val="Marginlie"/>
              <w:rPr>
                <w:color w:val="0D0D0D" w:themeColor="text1" w:themeTint="F2"/>
                <w:spacing w:val="0"/>
              </w:rPr>
            </w:pPr>
          </w:p>
          <w:p w14:paraId="2F9C0A4C" w14:textId="77777777" w:rsidR="00DD1A46" w:rsidRDefault="00DD1A46" w:rsidP="00E962EE">
            <w:pPr>
              <w:pStyle w:val="Marginlie"/>
            </w:pPr>
            <w:r w:rsidRPr="00B40B27">
              <w:rPr>
                <w:spacing w:val="0"/>
              </w:rPr>
              <w:t xml:space="preserve">Celková zásoba práce tuzemských stavebních firem </w:t>
            </w:r>
            <w:r>
              <w:rPr>
                <w:spacing w:val="0"/>
              </w:rPr>
              <w:t xml:space="preserve">byla </w:t>
            </w:r>
            <w:r w:rsidRPr="00B40B27">
              <w:rPr>
                <w:spacing w:val="0"/>
              </w:rPr>
              <w:t>stále vysoká</w:t>
            </w:r>
            <w:r>
              <w:rPr>
                <w:spacing w:val="0"/>
              </w:rPr>
              <w:t>.</w:t>
            </w:r>
            <w:r>
              <w:t xml:space="preserve"> Podílejí se na tom jak veřejné, tak soukromé zakázky v Česku.</w:t>
            </w:r>
          </w:p>
          <w:p w14:paraId="1043C5FA" w14:textId="77777777" w:rsidR="00DD1A46" w:rsidRDefault="00DD1A46" w:rsidP="00E962EE">
            <w:pPr>
              <w:pStyle w:val="Marginlie"/>
            </w:pPr>
          </w:p>
          <w:p w14:paraId="130EBC6C" w14:textId="77777777" w:rsidR="00DD1A46" w:rsidRPr="008C0D3A" w:rsidRDefault="00DD1A46" w:rsidP="00E962EE">
            <w:pPr>
              <w:pStyle w:val="Marginlie"/>
              <w:rPr>
                <w:rFonts w:cs="Arial"/>
                <w:color w:val="0D0D0D" w:themeColor="text1" w:themeTint="F2"/>
                <w:spacing w:val="0"/>
              </w:rPr>
            </w:pPr>
          </w:p>
        </w:tc>
        <w:tc>
          <w:tcPr>
            <w:tcW w:w="181" w:type="dxa"/>
            <w:tcMar>
              <w:left w:w="0" w:type="dxa"/>
            </w:tcMar>
          </w:tcPr>
          <w:p w14:paraId="375F425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5C80EBE7" w14:textId="77777777" w:rsidR="00DD1A46" w:rsidRPr="00AE22FC" w:rsidRDefault="00DD1A46" w:rsidP="00E962EE">
            <w:pPr>
              <w:spacing w:after="200"/>
              <w:rPr>
                <w:rFonts w:cs="Arial"/>
                <w:color w:val="0D0D0D" w:themeColor="text1" w:themeTint="F2"/>
                <w:spacing w:val="-4"/>
                <w:szCs w:val="20"/>
              </w:rPr>
            </w:pPr>
            <w:r w:rsidRPr="00B40B27">
              <w:rPr>
                <w:rStyle w:val="normaltextrun"/>
                <w:rFonts w:eastAsiaTheme="majorEastAsia" w:cs="Arial"/>
                <w:color w:val="0D0D0D" w:themeColor="text1" w:themeTint="F2"/>
                <w:spacing w:val="-6"/>
                <w:szCs w:val="20"/>
              </w:rPr>
              <w:t>Počet nových stavebních zakázek v tuzemsku (uzavřených firmami s 50 a více zaměstnanci)</w:t>
            </w:r>
            <w:r w:rsidRPr="00B40B27">
              <w:rPr>
                <w:rStyle w:val="normaltextrun"/>
                <w:rFonts w:eastAsiaTheme="majorEastAsia" w:cs="Arial"/>
                <w:color w:val="0D0D0D" w:themeColor="text1" w:themeTint="F2"/>
                <w:spacing w:val="-3"/>
                <w:szCs w:val="20"/>
              </w:rPr>
              <w:t xml:space="preserve"> se za </w:t>
            </w:r>
            <w:r>
              <w:rPr>
                <w:rStyle w:val="normaltextrun"/>
                <w:rFonts w:eastAsiaTheme="majorEastAsia" w:cs="Arial"/>
                <w:color w:val="0D0D0D" w:themeColor="text1" w:themeTint="F2"/>
                <w:spacing w:val="-3"/>
                <w:szCs w:val="20"/>
              </w:rPr>
              <w:t>2. čtvrtletí</w:t>
            </w:r>
            <w:r w:rsidRPr="00B40B27">
              <w:rPr>
                <w:rStyle w:val="normaltextrun"/>
                <w:rFonts w:eastAsiaTheme="majorEastAsia" w:cs="Arial"/>
                <w:color w:val="0D0D0D" w:themeColor="text1" w:themeTint="F2"/>
                <w:spacing w:val="-3"/>
                <w:szCs w:val="20"/>
              </w:rPr>
              <w:t xml:space="preserve"> 2026 meziročně zvýšil o </w:t>
            </w:r>
            <w:r>
              <w:rPr>
                <w:rStyle w:val="normaltextrun"/>
                <w:rFonts w:eastAsiaTheme="majorEastAsia" w:cs="Arial"/>
                <w:color w:val="0D0D0D" w:themeColor="text1" w:themeTint="F2"/>
                <w:spacing w:val="-3"/>
                <w:szCs w:val="20"/>
              </w:rPr>
              <w:t>7</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8</w:t>
            </w:r>
            <w:r w:rsidRPr="00B40B27">
              <w:rPr>
                <w:rStyle w:val="normaltextrun"/>
                <w:rFonts w:eastAsiaTheme="majorEastAsia" w:cs="Arial"/>
                <w:color w:val="0D0D0D" w:themeColor="text1" w:themeTint="F2"/>
                <w:spacing w:val="-3"/>
                <w:szCs w:val="20"/>
              </w:rPr>
              <w:t xml:space="preserve"> % (a vrátil se k růstu po půlroční odmlce). Oživení bylo z drtivé části odrazem vysoké očekávané poptávky v pozemním stavitelství (+</w:t>
            </w:r>
            <w:r>
              <w:rPr>
                <w:rStyle w:val="normaltextrun"/>
                <w:rFonts w:eastAsiaTheme="majorEastAsia" w:cs="Arial"/>
                <w:color w:val="0D0D0D" w:themeColor="text1" w:themeTint="F2"/>
                <w:spacing w:val="-3"/>
                <w:szCs w:val="20"/>
              </w:rPr>
              <w:t>16,8</w:t>
            </w:r>
            <w:r w:rsidRPr="00B40B27">
              <w:rPr>
                <w:rStyle w:val="normaltextrun"/>
                <w:rFonts w:eastAsiaTheme="majorEastAsia" w:cs="Arial"/>
                <w:color w:val="0D0D0D" w:themeColor="text1" w:themeTint="F2"/>
                <w:spacing w:val="-3"/>
                <w:szCs w:val="20"/>
              </w:rPr>
              <w:t xml:space="preserve"> %), v tom inženýrském šlo spíše o stagnaci na vysoké loňské úrovni (+</w:t>
            </w:r>
            <w:r>
              <w:rPr>
                <w:rStyle w:val="normaltextrun"/>
                <w:rFonts w:eastAsiaTheme="majorEastAsia" w:cs="Arial"/>
                <w:color w:val="0D0D0D" w:themeColor="text1" w:themeTint="F2"/>
                <w:spacing w:val="-3"/>
                <w:szCs w:val="20"/>
              </w:rPr>
              <w:t>1</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9</w:t>
            </w:r>
            <w:r w:rsidRPr="00B40B27">
              <w:rPr>
                <w:rStyle w:val="normaltextrun"/>
                <w:rFonts w:eastAsiaTheme="majorEastAsia" w:cs="Arial"/>
                <w:color w:val="0D0D0D" w:themeColor="text1" w:themeTint="F2"/>
                <w:spacing w:val="-3"/>
                <w:szCs w:val="20"/>
              </w:rPr>
              <w:t xml:space="preserve"> %). I přes krátkodobější dílčí výkyvy v objemu zakázek stále platí, že tuzemské stavební firmy jsou dlouhodobě poměrně silně vytížené. Celková zásoba práce (ve formě hodnoty všech dosud nerealizovaných zakázek v Česku i zahraničí) byla na konci letošního června meziročně vyšší o 2</w:t>
            </w:r>
            <w:r>
              <w:rPr>
                <w:rStyle w:val="normaltextrun"/>
                <w:rFonts w:eastAsiaTheme="majorEastAsia" w:cs="Arial"/>
                <w:color w:val="0D0D0D" w:themeColor="text1" w:themeTint="F2"/>
                <w:spacing w:val="-3"/>
                <w:szCs w:val="20"/>
              </w:rPr>
              <w:t>0</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7</w:t>
            </w:r>
            <w:r w:rsidRPr="00B40B27">
              <w:rPr>
                <w:rStyle w:val="normaltextrun"/>
                <w:rFonts w:eastAsiaTheme="majorEastAsia" w:cs="Arial"/>
                <w:color w:val="0D0D0D" w:themeColor="text1" w:themeTint="F2"/>
                <w:spacing w:val="-3"/>
                <w:szCs w:val="20"/>
              </w:rPr>
              <w:t xml:space="preserve"> % (a podobně svižným tempem rostla již devátý kvartál v řadě). Pozitivní je, že aktuálně k růstu vedle dominantní skupiny veřejných tuzemských zakázek (+2</w:t>
            </w:r>
            <w:r>
              <w:rPr>
                <w:rStyle w:val="normaltextrun"/>
                <w:rFonts w:eastAsiaTheme="majorEastAsia" w:cs="Arial"/>
                <w:color w:val="0D0D0D" w:themeColor="text1" w:themeTint="F2"/>
                <w:spacing w:val="-3"/>
                <w:szCs w:val="20"/>
              </w:rPr>
              <w:t>0,9</w:t>
            </w:r>
            <w:r w:rsidRPr="00B40B27">
              <w:rPr>
                <w:rStyle w:val="normaltextrun"/>
                <w:rFonts w:eastAsiaTheme="majorEastAsia" w:cs="Arial"/>
                <w:color w:val="0D0D0D" w:themeColor="text1" w:themeTint="F2"/>
                <w:spacing w:val="-3"/>
                <w:szCs w:val="20"/>
              </w:rPr>
              <w:t xml:space="preserve"> %) přispívají i soukromé tuzemské (+2</w:t>
            </w:r>
            <w:r>
              <w:rPr>
                <w:rStyle w:val="normaltextrun"/>
                <w:rFonts w:eastAsiaTheme="majorEastAsia" w:cs="Arial"/>
                <w:color w:val="0D0D0D" w:themeColor="text1" w:themeTint="F2"/>
                <w:spacing w:val="-3"/>
                <w:szCs w:val="20"/>
              </w:rPr>
              <w:t>3,8</w:t>
            </w:r>
            <w:r w:rsidRPr="00B40B27">
              <w:rPr>
                <w:rStyle w:val="normaltextrun"/>
                <w:rFonts w:eastAsiaTheme="majorEastAsia" w:cs="Arial"/>
                <w:color w:val="0D0D0D" w:themeColor="text1" w:themeTint="F2"/>
                <w:spacing w:val="-3"/>
                <w:szCs w:val="20"/>
              </w:rPr>
              <w:t xml:space="preserve"> %)</w:t>
            </w:r>
            <w:r w:rsidRPr="00B40B27">
              <w:rPr>
                <w:rStyle w:val="Znakapoznpodarou"/>
                <w:rFonts w:eastAsiaTheme="majorEastAsia"/>
                <w:color w:val="0D0D0D" w:themeColor="text1" w:themeTint="F2"/>
                <w:spacing w:val="-3"/>
                <w:szCs w:val="20"/>
              </w:rPr>
              <w:footnoteReference w:id="20"/>
            </w:r>
            <w:r w:rsidRPr="00B40B27">
              <w:rPr>
                <w:rStyle w:val="normaltextrun"/>
                <w:rFonts w:eastAsiaTheme="majorEastAsia" w:cs="Arial"/>
                <w:color w:val="0D0D0D" w:themeColor="text1" w:themeTint="F2"/>
                <w:spacing w:val="-3"/>
                <w:szCs w:val="20"/>
              </w:rPr>
              <w:t>.</w:t>
            </w:r>
            <w:r w:rsidRPr="004A0F58">
              <w:rPr>
                <w:rStyle w:val="normaltextrun"/>
                <w:rFonts w:eastAsiaTheme="majorEastAsia" w:cs="Arial"/>
                <w:color w:val="0D0D0D" w:themeColor="text1" w:themeTint="F2"/>
                <w:spacing w:val="-2"/>
                <w:szCs w:val="20"/>
              </w:rPr>
              <w:t xml:space="preserve"> I podle dalšího předstihového ukazatele zůstávají vyhlídky stavebnictví poměrně příznivé. Podlahová plocha u nové výstavby budov, na něž bylo letos od ledna do</w:t>
            </w:r>
            <w:r>
              <w:rPr>
                <w:rStyle w:val="normaltextrun"/>
                <w:rFonts w:eastAsiaTheme="majorEastAsia" w:cs="Arial"/>
                <w:color w:val="0D0D0D" w:themeColor="text1" w:themeTint="F2"/>
                <w:spacing w:val="-2"/>
                <w:szCs w:val="20"/>
              </w:rPr>
              <w:t xml:space="preserve"> června</w:t>
            </w:r>
            <w:r w:rsidRPr="004A0F58">
              <w:rPr>
                <w:rStyle w:val="normaltextrun"/>
                <w:rFonts w:eastAsiaTheme="majorEastAsia" w:cs="Arial"/>
                <w:color w:val="0D0D0D" w:themeColor="text1" w:themeTint="F2"/>
                <w:spacing w:val="-2"/>
                <w:szCs w:val="20"/>
              </w:rPr>
              <w:t xml:space="preserve"> vydáno stavební povolení, se meziročně </w:t>
            </w:r>
            <w:r w:rsidRPr="004A0F58">
              <w:rPr>
                <w:rStyle w:val="normaltextrun"/>
                <w:rFonts w:eastAsiaTheme="majorEastAsia"/>
                <w:color w:val="0D0D0D" w:themeColor="text1" w:themeTint="F2"/>
                <w:spacing w:val="-2"/>
              </w:rPr>
              <w:t xml:space="preserve">zvýšila </w:t>
            </w:r>
            <w:r>
              <w:rPr>
                <w:rStyle w:val="normaltextrun"/>
                <w:rFonts w:eastAsiaTheme="majorEastAsia"/>
                <w:color w:val="0D0D0D" w:themeColor="text1" w:themeTint="F2"/>
                <w:spacing w:val="-2"/>
              </w:rPr>
              <w:t>téměř o třetinu</w:t>
            </w:r>
            <w:r w:rsidRPr="004A0F58">
              <w:rPr>
                <w:rStyle w:val="Znakapoznpodarou"/>
                <w:rFonts w:eastAsiaTheme="majorEastAsia"/>
                <w:color w:val="0D0D0D" w:themeColor="text1" w:themeTint="F2"/>
                <w:spacing w:val="-2"/>
              </w:rPr>
              <w:footnoteReference w:id="21"/>
            </w:r>
            <w:r w:rsidRPr="004A0F58">
              <w:rPr>
                <w:rStyle w:val="normaltextrun"/>
                <w:rFonts w:eastAsiaTheme="majorEastAsia"/>
                <w:color w:val="0D0D0D" w:themeColor="text1" w:themeTint="F2"/>
                <w:spacing w:val="-2"/>
              </w:rPr>
              <w:t xml:space="preserve">, z toho u bytových budov o </w:t>
            </w:r>
            <w:r>
              <w:rPr>
                <w:rStyle w:val="normaltextrun"/>
                <w:rFonts w:eastAsiaTheme="majorEastAsia"/>
                <w:color w:val="0D0D0D" w:themeColor="text1" w:themeTint="F2"/>
                <w:spacing w:val="-2"/>
              </w:rPr>
              <w:t>54</w:t>
            </w:r>
            <w:r w:rsidRPr="004A0F58">
              <w:rPr>
                <w:rStyle w:val="normaltextrun"/>
                <w:rFonts w:eastAsiaTheme="majorEastAsia"/>
                <w:color w:val="0D0D0D" w:themeColor="text1" w:themeTint="F2"/>
                <w:spacing w:val="-2"/>
              </w:rPr>
              <w:t xml:space="preserve"> %, u nebytových </w:t>
            </w:r>
            <w:r>
              <w:rPr>
                <w:rStyle w:val="normaltextrun"/>
                <w:rFonts w:eastAsiaTheme="majorEastAsia"/>
                <w:color w:val="0D0D0D" w:themeColor="text1" w:themeTint="F2"/>
                <w:spacing w:val="-2"/>
              </w:rPr>
              <w:t xml:space="preserve">pak o 10 </w:t>
            </w:r>
            <w:r w:rsidRPr="004A0F58">
              <w:rPr>
                <w:rStyle w:val="normaltextrun"/>
                <w:rFonts w:eastAsiaTheme="majorEastAsia"/>
                <w:color w:val="0D0D0D" w:themeColor="text1" w:themeTint="F2"/>
                <w:spacing w:val="-2"/>
              </w:rPr>
              <w:t>%. Po většinu loňského roku přitom tato plocha v obou kategoriích klesla.</w:t>
            </w:r>
          </w:p>
        </w:tc>
      </w:tr>
      <w:tr w:rsidR="00DD1A46" w:rsidRPr="004A0F58" w14:paraId="490498EE" w14:textId="77777777" w:rsidTr="00E962EE">
        <w:trPr>
          <w:trHeight w:val="170"/>
        </w:trPr>
        <w:tc>
          <w:tcPr>
            <w:tcW w:w="1814" w:type="dxa"/>
            <w:tcMar>
              <w:left w:w="0" w:type="dxa"/>
            </w:tcMar>
          </w:tcPr>
          <w:p w14:paraId="2FA36A48" w14:textId="77777777" w:rsidR="00DD1A46" w:rsidRDefault="00DD1A46" w:rsidP="00E962EE">
            <w:pPr>
              <w:pStyle w:val="Marginlie"/>
              <w:rPr>
                <w:rFonts w:cs="Arial"/>
                <w:color w:val="0D0D0D" w:themeColor="text1" w:themeTint="F2"/>
                <w:spacing w:val="0"/>
              </w:rPr>
            </w:pPr>
            <w:r w:rsidRPr="008C0D3A">
              <w:rPr>
                <w:rFonts w:cs="Arial"/>
                <w:color w:val="0D0D0D" w:themeColor="text1" w:themeTint="F2"/>
                <w:spacing w:val="0"/>
              </w:rPr>
              <w:t xml:space="preserve">Saldo důvěry ve stavebnictví setrvávalo v mírně negativním pásmu. Očekávání vyšší výroby se promítlo </w:t>
            </w:r>
            <w:r>
              <w:rPr>
                <w:rFonts w:cs="Arial"/>
                <w:color w:val="0D0D0D" w:themeColor="text1" w:themeTint="F2"/>
                <w:spacing w:val="0"/>
              </w:rPr>
              <w:br/>
            </w:r>
            <w:r w:rsidRPr="008C0D3A">
              <w:rPr>
                <w:rFonts w:cs="Arial"/>
                <w:color w:val="0D0D0D" w:themeColor="text1" w:themeTint="F2"/>
                <w:spacing w:val="0"/>
              </w:rPr>
              <w:t xml:space="preserve">i v růstu zaměstnanosti. </w:t>
            </w:r>
          </w:p>
          <w:p w14:paraId="2B3115F6" w14:textId="77777777" w:rsidR="00DD1A46" w:rsidRDefault="00DD1A46" w:rsidP="00E962EE">
            <w:pPr>
              <w:pStyle w:val="Marginlie"/>
              <w:rPr>
                <w:rFonts w:cs="Arial"/>
                <w:color w:val="0D0D0D" w:themeColor="text1" w:themeTint="F2"/>
                <w:spacing w:val="0"/>
              </w:rPr>
            </w:pPr>
          </w:p>
          <w:p w14:paraId="152454FD" w14:textId="77777777" w:rsidR="00DD1A46" w:rsidRDefault="00DD1A46" w:rsidP="00E962EE">
            <w:pPr>
              <w:pStyle w:val="Marginlie"/>
              <w:rPr>
                <w:rFonts w:cs="Arial"/>
                <w:color w:val="0D0D0D" w:themeColor="text1" w:themeTint="F2"/>
                <w:spacing w:val="0"/>
              </w:rPr>
            </w:pPr>
          </w:p>
          <w:p w14:paraId="2DDD207D" w14:textId="77777777" w:rsidR="00DD1A46" w:rsidRDefault="00DD1A46" w:rsidP="00E962EE">
            <w:pPr>
              <w:pStyle w:val="Marginlie"/>
              <w:rPr>
                <w:rFonts w:cs="Arial"/>
                <w:color w:val="0D0D0D" w:themeColor="text1" w:themeTint="F2"/>
                <w:spacing w:val="0"/>
              </w:rPr>
            </w:pPr>
          </w:p>
          <w:p w14:paraId="17342631" w14:textId="77777777" w:rsidR="00DD1A46" w:rsidRDefault="00DD1A46" w:rsidP="00E962EE">
            <w:pPr>
              <w:pStyle w:val="Marginlie"/>
              <w:rPr>
                <w:rFonts w:cs="Arial"/>
                <w:color w:val="0D0D0D" w:themeColor="text1" w:themeTint="F2"/>
                <w:spacing w:val="0"/>
              </w:rPr>
            </w:pPr>
          </w:p>
          <w:p w14:paraId="46A9E3EB" w14:textId="77777777" w:rsidR="00DD1A46" w:rsidRPr="008C0D3A" w:rsidRDefault="00DD1A46" w:rsidP="00E962EE">
            <w:pPr>
              <w:pStyle w:val="Marginlie"/>
              <w:rPr>
                <w:rFonts w:cs="Arial"/>
                <w:color w:val="0D0D0D" w:themeColor="text1" w:themeTint="F2"/>
                <w:spacing w:val="0"/>
              </w:rPr>
            </w:pPr>
            <w:r w:rsidRPr="008C0D3A">
              <w:rPr>
                <w:rFonts w:cs="Arial"/>
                <w:color w:val="0D0D0D" w:themeColor="text1" w:themeTint="F2"/>
                <w:spacing w:val="0"/>
              </w:rPr>
              <w:t>Hlavní růstovou bariérou zůstává nedostatek zaměstnanců, roste role ostatních vlivů ve vazbě na konflikt na Blízkém východě.</w:t>
            </w:r>
          </w:p>
          <w:p w14:paraId="7E997819"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60A14D1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7176EDB" w14:textId="77777777" w:rsidR="00DD1A46" w:rsidRPr="004A0F58" w:rsidRDefault="00DD1A46" w:rsidP="00E962EE">
            <w:pPr>
              <w:spacing w:after="200"/>
              <w:rPr>
                <w:rStyle w:val="normaltextrun"/>
                <w:rFonts w:eastAsia="MS Gothic"/>
                <w:color w:val="0D0D0D" w:themeColor="text1" w:themeTint="F2"/>
              </w:rPr>
            </w:pPr>
            <w:r w:rsidRPr="00AE22FC">
              <w:rPr>
                <w:rFonts w:cs="Arial"/>
                <w:color w:val="0D0D0D" w:themeColor="text1" w:themeTint="F2"/>
                <w:spacing w:val="-4"/>
                <w:szCs w:val="20"/>
              </w:rPr>
              <w:t>Důvěra podnikatelů</w:t>
            </w:r>
            <w:r w:rsidRPr="00AE22FC">
              <w:rPr>
                <w:rStyle w:val="normaltextrun"/>
                <w:rFonts w:eastAsiaTheme="majorEastAsia" w:cs="Arial"/>
                <w:color w:val="0D0D0D" w:themeColor="text1" w:themeTint="F2"/>
                <w:spacing w:val="-4"/>
                <w:szCs w:val="20"/>
              </w:rPr>
              <w:t xml:space="preserve"> ve stavebnictví od konce loňského roku mírně kolísala bez náznaku zřetelného trendu. Letos v srpnu se pohybovala v mírně negativním pásmu (saldo: −5 bod</w:t>
            </w:r>
            <w:r>
              <w:rPr>
                <w:rStyle w:val="normaltextrun"/>
                <w:rFonts w:eastAsiaTheme="majorEastAsia" w:cs="Arial"/>
                <w:color w:val="0D0D0D" w:themeColor="text1" w:themeTint="F2"/>
                <w:spacing w:val="-4"/>
                <w:szCs w:val="20"/>
              </w:rPr>
              <w:t>ů</w:t>
            </w:r>
            <w:r w:rsidRPr="00AE22FC">
              <w:rPr>
                <w:rStyle w:val="normaltextrun"/>
                <w:rFonts w:eastAsiaTheme="majorEastAsia" w:cs="Arial"/>
                <w:color w:val="0D0D0D" w:themeColor="text1" w:themeTint="F2"/>
                <w:spacing w:val="-4"/>
                <w:szCs w:val="20"/>
              </w:rPr>
              <w:t>), proti dlouhodobému průměr</w:t>
            </w:r>
            <w:r>
              <w:rPr>
                <w:rStyle w:val="normaltextrun"/>
                <w:rFonts w:eastAsiaTheme="majorEastAsia" w:cs="Arial"/>
                <w:color w:val="0D0D0D" w:themeColor="text1" w:themeTint="F2"/>
                <w:spacing w:val="-4"/>
                <w:szCs w:val="20"/>
              </w:rPr>
              <w:t>u</w:t>
            </w:r>
            <w:r w:rsidRPr="00AE22FC">
              <w:rPr>
                <w:rStyle w:val="normaltextrun"/>
                <w:rFonts w:eastAsiaTheme="majorEastAsia" w:cs="Arial"/>
                <w:color w:val="0D0D0D" w:themeColor="text1" w:themeTint="F2"/>
                <w:spacing w:val="-4"/>
                <w:szCs w:val="20"/>
              </w:rPr>
              <w:t xml:space="preserve"> (období </w:t>
            </w:r>
            <w:r>
              <w:rPr>
                <w:rStyle w:val="normaltextrun"/>
                <w:rFonts w:eastAsiaTheme="majorEastAsia" w:cs="Arial"/>
                <w:color w:val="0D0D0D" w:themeColor="text1" w:themeTint="F2"/>
                <w:spacing w:val="-4"/>
                <w:szCs w:val="20"/>
              </w:rPr>
              <w:t>l</w:t>
            </w:r>
            <w:r>
              <w:rPr>
                <w:rStyle w:val="normaltextrun"/>
                <w:rFonts w:eastAsiaTheme="majorEastAsia" w:cs="Arial"/>
                <w:color w:val="0D0D0D" w:themeColor="text1" w:themeTint="F2"/>
                <w:spacing w:val="-4"/>
              </w:rPr>
              <w:t xml:space="preserve">et </w:t>
            </w:r>
            <w:r w:rsidRPr="00AE22FC">
              <w:rPr>
                <w:rStyle w:val="normaltextrun"/>
                <w:rFonts w:eastAsiaTheme="majorEastAsia" w:cs="Arial"/>
                <w:color w:val="0D0D0D" w:themeColor="text1" w:themeTint="F2"/>
                <w:spacing w:val="-4"/>
                <w:szCs w:val="20"/>
              </w:rPr>
              <w:t>2003 až 2025) však byla výrazně příznivější (+13</w:t>
            </w:r>
            <w:r w:rsidRPr="00233339">
              <w:rPr>
                <w:color w:val="0D0D0D" w:themeColor="text1" w:themeTint="F2"/>
                <w:spacing w:val="-3"/>
              </w:rPr>
              <w:t> </w:t>
            </w:r>
            <w:r w:rsidRPr="00AE22FC">
              <w:rPr>
                <w:rStyle w:val="normaltextrun"/>
                <w:rFonts w:eastAsiaTheme="majorEastAsia" w:cs="Arial"/>
                <w:color w:val="0D0D0D" w:themeColor="text1" w:themeTint="F2"/>
                <w:spacing w:val="-4"/>
                <w:szCs w:val="20"/>
              </w:rPr>
              <w:t>%). Lehce</w:t>
            </w:r>
            <w:r w:rsidRPr="00AE22FC">
              <w:rPr>
                <w:rStyle w:val="normaltextrun"/>
                <w:rFonts w:eastAsia="MS Gothic" w:cs="Arial"/>
                <w:color w:val="0D0D0D" w:themeColor="text1" w:themeTint="F2"/>
                <w:spacing w:val="-4"/>
                <w:szCs w:val="20"/>
              </w:rPr>
              <w:t xml:space="preserve"> pozitivní očekávání nejbližšího vývoje stavební činnosti (s výhledem na letošní podzimní měsíce) se odrazila v plánech na nábor pracovníků</w:t>
            </w:r>
            <w:r w:rsidRPr="00AE22FC">
              <w:rPr>
                <w:rStyle w:val="Znakapoznpodarou"/>
                <w:rFonts w:eastAsia="MS Gothic" w:cs="Arial"/>
                <w:color w:val="0D0D0D" w:themeColor="text1" w:themeTint="F2"/>
                <w:spacing w:val="-4"/>
                <w:szCs w:val="20"/>
              </w:rPr>
              <w:footnoteReference w:id="22"/>
            </w:r>
            <w:r w:rsidRPr="00AE22FC">
              <w:rPr>
                <w:rStyle w:val="normaltextrun"/>
                <w:rFonts w:eastAsia="MS Gothic" w:cs="Arial"/>
                <w:color w:val="0D0D0D" w:themeColor="text1" w:themeTint="F2"/>
                <w:spacing w:val="-4"/>
                <w:szCs w:val="20"/>
              </w:rPr>
              <w:t>. Příznivě hodnotil</w:t>
            </w:r>
            <w:r>
              <w:rPr>
                <w:rStyle w:val="normaltextrun"/>
                <w:rFonts w:eastAsia="MS Gothic" w:cs="Arial"/>
                <w:color w:val="0D0D0D" w:themeColor="text1" w:themeTint="F2"/>
                <w:spacing w:val="-4"/>
                <w:szCs w:val="20"/>
              </w:rPr>
              <w:t>a</w:t>
            </w:r>
            <w:r>
              <w:rPr>
                <w:rStyle w:val="normaltextrun"/>
                <w:rFonts w:eastAsia="MS Gothic" w:cs="Arial"/>
                <w:color w:val="0D0D0D" w:themeColor="text1" w:themeTint="F2"/>
                <w:spacing w:val="-4"/>
              </w:rPr>
              <w:t xml:space="preserve"> </w:t>
            </w:r>
            <w:r w:rsidRPr="00AE22FC">
              <w:rPr>
                <w:rStyle w:val="normaltextrun"/>
                <w:rFonts w:eastAsia="MS Gothic" w:cs="Arial"/>
                <w:color w:val="0D0D0D" w:themeColor="text1" w:themeTint="F2"/>
                <w:spacing w:val="-4"/>
                <w:szCs w:val="20"/>
              </w:rPr>
              <w:t>aktuálně svou finanční situaci třetina firem (nepříznivě pouhá 3 %), v půlročním výhledu zde očekává zlepšení každý šestý podnik (zhoršení jen každý dvacátý). Současnou poptávku ovšem stále nepříznivě vnímá skoro čtvrtina firem. Výkon celého odvětví limitují chronické růstové bariéry. Fakticky již více než sedm let v řadě je tou nejvýznamnější nedostatek (zejména kvalifikovaných) zaměstnanců. J</w:t>
            </w:r>
            <w:r w:rsidRPr="00AE22FC">
              <w:rPr>
                <w:rStyle w:val="normaltextrun"/>
                <w:rFonts w:eastAsiaTheme="majorEastAsia" w:cs="Arial"/>
                <w:color w:val="0D0D0D" w:themeColor="text1" w:themeTint="F2"/>
                <w:spacing w:val="-4"/>
                <w:szCs w:val="20"/>
              </w:rPr>
              <w:t>ako jednu z bariér ji</w:t>
            </w:r>
            <w:r>
              <w:rPr>
                <w:rStyle w:val="normaltextrun"/>
                <w:rFonts w:eastAsiaTheme="majorEastAsia" w:cs="Arial"/>
                <w:color w:val="0D0D0D" w:themeColor="text1" w:themeTint="F2"/>
                <w:spacing w:val="-4"/>
                <w:szCs w:val="20"/>
              </w:rPr>
              <w:t xml:space="preserve"> v červenci</w:t>
            </w:r>
            <w:r w:rsidRPr="00AE22FC">
              <w:rPr>
                <w:rStyle w:val="normaltextrun"/>
                <w:rFonts w:eastAsiaTheme="majorEastAsia" w:cs="Arial"/>
                <w:spacing w:val="-4"/>
                <w:szCs w:val="20"/>
              </w:rPr>
              <w:t xml:space="preserve"> </w:t>
            </w:r>
            <w:r w:rsidRPr="00AE22FC">
              <w:rPr>
                <w:rStyle w:val="normaltextrun"/>
                <w:rFonts w:eastAsiaTheme="majorEastAsia" w:cs="Arial"/>
                <w:color w:val="0D0D0D" w:themeColor="text1" w:themeTint="F2"/>
                <w:spacing w:val="-4"/>
                <w:szCs w:val="20"/>
              </w:rPr>
              <w:t>uvedlo okolo 41 % firem (meziročně o 6 p. b. méně)</w:t>
            </w:r>
            <w:r w:rsidRPr="00AE22FC">
              <w:rPr>
                <w:rStyle w:val="normaltextrun"/>
                <w:rFonts w:eastAsia="MS Gothic" w:cs="Arial"/>
                <w:color w:val="0D0D0D" w:themeColor="text1" w:themeTint="F2"/>
                <w:spacing w:val="-4"/>
                <w:szCs w:val="20"/>
              </w:rPr>
              <w:t>. Nedostatečná poptávka sužovala 30 % firem</w:t>
            </w:r>
            <w:r w:rsidRPr="00AE22FC">
              <w:rPr>
                <w:rStyle w:val="Znakapoznpodarou"/>
                <w:rFonts w:eastAsia="MS Gothic" w:cs="Arial"/>
                <w:color w:val="0D0D0D" w:themeColor="text1" w:themeTint="F2"/>
                <w:spacing w:val="-4"/>
                <w:szCs w:val="20"/>
              </w:rPr>
              <w:footnoteReference w:id="23"/>
            </w:r>
            <w:r w:rsidRPr="00AE22FC">
              <w:rPr>
                <w:rStyle w:val="normaltextrun"/>
                <w:rFonts w:eastAsia="MS Gothic" w:cs="Arial"/>
                <w:color w:val="0D0D0D" w:themeColor="text1" w:themeTint="F2"/>
                <w:spacing w:val="-4"/>
                <w:szCs w:val="20"/>
              </w:rPr>
              <w:t xml:space="preserve"> a i tento podíl se meziročně mírně snížil. Během jara značn</w:t>
            </w:r>
            <w:r w:rsidRPr="00AE22FC">
              <w:rPr>
                <w:rFonts w:eastAsia="MS Gothic" w:cs="Arial"/>
                <w:color w:val="0D0D0D" w:themeColor="text1" w:themeTint="F2"/>
                <w:spacing w:val="-4"/>
                <w:szCs w:val="20"/>
              </w:rPr>
              <w:t>ě stoupl počet respondentů uvádějících jiné bariéry (až na 20 % všech firem). Ty souvisí převážně s aktuální geopolitickou situací vedoucí k prudce rostoucím cenám vstupů.</w:t>
            </w:r>
            <w:r w:rsidRPr="00AE22FC">
              <w:rPr>
                <w:rFonts w:eastAsia="MS Gothic"/>
                <w:spacing w:val="-4"/>
                <w:szCs w:val="20"/>
              </w:rPr>
              <w:t xml:space="preserve"> Nedostatek materiálu či zařízení letos (ani pro většinu loňského roku) pro stavebnictví významnou bariéru nepředstavuje, avšak nadále zůstávají zvýšená inflační rizika plynoucí z očekávaného růstu cen stavební produkce</w:t>
            </w:r>
            <w:r w:rsidRPr="00AE22FC">
              <w:rPr>
                <w:rStyle w:val="Znakapoznpodarou"/>
                <w:rFonts w:eastAsia="MS Gothic"/>
                <w:spacing w:val="-4"/>
                <w:szCs w:val="20"/>
              </w:rPr>
              <w:footnoteReference w:id="24"/>
            </w:r>
            <w:r w:rsidRPr="00AE22FC">
              <w:rPr>
                <w:rFonts w:eastAsia="MS Gothic"/>
                <w:spacing w:val="-4"/>
                <w:szCs w:val="20"/>
              </w:rPr>
              <w:t xml:space="preserve">. </w:t>
            </w:r>
          </w:p>
        </w:tc>
      </w:tr>
      <w:tr w:rsidR="00DD1A46" w:rsidRPr="004A0F58" w14:paraId="51A4D650" w14:textId="77777777" w:rsidTr="00E962EE">
        <w:trPr>
          <w:trHeight w:val="170"/>
        </w:trPr>
        <w:tc>
          <w:tcPr>
            <w:tcW w:w="1814" w:type="dxa"/>
            <w:gridSpan w:val="3"/>
            <w:tcMar>
              <w:left w:w="0" w:type="dxa"/>
            </w:tcMar>
          </w:tcPr>
          <w:p w14:paraId="506BC657" w14:textId="77777777" w:rsidR="00DD1A46" w:rsidRPr="000879E5" w:rsidRDefault="00DD1A46" w:rsidP="00E962EE">
            <w:pPr>
              <w:pStyle w:val="Nadpis3"/>
              <w:rPr>
                <w:rStyle w:val="normaltextrun"/>
                <w:rFonts w:eastAsiaTheme="majorEastAsia"/>
                <w:color w:val="0D0D0D" w:themeColor="text1" w:themeTint="F2"/>
                <w:spacing w:val="-2"/>
              </w:rPr>
            </w:pPr>
            <w:bookmarkStart w:id="6" w:name="_Toc240366897"/>
            <w:r>
              <w:rPr>
                <w:lang w:eastAsia="en-US"/>
              </w:rPr>
              <w:t>3</w:t>
            </w:r>
            <w:r w:rsidRPr="006B2C72">
              <w:rPr>
                <w:lang w:eastAsia="en-US"/>
              </w:rPr>
              <w:t>.</w:t>
            </w:r>
            <w:r>
              <w:rPr>
                <w:lang w:eastAsia="en-US"/>
              </w:rPr>
              <w:t>3</w:t>
            </w:r>
            <w:r w:rsidRPr="006B2C72">
              <w:rPr>
                <w:lang w:eastAsia="en-US"/>
              </w:rPr>
              <w:t xml:space="preserve"> </w:t>
            </w:r>
            <w:r>
              <w:rPr>
                <w:lang w:eastAsia="en-US"/>
              </w:rPr>
              <w:t>Služby, cestovní ruch a maloobchod</w:t>
            </w:r>
            <w:bookmarkEnd w:id="6"/>
          </w:p>
        </w:tc>
      </w:tr>
      <w:tr w:rsidR="00DD1A46" w:rsidRPr="004A0F58" w14:paraId="5E3ED9C0" w14:textId="77777777" w:rsidTr="00E962EE">
        <w:trPr>
          <w:trHeight w:val="170"/>
        </w:trPr>
        <w:tc>
          <w:tcPr>
            <w:tcW w:w="1814" w:type="dxa"/>
            <w:tcMar>
              <w:left w:w="0" w:type="dxa"/>
            </w:tcMar>
          </w:tcPr>
          <w:p w14:paraId="3BBEABAE" w14:textId="77777777" w:rsidR="00DD1A46" w:rsidRPr="004A0F58" w:rsidRDefault="00DD1A46" w:rsidP="00E962EE">
            <w:pPr>
              <w:pStyle w:val="Marginlie"/>
              <w:rPr>
                <w:color w:val="0D0D0D" w:themeColor="text1" w:themeTint="F2"/>
                <w:spacing w:val="0"/>
              </w:rPr>
            </w:pPr>
            <w:r w:rsidRPr="004A0F58">
              <w:rPr>
                <w:color w:val="0D0D0D" w:themeColor="text1" w:themeTint="F2"/>
                <w:spacing w:val="0"/>
              </w:rPr>
              <w:t xml:space="preserve">Rozvoj služeb nadále podporovala vyšší poptávka domácností </w:t>
            </w:r>
            <w:r>
              <w:rPr>
                <w:color w:val="0D0D0D" w:themeColor="text1" w:themeTint="F2"/>
                <w:spacing w:val="0"/>
              </w:rPr>
              <w:br/>
            </w:r>
            <w:r w:rsidRPr="004A0F58">
              <w:rPr>
                <w:color w:val="0D0D0D" w:themeColor="text1" w:themeTint="F2"/>
                <w:spacing w:val="0"/>
              </w:rPr>
              <w:t>i firem.</w:t>
            </w:r>
          </w:p>
        </w:tc>
        <w:tc>
          <w:tcPr>
            <w:tcW w:w="181" w:type="dxa"/>
            <w:tcMar>
              <w:left w:w="0" w:type="dxa"/>
            </w:tcMar>
          </w:tcPr>
          <w:p w14:paraId="1CCD0C47"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015CC003" w14:textId="77777777" w:rsidR="00DD1A46" w:rsidRPr="0095025E" w:rsidRDefault="00DD1A46" w:rsidP="00E962EE">
            <w:pPr>
              <w:spacing w:after="200"/>
              <w:rPr>
                <w:rStyle w:val="normaltextrun"/>
                <w:rFonts w:cs="Arial"/>
                <w:color w:val="0D0D0D" w:themeColor="text1" w:themeTint="F2"/>
                <w:spacing w:val="-4"/>
              </w:rPr>
            </w:pPr>
            <w:r w:rsidRPr="0095025E">
              <w:rPr>
                <w:rStyle w:val="normaltextrun"/>
                <w:rFonts w:eastAsiaTheme="majorEastAsia"/>
                <w:color w:val="0D0D0D" w:themeColor="text1" w:themeTint="F2"/>
                <w:spacing w:val="-4"/>
              </w:rPr>
              <w:t xml:space="preserve">Rozvoj služeb pokračoval také na počátku letošního roku. Lepšící se finanční kondice domácností se projevovala v pokračujícím růstu jejich spotřebních výdajů. Významnou roli hrála i zvyšující se firemní poptávka, zejména po vyspělých službách vyžadujících práci </w:t>
            </w:r>
            <w:r w:rsidRPr="0095025E">
              <w:rPr>
                <w:rStyle w:val="normaltextrun"/>
                <w:rFonts w:eastAsiaTheme="majorEastAsia"/>
                <w:color w:val="0D0D0D" w:themeColor="text1" w:themeTint="F2"/>
                <w:spacing w:val="-4"/>
              </w:rPr>
              <w:lastRenderedPageBreak/>
              <w:t xml:space="preserve">specialistů. </w:t>
            </w:r>
            <w:r w:rsidRPr="0095025E">
              <w:rPr>
                <w:color w:val="0D0D0D" w:themeColor="text1" w:themeTint="F2"/>
                <w:spacing w:val="-4"/>
              </w:rPr>
              <w:t xml:space="preserve">Mírný </w:t>
            </w:r>
            <w:proofErr w:type="spellStart"/>
            <w:r w:rsidRPr="0095025E">
              <w:rPr>
                <w:color w:val="0D0D0D" w:themeColor="text1" w:themeTint="F2"/>
                <w:spacing w:val="-4"/>
              </w:rPr>
              <w:t>mezikvartální</w:t>
            </w:r>
            <w:proofErr w:type="spellEnd"/>
            <w:r w:rsidRPr="0095025E">
              <w:rPr>
                <w:color w:val="0D0D0D" w:themeColor="text1" w:themeTint="F2"/>
                <w:spacing w:val="-4"/>
              </w:rPr>
              <w:t xml:space="preserve"> růst </w:t>
            </w:r>
            <w:r w:rsidRPr="0095025E">
              <w:rPr>
                <w:rFonts w:cs="Arial"/>
                <w:color w:val="0D0D0D" w:themeColor="text1" w:themeTint="F2"/>
                <w:spacing w:val="-4"/>
              </w:rPr>
              <w:t>tržeb ve službách</w:t>
            </w:r>
            <w:r w:rsidRPr="0095025E">
              <w:rPr>
                <w:color w:val="0D0D0D" w:themeColor="text1" w:themeTint="F2"/>
                <w:spacing w:val="-4"/>
                <w:vertAlign w:val="superscript"/>
              </w:rPr>
              <w:footnoteReference w:id="25"/>
            </w:r>
            <w:r w:rsidRPr="0095025E">
              <w:rPr>
                <w:rFonts w:cs="Arial"/>
                <w:color w:val="0D0D0D" w:themeColor="text1" w:themeTint="F2"/>
                <w:spacing w:val="-4"/>
              </w:rPr>
              <w:t xml:space="preserve"> proto pokračoval. V 1. </w:t>
            </w:r>
            <w:r>
              <w:rPr>
                <w:rFonts w:cs="Arial"/>
                <w:color w:val="0D0D0D" w:themeColor="text1" w:themeTint="F2"/>
                <w:spacing w:val="-4"/>
              </w:rPr>
              <w:t xml:space="preserve">i 2. </w:t>
            </w:r>
            <w:r w:rsidRPr="0095025E">
              <w:rPr>
                <w:rFonts w:cs="Arial"/>
                <w:color w:val="0D0D0D" w:themeColor="text1" w:themeTint="F2"/>
                <w:spacing w:val="-4"/>
              </w:rPr>
              <w:t>čtvrtletí 2026 dosáhl</w:t>
            </w:r>
            <w:r>
              <w:rPr>
                <w:rFonts w:cs="Arial"/>
                <w:color w:val="0D0D0D" w:themeColor="text1" w:themeTint="F2"/>
                <w:spacing w:val="-4"/>
              </w:rPr>
              <w:t xml:space="preserve"> shodně </w:t>
            </w:r>
            <w:r w:rsidRPr="0095025E">
              <w:rPr>
                <w:rFonts w:cs="Arial"/>
                <w:color w:val="0D0D0D" w:themeColor="text1" w:themeTint="F2"/>
                <w:spacing w:val="-4"/>
              </w:rPr>
              <w:t xml:space="preserve">0,9 %. </w:t>
            </w:r>
            <w:r w:rsidRPr="0095025E">
              <w:rPr>
                <w:rFonts w:cs="Arial"/>
                <w:spacing w:val="-4"/>
              </w:rPr>
              <w:t xml:space="preserve">V obou případech se zde jako klíčové ukázaly doprava </w:t>
            </w:r>
            <w:r>
              <w:rPr>
                <w:rFonts w:cs="Arial"/>
                <w:spacing w:val="-4"/>
              </w:rPr>
              <w:br/>
            </w:r>
            <w:r w:rsidRPr="0095025E">
              <w:rPr>
                <w:rFonts w:cs="Arial"/>
                <w:spacing w:val="-4"/>
              </w:rPr>
              <w:t>a skladování, které těžily z oživení v zahraničním obchodě se zbožím souvisejícím s příznivějším vývojem průmyslu. V</w:t>
            </w:r>
            <w:r>
              <w:rPr>
                <w:rFonts w:cs="Arial"/>
                <w:spacing w:val="-4"/>
              </w:rPr>
              <w:t>e</w:t>
            </w:r>
            <w:r w:rsidRPr="0095025E">
              <w:rPr>
                <w:rFonts w:cs="Arial"/>
                <w:spacing w:val="-4"/>
              </w:rPr>
              <w:t xml:space="preserve"> 2. čtvrtletí se zde mohl projevit i efekt předzásobení, jehož prostřednictvím se tuzemské průmyslové podniky snažily zmírnit dopady konfliktu na Blízkém východě na ceny, resp. dostupnost některých významných vstupů do výroby. </w:t>
            </w:r>
            <w:r w:rsidRPr="0095025E">
              <w:rPr>
                <w:rFonts w:cs="Arial"/>
                <w:color w:val="0D0D0D" w:themeColor="text1" w:themeTint="F2"/>
                <w:spacing w:val="-4"/>
              </w:rPr>
              <w:t xml:space="preserve"> </w:t>
            </w:r>
          </w:p>
        </w:tc>
      </w:tr>
      <w:tr w:rsidR="00DD1A46" w:rsidRPr="004A0F58" w14:paraId="0DB84F67" w14:textId="77777777" w:rsidTr="00E962EE">
        <w:trPr>
          <w:trHeight w:val="170"/>
        </w:trPr>
        <w:tc>
          <w:tcPr>
            <w:tcW w:w="1814" w:type="dxa"/>
            <w:tcMar>
              <w:left w:w="0" w:type="dxa"/>
            </w:tcMar>
          </w:tcPr>
          <w:p w14:paraId="2C349077" w14:textId="77777777" w:rsidR="00DD1A46" w:rsidRPr="004A0F58" w:rsidRDefault="00DD1A46" w:rsidP="00E962EE">
            <w:pPr>
              <w:pStyle w:val="Marginlie"/>
              <w:rPr>
                <w:color w:val="0D0D0D" w:themeColor="text1" w:themeTint="F2"/>
                <w:spacing w:val="0"/>
              </w:rPr>
            </w:pPr>
            <w:r w:rsidRPr="004A0F58">
              <w:rPr>
                <w:color w:val="0D0D0D" w:themeColor="text1" w:themeTint="F2"/>
              </w:rPr>
              <w:lastRenderedPageBreak/>
              <w:t>K meziročnímu růstu tržeb ve službách přispívaly nejvíce vyspělé podnikové služby tažené zejména vyšší poptávkou po</w:t>
            </w:r>
            <w:r>
              <w:rPr>
                <w:color w:val="0D0D0D" w:themeColor="text1" w:themeTint="F2"/>
              </w:rPr>
              <w:t xml:space="preserve"> architektonických </w:t>
            </w:r>
            <w:r>
              <w:rPr>
                <w:color w:val="0D0D0D" w:themeColor="text1" w:themeTint="F2"/>
              </w:rPr>
              <w:br/>
              <w:t>a inženýrských činnostech.</w:t>
            </w:r>
            <w:r w:rsidRPr="004A0F58">
              <w:rPr>
                <w:color w:val="0D0D0D" w:themeColor="text1" w:themeTint="F2"/>
              </w:rPr>
              <w:t xml:space="preserve"> </w:t>
            </w:r>
          </w:p>
        </w:tc>
        <w:tc>
          <w:tcPr>
            <w:tcW w:w="181" w:type="dxa"/>
            <w:tcMar>
              <w:left w:w="0" w:type="dxa"/>
            </w:tcMar>
          </w:tcPr>
          <w:p w14:paraId="7796F1E1"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74CA3DF8" w14:textId="77777777" w:rsidR="00DD1A46" w:rsidRPr="0010763D" w:rsidRDefault="00DD1A46" w:rsidP="00E962EE">
            <w:pPr>
              <w:spacing w:after="200"/>
              <w:rPr>
                <w:rStyle w:val="normaltextrun"/>
                <w:color w:val="0D0D0D" w:themeColor="text1" w:themeTint="F2"/>
                <w:spacing w:val="-2"/>
              </w:rPr>
            </w:pPr>
            <w:r w:rsidRPr="0010763D">
              <w:rPr>
                <w:color w:val="0D0D0D" w:themeColor="text1" w:themeTint="F2"/>
                <w:spacing w:val="-2"/>
              </w:rPr>
              <w:t>Tržby ve službách se za 1. pololetí 2026 zvýšily meziročně o 2,6 % (podobně jako ve stejném období loni) a rostly nepřetržitě od počátku roku 2024. Přispěly k tomu nejvíce, stejně jako vloni, profesní, vědecké a technické činnosti (+1,4 p. b., při růstu tohoto odvětví o 6,1 %</w:t>
            </w:r>
            <w:r w:rsidRPr="0010763D">
              <w:rPr>
                <w:rStyle w:val="Znakapoznpodarou"/>
                <w:color w:val="0D0D0D" w:themeColor="text1" w:themeTint="F2"/>
                <w:spacing w:val="-2"/>
              </w:rPr>
              <w:footnoteReference w:id="26"/>
            </w:r>
            <w:r w:rsidRPr="0010763D">
              <w:rPr>
                <w:color w:val="0D0D0D" w:themeColor="text1" w:themeTint="F2"/>
                <w:spacing w:val="-2"/>
              </w:rPr>
              <w:t>), kde se kromě reklamy a průzkumu trhu (</w:t>
            </w:r>
            <w:r w:rsidRPr="0010763D">
              <w:rPr>
                <w:rStyle w:val="normaltextrun"/>
                <w:rFonts w:eastAsiaTheme="majorEastAsia" w:cs="Arial"/>
                <w:color w:val="0D0D0D" w:themeColor="text1" w:themeTint="F2"/>
                <w:spacing w:val="-2"/>
                <w:szCs w:val="20"/>
              </w:rPr>
              <w:t>−</w:t>
            </w:r>
            <w:r w:rsidRPr="0010763D">
              <w:rPr>
                <w:color w:val="0D0D0D" w:themeColor="text1" w:themeTint="F2"/>
                <w:spacing w:val="-2"/>
              </w:rPr>
              <w:t xml:space="preserve">1,2 %) zřetelně dařilo všem dílčím oborům. Nejvíce vzrostly tržby v </w:t>
            </w:r>
            <w:r w:rsidRPr="0010763D">
              <w:rPr>
                <w:rFonts w:cs="Arial"/>
                <w:color w:val="0D0D0D" w:themeColor="text1" w:themeTint="F2"/>
                <w:spacing w:val="-2"/>
                <w:szCs w:val="20"/>
              </w:rPr>
              <w:t>činnostech vedení podniků a poradenství v oblasti řízení (+10,6 %). Pro vývoj celého odvětví měla ovšem největší význam sílící poptávka po architektonických a</w:t>
            </w:r>
            <w:r w:rsidRPr="0010763D">
              <w:rPr>
                <w:color w:val="0D0D0D" w:themeColor="text1" w:themeTint="F2"/>
                <w:spacing w:val="-2"/>
              </w:rPr>
              <w:t> </w:t>
            </w:r>
            <w:r w:rsidRPr="0010763D">
              <w:rPr>
                <w:rFonts w:cs="Arial"/>
                <w:color w:val="0D0D0D" w:themeColor="text1" w:themeTint="F2"/>
                <w:spacing w:val="-2"/>
                <w:szCs w:val="20"/>
              </w:rPr>
              <w:t>inženýrských činnostech podporovaná rychle se rozvíjejícím stavebnictvím. Zrychlil i růst tržeb v právnických a účetnických činnostech (na 7,8 %). Mírně slabší, avšak stabilní růst přetrvával v diverzifikovaném oboru ostatní profesní, vědecké a technické činnosti</w:t>
            </w:r>
            <w:r w:rsidRPr="0010763D">
              <w:rPr>
                <w:rStyle w:val="Znakapoznpodarou"/>
                <w:color w:val="0D0D0D" w:themeColor="text1" w:themeTint="F2"/>
                <w:spacing w:val="-2"/>
              </w:rPr>
              <w:footnoteReference w:id="27"/>
            </w:r>
            <w:r w:rsidRPr="0010763D">
              <w:rPr>
                <w:rFonts w:cs="Arial"/>
                <w:color w:val="0D0D0D" w:themeColor="text1" w:themeTint="F2"/>
                <w:spacing w:val="-2"/>
                <w:szCs w:val="20"/>
              </w:rPr>
              <w:t xml:space="preserve">. </w:t>
            </w:r>
          </w:p>
        </w:tc>
      </w:tr>
      <w:tr w:rsidR="00DD1A46" w:rsidRPr="004A0F58" w14:paraId="577A3493" w14:textId="77777777" w:rsidTr="00E962EE">
        <w:trPr>
          <w:trHeight w:val="170"/>
        </w:trPr>
        <w:tc>
          <w:tcPr>
            <w:tcW w:w="1814" w:type="dxa"/>
            <w:tcMar>
              <w:left w:w="0" w:type="dxa"/>
            </w:tcMar>
          </w:tcPr>
          <w:p w14:paraId="72CAE314" w14:textId="77777777" w:rsidR="00DD1A46" w:rsidRPr="004A0F58" w:rsidRDefault="00DD1A46" w:rsidP="00E962EE">
            <w:pPr>
              <w:pStyle w:val="Marginlie"/>
              <w:rPr>
                <w:color w:val="0D0D0D" w:themeColor="text1" w:themeTint="F2"/>
                <w:spacing w:val="0"/>
              </w:rPr>
            </w:pPr>
            <w:r>
              <w:rPr>
                <w:color w:val="0D0D0D" w:themeColor="text1" w:themeTint="F2"/>
                <w:spacing w:val="0"/>
              </w:rPr>
              <w:t>V pozemní dopravě i ve skladování růst poptávky ve 2. čtvrtletí zrychlil. P</w:t>
            </w:r>
            <w:r w:rsidRPr="004A0F58">
              <w:rPr>
                <w:color w:val="0D0D0D" w:themeColor="text1" w:themeTint="F2"/>
              </w:rPr>
              <w:t>rojevovaly</w:t>
            </w:r>
            <w:r>
              <w:rPr>
                <w:color w:val="0D0D0D" w:themeColor="text1" w:themeTint="F2"/>
              </w:rPr>
              <w:t xml:space="preserve"> se</w:t>
            </w:r>
            <w:r w:rsidRPr="004A0F58">
              <w:rPr>
                <w:color w:val="0D0D0D" w:themeColor="text1" w:themeTint="F2"/>
              </w:rPr>
              <w:t xml:space="preserve"> rostoucí přepravní výkony v osobní i nákladní dopravě související s rozvojem průmyslu </w:t>
            </w:r>
            <w:r>
              <w:rPr>
                <w:color w:val="0D0D0D" w:themeColor="text1" w:themeTint="F2"/>
              </w:rPr>
              <w:br/>
            </w:r>
            <w:r w:rsidRPr="004A0F58">
              <w:rPr>
                <w:color w:val="0D0D0D" w:themeColor="text1" w:themeTint="F2"/>
              </w:rPr>
              <w:t>i obchodu.</w:t>
            </w:r>
          </w:p>
        </w:tc>
        <w:tc>
          <w:tcPr>
            <w:tcW w:w="181" w:type="dxa"/>
            <w:tcMar>
              <w:left w:w="0" w:type="dxa"/>
            </w:tcMar>
          </w:tcPr>
          <w:p w14:paraId="6C766D19"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16445B96" w14:textId="77777777" w:rsidR="00DD1A46" w:rsidRPr="0010763D" w:rsidRDefault="00DD1A46" w:rsidP="00E962EE">
            <w:pPr>
              <w:spacing w:after="200"/>
              <w:rPr>
                <w:color w:val="0D0D0D" w:themeColor="text1" w:themeTint="F2"/>
                <w:spacing w:val="-2"/>
              </w:rPr>
            </w:pPr>
            <w:r w:rsidRPr="0010763D">
              <w:rPr>
                <w:rFonts w:cs="Arial"/>
                <w:color w:val="0D0D0D" w:themeColor="text1" w:themeTint="F2"/>
                <w:spacing w:val="-2"/>
                <w:szCs w:val="20"/>
              </w:rPr>
              <w:t xml:space="preserve">Ve váhově významném odvětví dopravy a skladování se letos tržby zvýšily o 2,7 % (v samotném 2. čtvrtletí o 4,3 % </w:t>
            </w:r>
            <w:r w:rsidRPr="0010763D">
              <w:rPr>
                <w:rStyle w:val="normaltextrun"/>
                <w:rFonts w:eastAsiaTheme="majorEastAsia" w:cs="Arial"/>
                <w:color w:val="0D0D0D" w:themeColor="text1" w:themeTint="F2"/>
                <w:spacing w:val="-2"/>
                <w:szCs w:val="20"/>
              </w:rPr>
              <w:t>−</w:t>
            </w:r>
            <w:r w:rsidRPr="0010763D">
              <w:rPr>
                <w:rFonts w:cs="Arial"/>
                <w:color w:val="0D0D0D" w:themeColor="text1" w:themeTint="F2"/>
                <w:spacing w:val="-2"/>
                <w:szCs w:val="20"/>
              </w:rPr>
              <w:t xml:space="preserve"> nejvíce od konce roku 2024) a růst celého sektoru služeb podpořily 0,7 p. b. Dařilo se především pozemní a potrubní dopravě (+3,7 %), kde se odrážely vyšší přepravní výkony v osobní dopravě i nákladní silniční dopravě. Během letošního pololetí zrychloval také růst poptávky ve výrazně </w:t>
            </w:r>
            <w:proofErr w:type="spellStart"/>
            <w:r w:rsidRPr="0010763D">
              <w:rPr>
                <w:rFonts w:cs="Arial"/>
                <w:color w:val="0D0D0D" w:themeColor="text1" w:themeTint="F2"/>
                <w:spacing w:val="-2"/>
                <w:szCs w:val="20"/>
              </w:rPr>
              <w:t>procyklickém</w:t>
            </w:r>
            <w:proofErr w:type="spellEnd"/>
            <w:r w:rsidRPr="0010763D">
              <w:rPr>
                <w:rFonts w:cs="Arial"/>
                <w:color w:val="0D0D0D" w:themeColor="text1" w:themeTint="F2"/>
                <w:spacing w:val="-2"/>
                <w:szCs w:val="20"/>
              </w:rPr>
              <w:t xml:space="preserve"> skladování </w:t>
            </w:r>
            <w:r w:rsidRPr="0010763D">
              <w:rPr>
                <w:rFonts w:cs="Arial"/>
                <w:color w:val="0D0D0D" w:themeColor="text1" w:themeTint="F2"/>
                <w:spacing w:val="-2"/>
                <w:szCs w:val="20"/>
              </w:rPr>
              <w:br/>
              <w:t>(vč. vedlejších činností v dopravě</w:t>
            </w:r>
            <w:r w:rsidRPr="0010763D">
              <w:rPr>
                <w:rStyle w:val="Znakapoznpodarou"/>
                <w:color w:val="0D0D0D" w:themeColor="text1" w:themeTint="F2"/>
                <w:spacing w:val="-2"/>
                <w:szCs w:val="20"/>
              </w:rPr>
              <w:footnoteReference w:id="28"/>
            </w:r>
            <w:r w:rsidRPr="0010763D">
              <w:rPr>
                <w:rFonts w:cs="Arial"/>
                <w:color w:val="0D0D0D" w:themeColor="text1" w:themeTint="F2"/>
                <w:spacing w:val="-2"/>
                <w:szCs w:val="20"/>
              </w:rPr>
              <w:t>). Navzdory přetrvávajícímu svižnému růstu internetového obchodu se tržby v poštovních a kurýrních činnostech snížily (</w:t>
            </w:r>
            <w:r w:rsidRPr="0010763D">
              <w:rPr>
                <w:rFonts w:cs="Arial"/>
                <w:color w:val="0D0D0D" w:themeColor="text1" w:themeTint="F2"/>
                <w:spacing w:val="-2"/>
              </w:rPr>
              <w:t>–0,9</w:t>
            </w:r>
            <w:r w:rsidRPr="0010763D">
              <w:rPr>
                <w:rFonts w:cs="Arial"/>
                <w:color w:val="0D0D0D" w:themeColor="text1" w:themeTint="F2"/>
                <w:spacing w:val="-2"/>
                <w:szCs w:val="20"/>
              </w:rPr>
              <w:t xml:space="preserve"> %). To v tomto dlouhodobě poměrně dynamickém, avšak vnitřně různorodém oboru představovalo nejslabší výsledek za poslední dva a půl roku. Ve váhově okrajových oborech</w:t>
            </w:r>
            <w:r>
              <w:rPr>
                <w:rFonts w:cs="Arial"/>
                <w:color w:val="0D0D0D" w:themeColor="text1" w:themeTint="F2"/>
                <w:spacing w:val="-2"/>
                <w:szCs w:val="20"/>
              </w:rPr>
              <w:t xml:space="preserve"> </w:t>
            </w:r>
            <w:r w:rsidRPr="0010763D">
              <w:rPr>
                <w:rFonts w:cs="Arial"/>
                <w:color w:val="0D0D0D" w:themeColor="text1" w:themeTint="F2"/>
                <w:spacing w:val="-2"/>
                <w:szCs w:val="20"/>
              </w:rPr>
              <w:t>vodní a letecké dopravy aktuální poptávka stále nedosáhla úrovně z předkrizového roku 2019. Rovněž v meziročním srovnání letos tržby tuzemských leteckých přepravců zaostaly (</w:t>
            </w:r>
            <w:r w:rsidRPr="0010763D">
              <w:rPr>
                <w:rStyle w:val="normaltextrun"/>
                <w:rFonts w:eastAsiaTheme="majorEastAsia" w:cs="Arial"/>
                <w:color w:val="0D0D0D" w:themeColor="text1" w:themeTint="F2"/>
                <w:spacing w:val="-2"/>
                <w:szCs w:val="20"/>
              </w:rPr>
              <w:t>−</w:t>
            </w:r>
            <w:r w:rsidRPr="0010763D">
              <w:rPr>
                <w:rFonts w:cs="Arial"/>
                <w:color w:val="0D0D0D" w:themeColor="text1" w:themeTint="F2"/>
                <w:spacing w:val="-2"/>
                <w:szCs w:val="20"/>
              </w:rPr>
              <w:t>6,3 %), ovšem subjekty působící ve vodní dopravě registrovaly lehký růst poptávky.</w:t>
            </w:r>
          </w:p>
        </w:tc>
      </w:tr>
      <w:tr w:rsidR="00DD1A46" w:rsidRPr="004A0F58" w14:paraId="2E49A3D7" w14:textId="77777777" w:rsidTr="00E962EE">
        <w:trPr>
          <w:trHeight w:val="170"/>
        </w:trPr>
        <w:tc>
          <w:tcPr>
            <w:tcW w:w="1814" w:type="dxa"/>
            <w:tcMar>
              <w:left w:w="0" w:type="dxa"/>
            </w:tcMar>
          </w:tcPr>
          <w:p w14:paraId="063FD641" w14:textId="77777777" w:rsidR="00DD1A46" w:rsidRPr="004A0F58" w:rsidRDefault="00DD1A46" w:rsidP="00E962EE">
            <w:pPr>
              <w:pStyle w:val="Marginlie"/>
              <w:rPr>
                <w:color w:val="0D0D0D" w:themeColor="text1" w:themeTint="F2"/>
                <w:spacing w:val="0"/>
              </w:rPr>
            </w:pPr>
            <w:r>
              <w:rPr>
                <w:color w:val="0D0D0D" w:themeColor="text1" w:themeTint="F2"/>
                <w:spacing w:val="0"/>
              </w:rPr>
              <w:t>V oblasti ICT se udržoval spíše mírnější růst poptávky. Nadále se dařilo programování, k oživení došlo ve filmovém a hudebním průmyslu.</w:t>
            </w:r>
          </w:p>
        </w:tc>
        <w:tc>
          <w:tcPr>
            <w:tcW w:w="181" w:type="dxa"/>
            <w:tcMar>
              <w:left w:w="0" w:type="dxa"/>
            </w:tcMar>
          </w:tcPr>
          <w:p w14:paraId="5A0B2FD6"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7A3715BB" w14:textId="77777777" w:rsidR="00DD1A46" w:rsidRPr="004A0F58" w:rsidRDefault="00DD1A46" w:rsidP="00E962EE">
            <w:pPr>
              <w:spacing w:after="200"/>
              <w:rPr>
                <w:color w:val="0D0D0D" w:themeColor="text1" w:themeTint="F2"/>
                <w:spacing w:val="-4"/>
              </w:rPr>
            </w:pPr>
            <w:r w:rsidRPr="009C5357">
              <w:rPr>
                <w:color w:val="0D0D0D" w:themeColor="text1" w:themeTint="F2"/>
                <w:spacing w:val="-4"/>
              </w:rPr>
              <w:t>Informační a komunikační činnosti (ICT) představovaly poslední o</w:t>
            </w:r>
            <w:r>
              <w:rPr>
                <w:color w:val="0D0D0D" w:themeColor="text1" w:themeTint="F2"/>
                <w:spacing w:val="-4"/>
              </w:rPr>
              <w:t>blast</w:t>
            </w:r>
            <w:r w:rsidRPr="009C5357">
              <w:rPr>
                <w:color w:val="0D0D0D" w:themeColor="text1" w:themeTint="F2"/>
                <w:spacing w:val="-4"/>
              </w:rPr>
              <w:t>, jež letos významněji podpořil</w:t>
            </w:r>
            <w:r>
              <w:rPr>
                <w:color w:val="0D0D0D" w:themeColor="text1" w:themeTint="F2"/>
                <w:spacing w:val="-4"/>
              </w:rPr>
              <w:t>a</w:t>
            </w:r>
            <w:r w:rsidRPr="009C5357">
              <w:rPr>
                <w:color w:val="0D0D0D" w:themeColor="text1" w:themeTint="F2"/>
                <w:spacing w:val="-4"/>
              </w:rPr>
              <w:t xml:space="preserve"> růst s</w:t>
            </w:r>
            <w:r>
              <w:rPr>
                <w:color w:val="0D0D0D" w:themeColor="text1" w:themeTint="F2"/>
                <w:spacing w:val="-4"/>
              </w:rPr>
              <w:t>ektoru s</w:t>
            </w:r>
            <w:r w:rsidRPr="009C5357">
              <w:rPr>
                <w:color w:val="0D0D0D" w:themeColor="text1" w:themeTint="F2"/>
                <w:spacing w:val="-4"/>
              </w:rPr>
              <w:t>lužeb</w:t>
            </w:r>
            <w:r>
              <w:rPr>
                <w:color w:val="0D0D0D" w:themeColor="text1" w:themeTint="F2"/>
                <w:spacing w:val="-4"/>
              </w:rPr>
              <w:t xml:space="preserve"> (příspěvek +0,4 p. b., při růstu odvětví o 1,9 %). Tento ještě v minulé dekádě velmi dynamický segment ekonomiky v posledních letech z hlediska vývoje tržeb spíše jen kopíruje celkové trendy ve službách. </w:t>
            </w:r>
            <w:r w:rsidRPr="004A0F58">
              <w:rPr>
                <w:color w:val="0D0D0D" w:themeColor="text1" w:themeTint="F2"/>
                <w:spacing w:val="-4"/>
              </w:rPr>
              <w:t xml:space="preserve">Oblast ICT </w:t>
            </w:r>
            <w:r>
              <w:rPr>
                <w:color w:val="0D0D0D" w:themeColor="text1" w:themeTint="F2"/>
                <w:spacing w:val="-4"/>
              </w:rPr>
              <w:t xml:space="preserve">letos </w:t>
            </w:r>
            <w:r w:rsidRPr="004A0F58">
              <w:rPr>
                <w:color w:val="0D0D0D" w:themeColor="text1" w:themeTint="F2"/>
                <w:spacing w:val="-4"/>
              </w:rPr>
              <w:t xml:space="preserve">těžila hlavně </w:t>
            </w:r>
            <w:r>
              <w:rPr>
                <w:color w:val="0D0D0D" w:themeColor="text1" w:themeTint="F2"/>
                <w:spacing w:val="-4"/>
              </w:rPr>
              <w:br/>
              <w:t xml:space="preserve">z </w:t>
            </w:r>
            <w:r w:rsidRPr="004A0F58">
              <w:rPr>
                <w:color w:val="0D0D0D" w:themeColor="text1" w:themeTint="F2"/>
                <w:spacing w:val="-4"/>
              </w:rPr>
              <w:t xml:space="preserve">dlouhodobě </w:t>
            </w:r>
            <w:r>
              <w:rPr>
                <w:color w:val="0D0D0D" w:themeColor="text1" w:themeTint="F2"/>
                <w:spacing w:val="-4"/>
              </w:rPr>
              <w:t xml:space="preserve">se </w:t>
            </w:r>
            <w:r w:rsidRPr="004A0F58">
              <w:rPr>
                <w:rFonts w:cs="Arial"/>
                <w:color w:val="0D0D0D" w:themeColor="text1" w:themeTint="F2"/>
                <w:spacing w:val="-4"/>
              </w:rPr>
              <w:t>rozvíjejících činnost</w:t>
            </w:r>
            <w:r>
              <w:rPr>
                <w:rFonts w:cs="Arial"/>
                <w:color w:val="0D0D0D" w:themeColor="text1" w:themeTint="F2"/>
                <w:spacing w:val="-4"/>
              </w:rPr>
              <w:t>í</w:t>
            </w:r>
            <w:r w:rsidRPr="004A0F58">
              <w:rPr>
                <w:rFonts w:cs="Arial"/>
                <w:color w:val="0D0D0D" w:themeColor="text1" w:themeTint="F2"/>
                <w:spacing w:val="-4"/>
              </w:rPr>
              <w:t xml:space="preserve"> v oblasti IT</w:t>
            </w:r>
            <w:r w:rsidRPr="004A0F58">
              <w:rPr>
                <w:rStyle w:val="Znakapoznpodarou"/>
                <w:color w:val="0D0D0D" w:themeColor="text1" w:themeTint="F2"/>
                <w:spacing w:val="-4"/>
              </w:rPr>
              <w:footnoteReference w:id="29"/>
            </w:r>
            <w:r w:rsidRPr="004A0F58">
              <w:rPr>
                <w:rFonts w:cs="Arial"/>
                <w:color w:val="0D0D0D" w:themeColor="text1" w:themeTint="F2"/>
                <w:spacing w:val="-4"/>
              </w:rPr>
              <w:t xml:space="preserve">, v níž letos </w:t>
            </w:r>
            <w:r>
              <w:rPr>
                <w:rFonts w:cs="Arial"/>
                <w:color w:val="0D0D0D" w:themeColor="text1" w:themeTint="F2"/>
                <w:spacing w:val="-4"/>
              </w:rPr>
              <w:t xml:space="preserve">tempo </w:t>
            </w:r>
            <w:r w:rsidRPr="004A0F58">
              <w:rPr>
                <w:rFonts w:cs="Arial"/>
                <w:color w:val="0D0D0D" w:themeColor="text1" w:themeTint="F2"/>
                <w:spacing w:val="-4"/>
              </w:rPr>
              <w:t>trž</w:t>
            </w:r>
            <w:r>
              <w:rPr>
                <w:rFonts w:cs="Arial"/>
                <w:color w:val="0D0D0D" w:themeColor="text1" w:themeTint="F2"/>
                <w:spacing w:val="-4"/>
              </w:rPr>
              <w:t>eb</w:t>
            </w:r>
            <w:r w:rsidRPr="004A0F58">
              <w:rPr>
                <w:rFonts w:cs="Arial"/>
                <w:color w:val="0D0D0D" w:themeColor="text1" w:themeTint="F2"/>
                <w:spacing w:val="-4"/>
              </w:rPr>
              <w:t xml:space="preserve"> </w:t>
            </w:r>
            <w:r>
              <w:rPr>
                <w:rFonts w:cs="Arial"/>
                <w:color w:val="0D0D0D" w:themeColor="text1" w:themeTint="F2"/>
                <w:spacing w:val="-4"/>
              </w:rPr>
              <w:t xml:space="preserve">mírně </w:t>
            </w:r>
            <w:r w:rsidRPr="004A0F58">
              <w:rPr>
                <w:rFonts w:cs="Arial"/>
                <w:color w:val="0D0D0D" w:themeColor="text1" w:themeTint="F2"/>
                <w:spacing w:val="-4"/>
              </w:rPr>
              <w:t>posílil</w:t>
            </w:r>
            <w:r>
              <w:rPr>
                <w:rFonts w:cs="Arial"/>
                <w:color w:val="0D0D0D" w:themeColor="text1" w:themeTint="F2"/>
                <w:spacing w:val="-4"/>
              </w:rPr>
              <w:t>o na</w:t>
            </w:r>
            <w:r w:rsidRPr="004A0F58">
              <w:rPr>
                <w:rFonts w:cs="Arial"/>
                <w:color w:val="0D0D0D" w:themeColor="text1" w:themeTint="F2"/>
                <w:spacing w:val="-4"/>
              </w:rPr>
              <w:t xml:space="preserve"> 3,</w:t>
            </w:r>
            <w:r>
              <w:rPr>
                <w:rFonts w:cs="Arial"/>
                <w:color w:val="0D0D0D" w:themeColor="text1" w:themeTint="F2"/>
                <w:spacing w:val="-4"/>
              </w:rPr>
              <w:t>4</w:t>
            </w:r>
            <w:r w:rsidRPr="004A0F58">
              <w:rPr>
                <w:rFonts w:cs="Arial"/>
                <w:color w:val="0D0D0D" w:themeColor="text1" w:themeTint="F2"/>
                <w:spacing w:val="-4"/>
              </w:rPr>
              <w:t xml:space="preserve"> %.</w:t>
            </w:r>
            <w:r>
              <w:rPr>
                <w:rFonts w:cs="Arial"/>
                <w:color w:val="0D0D0D" w:themeColor="text1" w:themeTint="F2"/>
                <w:spacing w:val="-4"/>
              </w:rPr>
              <w:t xml:space="preserve"> Naopak na silný loňský rok nenavázaly tržby v telekomunikacích (+0,6 %) a </w:t>
            </w:r>
            <w:r w:rsidRPr="0093242F">
              <w:rPr>
                <w:rFonts w:cs="Arial"/>
                <w:color w:val="0D0D0D" w:themeColor="text1" w:themeTint="F2"/>
                <w:spacing w:val="-4"/>
              </w:rPr>
              <w:t>rovněž slabý byl zatím letos</w:t>
            </w:r>
            <w:r>
              <w:rPr>
                <w:rFonts w:cs="Arial"/>
                <w:color w:val="0D0D0D" w:themeColor="text1" w:themeTint="F2"/>
                <w:spacing w:val="-4"/>
              </w:rPr>
              <w:t xml:space="preserve"> vývoj</w:t>
            </w:r>
            <w:r w:rsidRPr="0093242F">
              <w:rPr>
                <w:rFonts w:cs="Arial"/>
                <w:color w:val="0D0D0D" w:themeColor="text1" w:themeTint="F2"/>
                <w:spacing w:val="-4"/>
              </w:rPr>
              <w:t xml:space="preserve"> poptávky v dříve dynamickém oboru informační</w:t>
            </w:r>
            <w:r>
              <w:rPr>
                <w:rFonts w:cs="Arial"/>
                <w:color w:val="0D0D0D" w:themeColor="text1" w:themeTint="F2"/>
                <w:spacing w:val="-4"/>
              </w:rPr>
              <w:t>ch</w:t>
            </w:r>
            <w:r w:rsidRPr="0093242F">
              <w:rPr>
                <w:rFonts w:cs="Arial"/>
                <w:color w:val="0D0D0D" w:themeColor="text1" w:themeTint="F2"/>
                <w:spacing w:val="-4"/>
              </w:rPr>
              <w:t xml:space="preserve"> činností</w:t>
            </w:r>
            <w:r w:rsidRPr="0093242F">
              <w:rPr>
                <w:rStyle w:val="Znakapoznpodarou"/>
                <w:color w:val="0D0D0D" w:themeColor="text1" w:themeTint="F2"/>
                <w:spacing w:val="-4"/>
              </w:rPr>
              <w:footnoteReference w:id="30"/>
            </w:r>
            <w:r w:rsidRPr="0093242F">
              <w:rPr>
                <w:rFonts w:cs="Arial"/>
                <w:color w:val="0D0D0D" w:themeColor="text1" w:themeTint="F2"/>
                <w:spacing w:val="-4"/>
              </w:rPr>
              <w:t xml:space="preserve">. </w:t>
            </w:r>
            <w:r>
              <w:rPr>
                <w:rFonts w:cs="Arial"/>
                <w:color w:val="0D0D0D" w:themeColor="text1" w:themeTint="F2"/>
                <w:spacing w:val="-4"/>
              </w:rPr>
              <w:br/>
            </w:r>
            <w:r w:rsidRPr="0093242F">
              <w:rPr>
                <w:rFonts w:cs="Arial"/>
                <w:color w:val="0D0D0D" w:themeColor="text1" w:themeTint="F2"/>
                <w:spacing w:val="-4"/>
              </w:rPr>
              <w:t>V oblast</w:t>
            </w:r>
            <w:r>
              <w:rPr>
                <w:rFonts w:cs="Arial"/>
                <w:color w:val="0D0D0D" w:themeColor="text1" w:themeTint="F2"/>
                <w:spacing w:val="-4"/>
              </w:rPr>
              <w:t>i</w:t>
            </w:r>
            <w:r w:rsidRPr="0093242F">
              <w:rPr>
                <w:rFonts w:cs="Arial"/>
                <w:color w:val="0D0D0D" w:themeColor="text1" w:themeTint="F2"/>
                <w:spacing w:val="-4"/>
              </w:rPr>
              <w:t xml:space="preserve"> rozhlasových a televizních vysílání došlo po loňském útlumu k velmi mírnému zotavení poptávky (+1,5 %)</w:t>
            </w:r>
            <w:r w:rsidRPr="0093242F">
              <w:rPr>
                <w:rStyle w:val="Znakapoznpodarou"/>
                <w:color w:val="0D0D0D" w:themeColor="text1" w:themeTint="F2"/>
                <w:spacing w:val="-4"/>
              </w:rPr>
              <w:footnoteReference w:id="31"/>
            </w:r>
            <w:r>
              <w:rPr>
                <w:rFonts w:cs="Arial"/>
                <w:color w:val="0D0D0D" w:themeColor="text1" w:themeTint="F2"/>
                <w:spacing w:val="-4"/>
              </w:rPr>
              <w:t>.</w:t>
            </w:r>
            <w:r w:rsidRPr="0093242F">
              <w:rPr>
                <w:rFonts w:cs="Arial"/>
                <w:color w:val="0D0D0D" w:themeColor="text1" w:themeTint="F2"/>
                <w:spacing w:val="-4"/>
              </w:rPr>
              <w:t xml:space="preserve"> Tržby ve vydavatelských činnostech se snížily </w:t>
            </w:r>
            <w:r>
              <w:rPr>
                <w:rFonts w:cs="Arial"/>
                <w:color w:val="0D0D0D" w:themeColor="text1" w:themeTint="F2"/>
                <w:spacing w:val="-4"/>
              </w:rPr>
              <w:br/>
            </w:r>
            <w:r w:rsidRPr="0093242F">
              <w:rPr>
                <w:rFonts w:cs="Arial"/>
                <w:color w:val="0D0D0D" w:themeColor="text1" w:themeTint="F2"/>
                <w:spacing w:val="-4"/>
              </w:rPr>
              <w:t>o 3,</w:t>
            </w:r>
            <w:r>
              <w:rPr>
                <w:rFonts w:cs="Arial"/>
                <w:color w:val="0D0D0D" w:themeColor="text1" w:themeTint="F2"/>
                <w:spacing w:val="-4"/>
              </w:rPr>
              <w:t>4</w:t>
            </w:r>
            <w:r w:rsidRPr="0093242F">
              <w:rPr>
                <w:rFonts w:cs="Arial"/>
                <w:color w:val="0D0D0D" w:themeColor="text1" w:themeTint="F2"/>
                <w:spacing w:val="-4"/>
              </w:rPr>
              <w:t xml:space="preserve"> %, neboť na rozdíl od předchozích </w:t>
            </w:r>
            <w:r>
              <w:rPr>
                <w:rFonts w:cs="Arial"/>
                <w:color w:val="0D0D0D" w:themeColor="text1" w:themeTint="F2"/>
                <w:spacing w:val="-4"/>
              </w:rPr>
              <w:t>dvou</w:t>
            </w:r>
            <w:r w:rsidRPr="0093242F">
              <w:rPr>
                <w:rFonts w:cs="Arial"/>
                <w:color w:val="0D0D0D" w:themeColor="text1" w:themeTint="F2"/>
                <w:spacing w:val="-4"/>
              </w:rPr>
              <w:t xml:space="preserve"> let, kdy tento obor celkově stagnoval, </w:t>
            </w:r>
            <w:r>
              <w:rPr>
                <w:rFonts w:cs="Arial"/>
                <w:color w:val="0D0D0D" w:themeColor="text1" w:themeTint="F2"/>
                <w:spacing w:val="-4"/>
              </w:rPr>
              <w:t xml:space="preserve">nastal </w:t>
            </w:r>
            <w:r w:rsidRPr="0093242F">
              <w:rPr>
                <w:rFonts w:cs="Arial"/>
                <w:color w:val="0D0D0D" w:themeColor="text1" w:themeTint="F2"/>
                <w:spacing w:val="-4"/>
              </w:rPr>
              <w:t>pokles i</w:t>
            </w:r>
            <w:r w:rsidRPr="00233339">
              <w:rPr>
                <w:color w:val="0D0D0D" w:themeColor="text1" w:themeTint="F2"/>
                <w:spacing w:val="-3"/>
              </w:rPr>
              <w:t> </w:t>
            </w:r>
            <w:r w:rsidRPr="0093242F">
              <w:rPr>
                <w:rFonts w:cs="Arial"/>
                <w:color w:val="0D0D0D" w:themeColor="text1" w:themeTint="F2"/>
                <w:spacing w:val="-4"/>
              </w:rPr>
              <w:t>v segmentu vydávání softwar</w:t>
            </w:r>
            <w:r>
              <w:rPr>
                <w:rFonts w:cs="Arial"/>
                <w:color w:val="0D0D0D" w:themeColor="text1" w:themeTint="F2"/>
                <w:spacing w:val="-4"/>
              </w:rPr>
              <w:t>u</w:t>
            </w:r>
            <w:r w:rsidRPr="0093242F">
              <w:rPr>
                <w:rFonts w:cs="Arial"/>
                <w:color w:val="0D0D0D" w:themeColor="text1" w:themeTint="F2"/>
                <w:spacing w:val="-4"/>
              </w:rPr>
              <w:t xml:space="preserve">. Na výsledek celého odvětví ICT však měly </w:t>
            </w:r>
            <w:r>
              <w:rPr>
                <w:rFonts w:cs="Arial"/>
                <w:color w:val="0D0D0D" w:themeColor="text1" w:themeTint="F2"/>
                <w:spacing w:val="-4"/>
              </w:rPr>
              <w:t>slabý</w:t>
            </w:r>
            <w:r w:rsidRPr="0093242F">
              <w:rPr>
                <w:rFonts w:cs="Arial"/>
                <w:color w:val="0D0D0D" w:themeColor="text1" w:themeTint="F2"/>
                <w:spacing w:val="-4"/>
              </w:rPr>
              <w:t xml:space="preserve"> vliv. To platí i pro filmový a hudební průmysl, kde růst poptávky výrazně zrychlil a tržby se tak letos zvýšily o 14,</w:t>
            </w:r>
            <w:r>
              <w:rPr>
                <w:rFonts w:cs="Arial"/>
                <w:color w:val="0D0D0D" w:themeColor="text1" w:themeTint="F2"/>
                <w:spacing w:val="-4"/>
              </w:rPr>
              <w:t>1</w:t>
            </w:r>
            <w:r w:rsidRPr="0093242F">
              <w:rPr>
                <w:rFonts w:cs="Arial"/>
                <w:color w:val="0D0D0D" w:themeColor="text1" w:themeTint="F2"/>
                <w:spacing w:val="-4"/>
              </w:rPr>
              <w:t xml:space="preserve"> %, tedy nejvíce za poslední čtyři roky (proti roku 2019 byly však stále </w:t>
            </w:r>
            <w:r w:rsidRPr="0093242F">
              <w:rPr>
                <w:rFonts w:cs="Arial"/>
                <w:color w:val="0D0D0D" w:themeColor="text1" w:themeTint="F2"/>
                <w:spacing w:val="-8"/>
              </w:rPr>
              <w:lastRenderedPageBreak/>
              <w:t xml:space="preserve">zhruba o čtvrtinu slabší). Mohl se </w:t>
            </w:r>
            <w:r>
              <w:rPr>
                <w:rFonts w:cs="Arial"/>
                <w:color w:val="0D0D0D" w:themeColor="text1" w:themeTint="F2"/>
                <w:spacing w:val="-8"/>
              </w:rPr>
              <w:t xml:space="preserve">zde </w:t>
            </w:r>
            <w:r w:rsidRPr="0093242F">
              <w:rPr>
                <w:rFonts w:cs="Arial"/>
                <w:color w:val="0D0D0D" w:themeColor="text1" w:themeTint="F2"/>
                <w:spacing w:val="-8"/>
              </w:rPr>
              <w:t>projevit dopad růstu počtu zahraničních projektů realizovaných</w:t>
            </w:r>
            <w:r w:rsidRPr="0093242F">
              <w:rPr>
                <w:rFonts w:cs="Arial"/>
                <w:color w:val="0D0D0D" w:themeColor="text1" w:themeTint="F2"/>
                <w:spacing w:val="-4"/>
              </w:rPr>
              <w:t xml:space="preserve"> v Česku. </w:t>
            </w:r>
            <w:r>
              <w:rPr>
                <w:rFonts w:cs="Arial"/>
                <w:color w:val="0D0D0D" w:themeColor="text1" w:themeTint="F2"/>
                <w:spacing w:val="-4"/>
              </w:rPr>
              <w:t>V</w:t>
            </w:r>
            <w:r w:rsidRPr="0093242F">
              <w:rPr>
                <w:rFonts w:cs="Arial"/>
                <w:color w:val="0D0D0D" w:themeColor="text1" w:themeTint="F2"/>
                <w:spacing w:val="-4"/>
              </w:rPr>
              <w:t xml:space="preserve">ývoj tohoto oboru </w:t>
            </w:r>
            <w:r>
              <w:rPr>
                <w:rFonts w:cs="Arial"/>
                <w:color w:val="0D0D0D" w:themeColor="text1" w:themeTint="F2"/>
                <w:spacing w:val="-4"/>
              </w:rPr>
              <w:t xml:space="preserve">je ale </w:t>
            </w:r>
            <w:r w:rsidRPr="0093242F">
              <w:rPr>
                <w:rFonts w:cs="Arial"/>
                <w:color w:val="0D0D0D" w:themeColor="text1" w:themeTint="F2"/>
                <w:spacing w:val="-4"/>
              </w:rPr>
              <w:t>obecně dosti rozkolísaný, což úzce souvisí s nepravidelnými fakturacemi. Samotný segment filmové distribuce rostl patrně pomaleji</w:t>
            </w:r>
            <w:r w:rsidRPr="0093242F">
              <w:rPr>
                <w:rStyle w:val="Znakapoznpodarou"/>
                <w:color w:val="0D0D0D" w:themeColor="text1" w:themeTint="F2"/>
                <w:spacing w:val="-4"/>
              </w:rPr>
              <w:footnoteReference w:id="32"/>
            </w:r>
            <w:r w:rsidRPr="0093242F">
              <w:rPr>
                <w:rFonts w:cs="Arial"/>
                <w:color w:val="0D0D0D" w:themeColor="text1" w:themeTint="F2"/>
                <w:spacing w:val="-4"/>
              </w:rPr>
              <w:t>.</w:t>
            </w:r>
          </w:p>
        </w:tc>
      </w:tr>
      <w:tr w:rsidR="00DD1A46" w:rsidRPr="004A0F58" w14:paraId="2A3C2351" w14:textId="77777777" w:rsidTr="00E962EE">
        <w:trPr>
          <w:trHeight w:val="170"/>
        </w:trPr>
        <w:tc>
          <w:tcPr>
            <w:tcW w:w="1814" w:type="dxa"/>
            <w:tcMar>
              <w:left w:w="0" w:type="dxa"/>
            </w:tcMar>
          </w:tcPr>
          <w:p w14:paraId="5A1F4127" w14:textId="77777777" w:rsidR="00DD1A46" w:rsidRPr="004A0F58" w:rsidRDefault="00DD1A46" w:rsidP="00E962EE">
            <w:pPr>
              <w:pStyle w:val="Marginlie"/>
              <w:rPr>
                <w:color w:val="0D0D0D" w:themeColor="text1" w:themeTint="F2"/>
                <w:spacing w:val="0"/>
              </w:rPr>
            </w:pPr>
            <w:r>
              <w:rPr>
                <w:color w:val="0D0D0D" w:themeColor="text1" w:themeTint="F2"/>
                <w:spacing w:val="0"/>
              </w:rPr>
              <w:lastRenderedPageBreak/>
              <w:t xml:space="preserve">Tržby ve stravování </w:t>
            </w:r>
            <w:r>
              <w:rPr>
                <w:color w:val="0D0D0D" w:themeColor="text1" w:themeTint="F2"/>
                <w:spacing w:val="0"/>
              </w:rPr>
              <w:br/>
              <w:t>a pohostinství pokračovaly v mírném růstu. V ubytování se ale pokles prohloubil.</w:t>
            </w:r>
          </w:p>
        </w:tc>
        <w:tc>
          <w:tcPr>
            <w:tcW w:w="181" w:type="dxa"/>
            <w:tcMar>
              <w:left w:w="0" w:type="dxa"/>
            </w:tcMar>
          </w:tcPr>
          <w:p w14:paraId="7C134B0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0B327842" w14:textId="77777777" w:rsidR="00DD1A46" w:rsidRPr="00131FFC" w:rsidRDefault="00DD1A46" w:rsidP="00E962EE">
            <w:pPr>
              <w:spacing w:after="200"/>
              <w:rPr>
                <w:rStyle w:val="normaltextrun"/>
                <w:rFonts w:cs="Arial"/>
                <w:color w:val="0D0D0D" w:themeColor="text1" w:themeTint="F2"/>
                <w:spacing w:val="-4"/>
              </w:rPr>
            </w:pPr>
            <w:r w:rsidRPr="004A0F58">
              <w:rPr>
                <w:rFonts w:cs="Arial"/>
                <w:color w:val="0D0D0D" w:themeColor="text1" w:themeTint="F2"/>
                <w:spacing w:val="-4"/>
              </w:rPr>
              <w:t xml:space="preserve"> </w:t>
            </w:r>
            <w:r w:rsidRPr="004A0F58">
              <w:rPr>
                <w:bCs/>
                <w:color w:val="0D0D0D" w:themeColor="text1" w:themeTint="F2"/>
                <w:spacing w:val="-2"/>
              </w:rPr>
              <w:t xml:space="preserve">V </w:t>
            </w:r>
            <w:r w:rsidRPr="007122DA">
              <w:rPr>
                <w:bCs/>
                <w:color w:val="0D0D0D" w:themeColor="text1" w:themeTint="F2"/>
                <w:spacing w:val="-2"/>
              </w:rPr>
              <w:t xml:space="preserve">ubytování, stravování a pohostinství se letos tržby meziročně zvýšily o </w:t>
            </w:r>
            <w:r>
              <w:rPr>
                <w:bCs/>
                <w:color w:val="0D0D0D" w:themeColor="text1" w:themeTint="F2"/>
                <w:spacing w:val="-2"/>
              </w:rPr>
              <w:t>0</w:t>
            </w:r>
            <w:r w:rsidRPr="007122DA">
              <w:rPr>
                <w:bCs/>
                <w:color w:val="0D0D0D" w:themeColor="text1" w:themeTint="F2"/>
                <w:spacing w:val="-2"/>
              </w:rPr>
              <w:t>,</w:t>
            </w:r>
            <w:r>
              <w:rPr>
                <w:bCs/>
                <w:color w:val="0D0D0D" w:themeColor="text1" w:themeTint="F2"/>
                <w:spacing w:val="-2"/>
              </w:rPr>
              <w:t>6</w:t>
            </w:r>
            <w:r w:rsidRPr="007122DA">
              <w:rPr>
                <w:bCs/>
                <w:color w:val="0D0D0D" w:themeColor="text1" w:themeTint="F2"/>
                <w:spacing w:val="-2"/>
              </w:rPr>
              <w:t xml:space="preserve"> % a jejich </w:t>
            </w:r>
            <w:r>
              <w:rPr>
                <w:bCs/>
                <w:color w:val="0D0D0D" w:themeColor="text1" w:themeTint="F2"/>
                <w:spacing w:val="-2"/>
              </w:rPr>
              <w:t xml:space="preserve">velmi </w:t>
            </w:r>
            <w:r w:rsidRPr="007122DA">
              <w:rPr>
                <w:bCs/>
                <w:color w:val="0D0D0D" w:themeColor="text1" w:themeTint="F2"/>
                <w:spacing w:val="-2"/>
              </w:rPr>
              <w:t>mírný růst tak pokračoval třetí pololetí v</w:t>
            </w:r>
            <w:r>
              <w:rPr>
                <w:bCs/>
                <w:color w:val="0D0D0D" w:themeColor="text1" w:themeTint="F2"/>
                <w:spacing w:val="-2"/>
              </w:rPr>
              <w:t> </w:t>
            </w:r>
            <w:r w:rsidRPr="007122DA">
              <w:rPr>
                <w:bCs/>
                <w:color w:val="0D0D0D" w:themeColor="text1" w:themeTint="F2"/>
                <w:spacing w:val="-2"/>
              </w:rPr>
              <w:t>řadě</w:t>
            </w:r>
            <w:r>
              <w:rPr>
                <w:bCs/>
                <w:color w:val="0D0D0D" w:themeColor="text1" w:themeTint="F2"/>
                <w:spacing w:val="-2"/>
              </w:rPr>
              <w:t xml:space="preserve"> (tržby ale současně stále zřetelně zaostávají za předkrizovým rokem 2019)</w:t>
            </w:r>
            <w:r w:rsidRPr="007122DA">
              <w:rPr>
                <w:bCs/>
                <w:color w:val="0D0D0D" w:themeColor="text1" w:themeTint="F2"/>
                <w:spacing w:val="-2"/>
              </w:rPr>
              <w:t xml:space="preserve">. </w:t>
            </w:r>
            <w:r>
              <w:rPr>
                <w:bCs/>
                <w:color w:val="0D0D0D" w:themeColor="text1" w:themeTint="F2"/>
                <w:spacing w:val="-2"/>
              </w:rPr>
              <w:t xml:space="preserve">Podobně jako na počátku loňského roku k tomu přispěla výhradně mírně rostoucí poptávka ve stravování a pohostinství. Tržby podnikatelů, jejichž převažující ekonomickou činností je ubytování, se totiž snížily </w:t>
            </w:r>
            <w:r w:rsidRPr="007813A4">
              <w:rPr>
                <w:bCs/>
                <w:color w:val="0D0D0D" w:themeColor="text1" w:themeTint="F2"/>
                <w:spacing w:val="-8"/>
              </w:rPr>
              <w:t>o 3</w:t>
            </w:r>
            <w:r>
              <w:rPr>
                <w:bCs/>
                <w:color w:val="0D0D0D" w:themeColor="text1" w:themeTint="F2"/>
                <w:spacing w:val="-8"/>
              </w:rPr>
              <w:t>,3</w:t>
            </w:r>
            <w:r w:rsidRPr="007813A4">
              <w:rPr>
                <w:bCs/>
                <w:color w:val="0D0D0D" w:themeColor="text1" w:themeTint="F2"/>
                <w:spacing w:val="-8"/>
              </w:rPr>
              <w:t xml:space="preserve"> %, </w:t>
            </w:r>
            <w:r>
              <w:rPr>
                <w:bCs/>
                <w:color w:val="0D0D0D" w:themeColor="text1" w:themeTint="F2"/>
                <w:spacing w:val="-8"/>
              </w:rPr>
              <w:t>(</w:t>
            </w:r>
            <w:r w:rsidRPr="007813A4">
              <w:rPr>
                <w:bCs/>
                <w:color w:val="0D0D0D" w:themeColor="text1" w:themeTint="F2"/>
                <w:spacing w:val="-8"/>
              </w:rPr>
              <w:t>nejvíce od vrcholu protipandemických</w:t>
            </w:r>
            <w:r>
              <w:rPr>
                <w:bCs/>
                <w:color w:val="0D0D0D" w:themeColor="text1" w:themeTint="F2"/>
                <w:spacing w:val="-2"/>
              </w:rPr>
              <w:t xml:space="preserve"> restrikcí z počátku roku 2021), zejména </w:t>
            </w:r>
            <w:r w:rsidRPr="007813A4">
              <w:rPr>
                <w:bCs/>
                <w:color w:val="0D0D0D" w:themeColor="text1" w:themeTint="F2"/>
                <w:spacing w:val="-8"/>
              </w:rPr>
              <w:t>v</w:t>
            </w:r>
            <w:r>
              <w:rPr>
                <w:bCs/>
                <w:color w:val="0D0D0D" w:themeColor="text1" w:themeTint="F2"/>
                <w:spacing w:val="-8"/>
              </w:rPr>
              <w:t>livem</w:t>
            </w:r>
            <w:r w:rsidRPr="007813A4">
              <w:rPr>
                <w:bCs/>
                <w:color w:val="0D0D0D" w:themeColor="text1" w:themeTint="F2"/>
                <w:spacing w:val="-8"/>
              </w:rPr>
              <w:t xml:space="preserve"> hlubší</w:t>
            </w:r>
            <w:r>
              <w:rPr>
                <w:bCs/>
                <w:color w:val="0D0D0D" w:themeColor="text1" w:themeTint="F2"/>
                <w:spacing w:val="-8"/>
              </w:rPr>
              <w:t>ho</w:t>
            </w:r>
            <w:r w:rsidRPr="007813A4">
              <w:rPr>
                <w:bCs/>
                <w:color w:val="0D0D0D" w:themeColor="text1" w:themeTint="F2"/>
                <w:spacing w:val="-8"/>
              </w:rPr>
              <w:t xml:space="preserve"> poklesu v samotném 2. čtvrtletí</w:t>
            </w:r>
            <w:r>
              <w:rPr>
                <w:bCs/>
                <w:color w:val="0D0D0D" w:themeColor="text1" w:themeTint="F2"/>
                <w:spacing w:val="-2"/>
              </w:rPr>
              <w:t xml:space="preserve">. </w:t>
            </w:r>
            <w:r w:rsidRPr="004A0F58">
              <w:rPr>
                <w:bCs/>
                <w:color w:val="0D0D0D" w:themeColor="text1" w:themeTint="F2"/>
                <w:spacing w:val="-2"/>
              </w:rPr>
              <w:t xml:space="preserve">Stalo se tak i přes relativně svižně rostoucí kupní sílu tuzemských </w:t>
            </w:r>
            <w:r w:rsidRPr="004A0F58">
              <w:rPr>
                <w:bCs/>
                <w:color w:val="0D0D0D" w:themeColor="text1" w:themeTint="F2"/>
                <w:spacing w:val="-5"/>
              </w:rPr>
              <w:t>domácností i pokračující rozvoj příjezdového cestovního ruchu. Mohl se zde projevovat dopad</w:t>
            </w:r>
            <w:r w:rsidRPr="004A0F58">
              <w:rPr>
                <w:bCs/>
                <w:color w:val="0D0D0D" w:themeColor="text1" w:themeTint="F2"/>
                <w:spacing w:val="-2"/>
              </w:rPr>
              <w:t xml:space="preserve"> rychlého růstu cen souvisejících služeb</w:t>
            </w:r>
            <w:r w:rsidRPr="004A0F58">
              <w:rPr>
                <w:rStyle w:val="Znakapoznpodarou"/>
                <w:color w:val="0D0D0D" w:themeColor="text1" w:themeTint="F2"/>
                <w:spacing w:val="-2"/>
              </w:rPr>
              <w:footnoteReference w:id="33"/>
            </w:r>
            <w:r w:rsidRPr="004A0F58">
              <w:rPr>
                <w:bCs/>
                <w:color w:val="0D0D0D" w:themeColor="text1" w:themeTint="F2"/>
                <w:spacing w:val="-2"/>
              </w:rPr>
              <w:t xml:space="preserve">. </w:t>
            </w:r>
            <w:r w:rsidRPr="004A0F58">
              <w:rPr>
                <w:rFonts w:cs="Arial"/>
                <w:color w:val="0D0D0D" w:themeColor="text1" w:themeTint="F2"/>
                <w:spacing w:val="-2"/>
              </w:rPr>
              <w:t>Naturální ukazatele v oblasti příjezdového cestovního ruchu naznačují oproti reálným tržbám mírně lepší výsledky.</w:t>
            </w:r>
          </w:p>
        </w:tc>
      </w:tr>
      <w:tr w:rsidR="00DD1A46" w:rsidRPr="004A0F58" w14:paraId="0E0EBC8E" w14:textId="77777777" w:rsidTr="00E962EE">
        <w:trPr>
          <w:trHeight w:val="170"/>
        </w:trPr>
        <w:tc>
          <w:tcPr>
            <w:tcW w:w="1814" w:type="dxa"/>
            <w:tcMar>
              <w:left w:w="0" w:type="dxa"/>
            </w:tcMar>
          </w:tcPr>
          <w:p w14:paraId="60239BC3" w14:textId="77777777" w:rsidR="00DD1A46" w:rsidRPr="004A0F58" w:rsidRDefault="00DD1A46" w:rsidP="00E962EE">
            <w:pPr>
              <w:pStyle w:val="Marginlie"/>
              <w:rPr>
                <w:color w:val="0D0D0D" w:themeColor="text1" w:themeTint="F2"/>
              </w:rPr>
            </w:pPr>
            <w:r w:rsidRPr="004A0F58">
              <w:rPr>
                <w:color w:val="0D0D0D" w:themeColor="text1" w:themeTint="F2"/>
              </w:rPr>
              <w:t>Počet ubytovaných hostů v HUZ však dále mírně rostl</w:t>
            </w:r>
            <w:r>
              <w:rPr>
                <w:color w:val="0D0D0D" w:themeColor="text1" w:themeTint="F2"/>
              </w:rPr>
              <w:t>, avšak ve 2. čtvrtletí již pouze díky domácí klientele.</w:t>
            </w:r>
          </w:p>
          <w:p w14:paraId="511B70AA"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24BE0805"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9466EA0" w14:textId="77777777" w:rsidR="00DD1A46" w:rsidRPr="000E7FBC" w:rsidRDefault="00DD1A46" w:rsidP="00E962EE">
            <w:pPr>
              <w:spacing w:after="200"/>
              <w:rPr>
                <w:rStyle w:val="normaltextrun"/>
                <w:rFonts w:eastAsiaTheme="majorEastAsia"/>
                <w:color w:val="0D0D0D" w:themeColor="text1" w:themeTint="F2"/>
                <w:spacing w:val="-4"/>
              </w:rPr>
            </w:pPr>
            <w:r w:rsidRPr="000E7FBC">
              <w:rPr>
                <w:rFonts w:eastAsia="Arial" w:cs="Arial"/>
                <w:color w:val="0D0D0D" w:themeColor="text1" w:themeTint="F2"/>
                <w:spacing w:val="-4"/>
                <w:szCs w:val="20"/>
              </w:rPr>
              <w:t>Tuzemští poskytovatelé hromadného ubytov</w:t>
            </w:r>
            <w:r>
              <w:rPr>
                <w:rFonts w:eastAsia="Arial" w:cs="Arial"/>
                <w:color w:val="0D0D0D" w:themeColor="text1" w:themeTint="F2"/>
                <w:spacing w:val="-4"/>
                <w:szCs w:val="20"/>
              </w:rPr>
              <w:t>á</w:t>
            </w:r>
            <w:r w:rsidRPr="000E7FBC">
              <w:rPr>
                <w:rFonts w:eastAsia="Arial" w:cs="Arial"/>
                <w:color w:val="0D0D0D" w:themeColor="text1" w:themeTint="F2"/>
                <w:spacing w:val="-4"/>
                <w:szCs w:val="20"/>
              </w:rPr>
              <w:t xml:space="preserve">ní (HUZ) registrovali </w:t>
            </w:r>
            <w:r w:rsidRPr="000E7FBC">
              <w:rPr>
                <w:rStyle w:val="normaltextrun"/>
                <w:rFonts w:eastAsiaTheme="majorEastAsia"/>
                <w:color w:val="0D0D0D" w:themeColor="text1" w:themeTint="F2"/>
                <w:spacing w:val="-4"/>
              </w:rPr>
              <w:t xml:space="preserve">ve 2. čtvrtletí mírný meziroční růst </w:t>
            </w:r>
            <w:r w:rsidRPr="000E7FBC">
              <w:rPr>
                <w:rStyle w:val="normaltextrun"/>
                <w:rFonts w:eastAsiaTheme="majorEastAsia"/>
                <w:spacing w:val="-4"/>
              </w:rPr>
              <w:t xml:space="preserve">jak hostů (+0,5 %), tak jejich přenocování (0,3 %). To však bylo nejslabší tempo </w:t>
            </w:r>
            <w:r>
              <w:rPr>
                <w:rStyle w:val="normaltextrun"/>
                <w:rFonts w:eastAsiaTheme="majorEastAsia"/>
                <w:spacing w:val="-4"/>
              </w:rPr>
              <w:t>z</w:t>
            </w:r>
            <w:r w:rsidRPr="000E7FBC">
              <w:rPr>
                <w:rStyle w:val="normaltextrun"/>
                <w:rFonts w:eastAsiaTheme="majorEastAsia"/>
                <w:spacing w:val="-4"/>
              </w:rPr>
              <w:t xml:space="preserve">a posledních sedm, resp. pět kvartálů. Zpomalení je zvláště patrné ve srovnání s tempem dosaženým v 1. čtvrtletí 2026 (+5,2 %, +5,6 %), kdy se dařilo mj. i horským střediskům. </w:t>
            </w:r>
            <w:r w:rsidRPr="000E7FBC">
              <w:rPr>
                <w:rStyle w:val="normaltextrun"/>
                <w:rFonts w:eastAsiaTheme="majorEastAsia" w:cs="Arial"/>
                <w:spacing w:val="-4"/>
                <w:szCs w:val="20"/>
              </w:rPr>
              <w:t>Drobný meziroční růst počtu ubytovaných hostů byl ve 2. čtvrtletí podpořen</w:t>
            </w:r>
            <w:r>
              <w:rPr>
                <w:rStyle w:val="normaltextrun"/>
                <w:rFonts w:eastAsiaTheme="majorEastAsia" w:cs="Arial"/>
                <w:spacing w:val="-4"/>
                <w:szCs w:val="20"/>
              </w:rPr>
              <w:t xml:space="preserve"> </w:t>
            </w:r>
            <w:r w:rsidRPr="000E7FBC">
              <w:rPr>
                <w:rStyle w:val="normaltextrun"/>
                <w:rFonts w:eastAsiaTheme="majorEastAsia" w:cs="Arial"/>
                <w:spacing w:val="-4"/>
                <w:szCs w:val="20"/>
              </w:rPr>
              <w:t>pouze domácími klienty. Zahraničních hostů totiž nepatrně ubylo (</w:t>
            </w:r>
            <w:r w:rsidRPr="004A0F58">
              <w:rPr>
                <w:rFonts w:cs="Arial"/>
                <w:color w:val="0D0D0D" w:themeColor="text1" w:themeTint="F2"/>
                <w:spacing w:val="-4"/>
              </w:rPr>
              <w:t>–</w:t>
            </w:r>
            <w:r w:rsidRPr="000E7FBC">
              <w:rPr>
                <w:rStyle w:val="normaltextrun"/>
                <w:rFonts w:eastAsiaTheme="majorEastAsia" w:cs="Arial"/>
                <w:spacing w:val="-4"/>
                <w:szCs w:val="20"/>
              </w:rPr>
              <w:t>0,1 %), poprvé od vrcholu pandemie (1</w:t>
            </w:r>
            <w:r>
              <w:rPr>
                <w:rStyle w:val="normaltextrun"/>
                <w:rFonts w:eastAsiaTheme="majorEastAsia" w:cs="Arial"/>
                <w:spacing w:val="-4"/>
                <w:szCs w:val="20"/>
              </w:rPr>
              <w:t>.</w:t>
            </w:r>
            <w:r w:rsidRPr="000E7FBC">
              <w:rPr>
                <w:rStyle w:val="normaltextrun"/>
                <w:rFonts w:eastAsiaTheme="majorEastAsia" w:cs="Arial"/>
                <w:spacing w:val="-4"/>
                <w:szCs w:val="20"/>
              </w:rPr>
              <w:t xml:space="preserve"> čtvrtletí 2021). </w:t>
            </w:r>
            <w:r w:rsidRPr="000E7FBC">
              <w:rPr>
                <w:rStyle w:val="normaltextrun"/>
                <w:rFonts w:eastAsiaTheme="majorEastAsia"/>
                <w:spacing w:val="-4"/>
              </w:rPr>
              <w:t>Aktuální zvolnění růstu návštěvnosti může souviset také s dílčí proměnou klientely (růst počtu přenocování hostů z většiny států sousedících s Českem, dále z USA i Kanady, ale i z balkánských států a současně pokles např. z Velké Británie, Francie či regionu Blízkého východu) a jejich finančního chování (</w:t>
            </w:r>
            <w:r>
              <w:rPr>
                <w:rStyle w:val="normaltextrun"/>
                <w:rFonts w:eastAsiaTheme="majorEastAsia"/>
                <w:spacing w:val="-4"/>
              </w:rPr>
              <w:t xml:space="preserve">možný </w:t>
            </w:r>
            <w:r w:rsidRPr="000E7FBC">
              <w:rPr>
                <w:rStyle w:val="normaltextrun"/>
                <w:rFonts w:eastAsiaTheme="majorEastAsia"/>
                <w:spacing w:val="-4"/>
              </w:rPr>
              <w:t>větší sklon k úsporám ve vazbě na dlouhodoběji rostoucí ceny ubytování a stravování v Česku).</w:t>
            </w:r>
          </w:p>
        </w:tc>
      </w:tr>
      <w:tr w:rsidR="00DD1A46" w:rsidRPr="004A0F58" w14:paraId="1ABF8A6C" w14:textId="77777777" w:rsidTr="00E962EE">
        <w:trPr>
          <w:trHeight w:val="170"/>
        </w:trPr>
        <w:tc>
          <w:tcPr>
            <w:tcW w:w="1814" w:type="dxa"/>
            <w:tcMar>
              <w:left w:w="0" w:type="dxa"/>
            </w:tcMar>
          </w:tcPr>
          <w:p w14:paraId="6664518D" w14:textId="77777777" w:rsidR="00DD1A46" w:rsidRPr="004A0F58" w:rsidRDefault="00DD1A46" w:rsidP="00E962EE">
            <w:pPr>
              <w:pStyle w:val="Marginlie"/>
              <w:rPr>
                <w:color w:val="0D0D0D" w:themeColor="text1" w:themeTint="F2"/>
              </w:rPr>
            </w:pPr>
            <w:r w:rsidRPr="004A0F58">
              <w:rPr>
                <w:color w:val="0D0D0D" w:themeColor="text1" w:themeTint="F2"/>
              </w:rPr>
              <w:t xml:space="preserve">Vývoj v jednotlivých </w:t>
            </w:r>
            <w:r w:rsidRPr="004A0F58">
              <w:rPr>
                <w:color w:val="0D0D0D" w:themeColor="text1" w:themeTint="F2"/>
                <w:spacing w:val="-4"/>
              </w:rPr>
              <w:t>oborech administrativních</w:t>
            </w:r>
            <w:r w:rsidRPr="004A0F58">
              <w:rPr>
                <w:color w:val="0D0D0D" w:themeColor="text1" w:themeTint="F2"/>
              </w:rPr>
              <w:t xml:space="preserve"> a podpůrných činností byl protichůdný. V části z nich rostla vlivem </w:t>
            </w:r>
            <w:proofErr w:type="spellStart"/>
            <w:r w:rsidRPr="004A0F58">
              <w:rPr>
                <w:color w:val="0D0D0D" w:themeColor="text1" w:themeTint="F2"/>
              </w:rPr>
              <w:t>procyklického</w:t>
            </w:r>
            <w:proofErr w:type="spellEnd"/>
            <w:r w:rsidRPr="004A0F58">
              <w:rPr>
                <w:color w:val="0D0D0D" w:themeColor="text1" w:themeTint="F2"/>
              </w:rPr>
              <w:t xml:space="preserve"> oživení firemní poptávka, jinde se projevil útlum způsobený postupující digitalizací. </w:t>
            </w:r>
          </w:p>
          <w:p w14:paraId="31997061" w14:textId="77777777" w:rsidR="00DD1A46" w:rsidRPr="004A0F58" w:rsidRDefault="00DD1A46" w:rsidP="00E962EE">
            <w:pPr>
              <w:pStyle w:val="Marginlie"/>
              <w:rPr>
                <w:color w:val="0D0D0D" w:themeColor="text1" w:themeTint="F2"/>
              </w:rPr>
            </w:pPr>
          </w:p>
        </w:tc>
        <w:tc>
          <w:tcPr>
            <w:tcW w:w="181" w:type="dxa"/>
            <w:tcMar>
              <w:left w:w="0" w:type="dxa"/>
            </w:tcMar>
          </w:tcPr>
          <w:p w14:paraId="66791121"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4D92FB4D" w14:textId="77777777" w:rsidR="00DD1A46" w:rsidRPr="000E7FBC" w:rsidRDefault="00DD1A46" w:rsidP="00E962EE">
            <w:pPr>
              <w:spacing w:after="200"/>
              <w:rPr>
                <w:rFonts w:eastAsia="Arial" w:cs="Arial"/>
                <w:color w:val="0D0D0D" w:themeColor="text1" w:themeTint="F2"/>
                <w:spacing w:val="-4"/>
                <w:szCs w:val="20"/>
              </w:rPr>
            </w:pPr>
            <w:r w:rsidRPr="00ED3EFC">
              <w:rPr>
                <w:rFonts w:eastAsia="Arial" w:cs="Arial"/>
                <w:color w:val="0D0D0D" w:themeColor="text1" w:themeTint="F2"/>
                <w:spacing w:val="-6"/>
                <w:szCs w:val="20"/>
              </w:rPr>
              <w:t xml:space="preserve">Tržby v činnostech v oblasti nemovitostí třetí rok v řadě fakticky stagnovaly. V odvětví </w:t>
            </w:r>
            <w:r w:rsidRPr="00ED3EFC">
              <w:rPr>
                <w:bCs/>
                <w:color w:val="0D0D0D" w:themeColor="text1" w:themeTint="F2"/>
                <w:spacing w:val="-6"/>
              </w:rPr>
              <w:t>administrativních a podpůrných činností, jež poskytuje především podnikům</w:t>
            </w:r>
            <w:r w:rsidRPr="00ED3EFC">
              <w:rPr>
                <w:bCs/>
                <w:color w:val="0D0D0D" w:themeColor="text1" w:themeTint="F2"/>
                <w:spacing w:val="4"/>
              </w:rPr>
              <w:t xml:space="preserve"> zpravidla služby s nižší přidanou hodnotou, bylo jejich tempo nadále nevýrazné (+0,</w:t>
            </w:r>
            <w:r>
              <w:rPr>
                <w:bCs/>
                <w:color w:val="0D0D0D" w:themeColor="text1" w:themeTint="F2"/>
                <w:spacing w:val="4"/>
              </w:rPr>
              <w:t>6</w:t>
            </w:r>
            <w:r w:rsidRPr="00ED3EFC">
              <w:rPr>
                <w:bCs/>
                <w:color w:val="0D0D0D" w:themeColor="text1" w:themeTint="F2"/>
                <w:spacing w:val="4"/>
              </w:rPr>
              <w:t xml:space="preserve"> %). Obdobně jako po většinu loňského roku zde k růstu nejvíce přispěl různorodý obor </w:t>
            </w:r>
            <w:r w:rsidRPr="00ED3EFC">
              <w:rPr>
                <w:color w:val="0D0D0D" w:themeColor="text1" w:themeTint="F2"/>
                <w:spacing w:val="4"/>
              </w:rPr>
              <w:t>administrativníc</w:t>
            </w:r>
            <w:r w:rsidRPr="00ED3EFC">
              <w:rPr>
                <w:spacing w:val="4"/>
              </w:rPr>
              <w:t>h</w:t>
            </w:r>
            <w:r w:rsidRPr="00ED3EFC">
              <w:rPr>
                <w:color w:val="0D0D0D" w:themeColor="text1" w:themeTint="F2"/>
                <w:spacing w:val="4"/>
              </w:rPr>
              <w:t>, kancelářských a jiných podpůrných činností pro podnikání (+4,</w:t>
            </w:r>
            <w:r>
              <w:rPr>
                <w:color w:val="0D0D0D" w:themeColor="text1" w:themeTint="F2"/>
                <w:spacing w:val="4"/>
              </w:rPr>
              <w:t>3</w:t>
            </w:r>
            <w:r w:rsidRPr="00ED3EFC">
              <w:rPr>
                <w:bCs/>
                <w:color w:val="0D0D0D" w:themeColor="text1" w:themeTint="F2"/>
                <w:spacing w:val="4"/>
              </w:rPr>
              <w:t> </w:t>
            </w:r>
            <w:r w:rsidRPr="00ED3EFC">
              <w:rPr>
                <w:color w:val="0D0D0D" w:themeColor="text1" w:themeTint="F2"/>
                <w:spacing w:val="4"/>
              </w:rPr>
              <w:t>%)</w:t>
            </w:r>
            <w:r w:rsidRPr="00ED3EFC">
              <w:rPr>
                <w:rStyle w:val="Znakapoznpodarou"/>
                <w:color w:val="0D0D0D" w:themeColor="text1" w:themeTint="F2"/>
                <w:spacing w:val="4"/>
              </w:rPr>
              <w:footnoteReference w:id="34"/>
            </w:r>
            <w:r w:rsidRPr="00ED3EFC">
              <w:rPr>
                <w:color w:val="0D0D0D" w:themeColor="text1" w:themeTint="F2"/>
                <w:spacing w:val="4"/>
              </w:rPr>
              <w:t>. Firemní poptávka se primárně promítla do přetrvávajícího růstu tržeb za pronájem a operativní leasing, kde tržby vzrostly (+</w:t>
            </w:r>
            <w:r>
              <w:rPr>
                <w:color w:val="0D0D0D" w:themeColor="text1" w:themeTint="F2"/>
                <w:spacing w:val="4"/>
              </w:rPr>
              <w:t>3,0</w:t>
            </w:r>
            <w:r w:rsidRPr="00ED3EFC">
              <w:rPr>
                <w:bCs/>
                <w:color w:val="0D0D0D" w:themeColor="text1" w:themeTint="F2"/>
                <w:spacing w:val="4"/>
              </w:rPr>
              <w:t> </w:t>
            </w:r>
            <w:r w:rsidRPr="00ED3EFC">
              <w:rPr>
                <w:color w:val="0D0D0D" w:themeColor="text1" w:themeTint="F2"/>
                <w:spacing w:val="4"/>
              </w:rPr>
              <w:t>%), neboť zde letos na jaře došlo k výraznějšímu oživení poptávky u automobilů (a jiných lehkých motorových vozidel) a dařilo se jí také u ostatních strojů (např. stavebních či zemědělských) a</w:t>
            </w:r>
            <w:r w:rsidRPr="00233339">
              <w:rPr>
                <w:color w:val="0D0D0D" w:themeColor="text1" w:themeTint="F2"/>
                <w:spacing w:val="-3"/>
              </w:rPr>
              <w:t> </w:t>
            </w:r>
            <w:r w:rsidRPr="00ED3EFC">
              <w:rPr>
                <w:color w:val="0D0D0D" w:themeColor="text1" w:themeTint="F2"/>
                <w:spacing w:val="4"/>
              </w:rPr>
              <w:t>nákladních automobilů. Naopak růst tržeb za pronájem a leasing výrobků pro osobní potřebu a převážně pro domácnost se v zásadě zastavil. Velmi mírné oživení poptávky nastalo v činnostech souvisejících se stavbami a úpravou krajiny (+2,</w:t>
            </w:r>
            <w:r>
              <w:rPr>
                <w:color w:val="0D0D0D" w:themeColor="text1" w:themeTint="F2"/>
                <w:spacing w:val="4"/>
              </w:rPr>
              <w:t>6</w:t>
            </w:r>
            <w:r w:rsidRPr="00ED3EFC">
              <w:rPr>
                <w:color w:val="0D0D0D" w:themeColor="text1" w:themeTint="F2"/>
                <w:spacing w:val="4"/>
              </w:rPr>
              <w:t> %)</w:t>
            </w:r>
            <w:r w:rsidRPr="00ED3EFC">
              <w:rPr>
                <w:rStyle w:val="Znakapoznpodarou"/>
                <w:color w:val="0D0D0D" w:themeColor="text1" w:themeTint="F2"/>
                <w:spacing w:val="4"/>
              </w:rPr>
              <w:footnoteReference w:id="35"/>
            </w:r>
            <w:r w:rsidRPr="00ED3EFC">
              <w:rPr>
                <w:color w:val="0D0D0D" w:themeColor="text1" w:themeTint="F2"/>
                <w:spacing w:val="4"/>
              </w:rPr>
              <w:t>. Pokles tržeb pracovních agentur pokračoval pátý rok v řadě, letos nicméně zmírnil (na 1,</w:t>
            </w:r>
            <w:r>
              <w:rPr>
                <w:color w:val="0D0D0D" w:themeColor="text1" w:themeTint="F2"/>
                <w:spacing w:val="4"/>
              </w:rPr>
              <w:t>0</w:t>
            </w:r>
            <w:r w:rsidRPr="00ED3EFC">
              <w:rPr>
                <w:color w:val="0D0D0D" w:themeColor="text1" w:themeTint="F2"/>
                <w:spacing w:val="4"/>
              </w:rPr>
              <w:t xml:space="preserve"> %)</w:t>
            </w:r>
            <w:r w:rsidRPr="00ED3EFC">
              <w:rPr>
                <w:rStyle w:val="Znakapoznpodarou"/>
                <w:color w:val="0D0D0D" w:themeColor="text1" w:themeTint="F2"/>
                <w:spacing w:val="4"/>
              </w:rPr>
              <w:footnoteReference w:id="36"/>
            </w:r>
            <w:r w:rsidRPr="00ED3EFC">
              <w:rPr>
                <w:color w:val="0D0D0D" w:themeColor="text1" w:themeTint="F2"/>
                <w:spacing w:val="4"/>
              </w:rPr>
              <w:t>, což může souviset se zlepšením situace v průmyslu. Podobně mírně klesla poptávka i po bezpečnostních a pátracích činnostech, jejíž nepříznivý vývoj (související s rozvojem digitalizace) má rovněž dlouhodobější povahu</w:t>
            </w:r>
            <w:r w:rsidRPr="00ED3EFC">
              <w:rPr>
                <w:rStyle w:val="Znakapoznpodarou"/>
                <w:color w:val="0D0D0D" w:themeColor="text1" w:themeTint="F2"/>
                <w:spacing w:val="4"/>
              </w:rPr>
              <w:footnoteReference w:id="37"/>
            </w:r>
            <w:r w:rsidRPr="00ED3EFC">
              <w:rPr>
                <w:color w:val="0D0D0D" w:themeColor="text1" w:themeTint="F2"/>
                <w:spacing w:val="4"/>
              </w:rPr>
              <w:t xml:space="preserve">. Tržby cestovních agentur a kanceláří se snížily o </w:t>
            </w:r>
            <w:r>
              <w:rPr>
                <w:color w:val="0D0D0D" w:themeColor="text1" w:themeTint="F2"/>
                <w:spacing w:val="4"/>
              </w:rPr>
              <w:t>3,0</w:t>
            </w:r>
            <w:r w:rsidRPr="00ED3EFC">
              <w:rPr>
                <w:color w:val="0D0D0D" w:themeColor="text1" w:themeTint="F2"/>
                <w:spacing w:val="4"/>
              </w:rPr>
              <w:t xml:space="preserve"> % a potvrdily tak </w:t>
            </w:r>
            <w:r w:rsidRPr="00ED3EFC">
              <w:rPr>
                <w:color w:val="0D0D0D" w:themeColor="text1" w:themeTint="F2"/>
                <w:spacing w:val="4"/>
              </w:rPr>
              <w:lastRenderedPageBreak/>
              <w:t xml:space="preserve">změnu trendu z loňského roku (až </w:t>
            </w:r>
            <w:r>
              <w:rPr>
                <w:color w:val="0D0D0D" w:themeColor="text1" w:themeTint="F2"/>
                <w:spacing w:val="4"/>
              </w:rPr>
              <w:t>do</w:t>
            </w:r>
            <w:r w:rsidRPr="00ED3EFC">
              <w:rPr>
                <w:color w:val="0D0D0D" w:themeColor="text1" w:themeTint="F2"/>
                <w:spacing w:val="4"/>
              </w:rPr>
              <w:t xml:space="preserve"> jeho počátku se v této oblasti poptávka zvyšovala, nepřetržitě od konce „pandemického období“). </w:t>
            </w:r>
          </w:p>
        </w:tc>
      </w:tr>
      <w:tr w:rsidR="00DD1A46" w:rsidRPr="004A0F58" w14:paraId="666EA12E" w14:textId="77777777" w:rsidTr="00E962EE">
        <w:trPr>
          <w:trHeight w:val="170"/>
        </w:trPr>
        <w:tc>
          <w:tcPr>
            <w:tcW w:w="1814" w:type="dxa"/>
            <w:tcMar>
              <w:left w:w="0" w:type="dxa"/>
            </w:tcMar>
          </w:tcPr>
          <w:p w14:paraId="412E15B8"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20040E6F"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56AA82F4" w14:textId="77777777" w:rsidR="00DD1A46" w:rsidRPr="004A0F58" w:rsidRDefault="00DD1A46" w:rsidP="00E962EE">
            <w:pPr>
              <w:spacing w:after="0"/>
              <w:rPr>
                <w:bCs/>
                <w:color w:val="0D0D0D" w:themeColor="text1" w:themeTint="F2"/>
                <w:spacing w:val="-2"/>
              </w:rPr>
            </w:pPr>
            <w:r w:rsidRPr="004A0F58">
              <w:rPr>
                <w:b/>
                <w:color w:val="0D0D0D" w:themeColor="text1" w:themeTint="F2"/>
                <w:spacing w:val="-4"/>
              </w:rPr>
              <w:t>Graf č. </w:t>
            </w:r>
            <w:r>
              <w:rPr>
                <w:b/>
                <w:color w:val="0D0D0D" w:themeColor="text1" w:themeTint="F2"/>
                <w:spacing w:val="-4"/>
              </w:rPr>
              <w:t xml:space="preserve">8 </w:t>
            </w:r>
            <w:r w:rsidRPr="00295544">
              <w:rPr>
                <w:rFonts w:cs="Arial"/>
                <w:b/>
                <w:bCs/>
                <w:color w:val="000000"/>
                <w:spacing w:val="2"/>
                <w:szCs w:val="20"/>
              </w:rPr>
              <w:t>Rozklad meziroční změny</w:t>
            </w:r>
            <w:r w:rsidRPr="00295544">
              <w:rPr>
                <w:b/>
                <w:bCs/>
                <w:color w:val="0D0D0D" w:themeColor="text1" w:themeTint="F2"/>
                <w:spacing w:val="2"/>
              </w:rPr>
              <w:t xml:space="preserve"> tržeb ve službách* </w:t>
            </w:r>
            <w:r w:rsidRPr="00295544">
              <w:rPr>
                <w:color w:val="0D0D0D" w:themeColor="text1" w:themeTint="F2"/>
                <w:spacing w:val="2"/>
              </w:rPr>
              <w:t>(</w:t>
            </w:r>
            <w:r w:rsidRPr="00295544">
              <w:rPr>
                <w:rFonts w:cs="Arial"/>
                <w:bCs/>
                <w:color w:val="000000"/>
                <w:spacing w:val="2"/>
                <w:szCs w:val="20"/>
              </w:rPr>
              <w:t>příspěvky k růstu, v p. b.)</w:t>
            </w:r>
            <w:r w:rsidRPr="00295544">
              <w:rPr>
                <w:color w:val="0D0D0D" w:themeColor="text1" w:themeTint="F2"/>
                <w:spacing w:val="2"/>
              </w:rPr>
              <w:t>,</w:t>
            </w:r>
            <w:r w:rsidRPr="00295544">
              <w:rPr>
                <w:b/>
                <w:color w:val="0D0D0D" w:themeColor="text1" w:themeTint="F2"/>
                <w:spacing w:val="2"/>
              </w:rPr>
              <w:t xml:space="preserve"> </w:t>
            </w:r>
            <w:r w:rsidRPr="00295544">
              <w:rPr>
                <w:b/>
                <w:bCs/>
                <w:color w:val="0D0D0D" w:themeColor="text1" w:themeTint="F2"/>
                <w:spacing w:val="2"/>
              </w:rPr>
              <w:t>saldo důvěry podnikatelů ve službách**</w:t>
            </w:r>
            <w:r w:rsidRPr="00295544">
              <w:rPr>
                <w:b/>
                <w:color w:val="0D0D0D" w:themeColor="text1" w:themeTint="F2"/>
                <w:spacing w:val="2"/>
              </w:rPr>
              <w:t xml:space="preserve"> </w:t>
            </w:r>
            <w:r w:rsidRPr="00295544">
              <w:rPr>
                <w:color w:val="0D0D0D" w:themeColor="text1" w:themeTint="F2"/>
                <w:spacing w:val="2"/>
              </w:rPr>
              <w:t>(v p. b.)</w:t>
            </w:r>
          </w:p>
        </w:tc>
      </w:tr>
      <w:tr w:rsidR="00DD1A46" w:rsidRPr="004A0F58" w14:paraId="76110FE1" w14:textId="77777777" w:rsidTr="00E962EE">
        <w:tblPrEx>
          <w:tblCellMar>
            <w:left w:w="70" w:type="dxa"/>
            <w:right w:w="70" w:type="dxa"/>
          </w:tblCellMar>
        </w:tblPrEx>
        <w:trPr>
          <w:trHeight w:val="170"/>
        </w:trPr>
        <w:tc>
          <w:tcPr>
            <w:tcW w:w="1814" w:type="dxa"/>
          </w:tcPr>
          <w:p w14:paraId="3D2A5A0C" w14:textId="77777777" w:rsidR="00DD1A46" w:rsidRPr="004A0F58" w:rsidRDefault="00DD1A46" w:rsidP="00E962EE">
            <w:pPr>
              <w:pStyle w:val="Marginlie"/>
              <w:rPr>
                <w:color w:val="0D0D0D" w:themeColor="text1" w:themeTint="F2"/>
              </w:rPr>
            </w:pPr>
          </w:p>
        </w:tc>
        <w:tc>
          <w:tcPr>
            <w:tcW w:w="181" w:type="dxa"/>
          </w:tcPr>
          <w:p w14:paraId="1CCD4D43" w14:textId="77777777" w:rsidR="00DD1A46" w:rsidRPr="004A0F58" w:rsidRDefault="00DD1A46" w:rsidP="00E962EE">
            <w:pPr>
              <w:pStyle w:val="Textpoznpodarou"/>
              <w:jc w:val="both"/>
              <w:rPr>
                <w:color w:val="0D0D0D" w:themeColor="text1" w:themeTint="F2"/>
                <w:spacing w:val="-4"/>
              </w:rPr>
            </w:pPr>
          </w:p>
        </w:tc>
        <w:tc>
          <w:tcPr>
            <w:tcW w:w="7711" w:type="dxa"/>
          </w:tcPr>
          <w:p w14:paraId="0B19C116" w14:textId="77777777" w:rsidR="00DD1A46" w:rsidRPr="004A0F58" w:rsidRDefault="00DD1A46" w:rsidP="00E962EE">
            <w:pPr>
              <w:spacing w:before="20" w:after="40"/>
              <w:rPr>
                <w:b/>
                <w:color w:val="0D0D0D" w:themeColor="text1" w:themeTint="F2"/>
                <w:spacing w:val="-4"/>
              </w:rPr>
            </w:pPr>
            <w:r>
              <w:rPr>
                <w:noProof/>
              </w:rPr>
              <w:drawing>
                <wp:inline distT="0" distB="0" distL="0" distR="0" wp14:anchorId="7505F28B" wp14:editId="0036B051">
                  <wp:extent cx="4737600" cy="3553200"/>
                  <wp:effectExtent l="0" t="0" r="6350" b="0"/>
                  <wp:docPr id="482409861" name="Graf 1">
                    <a:extLst xmlns:a="http://schemas.openxmlformats.org/drawingml/2006/main">
                      <a:ext uri="{FF2B5EF4-FFF2-40B4-BE49-F238E27FC236}">
                        <a16:creationId xmlns:a16="http://schemas.microsoft.com/office/drawing/2014/main" id="{D78E6081-4916-4CA6-AD3E-49A13EA039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DD1A46" w:rsidRPr="004A0F58" w14:paraId="01ECDFBF" w14:textId="77777777" w:rsidTr="00E962EE">
        <w:tblPrEx>
          <w:tblCellMar>
            <w:left w:w="70" w:type="dxa"/>
            <w:right w:w="70" w:type="dxa"/>
          </w:tblCellMar>
        </w:tblPrEx>
        <w:trPr>
          <w:trHeight w:val="170"/>
        </w:trPr>
        <w:tc>
          <w:tcPr>
            <w:tcW w:w="1814" w:type="dxa"/>
          </w:tcPr>
          <w:p w14:paraId="079B0EFF" w14:textId="77777777" w:rsidR="00DD1A46" w:rsidRPr="004A0F58" w:rsidRDefault="00DD1A46" w:rsidP="00E962EE">
            <w:pPr>
              <w:pStyle w:val="Marginlie"/>
              <w:rPr>
                <w:color w:val="0D0D0D" w:themeColor="text1" w:themeTint="F2"/>
              </w:rPr>
            </w:pPr>
          </w:p>
        </w:tc>
        <w:tc>
          <w:tcPr>
            <w:tcW w:w="181" w:type="dxa"/>
          </w:tcPr>
          <w:p w14:paraId="629B019C" w14:textId="77777777" w:rsidR="00DD1A46" w:rsidRPr="004A0F58" w:rsidRDefault="00DD1A46" w:rsidP="00E962EE">
            <w:pPr>
              <w:pStyle w:val="Textpoznpodarou"/>
              <w:jc w:val="both"/>
              <w:rPr>
                <w:color w:val="0D0D0D" w:themeColor="text1" w:themeTint="F2"/>
                <w:spacing w:val="-4"/>
              </w:rPr>
            </w:pPr>
          </w:p>
        </w:tc>
        <w:tc>
          <w:tcPr>
            <w:tcW w:w="7711" w:type="dxa"/>
          </w:tcPr>
          <w:p w14:paraId="6F99A79E" w14:textId="77777777" w:rsidR="00DD1A46" w:rsidRPr="004A0F58" w:rsidRDefault="00DD1A46" w:rsidP="00E962EE">
            <w:pPr>
              <w:spacing w:after="0" w:line="240" w:lineRule="auto"/>
              <w:rPr>
                <w:color w:val="0D0D0D" w:themeColor="text1" w:themeTint="F2"/>
                <w:sz w:val="14"/>
                <w:szCs w:val="14"/>
              </w:rPr>
            </w:pPr>
            <w:r w:rsidRPr="004A0F58">
              <w:rPr>
                <w:rFonts w:cs="Arial"/>
                <w:color w:val="0D0D0D" w:themeColor="text1" w:themeTint="F2"/>
                <w:spacing w:val="-4"/>
                <w:sz w:val="14"/>
                <w:szCs w:val="14"/>
              </w:rPr>
              <w:t>Poznámka</w:t>
            </w:r>
            <w:r w:rsidRPr="004A0F58">
              <w:rPr>
                <w:color w:val="0D0D0D" w:themeColor="text1" w:themeTint="F2"/>
                <w:sz w:val="14"/>
                <w:szCs w:val="14"/>
              </w:rPr>
              <w:t xml:space="preserve">: </w:t>
            </w:r>
            <w:r>
              <w:rPr>
                <w:color w:val="0D0D0D" w:themeColor="text1" w:themeTint="F2"/>
                <w:sz w:val="14"/>
                <w:szCs w:val="14"/>
              </w:rPr>
              <w:t>Tržby</w:t>
            </w:r>
            <w:r w:rsidRPr="004A0F58">
              <w:rPr>
                <w:color w:val="0D0D0D" w:themeColor="text1" w:themeTint="F2"/>
                <w:sz w:val="14"/>
                <w:szCs w:val="14"/>
              </w:rPr>
              <w:t xml:space="preserve"> </w:t>
            </w:r>
            <w:r>
              <w:rPr>
                <w:color w:val="0D0D0D" w:themeColor="text1" w:themeTint="F2"/>
                <w:sz w:val="14"/>
                <w:szCs w:val="14"/>
              </w:rPr>
              <w:t xml:space="preserve">jsou uvedeny </w:t>
            </w:r>
            <w:r>
              <w:rPr>
                <w:color w:val="0D0D0D" w:themeColor="text1" w:themeTint="F2"/>
                <w:spacing w:val="-2"/>
                <w:sz w:val="14"/>
                <w:szCs w:val="14"/>
              </w:rPr>
              <w:t>v reálném vyjádření a očištěny</w:t>
            </w:r>
            <w:r w:rsidRPr="004A0F58">
              <w:rPr>
                <w:color w:val="0D0D0D" w:themeColor="text1" w:themeTint="F2"/>
                <w:sz w:val="14"/>
                <w:szCs w:val="14"/>
              </w:rPr>
              <w:t> </w:t>
            </w:r>
            <w:r>
              <w:rPr>
                <w:color w:val="0D0D0D" w:themeColor="text1" w:themeTint="F2"/>
                <w:sz w:val="14"/>
                <w:szCs w:val="14"/>
              </w:rPr>
              <w:t xml:space="preserve">o </w:t>
            </w:r>
            <w:r w:rsidRPr="004A0F58">
              <w:rPr>
                <w:color w:val="0D0D0D" w:themeColor="text1" w:themeTint="F2"/>
                <w:sz w:val="14"/>
                <w:szCs w:val="14"/>
              </w:rPr>
              <w:t>kalendářní vlivy</w:t>
            </w:r>
            <w:r>
              <w:rPr>
                <w:color w:val="0D0D0D" w:themeColor="text1" w:themeTint="F2"/>
                <w:sz w:val="14"/>
                <w:szCs w:val="14"/>
              </w:rPr>
              <w:t>. Saldo důvěry podnikatelů je sezónně očištěno.</w:t>
            </w:r>
          </w:p>
          <w:p w14:paraId="74C05274" w14:textId="77777777" w:rsidR="00DD1A46" w:rsidRPr="004A0F58" w:rsidRDefault="00DD1A46" w:rsidP="00E962EE">
            <w:pPr>
              <w:spacing w:after="0" w:line="240" w:lineRule="auto"/>
              <w:rPr>
                <w:rFonts w:cs="Arial"/>
                <w:color w:val="0D0D0D" w:themeColor="text1" w:themeTint="F2"/>
                <w:sz w:val="14"/>
                <w:szCs w:val="14"/>
              </w:rPr>
            </w:pPr>
            <w:r w:rsidRPr="004A0F58">
              <w:rPr>
                <w:rFonts w:cs="Arial"/>
                <w:color w:val="0D0D0D" w:themeColor="text1" w:themeTint="F2"/>
                <w:sz w:val="14"/>
                <w:szCs w:val="14"/>
              </w:rPr>
              <w:t>*</w:t>
            </w:r>
            <w:r>
              <w:rPr>
                <w:rFonts w:cs="Arial"/>
                <w:color w:val="0D0D0D" w:themeColor="text1" w:themeTint="F2"/>
                <w:sz w:val="14"/>
                <w:szCs w:val="14"/>
              </w:rPr>
              <w:t>Tržby ve službách nezahrnují</w:t>
            </w:r>
            <w:r w:rsidRPr="004A0F58">
              <w:rPr>
                <w:rFonts w:cs="Arial"/>
                <w:color w:val="0D0D0D" w:themeColor="text1" w:themeTint="F2"/>
                <w:sz w:val="14"/>
                <w:szCs w:val="14"/>
              </w:rPr>
              <w:t xml:space="preserve"> odvětví obchodu, peněžnictví, pojišťovnictví, vědy, výzkumu a veřejných služeb.</w:t>
            </w:r>
          </w:p>
          <w:p w14:paraId="1128284D" w14:textId="77777777" w:rsidR="00DD1A46" w:rsidRPr="004A0F58" w:rsidRDefault="00DD1A46" w:rsidP="00E962EE">
            <w:pPr>
              <w:spacing w:after="0" w:line="240" w:lineRule="auto"/>
              <w:rPr>
                <w:rFonts w:cs="Arial"/>
                <w:color w:val="0D0D0D" w:themeColor="text1" w:themeTint="F2"/>
                <w:sz w:val="14"/>
                <w:szCs w:val="14"/>
              </w:rPr>
            </w:pPr>
            <w:r w:rsidRPr="004A0F58">
              <w:rPr>
                <w:rFonts w:cs="Arial"/>
                <w:color w:val="0D0D0D" w:themeColor="text1" w:themeTint="F2"/>
                <w:sz w:val="14"/>
                <w:szCs w:val="14"/>
              </w:rPr>
              <w:t>**</w:t>
            </w:r>
            <w:r>
              <w:rPr>
                <w:rFonts w:cs="Arial"/>
                <w:color w:val="0D0D0D" w:themeColor="text1" w:themeTint="F2"/>
                <w:spacing w:val="-2"/>
                <w:sz w:val="14"/>
                <w:szCs w:val="14"/>
              </w:rPr>
              <w:t>Saldo důvěry</w:t>
            </w:r>
            <w:r w:rsidRPr="004A0F58">
              <w:rPr>
                <w:rFonts w:cs="Arial"/>
                <w:color w:val="0D0D0D" w:themeColor="text1" w:themeTint="F2"/>
                <w:spacing w:val="-2"/>
                <w:sz w:val="14"/>
                <w:szCs w:val="14"/>
              </w:rPr>
              <w:t xml:space="preserve"> </w:t>
            </w:r>
            <w:r>
              <w:rPr>
                <w:rFonts w:cs="Arial"/>
                <w:color w:val="0D0D0D" w:themeColor="text1" w:themeTint="F2"/>
                <w:spacing w:val="-2"/>
                <w:sz w:val="14"/>
                <w:szCs w:val="14"/>
              </w:rPr>
              <w:t xml:space="preserve">podnikatelů </w:t>
            </w:r>
            <w:r>
              <w:rPr>
                <w:rFonts w:cs="Arial"/>
                <w:color w:val="0D0D0D" w:themeColor="text1" w:themeTint="F2"/>
                <w:sz w:val="14"/>
                <w:szCs w:val="14"/>
              </w:rPr>
              <w:t>z</w:t>
            </w:r>
            <w:r w:rsidRPr="004A0F58">
              <w:rPr>
                <w:rFonts w:cs="Arial"/>
                <w:color w:val="0D0D0D" w:themeColor="text1" w:themeTint="F2"/>
                <w:spacing w:val="-2"/>
                <w:sz w:val="14"/>
                <w:szCs w:val="14"/>
              </w:rPr>
              <w:t xml:space="preserve">ahrnuje i finanční sektor </w:t>
            </w:r>
            <w:r>
              <w:rPr>
                <w:rFonts w:cs="Arial"/>
                <w:color w:val="0D0D0D" w:themeColor="text1" w:themeTint="F2"/>
                <w:spacing w:val="-2"/>
                <w:sz w:val="14"/>
                <w:szCs w:val="14"/>
              </w:rPr>
              <w:t xml:space="preserve">a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p>
          <w:p w14:paraId="4C9EC4B3" w14:textId="77777777" w:rsidR="00DD1A46" w:rsidRPr="004A0F58" w:rsidRDefault="00DD1A46" w:rsidP="00E962EE">
            <w:pPr>
              <w:spacing w:after="220" w:line="240" w:lineRule="auto"/>
              <w:rPr>
                <w:rFonts w:cs="Arial"/>
                <w:color w:val="0D0D0D" w:themeColor="text1" w:themeTint="F2"/>
                <w:sz w:val="14"/>
                <w:szCs w:val="14"/>
              </w:rPr>
            </w:pPr>
            <w:r w:rsidRPr="004A0F58">
              <w:rPr>
                <w:rFonts w:cs="Arial"/>
                <w:color w:val="0D0D0D" w:themeColor="text1" w:themeTint="F2"/>
                <w:sz w:val="14"/>
                <w:szCs w:val="14"/>
              </w:rPr>
              <w:t>Zdroj: ČSÚ, Eurostat</w:t>
            </w:r>
          </w:p>
        </w:tc>
      </w:tr>
      <w:tr w:rsidR="00DD1A46" w:rsidRPr="004A0F58" w14:paraId="7BF9EF92" w14:textId="77777777" w:rsidTr="00E962EE">
        <w:trPr>
          <w:trHeight w:val="155"/>
        </w:trPr>
        <w:tc>
          <w:tcPr>
            <w:tcW w:w="1814" w:type="dxa"/>
            <w:tcMar>
              <w:left w:w="0" w:type="dxa"/>
            </w:tcMar>
          </w:tcPr>
          <w:p w14:paraId="77505842" w14:textId="77777777" w:rsidR="00DD1A46" w:rsidRDefault="00DD1A46" w:rsidP="00E962EE">
            <w:pPr>
              <w:pStyle w:val="Marginlie"/>
              <w:rPr>
                <w:color w:val="0D0D0D" w:themeColor="text1" w:themeTint="F2"/>
              </w:rPr>
            </w:pPr>
            <w:r>
              <w:rPr>
                <w:color w:val="0D0D0D" w:themeColor="text1" w:themeTint="F2"/>
              </w:rPr>
              <w:t xml:space="preserve">Maloobchod těžil ze stabilní důvěry domácností v ekonomiku podpořenou svižným růstem mezd. </w:t>
            </w:r>
          </w:p>
        </w:tc>
        <w:tc>
          <w:tcPr>
            <w:tcW w:w="181" w:type="dxa"/>
            <w:tcMar>
              <w:left w:w="0" w:type="dxa"/>
            </w:tcMar>
          </w:tcPr>
          <w:p w14:paraId="6056CCD2" w14:textId="77777777" w:rsidR="00DD1A46" w:rsidRPr="004A0F58" w:rsidRDefault="00DD1A46" w:rsidP="00E962EE">
            <w:pPr>
              <w:pStyle w:val="Textpoznpodarou"/>
              <w:jc w:val="both"/>
              <w:rPr>
                <w:bCs/>
                <w:color w:val="0D0D0D" w:themeColor="text1" w:themeTint="F2"/>
                <w:spacing w:val="-4"/>
              </w:rPr>
            </w:pPr>
          </w:p>
        </w:tc>
        <w:tc>
          <w:tcPr>
            <w:tcW w:w="7711" w:type="dxa"/>
            <w:tcMar>
              <w:left w:w="0" w:type="dxa"/>
            </w:tcMar>
          </w:tcPr>
          <w:p w14:paraId="7CFC73F8" w14:textId="77777777" w:rsidR="00DD1A46" w:rsidRPr="0095025E" w:rsidRDefault="00DD1A46" w:rsidP="00E962EE">
            <w:pPr>
              <w:spacing w:after="200"/>
              <w:rPr>
                <w:rFonts w:cs="Arial"/>
                <w:color w:val="0D0D0D" w:themeColor="text1" w:themeTint="F2"/>
                <w:spacing w:val="-4"/>
                <w:szCs w:val="20"/>
              </w:rPr>
            </w:pPr>
            <w:r w:rsidRPr="0095025E">
              <w:rPr>
                <w:rFonts w:cs="Arial"/>
                <w:color w:val="0D0D0D" w:themeColor="text1" w:themeTint="F2"/>
                <w:spacing w:val="-4"/>
                <w:szCs w:val="20"/>
              </w:rPr>
              <w:t>Maloobchodu se i letos zatím dařilo, neboť těžil z relativně stabilní důvěry domácností v ekonomiku (výrazně neovlivněnou zhoršenou geopolitickou situací) podpořenou příznivým vývojem na trhu práce odrážejícím s</w:t>
            </w:r>
            <w:r w:rsidRPr="0095025E">
              <w:rPr>
                <w:color w:val="0D0D0D" w:themeColor="text1" w:themeTint="F2"/>
                <w:spacing w:val="-4"/>
              </w:rPr>
              <w:t xml:space="preserve">e </w:t>
            </w:r>
            <w:r w:rsidRPr="0095025E">
              <w:rPr>
                <w:rFonts w:cs="Arial"/>
                <w:color w:val="0D0D0D" w:themeColor="text1" w:themeTint="F2"/>
                <w:spacing w:val="-4"/>
                <w:szCs w:val="20"/>
              </w:rPr>
              <w:t xml:space="preserve">ve stabilně rostoucí zaměstnanosti i svižném růstu reálných mezd. Finanční situace domácností se mírně zlepšila i optikou sebehodnotících otázek v rámci pravidelných konjunkturálních šetření, na druhou stranu přetrvávaly jisté obavy </w:t>
            </w:r>
            <w:r w:rsidRPr="00B65AB0">
              <w:rPr>
                <w:rFonts w:cs="Arial"/>
                <w:color w:val="0D0D0D" w:themeColor="text1" w:themeTint="F2"/>
                <w:spacing w:val="-6"/>
                <w:szCs w:val="20"/>
              </w:rPr>
              <w:t>ohledně hospodářského vývoje Česka v nejbližším roce. To se promítlo také do přetrvávajícího</w:t>
            </w:r>
            <w:r w:rsidRPr="0095025E">
              <w:rPr>
                <w:rFonts w:cs="Arial"/>
                <w:color w:val="0D0D0D" w:themeColor="text1" w:themeTint="F2"/>
                <w:spacing w:val="-4"/>
                <w:szCs w:val="20"/>
              </w:rPr>
              <w:t xml:space="preserve"> rezervovanějšího přístupu spotřebitelů směrem k velkým očekávaným nákupům (zejména zboží dlouhodobé povahy a investic). Rovněž pokračoval trend vyššího sklonu domácností </w:t>
            </w:r>
            <w:r w:rsidRPr="00B65AB0">
              <w:rPr>
                <w:rFonts w:cs="Arial"/>
                <w:color w:val="0D0D0D" w:themeColor="text1" w:themeTint="F2"/>
                <w:spacing w:val="-6"/>
                <w:szCs w:val="20"/>
              </w:rPr>
              <w:t xml:space="preserve">k úsporám (nastartovaný na počátku současné dekády). </w:t>
            </w:r>
            <w:proofErr w:type="spellStart"/>
            <w:r w:rsidRPr="00B65AB0">
              <w:rPr>
                <w:rFonts w:cs="Arial"/>
                <w:color w:val="0D0D0D" w:themeColor="text1" w:themeTint="F2"/>
                <w:spacing w:val="-6"/>
                <w:szCs w:val="20"/>
              </w:rPr>
              <w:t>Mezikvartální</w:t>
            </w:r>
            <w:proofErr w:type="spellEnd"/>
            <w:r w:rsidRPr="00B65AB0">
              <w:rPr>
                <w:rFonts w:cs="Arial"/>
                <w:color w:val="0D0D0D" w:themeColor="text1" w:themeTint="F2"/>
                <w:spacing w:val="-6"/>
                <w:szCs w:val="20"/>
              </w:rPr>
              <w:t xml:space="preserve"> tržby v maloobchodu</w:t>
            </w:r>
            <w:r w:rsidRPr="0095025E">
              <w:rPr>
                <w:rStyle w:val="Znakapoznpodarou"/>
                <w:color w:val="0D0D0D" w:themeColor="text1" w:themeTint="F2"/>
                <w:spacing w:val="-4"/>
              </w:rPr>
              <w:footnoteReference w:id="38"/>
            </w:r>
            <w:r w:rsidRPr="0095025E">
              <w:rPr>
                <w:rFonts w:cs="Arial"/>
                <w:color w:val="0D0D0D" w:themeColor="text1" w:themeTint="F2"/>
                <w:spacing w:val="-4"/>
                <w:szCs w:val="20"/>
              </w:rPr>
              <w:t xml:space="preserve"> tak v 1. čtvrtletí zrychlily na 1,7 % (nejvíce za poslední dva roky)</w:t>
            </w:r>
            <w:r>
              <w:rPr>
                <w:rFonts w:cs="Arial"/>
                <w:color w:val="0D0D0D" w:themeColor="text1" w:themeTint="F2"/>
                <w:spacing w:val="-4"/>
                <w:szCs w:val="20"/>
              </w:rPr>
              <w:t>.</w:t>
            </w:r>
          </w:p>
        </w:tc>
      </w:tr>
      <w:tr w:rsidR="00DD1A46" w:rsidRPr="004A0F58" w14:paraId="3F88EC7C" w14:textId="77777777" w:rsidTr="00E962EE">
        <w:trPr>
          <w:trHeight w:val="155"/>
        </w:trPr>
        <w:tc>
          <w:tcPr>
            <w:tcW w:w="1814" w:type="dxa"/>
            <w:tcMar>
              <w:left w:w="0" w:type="dxa"/>
            </w:tcMar>
          </w:tcPr>
          <w:p w14:paraId="3E68A542" w14:textId="77777777" w:rsidR="00DD1A46" w:rsidRDefault="00DD1A46" w:rsidP="00E962EE">
            <w:pPr>
              <w:pStyle w:val="Marginlie"/>
              <w:rPr>
                <w:color w:val="0D0D0D" w:themeColor="text1" w:themeTint="F2"/>
              </w:rPr>
            </w:pPr>
            <w:r>
              <w:rPr>
                <w:color w:val="0D0D0D" w:themeColor="text1" w:themeTint="F2"/>
              </w:rPr>
              <w:t xml:space="preserve">K meziročnímu růstu maloobchodu nadále dominantně přispíval prodej přes internet </w:t>
            </w:r>
            <w:r>
              <w:rPr>
                <w:color w:val="0D0D0D" w:themeColor="text1" w:themeTint="F2"/>
              </w:rPr>
              <w:br/>
              <w:t xml:space="preserve">a zásilkovou službu. </w:t>
            </w:r>
          </w:p>
          <w:p w14:paraId="4F989A22" w14:textId="77777777" w:rsidR="00DD1A46" w:rsidRDefault="00DD1A46" w:rsidP="00E962EE">
            <w:pPr>
              <w:pStyle w:val="Marginlie"/>
              <w:rPr>
                <w:color w:val="0D0D0D" w:themeColor="text1" w:themeTint="F2"/>
              </w:rPr>
            </w:pPr>
          </w:p>
          <w:p w14:paraId="2C5DFD4B" w14:textId="77777777" w:rsidR="00DD1A46" w:rsidRPr="004A0F58" w:rsidRDefault="00DD1A46" w:rsidP="00E962EE">
            <w:pPr>
              <w:pStyle w:val="Marginlie"/>
              <w:rPr>
                <w:color w:val="0D0D0D" w:themeColor="text1" w:themeTint="F2"/>
              </w:rPr>
            </w:pPr>
            <w:r>
              <w:rPr>
                <w:color w:val="0D0D0D" w:themeColor="text1" w:themeTint="F2"/>
              </w:rPr>
              <w:t xml:space="preserve">Se slabší poptávkou se nadále potýkaly specializované prodejny s počítačovým </w:t>
            </w:r>
            <w:r>
              <w:rPr>
                <w:color w:val="0D0D0D" w:themeColor="text1" w:themeTint="F2"/>
              </w:rPr>
              <w:br/>
              <w:t>a komunikačním zařízením.</w:t>
            </w:r>
          </w:p>
        </w:tc>
        <w:tc>
          <w:tcPr>
            <w:tcW w:w="181" w:type="dxa"/>
            <w:tcMar>
              <w:left w:w="0" w:type="dxa"/>
            </w:tcMar>
          </w:tcPr>
          <w:p w14:paraId="2CCAF226" w14:textId="77777777" w:rsidR="00DD1A46" w:rsidRPr="004A0F58" w:rsidRDefault="00DD1A46" w:rsidP="00E962EE">
            <w:pPr>
              <w:pStyle w:val="Textpoznpodarou"/>
              <w:jc w:val="both"/>
              <w:rPr>
                <w:bCs/>
                <w:color w:val="0D0D0D" w:themeColor="text1" w:themeTint="F2"/>
                <w:spacing w:val="-4"/>
              </w:rPr>
            </w:pPr>
          </w:p>
        </w:tc>
        <w:tc>
          <w:tcPr>
            <w:tcW w:w="7711" w:type="dxa"/>
            <w:tcMar>
              <w:left w:w="0" w:type="dxa"/>
            </w:tcMar>
          </w:tcPr>
          <w:p w14:paraId="00B875B9" w14:textId="77777777" w:rsidR="00DD1A46" w:rsidRPr="00B65AB0" w:rsidRDefault="00DD1A46" w:rsidP="00E962EE">
            <w:pPr>
              <w:spacing w:after="200"/>
              <w:rPr>
                <w:rFonts w:cs="Arial"/>
                <w:color w:val="0D0D0D" w:themeColor="text1" w:themeTint="F2"/>
                <w:spacing w:val="-3"/>
                <w:szCs w:val="20"/>
              </w:rPr>
            </w:pPr>
            <w:r w:rsidRPr="00B65AB0">
              <w:rPr>
                <w:rFonts w:cs="Arial"/>
                <w:color w:val="0D0D0D" w:themeColor="text1" w:themeTint="F2"/>
                <w:spacing w:val="-3"/>
                <w:szCs w:val="20"/>
              </w:rPr>
              <w:t>V úhrnu za celé 1. pololetí se maloobchodní tržby meziročně zvýšily o 4,0 % (podobným tempe</w:t>
            </w:r>
            <w:r>
              <w:rPr>
                <w:rFonts w:cs="Arial"/>
                <w:color w:val="0D0D0D" w:themeColor="text1" w:themeTint="F2"/>
                <w:spacing w:val="-3"/>
                <w:szCs w:val="20"/>
              </w:rPr>
              <w:t>m</w:t>
            </w:r>
            <w:r w:rsidRPr="00B65AB0">
              <w:rPr>
                <w:rFonts w:cs="Arial"/>
                <w:color w:val="0D0D0D" w:themeColor="text1" w:themeTint="F2"/>
                <w:spacing w:val="-3"/>
                <w:szCs w:val="20"/>
              </w:rPr>
              <w:t xml:space="preserve"> jako ve stejném období v roce 2024 i 2025). Těžiště jejich růstu spočívalo v</w:t>
            </w:r>
            <w:r w:rsidRPr="00233339">
              <w:rPr>
                <w:color w:val="0D0D0D" w:themeColor="text1" w:themeTint="F2"/>
                <w:spacing w:val="-3"/>
              </w:rPr>
              <w:t> </w:t>
            </w:r>
            <w:r w:rsidRPr="00B65AB0">
              <w:rPr>
                <w:rFonts w:cs="Arial"/>
                <w:color w:val="0D0D0D" w:themeColor="text1" w:themeTint="F2"/>
                <w:spacing w:val="-3"/>
                <w:szCs w:val="20"/>
              </w:rPr>
              <w:t>dynamicky se rozvíjejícím obchod</w:t>
            </w:r>
            <w:r>
              <w:rPr>
                <w:rFonts w:cs="Arial"/>
                <w:color w:val="0D0D0D" w:themeColor="text1" w:themeTint="F2"/>
                <w:spacing w:val="-3"/>
                <w:szCs w:val="20"/>
              </w:rPr>
              <w:t>u</w:t>
            </w:r>
            <w:r w:rsidRPr="00B65AB0">
              <w:rPr>
                <w:rFonts w:cs="Arial"/>
                <w:color w:val="0D0D0D" w:themeColor="text1" w:themeTint="F2"/>
                <w:spacing w:val="-3"/>
                <w:szCs w:val="20"/>
              </w:rPr>
              <w:t xml:space="preserve"> prostřednictvím internetu nebo zásilkové služby, v němž se tržby zvýšily o 14,5 % a k růstu celého maloobchodu přispěly 2,1 p. b. Dlouhodobý svižný růst tohoto segmentu, je</w:t>
            </w:r>
            <w:r>
              <w:rPr>
                <w:rFonts w:cs="Arial"/>
                <w:color w:val="0D0D0D" w:themeColor="text1" w:themeTint="F2"/>
                <w:spacing w:val="-3"/>
                <w:szCs w:val="20"/>
              </w:rPr>
              <w:t>n</w:t>
            </w:r>
            <w:r w:rsidRPr="00B65AB0">
              <w:rPr>
                <w:rFonts w:cs="Arial"/>
                <w:color w:val="0D0D0D" w:themeColor="text1" w:themeTint="F2"/>
                <w:spacing w:val="-3"/>
                <w:szCs w:val="20"/>
              </w:rPr>
              <w:t xml:space="preserve">ž v posledních dvou letech představoval nejdynamičtější segment celého maloobchodu, souvisí s postupnou změnou nákupního chování domácností, technologickým pokrokem, </w:t>
            </w:r>
            <w:r>
              <w:rPr>
                <w:rFonts w:cs="Arial"/>
                <w:color w:val="0D0D0D" w:themeColor="text1" w:themeTint="F2"/>
                <w:spacing w:val="-3"/>
                <w:szCs w:val="20"/>
              </w:rPr>
              <w:t xml:space="preserve">s </w:t>
            </w:r>
            <w:r w:rsidRPr="00B65AB0">
              <w:rPr>
                <w:rFonts w:cs="Arial"/>
                <w:color w:val="0D0D0D" w:themeColor="text1" w:themeTint="F2"/>
                <w:spacing w:val="-3"/>
                <w:szCs w:val="20"/>
              </w:rPr>
              <w:t>inovac</w:t>
            </w:r>
            <w:r>
              <w:rPr>
                <w:rFonts w:cs="Arial"/>
                <w:color w:val="0D0D0D" w:themeColor="text1" w:themeTint="F2"/>
                <w:spacing w:val="-3"/>
                <w:szCs w:val="20"/>
              </w:rPr>
              <w:t>emi</w:t>
            </w:r>
            <w:r w:rsidRPr="00B65AB0">
              <w:rPr>
                <w:rFonts w:cs="Arial"/>
                <w:color w:val="0D0D0D" w:themeColor="text1" w:themeTint="F2"/>
                <w:spacing w:val="-3"/>
                <w:szCs w:val="20"/>
              </w:rPr>
              <w:t xml:space="preserve"> v marketingu i logistice a také </w:t>
            </w:r>
            <w:r>
              <w:rPr>
                <w:rFonts w:cs="Arial"/>
                <w:color w:val="0D0D0D" w:themeColor="text1" w:themeTint="F2"/>
                <w:spacing w:val="-3"/>
                <w:szCs w:val="20"/>
              </w:rPr>
              <w:t xml:space="preserve">s </w:t>
            </w:r>
            <w:r w:rsidRPr="00B65AB0">
              <w:rPr>
                <w:rFonts w:cs="Arial"/>
                <w:color w:val="0D0D0D" w:themeColor="text1" w:themeTint="F2"/>
                <w:spacing w:val="-3"/>
                <w:szCs w:val="20"/>
              </w:rPr>
              <w:t>globálním dosah</w:t>
            </w:r>
            <w:r>
              <w:rPr>
                <w:rFonts w:cs="Arial"/>
                <w:color w:val="0D0D0D" w:themeColor="text1" w:themeTint="F2"/>
                <w:spacing w:val="-3"/>
                <w:szCs w:val="20"/>
              </w:rPr>
              <w:t>em</w:t>
            </w:r>
            <w:r w:rsidRPr="00B65AB0">
              <w:rPr>
                <w:rFonts w:cs="Arial"/>
                <w:color w:val="0D0D0D" w:themeColor="text1" w:themeTint="F2"/>
                <w:spacing w:val="-3"/>
                <w:szCs w:val="20"/>
              </w:rPr>
              <w:t xml:space="preserve"> řad</w:t>
            </w:r>
            <w:r>
              <w:rPr>
                <w:rFonts w:cs="Arial"/>
                <w:color w:val="0D0D0D" w:themeColor="text1" w:themeTint="F2"/>
                <w:spacing w:val="-3"/>
                <w:szCs w:val="20"/>
              </w:rPr>
              <w:t>y</w:t>
            </w:r>
            <w:r w:rsidRPr="00B65AB0">
              <w:rPr>
                <w:rFonts w:cs="Arial"/>
                <w:color w:val="0D0D0D" w:themeColor="text1" w:themeTint="F2"/>
                <w:spacing w:val="-3"/>
                <w:szCs w:val="20"/>
              </w:rPr>
              <w:t xml:space="preserve"> významných prodejců v Česku. Slabším, ovšem stabilním </w:t>
            </w:r>
            <w:r w:rsidRPr="00B65AB0">
              <w:rPr>
                <w:rFonts w:cs="Arial"/>
                <w:color w:val="0D0D0D" w:themeColor="text1" w:themeTint="F2"/>
                <w:spacing w:val="-3"/>
                <w:szCs w:val="20"/>
              </w:rPr>
              <w:lastRenderedPageBreak/>
              <w:t>tempem pokračoval růst většiny specializovaných prodejen s nepotravinářským zbožím</w:t>
            </w:r>
            <w:r w:rsidRPr="00B65AB0">
              <w:rPr>
                <w:rStyle w:val="Znakapoznpodarou"/>
                <w:color w:val="0D0D0D" w:themeColor="text1" w:themeTint="F2"/>
                <w:spacing w:val="-3"/>
                <w:szCs w:val="20"/>
              </w:rPr>
              <w:footnoteReference w:id="39"/>
            </w:r>
            <w:r w:rsidRPr="00B65AB0">
              <w:rPr>
                <w:rFonts w:cs="Arial"/>
                <w:color w:val="0D0D0D" w:themeColor="text1" w:themeTint="F2"/>
                <w:spacing w:val="-3"/>
                <w:szCs w:val="20"/>
              </w:rPr>
              <w:t xml:space="preserve">. Dařilo se </w:t>
            </w:r>
            <w:r>
              <w:rPr>
                <w:rFonts w:cs="Arial"/>
                <w:color w:val="0D0D0D" w:themeColor="text1" w:themeTint="F2"/>
                <w:spacing w:val="-3"/>
                <w:szCs w:val="20"/>
              </w:rPr>
              <w:t>především</w:t>
            </w:r>
            <w:r w:rsidRPr="00FF0A04">
              <w:rPr>
                <w:rFonts w:cs="Arial"/>
                <w:color w:val="0D0D0D" w:themeColor="text1" w:themeTint="F2"/>
                <w:spacing w:val="-6"/>
                <w:szCs w:val="20"/>
              </w:rPr>
              <w:t xml:space="preserve"> prodeji kosmetických a toaletních výrobků (+8,3 %), farmaceutickému a</w:t>
            </w:r>
            <w:r w:rsidRPr="00FF0A04">
              <w:rPr>
                <w:color w:val="0D0D0D" w:themeColor="text1" w:themeTint="F2"/>
                <w:spacing w:val="-6"/>
              </w:rPr>
              <w:t> </w:t>
            </w:r>
            <w:r w:rsidRPr="00FF0A04">
              <w:rPr>
                <w:rFonts w:cs="Arial"/>
                <w:color w:val="0D0D0D" w:themeColor="text1" w:themeTint="F2"/>
                <w:spacing w:val="-6"/>
                <w:szCs w:val="20"/>
              </w:rPr>
              <w:t>zdravotnickému</w:t>
            </w:r>
            <w:r w:rsidRPr="00B65AB0">
              <w:rPr>
                <w:rFonts w:cs="Arial"/>
                <w:color w:val="0D0D0D" w:themeColor="text1" w:themeTint="F2"/>
                <w:spacing w:val="-3"/>
                <w:szCs w:val="20"/>
              </w:rPr>
              <w:t xml:space="preserve"> zboží (+5,6 %) a též výrobkům pro kulturu a rekreaci</w:t>
            </w:r>
            <w:r w:rsidRPr="00B65AB0">
              <w:rPr>
                <w:rStyle w:val="Znakapoznpodarou"/>
                <w:color w:val="0D0D0D" w:themeColor="text1" w:themeTint="F2"/>
                <w:spacing w:val="-3"/>
                <w:szCs w:val="20"/>
              </w:rPr>
              <w:footnoteReference w:id="40"/>
            </w:r>
            <w:r w:rsidRPr="00B65AB0">
              <w:rPr>
                <w:rFonts w:cs="Arial"/>
                <w:color w:val="0D0D0D" w:themeColor="text1" w:themeTint="F2"/>
                <w:spacing w:val="-3"/>
                <w:szCs w:val="20"/>
              </w:rPr>
              <w:t xml:space="preserve"> (+3,1 %). Poptávka po oděvech, obuvi a koženém zboží ožila, </w:t>
            </w:r>
            <w:r>
              <w:rPr>
                <w:rFonts w:cs="Arial"/>
                <w:color w:val="0D0D0D" w:themeColor="text1" w:themeTint="F2"/>
                <w:spacing w:val="-3"/>
                <w:szCs w:val="20"/>
              </w:rPr>
              <w:t xml:space="preserve">a to </w:t>
            </w:r>
            <w:r w:rsidRPr="00B65AB0">
              <w:rPr>
                <w:rFonts w:cs="Arial"/>
                <w:color w:val="0D0D0D" w:themeColor="text1" w:themeTint="F2"/>
                <w:spacing w:val="-3"/>
                <w:szCs w:val="20"/>
              </w:rPr>
              <w:t>především zásluhou vývoje ve 2. čtvrtletí 2026. Naopak pouze mírně posílily tržby za výrobky převážně pro domácnost</w:t>
            </w:r>
            <w:r w:rsidRPr="00B65AB0">
              <w:rPr>
                <w:rStyle w:val="Znakapoznpodarou"/>
                <w:color w:val="0D0D0D" w:themeColor="text1" w:themeTint="F2"/>
                <w:spacing w:val="-3"/>
                <w:szCs w:val="20"/>
              </w:rPr>
              <w:footnoteReference w:id="41"/>
            </w:r>
            <w:r w:rsidRPr="00B65AB0">
              <w:rPr>
                <w:rFonts w:cs="Arial"/>
                <w:color w:val="0D0D0D" w:themeColor="text1" w:themeTint="F2"/>
                <w:spacing w:val="-3"/>
                <w:szCs w:val="20"/>
              </w:rPr>
              <w:t xml:space="preserve"> (+0,9 %), </w:t>
            </w:r>
            <w:r>
              <w:rPr>
                <w:rFonts w:cs="Arial"/>
                <w:color w:val="0D0D0D" w:themeColor="text1" w:themeTint="F2"/>
                <w:spacing w:val="-3"/>
                <w:szCs w:val="20"/>
              </w:rPr>
              <w:br/>
            </w:r>
            <w:r w:rsidRPr="00B65AB0">
              <w:rPr>
                <w:rFonts w:cs="Arial"/>
                <w:color w:val="0D0D0D" w:themeColor="text1" w:themeTint="F2"/>
                <w:spacing w:val="-3"/>
                <w:szCs w:val="20"/>
              </w:rPr>
              <w:t xml:space="preserve">i to </w:t>
            </w:r>
            <w:r>
              <w:rPr>
                <w:rFonts w:cs="Arial"/>
                <w:color w:val="0D0D0D" w:themeColor="text1" w:themeTint="F2"/>
                <w:spacing w:val="-3"/>
                <w:szCs w:val="20"/>
              </w:rPr>
              <w:t>ovšem</w:t>
            </w:r>
            <w:r w:rsidRPr="00B65AB0">
              <w:rPr>
                <w:rFonts w:cs="Arial"/>
                <w:color w:val="0D0D0D" w:themeColor="text1" w:themeTint="F2"/>
                <w:spacing w:val="-3"/>
                <w:szCs w:val="20"/>
              </w:rPr>
              <w:t xml:space="preserve"> znamenalo nejlepší </w:t>
            </w:r>
            <w:r w:rsidRPr="00ED3EFC">
              <w:rPr>
                <w:rFonts w:cs="Arial"/>
                <w:color w:val="0D0D0D" w:themeColor="text1" w:themeTint="F2"/>
                <w:spacing w:val="-4"/>
                <w:szCs w:val="20"/>
              </w:rPr>
              <w:t xml:space="preserve">výsledek </w:t>
            </w:r>
            <w:r>
              <w:rPr>
                <w:rFonts w:cs="Arial"/>
                <w:color w:val="0D0D0D" w:themeColor="text1" w:themeTint="F2"/>
                <w:spacing w:val="-4"/>
                <w:szCs w:val="20"/>
              </w:rPr>
              <w:t>po</w:t>
            </w:r>
            <w:r w:rsidRPr="00ED3EFC">
              <w:rPr>
                <w:rFonts w:cs="Arial"/>
                <w:color w:val="0D0D0D" w:themeColor="text1" w:themeTint="F2"/>
                <w:spacing w:val="-4"/>
                <w:szCs w:val="20"/>
              </w:rPr>
              <w:t xml:space="preserve"> 1. pololetí 2022.  Sestupnou tendenc</w:t>
            </w:r>
            <w:r>
              <w:rPr>
                <w:rFonts w:cs="Arial"/>
                <w:color w:val="0D0D0D" w:themeColor="text1" w:themeTint="F2"/>
                <w:spacing w:val="-4"/>
                <w:szCs w:val="20"/>
              </w:rPr>
              <w:t>i</w:t>
            </w:r>
            <w:r w:rsidRPr="00ED3EFC">
              <w:rPr>
                <w:rFonts w:cs="Arial"/>
                <w:color w:val="0D0D0D" w:themeColor="text1" w:themeTint="F2"/>
                <w:spacing w:val="-4"/>
                <w:szCs w:val="20"/>
              </w:rPr>
              <w:t xml:space="preserve"> mají v období po ústupu pandemie covid</w:t>
            </w:r>
            <w:r>
              <w:rPr>
                <w:rFonts w:cs="Arial"/>
                <w:color w:val="0D0D0D" w:themeColor="text1" w:themeTint="F2"/>
                <w:spacing w:val="-4"/>
                <w:szCs w:val="20"/>
              </w:rPr>
              <w:t>u</w:t>
            </w:r>
            <w:r w:rsidRPr="00ED3EFC">
              <w:rPr>
                <w:rFonts w:cs="Arial"/>
                <w:color w:val="0D0D0D" w:themeColor="text1" w:themeTint="F2"/>
                <w:spacing w:val="-4"/>
                <w:szCs w:val="20"/>
              </w:rPr>
              <w:t>-19 také tržby ve spíše okrajovém segmentu prodejen s počítačovým a komunikačním</w:t>
            </w:r>
            <w:r w:rsidRPr="00B65AB0">
              <w:rPr>
                <w:rFonts w:cs="Arial"/>
                <w:color w:val="0D0D0D" w:themeColor="text1" w:themeTint="F2"/>
                <w:szCs w:val="20"/>
              </w:rPr>
              <w:t xml:space="preserve"> zařízením, což potvrdil i letošní výsledek</w:t>
            </w:r>
            <w:r w:rsidRPr="00B65AB0">
              <w:rPr>
                <w:rFonts w:cs="Arial"/>
                <w:color w:val="0D0D0D" w:themeColor="text1" w:themeTint="F2"/>
                <w:spacing w:val="-4"/>
                <w:szCs w:val="20"/>
              </w:rPr>
              <w:t xml:space="preserve"> (</w:t>
            </w:r>
            <w:r w:rsidRPr="00B65AB0">
              <w:rPr>
                <w:rFonts w:cs="Arial"/>
                <w:color w:val="0D0D0D" w:themeColor="text1" w:themeTint="F2"/>
                <w:spacing w:val="-4"/>
              </w:rPr>
              <w:t>–</w:t>
            </w:r>
            <w:r w:rsidRPr="00B65AB0">
              <w:rPr>
                <w:rFonts w:cs="Arial"/>
                <w:color w:val="0D0D0D" w:themeColor="text1" w:themeTint="F2"/>
                <w:spacing w:val="-4"/>
                <w:szCs w:val="20"/>
              </w:rPr>
              <w:t>0,</w:t>
            </w:r>
            <w:r>
              <w:rPr>
                <w:rFonts w:cs="Arial"/>
                <w:color w:val="0D0D0D" w:themeColor="text1" w:themeTint="F2"/>
                <w:spacing w:val="-4"/>
                <w:szCs w:val="20"/>
              </w:rPr>
              <w:t>8</w:t>
            </w:r>
            <w:r w:rsidRPr="00B65AB0">
              <w:rPr>
                <w:rFonts w:cs="Arial"/>
                <w:color w:val="0D0D0D" w:themeColor="text1" w:themeTint="F2"/>
                <w:spacing w:val="-4"/>
                <w:szCs w:val="20"/>
              </w:rPr>
              <w:t xml:space="preserve"> %)</w:t>
            </w:r>
            <w:r>
              <w:rPr>
                <w:rStyle w:val="Znakapoznpodarou"/>
                <w:color w:val="0D0D0D" w:themeColor="text1" w:themeTint="F2"/>
                <w:spacing w:val="-4"/>
                <w:szCs w:val="20"/>
              </w:rPr>
              <w:footnoteReference w:id="42"/>
            </w:r>
            <w:r>
              <w:rPr>
                <w:rFonts w:cs="Arial"/>
                <w:color w:val="0D0D0D" w:themeColor="text1" w:themeTint="F2"/>
                <w:spacing w:val="-4"/>
                <w:szCs w:val="20"/>
              </w:rPr>
              <w:t xml:space="preserve">. </w:t>
            </w:r>
          </w:p>
        </w:tc>
      </w:tr>
      <w:tr w:rsidR="00DD1A46" w:rsidRPr="004A0F58" w14:paraId="0A27ADF1" w14:textId="77777777" w:rsidTr="00E962EE">
        <w:trPr>
          <w:trHeight w:val="155"/>
        </w:trPr>
        <w:tc>
          <w:tcPr>
            <w:tcW w:w="1814" w:type="dxa"/>
            <w:tcMar>
              <w:left w:w="0" w:type="dxa"/>
            </w:tcMar>
          </w:tcPr>
          <w:p w14:paraId="02E52652" w14:textId="77777777" w:rsidR="00DD1A46" w:rsidRPr="004A0F58" w:rsidRDefault="00DD1A46" w:rsidP="00E962EE">
            <w:pPr>
              <w:pStyle w:val="Marginlie"/>
              <w:rPr>
                <w:color w:val="0D0D0D" w:themeColor="text1" w:themeTint="F2"/>
                <w:spacing w:val="-4"/>
              </w:rPr>
            </w:pPr>
          </w:p>
        </w:tc>
        <w:tc>
          <w:tcPr>
            <w:tcW w:w="181" w:type="dxa"/>
            <w:tcMar>
              <w:left w:w="0" w:type="dxa"/>
            </w:tcMar>
          </w:tcPr>
          <w:p w14:paraId="2BFBCB7E" w14:textId="77777777" w:rsidR="00DD1A46" w:rsidRPr="004A0F58" w:rsidRDefault="00DD1A46" w:rsidP="00E962EE">
            <w:pPr>
              <w:pStyle w:val="Textpoznpodarou"/>
              <w:jc w:val="both"/>
              <w:rPr>
                <w:color w:val="0D0D0D" w:themeColor="text1" w:themeTint="F2"/>
                <w:spacing w:val="-4"/>
              </w:rPr>
            </w:pPr>
          </w:p>
        </w:tc>
        <w:tc>
          <w:tcPr>
            <w:tcW w:w="7711" w:type="dxa"/>
            <w:tcMar>
              <w:left w:w="0" w:type="dxa"/>
            </w:tcMar>
          </w:tcPr>
          <w:p w14:paraId="75BA60FD" w14:textId="77777777" w:rsidR="00DD1A46" w:rsidRPr="004A0F58" w:rsidRDefault="00DD1A46" w:rsidP="00E962EE">
            <w:pPr>
              <w:spacing w:after="0"/>
              <w:rPr>
                <w:rFonts w:cs="Arial"/>
                <w:color w:val="0D0D0D" w:themeColor="text1" w:themeTint="F2"/>
                <w:spacing w:val="-4"/>
                <w:szCs w:val="20"/>
              </w:rPr>
            </w:pPr>
            <w:r w:rsidRPr="001B073E">
              <w:rPr>
                <w:b/>
                <w:color w:val="0D0D0D" w:themeColor="text1" w:themeTint="F2"/>
                <w:spacing w:val="-2"/>
              </w:rPr>
              <w:t>Graf č. </w:t>
            </w:r>
            <w:r>
              <w:rPr>
                <w:b/>
                <w:color w:val="0D0D0D" w:themeColor="text1" w:themeTint="F2"/>
                <w:spacing w:val="-2"/>
              </w:rPr>
              <w:t>9</w:t>
            </w:r>
            <w:r w:rsidRPr="001B073E">
              <w:rPr>
                <w:b/>
                <w:color w:val="0D0D0D" w:themeColor="text1" w:themeTint="F2"/>
                <w:spacing w:val="-2"/>
              </w:rPr>
              <w:t xml:space="preserve"> </w:t>
            </w:r>
            <w:r w:rsidRPr="001B073E">
              <w:rPr>
                <w:rFonts w:cs="Arial"/>
                <w:b/>
                <w:bCs/>
                <w:color w:val="000000"/>
                <w:spacing w:val="-2"/>
                <w:szCs w:val="20"/>
              </w:rPr>
              <w:t>Rozklad meziroční změny</w:t>
            </w:r>
            <w:r w:rsidRPr="001B073E">
              <w:rPr>
                <w:b/>
                <w:bCs/>
                <w:color w:val="0D0D0D" w:themeColor="text1" w:themeTint="F2"/>
                <w:spacing w:val="-2"/>
              </w:rPr>
              <w:t xml:space="preserve"> tržeb v maloobchodu </w:t>
            </w:r>
            <w:r w:rsidRPr="001B073E">
              <w:rPr>
                <w:color w:val="0D0D0D" w:themeColor="text1" w:themeTint="F2"/>
                <w:spacing w:val="-2"/>
              </w:rPr>
              <w:t>(</w:t>
            </w:r>
            <w:r w:rsidRPr="001B073E">
              <w:rPr>
                <w:rFonts w:cs="Arial"/>
                <w:bCs/>
                <w:color w:val="000000"/>
                <w:spacing w:val="-2"/>
                <w:szCs w:val="20"/>
              </w:rPr>
              <w:t>příspěvky k růstu, v p. b.)</w:t>
            </w:r>
            <w:r w:rsidRPr="001B073E">
              <w:rPr>
                <w:color w:val="0D0D0D" w:themeColor="text1" w:themeTint="F2"/>
                <w:spacing w:val="-2"/>
              </w:rPr>
              <w:t>,</w:t>
            </w:r>
            <w:r w:rsidRPr="00295544">
              <w:rPr>
                <w:b/>
                <w:color w:val="0D0D0D" w:themeColor="text1" w:themeTint="F2"/>
                <w:spacing w:val="2"/>
              </w:rPr>
              <w:t xml:space="preserve"> </w:t>
            </w:r>
            <w:r>
              <w:rPr>
                <w:b/>
                <w:color w:val="0D0D0D" w:themeColor="text1" w:themeTint="F2"/>
                <w:spacing w:val="2"/>
              </w:rPr>
              <w:t>s</w:t>
            </w:r>
            <w:r w:rsidRPr="004A0F58">
              <w:rPr>
                <w:rFonts w:cs="Arial"/>
                <w:b/>
                <w:bCs/>
                <w:color w:val="0D0D0D" w:themeColor="text1" w:themeTint="F2"/>
                <w:spacing w:val="-2"/>
              </w:rPr>
              <w:t xml:space="preserve">aldo důvěry spotřebitelů i obchodníků </w:t>
            </w:r>
            <w:r w:rsidRPr="004A0F58">
              <w:rPr>
                <w:rFonts w:cs="Arial"/>
                <w:color w:val="0D0D0D" w:themeColor="text1" w:themeTint="F2"/>
                <w:spacing w:val="-2"/>
              </w:rPr>
              <w:t>(v p. b.)</w:t>
            </w:r>
          </w:p>
        </w:tc>
      </w:tr>
      <w:tr w:rsidR="00DD1A46" w:rsidRPr="004A0F58" w14:paraId="3E51F8D6" w14:textId="77777777" w:rsidTr="00E962EE">
        <w:tblPrEx>
          <w:tblCellMar>
            <w:left w:w="70" w:type="dxa"/>
            <w:right w:w="70" w:type="dxa"/>
          </w:tblCellMar>
        </w:tblPrEx>
        <w:trPr>
          <w:trHeight w:val="155"/>
        </w:trPr>
        <w:tc>
          <w:tcPr>
            <w:tcW w:w="1814" w:type="dxa"/>
          </w:tcPr>
          <w:p w14:paraId="2F48BCE9" w14:textId="77777777" w:rsidR="00DD1A46" w:rsidRPr="004A0F58" w:rsidRDefault="00DD1A46" w:rsidP="00E962EE">
            <w:pPr>
              <w:pStyle w:val="Marginlie"/>
              <w:rPr>
                <w:color w:val="0D0D0D" w:themeColor="text1" w:themeTint="F2"/>
              </w:rPr>
            </w:pPr>
          </w:p>
        </w:tc>
        <w:tc>
          <w:tcPr>
            <w:tcW w:w="181" w:type="dxa"/>
          </w:tcPr>
          <w:p w14:paraId="1483FFA1" w14:textId="77777777" w:rsidR="00DD1A46" w:rsidRPr="004A0F58" w:rsidRDefault="00DD1A46" w:rsidP="00E962EE">
            <w:pPr>
              <w:pStyle w:val="Textpoznpodarou"/>
              <w:jc w:val="both"/>
              <w:rPr>
                <w:color w:val="0D0D0D" w:themeColor="text1" w:themeTint="F2"/>
                <w:spacing w:val="-4"/>
              </w:rPr>
            </w:pPr>
          </w:p>
        </w:tc>
        <w:tc>
          <w:tcPr>
            <w:tcW w:w="7711" w:type="dxa"/>
          </w:tcPr>
          <w:p w14:paraId="26F273D2" w14:textId="77777777" w:rsidR="00DD1A46" w:rsidRPr="004A0F58" w:rsidRDefault="00DD1A46" w:rsidP="00E962EE">
            <w:pPr>
              <w:spacing w:before="20" w:after="20"/>
              <w:rPr>
                <w:rFonts w:cs="Arial"/>
                <w:color w:val="0D0D0D" w:themeColor="text1" w:themeTint="F2"/>
                <w:spacing w:val="-2"/>
                <w:szCs w:val="20"/>
              </w:rPr>
            </w:pPr>
            <w:r>
              <w:rPr>
                <w:noProof/>
              </w:rPr>
              <w:drawing>
                <wp:inline distT="0" distB="0" distL="0" distR="0" wp14:anchorId="4D16C39B" wp14:editId="7D5AE347">
                  <wp:extent cx="4737600" cy="3553200"/>
                  <wp:effectExtent l="0" t="0" r="6350" b="0"/>
                  <wp:docPr id="938304475" name="Graf 1">
                    <a:extLst xmlns:a="http://schemas.openxmlformats.org/drawingml/2006/main">
                      <a:ext uri="{FF2B5EF4-FFF2-40B4-BE49-F238E27FC236}">
                        <a16:creationId xmlns:a16="http://schemas.microsoft.com/office/drawing/2014/main" id="{6AB129D2-6E6D-4B43-A66E-5E62FE5EA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DD1A46" w:rsidRPr="004A0F58" w14:paraId="1877C9E6" w14:textId="77777777" w:rsidTr="00E962EE">
        <w:trPr>
          <w:trHeight w:val="155"/>
        </w:trPr>
        <w:tc>
          <w:tcPr>
            <w:tcW w:w="1814" w:type="dxa"/>
            <w:tcMar>
              <w:left w:w="0" w:type="dxa"/>
            </w:tcMar>
          </w:tcPr>
          <w:p w14:paraId="69C3F066" w14:textId="77777777" w:rsidR="00DD1A46" w:rsidRPr="004A0F58" w:rsidRDefault="00DD1A46" w:rsidP="00E962EE">
            <w:pPr>
              <w:pStyle w:val="Marginlie"/>
              <w:rPr>
                <w:color w:val="0D0D0D" w:themeColor="text1" w:themeTint="F2"/>
              </w:rPr>
            </w:pPr>
          </w:p>
        </w:tc>
        <w:tc>
          <w:tcPr>
            <w:tcW w:w="181" w:type="dxa"/>
            <w:tcMar>
              <w:left w:w="0" w:type="dxa"/>
            </w:tcMar>
          </w:tcPr>
          <w:p w14:paraId="1CEA5DE9" w14:textId="77777777" w:rsidR="00DD1A46" w:rsidRPr="00596B52" w:rsidRDefault="00DD1A46" w:rsidP="00E962EE">
            <w:pPr>
              <w:pStyle w:val="Textpoznpodarou"/>
              <w:jc w:val="both"/>
              <w:rPr>
                <w:color w:val="0D0D0D" w:themeColor="text1" w:themeTint="F2"/>
                <w:spacing w:val="-4"/>
                <w:sz w:val="16"/>
                <w:szCs w:val="16"/>
              </w:rPr>
            </w:pPr>
          </w:p>
        </w:tc>
        <w:tc>
          <w:tcPr>
            <w:tcW w:w="7711" w:type="dxa"/>
            <w:tcMar>
              <w:left w:w="0" w:type="dxa"/>
            </w:tcMar>
          </w:tcPr>
          <w:p w14:paraId="662179DA" w14:textId="77777777" w:rsidR="00DD1A46" w:rsidRPr="00596B52" w:rsidRDefault="00DD1A46" w:rsidP="00E962EE">
            <w:pPr>
              <w:spacing w:after="0" w:line="240" w:lineRule="auto"/>
              <w:rPr>
                <w:rFonts w:cs="Arial"/>
                <w:color w:val="0D0D0D" w:themeColor="text1" w:themeTint="F2"/>
                <w:spacing w:val="-4"/>
                <w:sz w:val="14"/>
                <w:szCs w:val="14"/>
              </w:rPr>
            </w:pPr>
            <w:r w:rsidRPr="00596B52">
              <w:rPr>
                <w:rFonts w:cs="Arial"/>
                <w:color w:val="0D0D0D" w:themeColor="text1" w:themeTint="F2"/>
                <w:sz w:val="14"/>
                <w:szCs w:val="14"/>
              </w:rPr>
              <w:t>Poznámka: Tržby jsou uvedeny v reálném vyjádření a očištěny </w:t>
            </w:r>
            <w:r>
              <w:rPr>
                <w:rFonts w:cs="Arial"/>
                <w:color w:val="0D0D0D" w:themeColor="text1" w:themeTint="F2"/>
                <w:sz w:val="14"/>
                <w:szCs w:val="14"/>
              </w:rPr>
              <w:t xml:space="preserve">o </w:t>
            </w:r>
            <w:r w:rsidRPr="00596B52">
              <w:rPr>
                <w:rFonts w:cs="Arial"/>
                <w:color w:val="0D0D0D" w:themeColor="text1" w:themeTint="F2"/>
                <w:sz w:val="14"/>
                <w:szCs w:val="14"/>
              </w:rPr>
              <w:t>kalendářní vlivy. Salda důvěry jsou sezónně očištěna a vyjadřují měsíční průměr za celý kvartál, u posledního období potom průměr za první dva měsíce.</w:t>
            </w:r>
          </w:p>
          <w:p w14:paraId="2D4C819B" w14:textId="77777777" w:rsidR="00DD1A46" w:rsidRDefault="00DD1A46" w:rsidP="00E962EE">
            <w:pPr>
              <w:spacing w:after="0" w:line="240" w:lineRule="auto"/>
              <w:rPr>
                <w:rFonts w:cs="Arial"/>
                <w:color w:val="0D0D0D" w:themeColor="text1" w:themeTint="F2"/>
                <w:spacing w:val="-4"/>
                <w:sz w:val="14"/>
                <w:szCs w:val="14"/>
              </w:rPr>
            </w:pPr>
            <w:r w:rsidRPr="00596B52">
              <w:rPr>
                <w:rFonts w:cs="Arial"/>
                <w:color w:val="0D0D0D" w:themeColor="text1" w:themeTint="F2"/>
                <w:spacing w:val="-4"/>
                <w:sz w:val="14"/>
                <w:szCs w:val="14"/>
              </w:rPr>
              <w:t>Zdroj: ČSÚ</w:t>
            </w:r>
          </w:p>
          <w:p w14:paraId="6B14CFE1" w14:textId="77777777" w:rsidR="00DD1A46" w:rsidRPr="00DA2AEE" w:rsidRDefault="00DD1A46" w:rsidP="00E962EE">
            <w:pPr>
              <w:spacing w:after="0" w:line="240" w:lineRule="auto"/>
              <w:rPr>
                <w:rFonts w:cs="Arial"/>
                <w:color w:val="0D0D0D" w:themeColor="text1" w:themeTint="F2"/>
                <w:szCs w:val="20"/>
              </w:rPr>
            </w:pPr>
          </w:p>
        </w:tc>
      </w:tr>
      <w:tr w:rsidR="00DD1A46" w:rsidRPr="004A0F58" w14:paraId="4030B000" w14:textId="77777777" w:rsidTr="00E962EE">
        <w:trPr>
          <w:trHeight w:val="155"/>
        </w:trPr>
        <w:tc>
          <w:tcPr>
            <w:tcW w:w="1814" w:type="dxa"/>
            <w:tcMar>
              <w:left w:w="0" w:type="dxa"/>
            </w:tcMar>
          </w:tcPr>
          <w:p w14:paraId="46894A68" w14:textId="77777777" w:rsidR="00DD1A46" w:rsidRPr="00DC2D30" w:rsidRDefault="00DD1A46" w:rsidP="00E962EE">
            <w:pPr>
              <w:pStyle w:val="Marginlie"/>
              <w:rPr>
                <w:color w:val="0D0D0D" w:themeColor="text1" w:themeTint="F2"/>
              </w:rPr>
            </w:pPr>
            <w:r w:rsidRPr="00DC2D30">
              <w:rPr>
                <w:color w:val="0D0D0D" w:themeColor="text1" w:themeTint="F2"/>
              </w:rPr>
              <w:t>Růst tržeb za prodej potravin mírně zrychlil, týkal se však převážně jen velkých řetězců.</w:t>
            </w:r>
          </w:p>
          <w:p w14:paraId="1BF8470F" w14:textId="77777777" w:rsidR="00DD1A46" w:rsidRPr="00DC2D30" w:rsidRDefault="00DD1A46" w:rsidP="00E962EE">
            <w:pPr>
              <w:pStyle w:val="Marginlie"/>
              <w:rPr>
                <w:color w:val="0D0D0D" w:themeColor="text1" w:themeTint="F2"/>
              </w:rPr>
            </w:pPr>
          </w:p>
          <w:p w14:paraId="1ECAC4AC" w14:textId="77777777" w:rsidR="00DD1A46" w:rsidRPr="00DC2D30" w:rsidRDefault="00DD1A46" w:rsidP="00E962EE">
            <w:pPr>
              <w:pStyle w:val="Marginlie"/>
              <w:rPr>
                <w:color w:val="0D0D0D" w:themeColor="text1" w:themeTint="F2"/>
              </w:rPr>
            </w:pPr>
          </w:p>
          <w:p w14:paraId="63E7B321" w14:textId="77777777" w:rsidR="00DD1A46" w:rsidRPr="00DC2D30" w:rsidRDefault="00DD1A46" w:rsidP="00E962EE">
            <w:pPr>
              <w:pStyle w:val="Marginlie"/>
              <w:rPr>
                <w:color w:val="0D0D0D" w:themeColor="text1" w:themeTint="F2"/>
              </w:rPr>
            </w:pPr>
          </w:p>
          <w:p w14:paraId="4ACFDF1D" w14:textId="77777777" w:rsidR="00DD1A46" w:rsidRPr="00DC2D30" w:rsidRDefault="00DD1A46" w:rsidP="00E962EE">
            <w:pPr>
              <w:pStyle w:val="Marginlie"/>
              <w:rPr>
                <w:color w:val="0D0D0D" w:themeColor="text1" w:themeTint="F2"/>
              </w:rPr>
            </w:pPr>
          </w:p>
          <w:p w14:paraId="23AF4B7B" w14:textId="77777777" w:rsidR="00DD1A46" w:rsidRPr="00DC2D30" w:rsidRDefault="00DD1A46" w:rsidP="00E962EE">
            <w:pPr>
              <w:pStyle w:val="Marginlie"/>
              <w:rPr>
                <w:color w:val="0D0D0D" w:themeColor="text1" w:themeTint="F2"/>
              </w:rPr>
            </w:pPr>
          </w:p>
          <w:p w14:paraId="16EF6F66" w14:textId="77777777" w:rsidR="00DD1A46" w:rsidRPr="00DC2D30" w:rsidRDefault="00DD1A46" w:rsidP="00E962EE">
            <w:pPr>
              <w:pStyle w:val="Marginlie"/>
              <w:rPr>
                <w:color w:val="0D0D0D" w:themeColor="text1" w:themeTint="F2"/>
                <w:sz w:val="20"/>
                <w:szCs w:val="20"/>
              </w:rPr>
            </w:pPr>
            <w:r w:rsidRPr="00DC2D30">
              <w:rPr>
                <w:color w:val="0D0D0D" w:themeColor="text1" w:themeTint="F2"/>
              </w:rPr>
              <w:t xml:space="preserve">Poptávka po pohonných hmotách vlivem cenového šoku od </w:t>
            </w:r>
            <w:r w:rsidRPr="00DC2D30">
              <w:rPr>
                <w:color w:val="0D0D0D" w:themeColor="text1" w:themeTint="F2"/>
              </w:rPr>
              <w:lastRenderedPageBreak/>
              <w:t>počátku roku výrazně kolísala.</w:t>
            </w:r>
          </w:p>
        </w:tc>
        <w:tc>
          <w:tcPr>
            <w:tcW w:w="181" w:type="dxa"/>
            <w:tcMar>
              <w:left w:w="0" w:type="dxa"/>
            </w:tcMar>
          </w:tcPr>
          <w:p w14:paraId="7A915AFE" w14:textId="77777777" w:rsidR="00DD1A46" w:rsidRPr="00DC2D30" w:rsidRDefault="00DD1A46" w:rsidP="00E962EE">
            <w:pPr>
              <w:pStyle w:val="Textpoznpodarou"/>
              <w:jc w:val="both"/>
              <w:rPr>
                <w:color w:val="0D0D0D" w:themeColor="text1" w:themeTint="F2"/>
                <w:spacing w:val="-4"/>
              </w:rPr>
            </w:pPr>
          </w:p>
        </w:tc>
        <w:tc>
          <w:tcPr>
            <w:tcW w:w="7711" w:type="dxa"/>
            <w:tcMar>
              <w:left w:w="0" w:type="dxa"/>
            </w:tcMar>
          </w:tcPr>
          <w:p w14:paraId="355CB24B" w14:textId="389ACAE7" w:rsidR="00DD1A46" w:rsidRPr="00DC2D30" w:rsidRDefault="00DD1A46" w:rsidP="00E962EE">
            <w:pPr>
              <w:spacing w:after="0"/>
              <w:rPr>
                <w:rFonts w:cs="Arial"/>
                <w:color w:val="0D0D0D" w:themeColor="text1" w:themeTint="F2"/>
                <w:szCs w:val="20"/>
              </w:rPr>
            </w:pPr>
            <w:r w:rsidRPr="00DC2D30">
              <w:rPr>
                <w:rFonts w:cs="Arial"/>
                <w:color w:val="0D0D0D" w:themeColor="text1" w:themeTint="F2"/>
                <w:spacing w:val="-2"/>
                <w:szCs w:val="20"/>
              </w:rPr>
              <w:t>Tržby v maloobchodu s potravinami se letos meziročně zvýšily o 1,7 % (nejvíce od konce roku 2024) a k růstu celého maloobchodu přispěly 0,6 p. b. I přes toto oživení, k němuž mohl přispět i cenový pokles některých základních potravin, podporoval růst poptávky v zásadě jen dominantní segment velkých řetězců, neboť v malých specializovaných prodejnách</w:t>
            </w:r>
            <w:r w:rsidRPr="00DC2D30">
              <w:rPr>
                <w:rStyle w:val="Znakapoznpodarou"/>
                <w:color w:val="0D0D0D" w:themeColor="text1" w:themeTint="F2"/>
                <w:spacing w:val="-2"/>
                <w:szCs w:val="20"/>
              </w:rPr>
              <w:footnoteReference w:id="43"/>
            </w:r>
            <w:r w:rsidRPr="00DC2D30">
              <w:rPr>
                <w:rFonts w:cs="Arial"/>
                <w:color w:val="0D0D0D" w:themeColor="text1" w:themeTint="F2"/>
                <w:spacing w:val="-2"/>
                <w:szCs w:val="20"/>
              </w:rPr>
              <w:t xml:space="preserve"> tržby fakticky stagnovaly. Meziroční růst tržeb za prodej pohonných hmot se za celé 1. pololetí zvýšil o 1,4 % a jeho příspěvek k růstu celého maloobchodu byl nízký (+0,2 p. b.). Ještě v 1. čtvrtletí přitom pokračovala silná poptávka po pohonných hmotách, jež pramenila hlavně z jejich příznivého cenového vývoje po většinu tohoto období a</w:t>
            </w:r>
            <w:r w:rsidR="00650942">
              <w:rPr>
                <w:rFonts w:cs="Arial"/>
                <w:color w:val="0D0D0D" w:themeColor="text1" w:themeTint="F2"/>
                <w:spacing w:val="-2"/>
                <w:szCs w:val="20"/>
              </w:rPr>
              <w:t> </w:t>
            </w:r>
            <w:r w:rsidRPr="00DC2D30">
              <w:rPr>
                <w:rFonts w:cs="Arial"/>
                <w:color w:val="0D0D0D" w:themeColor="text1" w:themeTint="F2"/>
                <w:spacing w:val="-2"/>
                <w:szCs w:val="20"/>
              </w:rPr>
              <w:t xml:space="preserve">částečně rovněž z efektu předzásobení vlivem očekávaného prudkého růstu světových cen paliv po eskalaci konfliktu v Perském zálivu. V dubnu se ale meziroční růst poptávky </w:t>
            </w:r>
            <w:r w:rsidRPr="00DC2D30">
              <w:rPr>
                <w:rFonts w:cs="Arial"/>
                <w:color w:val="0D0D0D" w:themeColor="text1" w:themeTint="F2"/>
                <w:spacing w:val="-2"/>
                <w:szCs w:val="20"/>
              </w:rPr>
              <w:lastRenderedPageBreak/>
              <w:t>po PHM, trvající nepřetržitě předchozích dvaadvacet měsíců, zastavil (–7,8 %). Cenový šok částečně tlumila vládní opatření</w:t>
            </w:r>
            <w:r w:rsidRPr="00DC2D30">
              <w:rPr>
                <w:rStyle w:val="Znakapoznpodarou"/>
                <w:color w:val="0D0D0D" w:themeColor="text1" w:themeTint="F2"/>
                <w:spacing w:val="-2"/>
                <w:szCs w:val="20"/>
              </w:rPr>
              <w:footnoteReference w:id="44"/>
            </w:r>
            <w:r w:rsidRPr="00DC2D30">
              <w:rPr>
                <w:rFonts w:cs="Arial"/>
                <w:color w:val="0D0D0D" w:themeColor="text1" w:themeTint="F2"/>
                <w:spacing w:val="-2"/>
                <w:szCs w:val="20"/>
              </w:rPr>
              <w:t>, nicméně k většímu oživení prodejů došlo až v červenci (v důsledku dočasné stabilizace světových cen ropy i pravidelného růstu poptávky v hlavní motoristické sezóně</w:t>
            </w:r>
            <w:r w:rsidRPr="00DC2D30">
              <w:rPr>
                <w:rFonts w:cs="Arial"/>
                <w:color w:val="0D0D0D" w:themeColor="text1" w:themeTint="F2"/>
                <w:spacing w:val="-4"/>
                <w:szCs w:val="20"/>
              </w:rPr>
              <w:t>).</w:t>
            </w:r>
          </w:p>
        </w:tc>
      </w:tr>
      <w:bookmarkEnd w:id="0"/>
      <w:bookmarkEnd w:id="2"/>
    </w:tbl>
    <w:p w14:paraId="26DCD827" w14:textId="77777777" w:rsidR="00DD1A46" w:rsidRPr="004A0F58" w:rsidRDefault="00DD1A46" w:rsidP="00DD1A46">
      <w:pPr>
        <w:spacing w:after="0" w:line="240" w:lineRule="auto"/>
        <w:jc w:val="left"/>
        <w:rPr>
          <w:rFonts w:eastAsia="MS Gothic"/>
          <w:b/>
          <w:bCs/>
          <w:color w:val="0D0D0D" w:themeColor="text1" w:themeTint="F2"/>
          <w:sz w:val="6"/>
          <w:szCs w:val="6"/>
        </w:rPr>
      </w:pPr>
    </w:p>
    <w:sectPr w:rsidR="00DD1A46" w:rsidRPr="004A0F58" w:rsidSect="001D0569">
      <w:headerReference w:type="even" r:id="rId16"/>
      <w:headerReference w:type="default" r:id="rId17"/>
      <w:footerReference w:type="even" r:id="rId18"/>
      <w:footerReference w:type="default" r:id="rId19"/>
      <w:pgSz w:w="11906" w:h="16838" w:code="9"/>
      <w:pgMar w:top="1134" w:right="1134" w:bottom="1418" w:left="1134" w:header="680" w:footer="68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21CC" w14:textId="77777777" w:rsidR="007F6B15" w:rsidRDefault="007F6B15" w:rsidP="00E71A58">
      <w:r>
        <w:separator/>
      </w:r>
    </w:p>
  </w:endnote>
  <w:endnote w:type="continuationSeparator" w:id="0">
    <w:p w14:paraId="34F34F7A" w14:textId="77777777" w:rsidR="007F6B15" w:rsidRDefault="007F6B15"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6754" w14:textId="006763FA" w:rsidR="00763B85" w:rsidRPr="00932443" w:rsidRDefault="00763B85"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C35666">
      <w:rPr>
        <w:szCs w:val="16"/>
      </w:rPr>
      <w:t>8</w:t>
    </w:r>
    <w:r w:rsidRPr="00932443">
      <w:rPr>
        <w:szCs w:val="16"/>
      </w:rPr>
      <w:fldChar w:fldCharType="end"/>
    </w:r>
    <w:r w:rsidRPr="00932443">
      <w:rPr>
        <w:szCs w:val="16"/>
      </w:rPr>
      <w:tab/>
    </w:r>
    <w:r w:rsidR="009203C8">
      <w:rPr>
        <w:szCs w:val="16"/>
      </w:rPr>
      <w:t>1. pololetí 2026</w:t>
    </w:r>
    <w:r w:rsidR="002B4121">
      <w:rPr>
        <w:szCs w:val="16"/>
      </w:rPr>
      <w:tab/>
      <w:t>ČSÚ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A4F" w14:textId="6FEC4AAE" w:rsidR="00763B85" w:rsidRPr="00932443" w:rsidRDefault="002B4121" w:rsidP="00A418BC">
    <w:pPr>
      <w:pStyle w:val="Zpat"/>
      <w:rPr>
        <w:szCs w:val="16"/>
      </w:rPr>
    </w:pPr>
    <w:r>
      <w:rPr>
        <w:szCs w:val="16"/>
        <w:lang w:eastAsia="cs-CZ"/>
      </w:rPr>
      <w:t>ČSÚ</w:t>
    </w:r>
    <w:r w:rsidR="00763B85" w:rsidRPr="00932443">
      <w:rPr>
        <w:szCs w:val="16"/>
      </w:rPr>
      <w:tab/>
    </w:r>
    <w:r w:rsidR="009203C8">
      <w:rPr>
        <w:szCs w:val="16"/>
      </w:rPr>
      <w:t>1. pololetí 2026</w:t>
    </w:r>
    <w:r w:rsidR="00763B85" w:rsidRPr="00932443">
      <w:rPr>
        <w:szCs w:val="16"/>
      </w:rPr>
      <w:tab/>
    </w:r>
    <w:r w:rsidR="00763B85" w:rsidRPr="00932443">
      <w:rPr>
        <w:rStyle w:val="ZpatChar"/>
        <w:szCs w:val="16"/>
      </w:rPr>
      <w:fldChar w:fldCharType="begin"/>
    </w:r>
    <w:r w:rsidR="00763B85" w:rsidRPr="00932443">
      <w:rPr>
        <w:rStyle w:val="ZpatChar"/>
        <w:szCs w:val="16"/>
      </w:rPr>
      <w:instrText>PAGE   \* MERGEFORMAT</w:instrText>
    </w:r>
    <w:r w:rsidR="00763B85" w:rsidRPr="00932443">
      <w:rPr>
        <w:rStyle w:val="ZpatChar"/>
        <w:szCs w:val="16"/>
      </w:rPr>
      <w:fldChar w:fldCharType="separate"/>
    </w:r>
    <w:r w:rsidR="00C35666">
      <w:rPr>
        <w:rStyle w:val="ZpatChar"/>
        <w:szCs w:val="16"/>
      </w:rPr>
      <w:t>3</w:t>
    </w:r>
    <w:r w:rsidR="00763B85"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3B03" w14:textId="77777777" w:rsidR="007F6B15" w:rsidRPr="00BB2F43" w:rsidRDefault="007F6B15" w:rsidP="00BB2F43">
      <w:pPr>
        <w:pStyle w:val="Zpat"/>
      </w:pPr>
      <w:r>
        <w:separator/>
      </w:r>
    </w:p>
  </w:footnote>
  <w:footnote w:type="continuationSeparator" w:id="0">
    <w:p w14:paraId="4498E468" w14:textId="77777777" w:rsidR="007F6B15" w:rsidRDefault="007F6B15" w:rsidP="00E71A58">
      <w:r>
        <w:continuationSeparator/>
      </w:r>
    </w:p>
  </w:footnote>
  <w:footnote w:id="1">
    <w:p w14:paraId="22CE1E72" w14:textId="77777777" w:rsidR="00DD1A46" w:rsidRPr="00524BD5" w:rsidRDefault="00DD1A46" w:rsidP="00DD1A46">
      <w:pPr>
        <w:pStyle w:val="Textpoznpodarou"/>
        <w:rPr>
          <w:sz w:val="16"/>
          <w:szCs w:val="16"/>
        </w:rPr>
      </w:pPr>
      <w:r w:rsidRPr="00524BD5">
        <w:rPr>
          <w:rStyle w:val="Znakapoznpodarou"/>
          <w:sz w:val="16"/>
          <w:szCs w:val="16"/>
        </w:rPr>
        <w:footnoteRef/>
      </w:r>
      <w:r w:rsidRPr="00524BD5">
        <w:rPr>
          <w:sz w:val="16"/>
          <w:szCs w:val="16"/>
        </w:rPr>
        <w:t xml:space="preserve"> </w:t>
      </w:r>
      <w:r w:rsidRPr="00524BD5">
        <w:rPr>
          <w:color w:val="0D0D0D" w:themeColor="text1" w:themeTint="F2"/>
          <w:spacing w:val="-4"/>
          <w:sz w:val="16"/>
          <w:szCs w:val="16"/>
        </w:rPr>
        <w:t>Jeho význam roste v dlouhodobějším kontextu. Při srovnání s obdobím 2016 až 2025 působící</w:t>
      </w:r>
      <w:r>
        <w:rPr>
          <w:color w:val="0D0D0D" w:themeColor="text1" w:themeTint="F2"/>
          <w:spacing w:val="-4"/>
          <w:sz w:val="16"/>
          <w:szCs w:val="16"/>
        </w:rPr>
        <w:t>m</w:t>
      </w:r>
      <w:r w:rsidRPr="00524BD5">
        <w:rPr>
          <w:color w:val="0D0D0D" w:themeColor="text1" w:themeTint="F2"/>
          <w:spacing w:val="-4"/>
          <w:sz w:val="16"/>
          <w:szCs w:val="16"/>
        </w:rPr>
        <w:t xml:space="preserve"> na letošní propad úrody srovnatelnou měrou jako pokles průměrných hektarových výnosů – a to jak u obilovin, tak řepky.</w:t>
      </w:r>
    </w:p>
  </w:footnote>
  <w:footnote w:id="2">
    <w:p w14:paraId="5872B46F" w14:textId="77777777" w:rsidR="00DD1A46" w:rsidRPr="007906BC" w:rsidRDefault="00DD1A46" w:rsidP="00DD1A46">
      <w:pPr>
        <w:pStyle w:val="Textpoznpodarou"/>
        <w:rPr>
          <w:sz w:val="16"/>
          <w:szCs w:val="16"/>
        </w:rPr>
      </w:pPr>
      <w:r w:rsidRPr="007906BC">
        <w:rPr>
          <w:rStyle w:val="Znakapoznpodarou"/>
          <w:sz w:val="16"/>
          <w:szCs w:val="16"/>
        </w:rPr>
        <w:footnoteRef/>
      </w:r>
      <w:r w:rsidRPr="007906BC">
        <w:rPr>
          <w:sz w:val="16"/>
          <w:szCs w:val="16"/>
        </w:rPr>
        <w:t xml:space="preserve"> Jde např. o vyšší průměrnou objemovou hmotnost či obsah bílkovin a nižší výskyt plísní.</w:t>
      </w:r>
    </w:p>
  </w:footnote>
  <w:footnote w:id="3">
    <w:p w14:paraId="4380E8EE" w14:textId="77777777" w:rsidR="00DD1A46" w:rsidRPr="008D4FC7" w:rsidRDefault="00DD1A46" w:rsidP="00DD1A46">
      <w:pPr>
        <w:spacing w:after="0" w:line="240" w:lineRule="auto"/>
        <w:jc w:val="left"/>
        <w:rPr>
          <w:rFonts w:cs="Arial"/>
          <w:color w:val="0D0D0D" w:themeColor="text1" w:themeTint="F2"/>
          <w:spacing w:val="-2"/>
          <w:sz w:val="16"/>
          <w:szCs w:val="16"/>
        </w:rPr>
      </w:pPr>
      <w:r w:rsidRPr="008D4FC7">
        <w:rPr>
          <w:rStyle w:val="Znakapoznpodarou"/>
          <w:spacing w:val="-2"/>
          <w:sz w:val="16"/>
          <w:szCs w:val="16"/>
        </w:rPr>
        <w:footnoteRef/>
      </w:r>
      <w:r w:rsidRPr="008D4FC7">
        <w:rPr>
          <w:spacing w:val="-2"/>
          <w:sz w:val="16"/>
          <w:szCs w:val="16"/>
        </w:rPr>
        <w:t xml:space="preserve"> </w:t>
      </w:r>
      <w:r w:rsidRPr="008D4FC7">
        <w:rPr>
          <w:rFonts w:cs="Arial"/>
          <w:color w:val="0D0D0D" w:themeColor="text1" w:themeTint="F2"/>
          <w:spacing w:val="-6"/>
          <w:sz w:val="16"/>
          <w:szCs w:val="16"/>
        </w:rPr>
        <w:t>Zahrnuje odvětví Těžba a dobývání, Zpracovatelský průmysl a též Energetika (zde pojímaná jako odvětví výroby a rozvodu elektřiny, plynu, tepla</w:t>
      </w:r>
      <w:r w:rsidRPr="008D4FC7">
        <w:rPr>
          <w:rFonts w:cs="Arial"/>
          <w:color w:val="0D0D0D" w:themeColor="text1" w:themeTint="F2"/>
          <w:spacing w:val="-2"/>
          <w:sz w:val="16"/>
          <w:szCs w:val="16"/>
        </w:rPr>
        <w:t xml:space="preserve"> a klimatizovaného vzduchu). Všechna meziroční tempa produkce jsou očištěna o kalendářní vlivy, mezičtvrtletní tempa i o vliv sezónnosti.</w:t>
      </w:r>
    </w:p>
  </w:footnote>
  <w:footnote w:id="4">
    <w:p w14:paraId="4374CDCC" w14:textId="77777777" w:rsidR="00DD1A46" w:rsidRPr="00D9058D" w:rsidRDefault="00DD1A46" w:rsidP="00DD1A46">
      <w:pPr>
        <w:pStyle w:val="Textpoznpodarou"/>
        <w:rPr>
          <w:color w:val="0D0D0D" w:themeColor="text1" w:themeTint="F2"/>
          <w:spacing w:val="-2"/>
          <w:sz w:val="16"/>
          <w:szCs w:val="16"/>
        </w:rPr>
      </w:pPr>
      <w:r w:rsidRPr="00D9058D">
        <w:rPr>
          <w:rStyle w:val="Znakapoznpodarou"/>
          <w:color w:val="0D0D0D" w:themeColor="text1" w:themeTint="F2"/>
          <w:spacing w:val="-2"/>
          <w:sz w:val="16"/>
          <w:szCs w:val="16"/>
        </w:rPr>
        <w:footnoteRef/>
      </w:r>
      <w:r w:rsidRPr="00D9058D">
        <w:rPr>
          <w:color w:val="0D0D0D" w:themeColor="text1" w:themeTint="F2"/>
          <w:spacing w:val="-2"/>
          <w:sz w:val="16"/>
          <w:szCs w:val="16"/>
        </w:rPr>
        <w:t xml:space="preserve"> </w:t>
      </w:r>
      <w:r w:rsidRPr="00AA2B6D">
        <w:rPr>
          <w:color w:val="0D0D0D" w:themeColor="text1" w:themeTint="F2"/>
          <w:spacing w:val="-3"/>
          <w:sz w:val="16"/>
          <w:szCs w:val="16"/>
        </w:rPr>
        <w:t>Za svým vrcholem z období let 2015 až 2019 letos ve 2. čtvrtletí však stále zaostaly skoro tři pětiny hlavních průmyslových oborů. Šlo v prvé řadě o těžbu uhlí (</w:t>
      </w:r>
      <w:r w:rsidRPr="00AA2B6D">
        <w:rPr>
          <w:rFonts w:cs="Arial"/>
          <w:color w:val="0D0D0D" w:themeColor="text1" w:themeTint="F2"/>
          <w:spacing w:val="-3"/>
          <w:sz w:val="16"/>
          <w:szCs w:val="16"/>
        </w:rPr>
        <w:t>o </w:t>
      </w:r>
      <w:r w:rsidRPr="00AA2B6D">
        <w:rPr>
          <w:color w:val="0D0D0D" w:themeColor="text1" w:themeTint="F2"/>
          <w:spacing w:val="-3"/>
          <w:sz w:val="16"/>
          <w:szCs w:val="16"/>
        </w:rPr>
        <w:t>59</w:t>
      </w:r>
      <w:r w:rsidRPr="00AA2B6D">
        <w:rPr>
          <w:rFonts w:cs="Arial"/>
          <w:color w:val="0D0D0D" w:themeColor="text1" w:themeTint="F2"/>
          <w:spacing w:val="-3"/>
          <w:sz w:val="16"/>
          <w:szCs w:val="16"/>
        </w:rPr>
        <w:t> </w:t>
      </w:r>
      <w:r w:rsidRPr="00AA2B6D">
        <w:rPr>
          <w:color w:val="0D0D0D" w:themeColor="text1" w:themeTint="F2"/>
          <w:spacing w:val="-3"/>
          <w:sz w:val="16"/>
          <w:szCs w:val="16"/>
        </w:rPr>
        <w:t>%), těžbu stavebních materiálů (−27 %), tiskárenství (−24 %), textilní průmysl (−24 %), hutnictví a slévárenství (−23 %) a z větších oborů např. strojírenství (−14 %), energetiku (−11</w:t>
      </w:r>
      <w:r w:rsidRPr="00AA2B6D">
        <w:rPr>
          <w:rFonts w:cs="Arial"/>
          <w:color w:val="0D0D0D" w:themeColor="text1" w:themeTint="F2"/>
          <w:spacing w:val="-3"/>
          <w:sz w:val="16"/>
          <w:szCs w:val="16"/>
        </w:rPr>
        <w:t> </w:t>
      </w:r>
      <w:r w:rsidRPr="00AA2B6D">
        <w:rPr>
          <w:color w:val="0D0D0D" w:themeColor="text1" w:themeTint="F2"/>
          <w:spacing w:val="-3"/>
          <w:sz w:val="16"/>
          <w:szCs w:val="16"/>
        </w:rPr>
        <w:t>%), chemii (−10 %) a výrobu stavebních materiálů (−8</w:t>
      </w:r>
      <w:r w:rsidRPr="00AA2B6D">
        <w:rPr>
          <w:rFonts w:cs="Arial"/>
          <w:color w:val="0D0D0D" w:themeColor="text1" w:themeTint="F2"/>
          <w:spacing w:val="-3"/>
          <w:sz w:val="16"/>
          <w:szCs w:val="16"/>
        </w:rPr>
        <w:t> </w:t>
      </w:r>
      <w:r w:rsidRPr="00AA2B6D">
        <w:rPr>
          <w:color w:val="0D0D0D" w:themeColor="text1" w:themeTint="F2"/>
          <w:spacing w:val="-3"/>
          <w:sz w:val="16"/>
          <w:szCs w:val="16"/>
        </w:rPr>
        <w:t>%). Naopak nad předkrizovou úrovní produkce se nacházely obory vyrábějící investiční produkty (+12 %) a produkty krátkodobé spotřeby (+6</w:t>
      </w:r>
      <w:r w:rsidRPr="00AA2B6D">
        <w:rPr>
          <w:rFonts w:eastAsia="Arial" w:cs="Arial"/>
          <w:spacing w:val="-3"/>
          <w:sz w:val="16"/>
          <w:szCs w:val="16"/>
        </w:rPr>
        <w:t> </w:t>
      </w:r>
      <w:r w:rsidRPr="00AA2B6D">
        <w:rPr>
          <w:color w:val="0D0D0D" w:themeColor="text1" w:themeTint="F2"/>
          <w:spacing w:val="-3"/>
          <w:sz w:val="16"/>
          <w:szCs w:val="16"/>
        </w:rPr>
        <w:t xml:space="preserve">%). Z dílčích </w:t>
      </w:r>
      <w:r w:rsidRPr="00AA2B6D">
        <w:rPr>
          <w:color w:val="0D0D0D" w:themeColor="text1" w:themeTint="F2"/>
          <w:spacing w:val="-4"/>
          <w:sz w:val="16"/>
          <w:szCs w:val="16"/>
        </w:rPr>
        <w:t>oborů konkrétně výroba ostatních dopravních prostředků (+44 %), ostatní zpracovatelský průmysl (+21 %), výroba motorových vozidel (+19 %),</w:t>
      </w:r>
      <w:r w:rsidRPr="00AA2B6D">
        <w:rPr>
          <w:color w:val="0D0D0D" w:themeColor="text1" w:themeTint="F2"/>
          <w:spacing w:val="-3"/>
          <w:sz w:val="16"/>
          <w:szCs w:val="16"/>
        </w:rPr>
        <w:t xml:space="preserve"> papírenství (+17 %), farmacie (+15 %), elektrotechnika (+14 %), potravinářství (+10 %), kovodělný (+5 %) a elektronický průmysl (+4 %).</w:t>
      </w:r>
    </w:p>
  </w:footnote>
  <w:footnote w:id="5">
    <w:p w14:paraId="7307F50E" w14:textId="77777777" w:rsidR="00DD1A46" w:rsidRPr="00CE68BC" w:rsidRDefault="00DD1A46" w:rsidP="00DD1A46">
      <w:pPr>
        <w:pStyle w:val="Textpoznpodarou"/>
        <w:rPr>
          <w:color w:val="0D0D0D" w:themeColor="text1" w:themeTint="F2"/>
          <w:sz w:val="16"/>
          <w:szCs w:val="16"/>
        </w:rPr>
      </w:pPr>
      <w:r w:rsidRPr="004E2B2A">
        <w:rPr>
          <w:rStyle w:val="Znakapoznpodarou"/>
          <w:sz w:val="16"/>
          <w:szCs w:val="16"/>
        </w:rPr>
        <w:footnoteRef/>
      </w:r>
      <w:r w:rsidRPr="004E2B2A">
        <w:rPr>
          <w:sz w:val="16"/>
          <w:szCs w:val="16"/>
        </w:rPr>
        <w:t xml:space="preserve"> </w:t>
      </w:r>
      <w:r w:rsidRPr="00CE68BC">
        <w:rPr>
          <w:color w:val="0D0D0D" w:themeColor="text1" w:themeTint="F2"/>
          <w:spacing w:val="-2"/>
          <w:sz w:val="16"/>
          <w:szCs w:val="16"/>
        </w:rPr>
        <w:t xml:space="preserve">Dle údajů Sdružení automobilového průmyslu se </w:t>
      </w:r>
      <w:r>
        <w:rPr>
          <w:color w:val="0D0D0D" w:themeColor="text1" w:themeTint="F2"/>
          <w:spacing w:val="-2"/>
          <w:sz w:val="16"/>
          <w:szCs w:val="16"/>
        </w:rPr>
        <w:t>v 1. pololetí</w:t>
      </w:r>
      <w:r w:rsidRPr="00CE68BC">
        <w:rPr>
          <w:color w:val="0D0D0D" w:themeColor="text1" w:themeTint="F2"/>
          <w:spacing w:val="-2"/>
          <w:sz w:val="16"/>
          <w:szCs w:val="16"/>
        </w:rPr>
        <w:t xml:space="preserve"> 2026 v tuzemsku vyrobilo </w:t>
      </w:r>
      <w:r>
        <w:rPr>
          <w:color w:val="0D0D0D" w:themeColor="text1" w:themeTint="F2"/>
          <w:spacing w:val="-2"/>
          <w:sz w:val="16"/>
          <w:szCs w:val="16"/>
        </w:rPr>
        <w:t>rekordních 780</w:t>
      </w:r>
      <w:r w:rsidRPr="00CE68BC">
        <w:rPr>
          <w:color w:val="0D0D0D" w:themeColor="text1" w:themeTint="F2"/>
          <w:spacing w:val="-2"/>
          <w:sz w:val="16"/>
          <w:szCs w:val="16"/>
        </w:rPr>
        <w:t xml:space="preserve"> tis. osobních aut</w:t>
      </w:r>
      <w:r>
        <w:rPr>
          <w:color w:val="0D0D0D" w:themeColor="text1" w:themeTint="F2"/>
          <w:spacing w:val="-2"/>
          <w:sz w:val="16"/>
          <w:szCs w:val="16"/>
        </w:rPr>
        <w:t>omobilů, m</w:t>
      </w:r>
      <w:r w:rsidRPr="00CE68BC">
        <w:rPr>
          <w:color w:val="0D0D0D" w:themeColor="text1" w:themeTint="F2"/>
          <w:spacing w:val="-2"/>
          <w:sz w:val="16"/>
          <w:szCs w:val="16"/>
        </w:rPr>
        <w:t xml:space="preserve">eziročně </w:t>
      </w:r>
      <w:r>
        <w:rPr>
          <w:color w:val="0D0D0D" w:themeColor="text1" w:themeTint="F2"/>
          <w:spacing w:val="-2"/>
          <w:sz w:val="16"/>
          <w:szCs w:val="16"/>
        </w:rPr>
        <w:t>o 4,4 % více. Navzdory občasným plánovaným odstávkám výroby některých producentů rostla (kromě května) výroba</w:t>
      </w:r>
      <w:r w:rsidRPr="00CE68BC">
        <w:rPr>
          <w:color w:val="0D0D0D" w:themeColor="text1" w:themeTint="F2"/>
          <w:spacing w:val="-2"/>
          <w:sz w:val="16"/>
          <w:szCs w:val="16"/>
        </w:rPr>
        <w:t xml:space="preserve"> ve všech dosavadních měsících. Výrobu stejně jak</w:t>
      </w:r>
      <w:r>
        <w:rPr>
          <w:color w:val="0D0D0D" w:themeColor="text1" w:themeTint="F2"/>
          <w:spacing w:val="-2"/>
          <w:sz w:val="16"/>
          <w:szCs w:val="16"/>
        </w:rPr>
        <w:t>o</w:t>
      </w:r>
      <w:r w:rsidRPr="00CE68BC">
        <w:rPr>
          <w:color w:val="0D0D0D" w:themeColor="text1" w:themeTint="F2"/>
          <w:spacing w:val="-2"/>
          <w:sz w:val="16"/>
          <w:szCs w:val="16"/>
        </w:rPr>
        <w:t xml:space="preserve"> loni táhl především rychle se rozvíjející segment elektrifikovaných osobních vozidel (vč. vozů s</w:t>
      </w:r>
      <w:r w:rsidRPr="00CE68BC">
        <w:rPr>
          <w:spacing w:val="-2"/>
          <w:sz w:val="16"/>
          <w:szCs w:val="16"/>
        </w:rPr>
        <w:t> </w:t>
      </w:r>
      <w:r w:rsidRPr="00CE68BC">
        <w:rPr>
          <w:color w:val="0D0D0D" w:themeColor="text1" w:themeTint="F2"/>
          <w:spacing w:val="-2"/>
          <w:sz w:val="16"/>
          <w:szCs w:val="16"/>
        </w:rPr>
        <w:t xml:space="preserve">hybridním pohonem). Těch bylo zatím letos zkompletováno celkem </w:t>
      </w:r>
      <w:r>
        <w:rPr>
          <w:color w:val="0D0D0D" w:themeColor="text1" w:themeTint="F2"/>
          <w:spacing w:val="-2"/>
          <w:sz w:val="16"/>
          <w:szCs w:val="16"/>
        </w:rPr>
        <w:t>319</w:t>
      </w:r>
      <w:r w:rsidRPr="00CE68BC">
        <w:rPr>
          <w:color w:val="0D0D0D" w:themeColor="text1" w:themeTint="F2"/>
          <w:spacing w:val="-2"/>
          <w:sz w:val="16"/>
          <w:szCs w:val="16"/>
        </w:rPr>
        <w:t xml:space="preserve"> tis. kusů (v tom </w:t>
      </w:r>
      <w:r>
        <w:rPr>
          <w:color w:val="0D0D0D" w:themeColor="text1" w:themeTint="F2"/>
          <w:spacing w:val="-2"/>
          <w:sz w:val="16"/>
          <w:szCs w:val="16"/>
        </w:rPr>
        <w:t>130</w:t>
      </w:r>
      <w:r w:rsidRPr="00CE68BC">
        <w:rPr>
          <w:color w:val="0D0D0D" w:themeColor="text1" w:themeTint="F2"/>
          <w:spacing w:val="-2"/>
          <w:sz w:val="16"/>
          <w:szCs w:val="16"/>
        </w:rPr>
        <w:t xml:space="preserve"> tis. bateriových, </w:t>
      </w:r>
      <w:r>
        <w:rPr>
          <w:color w:val="0D0D0D" w:themeColor="text1" w:themeTint="F2"/>
          <w:spacing w:val="-2"/>
          <w:sz w:val="16"/>
          <w:szCs w:val="16"/>
        </w:rPr>
        <w:t>27</w:t>
      </w:r>
      <w:r w:rsidRPr="00CE68BC">
        <w:rPr>
          <w:color w:val="0D0D0D" w:themeColor="text1" w:themeTint="F2"/>
          <w:spacing w:val="-2"/>
          <w:sz w:val="16"/>
          <w:szCs w:val="16"/>
        </w:rPr>
        <w:t xml:space="preserve"> </w:t>
      </w:r>
      <w:r>
        <w:rPr>
          <w:color w:val="0D0D0D" w:themeColor="text1" w:themeTint="F2"/>
          <w:spacing w:val="-2"/>
          <w:sz w:val="16"/>
          <w:szCs w:val="16"/>
        </w:rPr>
        <w:t xml:space="preserve">tis. </w:t>
      </w:r>
      <w:r w:rsidRPr="00CE68BC">
        <w:rPr>
          <w:color w:val="0D0D0D" w:themeColor="text1" w:themeTint="F2"/>
          <w:spacing w:val="-2"/>
          <w:sz w:val="16"/>
          <w:szCs w:val="16"/>
        </w:rPr>
        <w:t>plug-in hybridních a 1</w:t>
      </w:r>
      <w:r>
        <w:rPr>
          <w:color w:val="0D0D0D" w:themeColor="text1" w:themeTint="F2"/>
          <w:spacing w:val="-2"/>
          <w:sz w:val="16"/>
          <w:szCs w:val="16"/>
        </w:rPr>
        <w:t>62</w:t>
      </w:r>
      <w:r w:rsidRPr="00CE68BC">
        <w:rPr>
          <w:color w:val="0D0D0D" w:themeColor="text1" w:themeTint="F2"/>
          <w:spacing w:val="-2"/>
          <w:sz w:val="16"/>
          <w:szCs w:val="16"/>
        </w:rPr>
        <w:t xml:space="preserve"> </w:t>
      </w:r>
      <w:r>
        <w:rPr>
          <w:color w:val="0D0D0D" w:themeColor="text1" w:themeTint="F2"/>
          <w:spacing w:val="-2"/>
          <w:sz w:val="16"/>
          <w:szCs w:val="16"/>
        </w:rPr>
        <w:t xml:space="preserve">tis. </w:t>
      </w:r>
      <w:r w:rsidRPr="00CE68BC">
        <w:rPr>
          <w:color w:val="0D0D0D" w:themeColor="text1" w:themeTint="F2"/>
          <w:spacing w:val="-2"/>
          <w:sz w:val="16"/>
          <w:szCs w:val="16"/>
        </w:rPr>
        <w:t>hybridních vozidel) a jejich podíl na tuzemské produkci automobilů dosahoval rekordních 4</w:t>
      </w:r>
      <w:r>
        <w:rPr>
          <w:color w:val="0D0D0D" w:themeColor="text1" w:themeTint="F2"/>
          <w:spacing w:val="-2"/>
          <w:sz w:val="16"/>
          <w:szCs w:val="16"/>
        </w:rPr>
        <w:t>0</w:t>
      </w:r>
      <w:r w:rsidRPr="00CE68BC">
        <w:rPr>
          <w:color w:val="0D0D0D" w:themeColor="text1" w:themeTint="F2"/>
          <w:spacing w:val="-2"/>
          <w:sz w:val="16"/>
          <w:szCs w:val="16"/>
        </w:rPr>
        <w:t> %. Vedle osobních aut zaznamenala letos</w:t>
      </w:r>
      <w:r>
        <w:rPr>
          <w:color w:val="0D0D0D" w:themeColor="text1" w:themeTint="F2"/>
          <w:spacing w:val="-2"/>
          <w:sz w:val="16"/>
          <w:szCs w:val="16"/>
        </w:rPr>
        <w:t xml:space="preserve">, </w:t>
      </w:r>
      <w:r w:rsidRPr="00CE68BC">
        <w:rPr>
          <w:color w:val="0D0D0D" w:themeColor="text1" w:themeTint="F2"/>
          <w:spacing w:val="-2"/>
          <w:sz w:val="16"/>
          <w:szCs w:val="16"/>
        </w:rPr>
        <w:t xml:space="preserve">na rozdíl </w:t>
      </w:r>
      <w:r>
        <w:rPr>
          <w:color w:val="0D0D0D" w:themeColor="text1" w:themeTint="F2"/>
          <w:spacing w:val="-2"/>
          <w:sz w:val="16"/>
          <w:szCs w:val="16"/>
        </w:rPr>
        <w:t xml:space="preserve">celkově </w:t>
      </w:r>
      <w:r w:rsidRPr="00CE68BC">
        <w:rPr>
          <w:color w:val="0D0D0D" w:themeColor="text1" w:themeTint="F2"/>
          <w:spacing w:val="-2"/>
          <w:sz w:val="16"/>
          <w:szCs w:val="16"/>
        </w:rPr>
        <w:t>od loňského roku</w:t>
      </w:r>
      <w:r>
        <w:rPr>
          <w:color w:val="0D0D0D" w:themeColor="text1" w:themeTint="F2"/>
          <w:spacing w:val="-2"/>
          <w:sz w:val="16"/>
          <w:szCs w:val="16"/>
        </w:rPr>
        <w:t xml:space="preserve">, </w:t>
      </w:r>
      <w:r w:rsidRPr="00CE68BC">
        <w:rPr>
          <w:color w:val="0D0D0D" w:themeColor="text1" w:themeTint="F2"/>
          <w:spacing w:val="-2"/>
          <w:sz w:val="16"/>
          <w:szCs w:val="16"/>
        </w:rPr>
        <w:t xml:space="preserve">růst výroby i </w:t>
      </w:r>
      <w:r>
        <w:rPr>
          <w:color w:val="0D0D0D" w:themeColor="text1" w:themeTint="F2"/>
          <w:spacing w:val="-2"/>
          <w:sz w:val="16"/>
          <w:szCs w:val="16"/>
        </w:rPr>
        <w:t xml:space="preserve">výrazná </w:t>
      </w:r>
      <w:r w:rsidRPr="00CE68BC">
        <w:rPr>
          <w:color w:val="0D0D0D" w:themeColor="text1" w:themeTint="F2"/>
          <w:spacing w:val="-2"/>
          <w:sz w:val="16"/>
          <w:szCs w:val="16"/>
        </w:rPr>
        <w:t>většina producentů ostatních druhů motorových vozidel.</w:t>
      </w:r>
      <w:r>
        <w:rPr>
          <w:color w:val="0D0D0D" w:themeColor="text1" w:themeTint="F2"/>
          <w:spacing w:val="-3"/>
          <w:sz w:val="16"/>
          <w:szCs w:val="16"/>
        </w:rPr>
        <w:t xml:space="preserve"> </w:t>
      </w:r>
    </w:p>
  </w:footnote>
  <w:footnote w:id="6">
    <w:p w14:paraId="13511426" w14:textId="77777777" w:rsidR="00DD1A46" w:rsidRPr="00A3673B" w:rsidRDefault="00DD1A46" w:rsidP="00DD1A46">
      <w:pPr>
        <w:pStyle w:val="Textpoznpodarou"/>
        <w:rPr>
          <w:sz w:val="16"/>
          <w:szCs w:val="16"/>
        </w:rPr>
      </w:pPr>
      <w:r w:rsidRPr="00A3673B">
        <w:rPr>
          <w:rStyle w:val="Znakapoznpodarou"/>
          <w:sz w:val="16"/>
          <w:szCs w:val="16"/>
        </w:rPr>
        <w:footnoteRef/>
      </w:r>
      <w:r w:rsidRPr="00A3673B">
        <w:rPr>
          <w:sz w:val="16"/>
          <w:szCs w:val="16"/>
        </w:rPr>
        <w:t xml:space="preserve"> </w:t>
      </w:r>
      <w:r>
        <w:rPr>
          <w:sz w:val="16"/>
          <w:szCs w:val="16"/>
        </w:rPr>
        <w:t>T</w:t>
      </w:r>
      <w:r w:rsidRPr="00A3673B">
        <w:rPr>
          <w:sz w:val="16"/>
          <w:szCs w:val="16"/>
        </w:rPr>
        <w:t xml:space="preserve">ržby z průmyslové činnosti realizované v 1. pololetí v tuzemsku se zde meziročně zvýšily </w:t>
      </w:r>
      <w:r>
        <w:rPr>
          <w:sz w:val="16"/>
          <w:szCs w:val="16"/>
        </w:rPr>
        <w:t xml:space="preserve">nominálně </w:t>
      </w:r>
      <w:r w:rsidRPr="00A3673B">
        <w:rPr>
          <w:sz w:val="16"/>
          <w:szCs w:val="16"/>
        </w:rPr>
        <w:t>o 1</w:t>
      </w:r>
      <w:r>
        <w:rPr>
          <w:sz w:val="16"/>
          <w:szCs w:val="16"/>
        </w:rPr>
        <w:t>7</w:t>
      </w:r>
      <w:r w:rsidRPr="00A3673B">
        <w:rPr>
          <w:sz w:val="16"/>
          <w:szCs w:val="16"/>
        </w:rPr>
        <w:t>,</w:t>
      </w:r>
      <w:r>
        <w:rPr>
          <w:sz w:val="16"/>
          <w:szCs w:val="16"/>
        </w:rPr>
        <w:t>6</w:t>
      </w:r>
      <w:r w:rsidRPr="00A3673B">
        <w:rPr>
          <w:sz w:val="16"/>
          <w:szCs w:val="16"/>
        </w:rPr>
        <w:t xml:space="preserve"> %.</w:t>
      </w:r>
    </w:p>
  </w:footnote>
  <w:footnote w:id="7">
    <w:p w14:paraId="287EA53C" w14:textId="77777777" w:rsidR="00DD1A46" w:rsidRPr="007029BD" w:rsidRDefault="00DD1A46" w:rsidP="00DD1A46">
      <w:pPr>
        <w:pStyle w:val="Textpoznpodarou"/>
        <w:rPr>
          <w:sz w:val="16"/>
          <w:szCs w:val="16"/>
        </w:rPr>
      </w:pPr>
      <w:r w:rsidRPr="007029BD">
        <w:rPr>
          <w:rStyle w:val="Znakapoznpodarou"/>
          <w:sz w:val="16"/>
          <w:szCs w:val="16"/>
        </w:rPr>
        <w:footnoteRef/>
      </w:r>
      <w:r w:rsidRPr="007029BD">
        <w:rPr>
          <w:sz w:val="16"/>
          <w:szCs w:val="16"/>
        </w:rPr>
        <w:t xml:space="preserve"> V tomto tříletém období </w:t>
      </w:r>
      <w:r>
        <w:rPr>
          <w:sz w:val="16"/>
          <w:szCs w:val="16"/>
        </w:rPr>
        <w:t xml:space="preserve">ovlivněným prudkým růstem cen vstupů </w:t>
      </w:r>
      <w:r w:rsidRPr="007029BD">
        <w:rPr>
          <w:sz w:val="16"/>
          <w:szCs w:val="16"/>
        </w:rPr>
        <w:t xml:space="preserve">se produkce </w:t>
      </w:r>
      <w:r>
        <w:rPr>
          <w:sz w:val="16"/>
          <w:szCs w:val="16"/>
        </w:rPr>
        <w:t xml:space="preserve">v hutnictví a slévárenství </w:t>
      </w:r>
      <w:r w:rsidRPr="007029BD">
        <w:rPr>
          <w:sz w:val="16"/>
          <w:szCs w:val="16"/>
        </w:rPr>
        <w:t xml:space="preserve">propadla o 27 % a počet pracovníků se </w:t>
      </w:r>
      <w:r>
        <w:rPr>
          <w:sz w:val="16"/>
          <w:szCs w:val="16"/>
        </w:rPr>
        <w:t xml:space="preserve">současně </w:t>
      </w:r>
      <w:r w:rsidRPr="007029BD">
        <w:rPr>
          <w:sz w:val="16"/>
          <w:szCs w:val="16"/>
        </w:rPr>
        <w:t>snížil o 7,7 % (třikrát více než v celém průmyslu).</w:t>
      </w:r>
    </w:p>
  </w:footnote>
  <w:footnote w:id="8">
    <w:p w14:paraId="1D95C7D0" w14:textId="77777777" w:rsidR="00DD1A46" w:rsidRPr="00AF55E0" w:rsidRDefault="00DD1A46" w:rsidP="00DD1A46">
      <w:pPr>
        <w:pStyle w:val="Textpoznpodarou"/>
        <w:rPr>
          <w:sz w:val="16"/>
          <w:szCs w:val="16"/>
        </w:rPr>
      </w:pPr>
      <w:r w:rsidRPr="00AF55E0">
        <w:rPr>
          <w:rStyle w:val="Znakapoznpodarou"/>
          <w:sz w:val="16"/>
          <w:szCs w:val="16"/>
        </w:rPr>
        <w:footnoteRef/>
      </w:r>
      <w:r w:rsidRPr="00AF55E0">
        <w:rPr>
          <w:sz w:val="16"/>
          <w:szCs w:val="16"/>
        </w:rPr>
        <w:t xml:space="preserve"> </w:t>
      </w:r>
      <w:r w:rsidRPr="00AF55E0">
        <w:rPr>
          <w:spacing w:val="-2"/>
          <w:sz w:val="16"/>
          <w:szCs w:val="16"/>
        </w:rPr>
        <w:t>Tuzemská čistá spotřeba elektřiny</w:t>
      </w:r>
      <w:r>
        <w:rPr>
          <w:spacing w:val="-2"/>
          <w:sz w:val="16"/>
          <w:szCs w:val="16"/>
        </w:rPr>
        <w:t>,</w:t>
      </w:r>
      <w:r w:rsidRPr="00AF55E0">
        <w:rPr>
          <w:spacing w:val="-2"/>
          <w:sz w:val="16"/>
          <w:szCs w:val="16"/>
        </w:rPr>
        <w:t xml:space="preserve"> </w:t>
      </w:r>
      <w:r w:rsidRPr="00AF55E0">
        <w:rPr>
          <w:color w:val="0D0D0D" w:themeColor="text1" w:themeTint="F2"/>
          <w:spacing w:val="-2"/>
          <w:sz w:val="16"/>
          <w:szCs w:val="16"/>
        </w:rPr>
        <w:t xml:space="preserve">tj. bez </w:t>
      </w:r>
      <w:proofErr w:type="spellStart"/>
      <w:r w:rsidRPr="00AF55E0">
        <w:rPr>
          <w:color w:val="0D0D0D" w:themeColor="text1" w:themeTint="F2"/>
          <w:spacing w:val="-2"/>
          <w:sz w:val="16"/>
          <w:szCs w:val="16"/>
        </w:rPr>
        <w:t>mezispotřeby</w:t>
      </w:r>
      <w:proofErr w:type="spellEnd"/>
      <w:r w:rsidRPr="00AF55E0">
        <w:rPr>
          <w:color w:val="0D0D0D" w:themeColor="text1" w:themeTint="F2"/>
          <w:spacing w:val="-2"/>
          <w:sz w:val="16"/>
          <w:szCs w:val="16"/>
        </w:rPr>
        <w:t>, vč. ztrát při výrobě</w:t>
      </w:r>
      <w:r>
        <w:rPr>
          <w:color w:val="0D0D0D" w:themeColor="text1" w:themeTint="F2"/>
          <w:spacing w:val="-2"/>
          <w:sz w:val="16"/>
          <w:szCs w:val="16"/>
        </w:rPr>
        <w:t>,</w:t>
      </w:r>
      <w:r w:rsidRPr="00AF55E0">
        <w:rPr>
          <w:color w:val="0D0D0D" w:themeColor="text1" w:themeTint="F2"/>
          <w:spacing w:val="-2"/>
          <w:sz w:val="16"/>
          <w:szCs w:val="16"/>
        </w:rPr>
        <w:t xml:space="preserve"> </w:t>
      </w:r>
      <w:r w:rsidRPr="00AF55E0">
        <w:rPr>
          <w:spacing w:val="-2"/>
          <w:sz w:val="16"/>
          <w:szCs w:val="16"/>
        </w:rPr>
        <w:t xml:space="preserve">činila </w:t>
      </w:r>
      <w:r w:rsidRPr="00AF55E0">
        <w:rPr>
          <w:color w:val="0D0D0D" w:themeColor="text1" w:themeTint="F2"/>
          <w:spacing w:val="-2"/>
          <w:sz w:val="16"/>
          <w:szCs w:val="16"/>
        </w:rPr>
        <w:t>dle předběžných údajů Energetického regulačního úřadu</w:t>
      </w:r>
      <w:r w:rsidRPr="00AF55E0">
        <w:rPr>
          <w:spacing w:val="-2"/>
          <w:sz w:val="16"/>
          <w:szCs w:val="16"/>
        </w:rPr>
        <w:t xml:space="preserve"> letos v 1. </w:t>
      </w:r>
      <w:r>
        <w:rPr>
          <w:spacing w:val="-2"/>
          <w:sz w:val="16"/>
          <w:szCs w:val="16"/>
        </w:rPr>
        <w:t>pololetí 31,0</w:t>
      </w:r>
      <w:r w:rsidRPr="00AF55E0">
        <w:rPr>
          <w:spacing w:val="-2"/>
          <w:sz w:val="16"/>
          <w:szCs w:val="16"/>
        </w:rPr>
        <w:t xml:space="preserve"> </w:t>
      </w:r>
      <w:proofErr w:type="spellStart"/>
      <w:r w:rsidRPr="00AF55E0">
        <w:rPr>
          <w:spacing w:val="-2"/>
          <w:sz w:val="16"/>
          <w:szCs w:val="16"/>
        </w:rPr>
        <w:t>TWh</w:t>
      </w:r>
      <w:proofErr w:type="spellEnd"/>
      <w:r w:rsidRPr="00AF55E0">
        <w:rPr>
          <w:spacing w:val="-2"/>
          <w:sz w:val="16"/>
          <w:szCs w:val="16"/>
        </w:rPr>
        <w:t xml:space="preserve"> (meziročně +</w:t>
      </w:r>
      <w:r>
        <w:rPr>
          <w:spacing w:val="-2"/>
          <w:sz w:val="16"/>
          <w:szCs w:val="16"/>
        </w:rPr>
        <w:t>2</w:t>
      </w:r>
      <w:r w:rsidRPr="00AF55E0">
        <w:rPr>
          <w:spacing w:val="-2"/>
          <w:sz w:val="16"/>
          <w:szCs w:val="16"/>
        </w:rPr>
        <w:t>,</w:t>
      </w:r>
      <w:r>
        <w:rPr>
          <w:spacing w:val="-2"/>
          <w:sz w:val="16"/>
          <w:szCs w:val="16"/>
        </w:rPr>
        <w:t>8</w:t>
      </w:r>
      <w:r w:rsidRPr="00AF55E0">
        <w:rPr>
          <w:spacing w:val="-2"/>
          <w:sz w:val="16"/>
          <w:szCs w:val="16"/>
        </w:rPr>
        <w:t xml:space="preserve"> %</w:t>
      </w:r>
      <w:r>
        <w:rPr>
          <w:spacing w:val="-2"/>
          <w:sz w:val="16"/>
          <w:szCs w:val="16"/>
        </w:rPr>
        <w:t>, rostla ve všech měsících</w:t>
      </w:r>
      <w:r w:rsidRPr="00AF55E0">
        <w:rPr>
          <w:spacing w:val="-2"/>
          <w:sz w:val="16"/>
          <w:szCs w:val="16"/>
        </w:rPr>
        <w:t xml:space="preserve">). </w:t>
      </w:r>
      <w:r>
        <w:rPr>
          <w:spacing w:val="-2"/>
          <w:sz w:val="16"/>
          <w:szCs w:val="16"/>
        </w:rPr>
        <w:t>Stejně jako za celý loňský rok se i letos n</w:t>
      </w:r>
      <w:r w:rsidRPr="00AF55E0">
        <w:rPr>
          <w:spacing w:val="-2"/>
          <w:sz w:val="16"/>
          <w:szCs w:val="16"/>
        </w:rPr>
        <w:t>ejv</w:t>
      </w:r>
      <w:r>
        <w:rPr>
          <w:spacing w:val="-2"/>
          <w:sz w:val="16"/>
          <w:szCs w:val="16"/>
        </w:rPr>
        <w:t>íce zvýšila</w:t>
      </w:r>
      <w:r w:rsidRPr="00AF55E0">
        <w:rPr>
          <w:spacing w:val="-2"/>
          <w:sz w:val="16"/>
          <w:szCs w:val="16"/>
        </w:rPr>
        <w:t xml:space="preserve"> spotřeba u domácností (+</w:t>
      </w:r>
      <w:r>
        <w:rPr>
          <w:spacing w:val="-2"/>
          <w:sz w:val="16"/>
          <w:szCs w:val="16"/>
        </w:rPr>
        <w:t>5,3</w:t>
      </w:r>
      <w:r w:rsidRPr="00AF55E0">
        <w:rPr>
          <w:spacing w:val="-2"/>
          <w:sz w:val="16"/>
          <w:szCs w:val="16"/>
        </w:rPr>
        <w:t xml:space="preserve"> %), u </w:t>
      </w:r>
      <w:r>
        <w:rPr>
          <w:spacing w:val="-2"/>
          <w:sz w:val="16"/>
          <w:szCs w:val="16"/>
        </w:rPr>
        <w:t xml:space="preserve">drobných </w:t>
      </w:r>
      <w:r w:rsidRPr="00AF55E0">
        <w:rPr>
          <w:spacing w:val="-2"/>
          <w:sz w:val="16"/>
          <w:szCs w:val="16"/>
        </w:rPr>
        <w:t>podnikatelů</w:t>
      </w:r>
      <w:r>
        <w:rPr>
          <w:spacing w:val="-2"/>
          <w:sz w:val="16"/>
          <w:szCs w:val="16"/>
        </w:rPr>
        <w:t xml:space="preserve"> pak posílila</w:t>
      </w:r>
      <w:r w:rsidRPr="00AF55E0">
        <w:rPr>
          <w:spacing w:val="-2"/>
          <w:sz w:val="16"/>
          <w:szCs w:val="16"/>
        </w:rPr>
        <w:t xml:space="preserve"> o </w:t>
      </w:r>
      <w:r>
        <w:rPr>
          <w:spacing w:val="-2"/>
          <w:sz w:val="16"/>
          <w:szCs w:val="16"/>
        </w:rPr>
        <w:t>2</w:t>
      </w:r>
      <w:r w:rsidRPr="00AF55E0">
        <w:rPr>
          <w:spacing w:val="-2"/>
          <w:sz w:val="16"/>
          <w:szCs w:val="16"/>
        </w:rPr>
        <w:t>,</w:t>
      </w:r>
      <w:r>
        <w:rPr>
          <w:spacing w:val="-2"/>
          <w:sz w:val="16"/>
          <w:szCs w:val="16"/>
        </w:rPr>
        <w:t>3</w:t>
      </w:r>
      <w:r w:rsidRPr="00AF55E0">
        <w:rPr>
          <w:spacing w:val="-2"/>
          <w:sz w:val="16"/>
          <w:szCs w:val="16"/>
        </w:rPr>
        <w:t xml:space="preserve"> %, u velkoodběratelů </w:t>
      </w:r>
      <w:r>
        <w:rPr>
          <w:spacing w:val="-2"/>
          <w:sz w:val="16"/>
          <w:szCs w:val="16"/>
        </w:rPr>
        <w:t>pak celkově o 1,5</w:t>
      </w:r>
      <w:r w:rsidRPr="00AF55E0">
        <w:rPr>
          <w:spacing w:val="-2"/>
          <w:sz w:val="16"/>
          <w:szCs w:val="16"/>
        </w:rPr>
        <w:t xml:space="preserve"> %.</w:t>
      </w:r>
      <w:r>
        <w:rPr>
          <w:spacing w:val="-2"/>
          <w:sz w:val="16"/>
          <w:szCs w:val="16"/>
        </w:rPr>
        <w:t xml:space="preserve"> </w:t>
      </w:r>
      <w:r w:rsidRPr="00A961AD">
        <w:rPr>
          <w:spacing w:val="-2"/>
          <w:sz w:val="16"/>
          <w:szCs w:val="16"/>
        </w:rPr>
        <w:t>Česk</w:t>
      </w:r>
      <w:r>
        <w:rPr>
          <w:spacing w:val="-2"/>
          <w:sz w:val="16"/>
          <w:szCs w:val="16"/>
        </w:rPr>
        <w:t>o</w:t>
      </w:r>
      <w:r w:rsidRPr="00A961AD">
        <w:rPr>
          <w:spacing w:val="-2"/>
          <w:sz w:val="16"/>
          <w:szCs w:val="16"/>
        </w:rPr>
        <w:t xml:space="preserve"> zůst</w:t>
      </w:r>
      <w:r>
        <w:rPr>
          <w:spacing w:val="-2"/>
          <w:sz w:val="16"/>
          <w:szCs w:val="16"/>
        </w:rPr>
        <w:t>alo</w:t>
      </w:r>
      <w:r w:rsidRPr="00A961AD">
        <w:rPr>
          <w:spacing w:val="-2"/>
          <w:sz w:val="16"/>
          <w:szCs w:val="16"/>
        </w:rPr>
        <w:t xml:space="preserve"> čistým vývozcem, v</w:t>
      </w:r>
      <w:r>
        <w:rPr>
          <w:spacing w:val="-2"/>
          <w:sz w:val="16"/>
          <w:szCs w:val="16"/>
        </w:rPr>
        <w:t xml:space="preserve"> 1.</w:t>
      </w:r>
      <w:r w:rsidRPr="00A961AD">
        <w:rPr>
          <w:spacing w:val="-2"/>
          <w:sz w:val="16"/>
          <w:szCs w:val="16"/>
        </w:rPr>
        <w:t xml:space="preserve"> pololetí export elektřiny převažoval nad importem o 3,8 </w:t>
      </w:r>
      <w:proofErr w:type="spellStart"/>
      <w:r w:rsidRPr="00A961AD">
        <w:rPr>
          <w:spacing w:val="-2"/>
          <w:sz w:val="16"/>
          <w:szCs w:val="16"/>
        </w:rPr>
        <w:t>TWh</w:t>
      </w:r>
      <w:proofErr w:type="spellEnd"/>
      <w:r>
        <w:rPr>
          <w:spacing w:val="-2"/>
          <w:sz w:val="16"/>
          <w:szCs w:val="16"/>
        </w:rPr>
        <w:t>.</w:t>
      </w:r>
    </w:p>
  </w:footnote>
  <w:footnote w:id="9">
    <w:p w14:paraId="161F4850" w14:textId="77777777" w:rsidR="00DD1A46" w:rsidRPr="009845CC" w:rsidRDefault="00DD1A46" w:rsidP="00DD1A46">
      <w:pPr>
        <w:pStyle w:val="Bezmezer"/>
        <w:jc w:val="left"/>
        <w:rPr>
          <w:color w:val="0D0D0D" w:themeColor="text1" w:themeTint="F2"/>
          <w:spacing w:val="-4"/>
          <w:sz w:val="16"/>
          <w:szCs w:val="16"/>
        </w:rPr>
      </w:pPr>
      <w:r w:rsidRPr="004D5215">
        <w:rPr>
          <w:rStyle w:val="Znakapoznpodarou"/>
          <w:color w:val="0D0D0D" w:themeColor="text1" w:themeTint="F2"/>
          <w:spacing w:val="-4"/>
          <w:sz w:val="16"/>
          <w:szCs w:val="16"/>
        </w:rPr>
        <w:footnoteRef/>
      </w:r>
      <w:r w:rsidRPr="004D5215">
        <w:rPr>
          <w:rStyle w:val="Znakapoznpodarou"/>
          <w:color w:val="0D0D0D" w:themeColor="text1" w:themeTint="F2"/>
          <w:spacing w:val="-4"/>
          <w:sz w:val="16"/>
          <w:szCs w:val="16"/>
        </w:rPr>
        <w:t xml:space="preserve"> </w:t>
      </w:r>
      <w:r>
        <w:rPr>
          <w:color w:val="0D0D0D" w:themeColor="text1" w:themeTint="F2"/>
          <w:spacing w:val="-4"/>
          <w:sz w:val="16"/>
          <w:szCs w:val="16"/>
        </w:rPr>
        <w:t>Ta letos v 1. pololetí meziročně vzrostla o 3,3 % (po</w:t>
      </w:r>
      <w:r w:rsidRPr="00AF55E0">
        <w:rPr>
          <w:color w:val="0D0D0D" w:themeColor="text1" w:themeTint="F2"/>
          <w:spacing w:val="-4"/>
          <w:sz w:val="16"/>
          <w:szCs w:val="16"/>
        </w:rPr>
        <w:t xml:space="preserve"> přepočtení na dlouhodobý teplotní normál p</w:t>
      </w:r>
      <w:r>
        <w:rPr>
          <w:color w:val="0D0D0D" w:themeColor="text1" w:themeTint="F2"/>
          <w:spacing w:val="-4"/>
          <w:sz w:val="16"/>
          <w:szCs w:val="16"/>
        </w:rPr>
        <w:t>ak</w:t>
      </w:r>
      <w:r w:rsidRPr="00AF55E0">
        <w:rPr>
          <w:color w:val="0D0D0D" w:themeColor="text1" w:themeTint="F2"/>
          <w:spacing w:val="-4"/>
          <w:sz w:val="16"/>
          <w:szCs w:val="16"/>
        </w:rPr>
        <w:t xml:space="preserve"> o </w:t>
      </w:r>
      <w:r>
        <w:rPr>
          <w:color w:val="0D0D0D" w:themeColor="text1" w:themeTint="F2"/>
          <w:spacing w:val="-4"/>
          <w:sz w:val="16"/>
          <w:szCs w:val="16"/>
        </w:rPr>
        <w:t>1</w:t>
      </w:r>
      <w:r w:rsidRPr="00AF55E0">
        <w:rPr>
          <w:color w:val="0D0D0D" w:themeColor="text1" w:themeTint="F2"/>
          <w:spacing w:val="-4"/>
          <w:sz w:val="16"/>
          <w:szCs w:val="16"/>
        </w:rPr>
        <w:t>,</w:t>
      </w:r>
      <w:r>
        <w:rPr>
          <w:color w:val="0D0D0D" w:themeColor="text1" w:themeTint="F2"/>
          <w:spacing w:val="-4"/>
          <w:sz w:val="16"/>
          <w:szCs w:val="16"/>
        </w:rPr>
        <w:t>4</w:t>
      </w:r>
      <w:r w:rsidRPr="00AF55E0">
        <w:rPr>
          <w:color w:val="0D0D0D" w:themeColor="text1" w:themeTint="F2"/>
          <w:spacing w:val="-4"/>
          <w:sz w:val="16"/>
          <w:szCs w:val="16"/>
        </w:rPr>
        <w:t xml:space="preserve"> %</w:t>
      </w:r>
      <w:r>
        <w:rPr>
          <w:color w:val="0D0D0D" w:themeColor="text1" w:themeTint="F2"/>
          <w:spacing w:val="-4"/>
          <w:sz w:val="16"/>
          <w:szCs w:val="16"/>
        </w:rPr>
        <w:t xml:space="preserve">). </w:t>
      </w:r>
      <w:r w:rsidRPr="004D5215">
        <w:rPr>
          <w:color w:val="0D0D0D" w:themeColor="text1" w:themeTint="F2"/>
          <w:spacing w:val="-4"/>
          <w:sz w:val="16"/>
          <w:szCs w:val="16"/>
        </w:rPr>
        <w:t xml:space="preserve">Skutečná spotřeba </w:t>
      </w:r>
      <w:r>
        <w:rPr>
          <w:color w:val="0D0D0D" w:themeColor="text1" w:themeTint="F2"/>
          <w:spacing w:val="-4"/>
          <w:sz w:val="16"/>
          <w:szCs w:val="16"/>
        </w:rPr>
        <w:t>se</w:t>
      </w:r>
      <w:r w:rsidRPr="004D5215">
        <w:rPr>
          <w:color w:val="0D0D0D" w:themeColor="text1" w:themeTint="F2"/>
          <w:spacing w:val="-4"/>
          <w:sz w:val="16"/>
          <w:szCs w:val="16"/>
        </w:rPr>
        <w:t xml:space="preserve"> </w:t>
      </w:r>
      <w:r>
        <w:rPr>
          <w:color w:val="0D0D0D" w:themeColor="text1" w:themeTint="F2"/>
          <w:spacing w:val="-4"/>
          <w:sz w:val="16"/>
          <w:szCs w:val="16"/>
        </w:rPr>
        <w:t>zvýšil</w:t>
      </w:r>
      <w:r w:rsidRPr="004D5215">
        <w:rPr>
          <w:color w:val="0D0D0D" w:themeColor="text1" w:themeTint="F2"/>
          <w:spacing w:val="-4"/>
          <w:sz w:val="16"/>
          <w:szCs w:val="16"/>
        </w:rPr>
        <w:t>a u</w:t>
      </w:r>
      <w:r>
        <w:rPr>
          <w:spacing w:val="-4"/>
          <w:sz w:val="16"/>
          <w:szCs w:val="16"/>
        </w:rPr>
        <w:t> </w:t>
      </w:r>
      <w:r w:rsidRPr="004D5215">
        <w:rPr>
          <w:color w:val="0D0D0D" w:themeColor="text1" w:themeTint="F2"/>
          <w:spacing w:val="-4"/>
          <w:sz w:val="16"/>
          <w:szCs w:val="16"/>
        </w:rPr>
        <w:t xml:space="preserve">všech </w:t>
      </w:r>
      <w:r>
        <w:rPr>
          <w:color w:val="0D0D0D" w:themeColor="text1" w:themeTint="F2"/>
          <w:spacing w:val="-4"/>
          <w:sz w:val="16"/>
          <w:szCs w:val="16"/>
        </w:rPr>
        <w:t>klíčových segmentů trhu</w:t>
      </w:r>
      <w:r w:rsidRPr="004D5215">
        <w:rPr>
          <w:color w:val="0D0D0D" w:themeColor="text1" w:themeTint="F2"/>
          <w:spacing w:val="-4"/>
          <w:sz w:val="16"/>
          <w:szCs w:val="16"/>
        </w:rPr>
        <w:t xml:space="preserve"> – </w:t>
      </w:r>
      <w:r>
        <w:rPr>
          <w:color w:val="0D0D0D" w:themeColor="text1" w:themeTint="F2"/>
          <w:spacing w:val="-4"/>
          <w:sz w:val="16"/>
          <w:szCs w:val="16"/>
        </w:rPr>
        <w:t xml:space="preserve">rozdíl v růstu spotřeby mezi hlavními skupinami odběratelů byl poměrně malý. </w:t>
      </w:r>
    </w:p>
  </w:footnote>
  <w:footnote w:id="10">
    <w:p w14:paraId="4925DF0F" w14:textId="77777777" w:rsidR="00DD1A46" w:rsidRPr="008803B7" w:rsidRDefault="00DD1A46" w:rsidP="00DD1A46">
      <w:pPr>
        <w:pStyle w:val="Textpoznpodarou"/>
        <w:rPr>
          <w:spacing w:val="-4"/>
          <w:sz w:val="16"/>
          <w:szCs w:val="16"/>
        </w:rPr>
      </w:pPr>
      <w:r w:rsidRPr="008803B7">
        <w:rPr>
          <w:rStyle w:val="Znakapoznpodarou"/>
          <w:spacing w:val="-4"/>
          <w:sz w:val="16"/>
          <w:szCs w:val="16"/>
        </w:rPr>
        <w:footnoteRef/>
      </w:r>
      <w:r w:rsidRPr="008803B7">
        <w:rPr>
          <w:spacing w:val="-4"/>
          <w:sz w:val="16"/>
          <w:szCs w:val="16"/>
        </w:rPr>
        <w:t xml:space="preserve"> Průměrná teplota ovzduší činila v lednu 2026 </w:t>
      </w:r>
      <w:r w:rsidRPr="008803B7">
        <w:rPr>
          <w:color w:val="0D0D0D" w:themeColor="text1" w:themeTint="F2"/>
          <w:spacing w:val="-4"/>
          <w:sz w:val="16"/>
          <w:szCs w:val="16"/>
        </w:rPr>
        <w:t>−</w:t>
      </w:r>
      <w:r w:rsidRPr="008803B7">
        <w:rPr>
          <w:spacing w:val="-4"/>
          <w:sz w:val="16"/>
          <w:szCs w:val="16"/>
        </w:rPr>
        <w:t xml:space="preserve">2,8 stupně Celsia, o rok dříve +0,5 stupně (dlouhodobý lednový teplotní normál pak </w:t>
      </w:r>
      <w:r w:rsidRPr="008803B7">
        <w:rPr>
          <w:color w:val="0D0D0D" w:themeColor="text1" w:themeTint="F2"/>
          <w:spacing w:val="-4"/>
          <w:sz w:val="16"/>
          <w:szCs w:val="16"/>
        </w:rPr>
        <w:t>−</w:t>
      </w:r>
      <w:r w:rsidRPr="008803B7">
        <w:rPr>
          <w:spacing w:val="-4"/>
          <w:sz w:val="16"/>
          <w:szCs w:val="16"/>
        </w:rPr>
        <w:t>1,2 stupně).</w:t>
      </w:r>
      <w:r>
        <w:rPr>
          <w:spacing w:val="-4"/>
          <w:sz w:val="16"/>
          <w:szCs w:val="16"/>
        </w:rPr>
        <w:t xml:space="preserve"> Letos v dubnu dosáhla teplota 8,3</w:t>
      </w:r>
      <w:r w:rsidRPr="008803B7">
        <w:rPr>
          <w:spacing w:val="-4"/>
          <w:sz w:val="16"/>
          <w:szCs w:val="16"/>
        </w:rPr>
        <w:t xml:space="preserve"> stupně</w:t>
      </w:r>
      <w:r>
        <w:rPr>
          <w:spacing w:val="-4"/>
          <w:sz w:val="16"/>
          <w:szCs w:val="16"/>
        </w:rPr>
        <w:t>, o rok dříve ale 10,5 stupně.</w:t>
      </w:r>
    </w:p>
  </w:footnote>
  <w:footnote w:id="11">
    <w:p w14:paraId="4CEB0C8E" w14:textId="77777777" w:rsidR="00DD1A46" w:rsidRPr="00175D5D" w:rsidRDefault="00DD1A46" w:rsidP="00DD1A46">
      <w:pPr>
        <w:pStyle w:val="Textpoznpodarou"/>
        <w:rPr>
          <w:sz w:val="16"/>
          <w:szCs w:val="16"/>
        </w:rPr>
      </w:pPr>
      <w:r w:rsidRPr="00175D5D">
        <w:rPr>
          <w:rStyle w:val="Znakapoznpodarou"/>
          <w:sz w:val="16"/>
          <w:szCs w:val="16"/>
        </w:rPr>
        <w:footnoteRef/>
      </w:r>
      <w:r w:rsidRPr="00D16437">
        <w:rPr>
          <w:spacing w:val="-2"/>
          <w:sz w:val="16"/>
          <w:szCs w:val="16"/>
        </w:rPr>
        <w:t xml:space="preserve"> </w:t>
      </w:r>
      <w:r w:rsidRPr="00D16437">
        <w:rPr>
          <w:spacing w:val="-3"/>
          <w:sz w:val="16"/>
          <w:szCs w:val="16"/>
        </w:rPr>
        <w:t>Potíže s poptávkou má aktuálně tento obor i v řadě evropských zemí. V 1. pololetí 2026 se jeho produkce snížila v EU meziročně o 10 %.</w:t>
      </w:r>
      <w:r w:rsidRPr="00D16437">
        <w:rPr>
          <w:spacing w:val="-2"/>
          <w:sz w:val="16"/>
          <w:szCs w:val="16"/>
        </w:rPr>
        <w:t xml:space="preserve"> </w:t>
      </w:r>
      <w:r w:rsidRPr="000D0111">
        <w:rPr>
          <w:spacing w:val="-4"/>
          <w:sz w:val="16"/>
          <w:szCs w:val="16"/>
        </w:rPr>
        <w:t>Na druhou stranu zaměstnanost se zde v EU dále navyšovala a většina konjunkturálních indikátorů na „unijní“ úrovni se významně nezhoršila.</w:t>
      </w:r>
    </w:p>
  </w:footnote>
  <w:footnote w:id="12">
    <w:p w14:paraId="704D6FB6" w14:textId="77777777" w:rsidR="00DD1A46" w:rsidRDefault="00DD1A46" w:rsidP="00DD1A46">
      <w:pPr>
        <w:pStyle w:val="Textpoznpodarou"/>
        <w:jc w:val="both"/>
        <w:rPr>
          <w:rFonts w:cs="Arial"/>
          <w:color w:val="0D0D0D" w:themeColor="text1" w:themeTint="F2"/>
          <w:spacing w:val="-2"/>
          <w:sz w:val="16"/>
          <w:szCs w:val="16"/>
        </w:rPr>
      </w:pPr>
      <w:r>
        <w:rPr>
          <w:rStyle w:val="Znakapoznpodarou"/>
          <w:rFonts w:cs="Arial"/>
          <w:color w:val="0D0D0D" w:themeColor="text1" w:themeTint="F2"/>
          <w:spacing w:val="-2"/>
          <w:sz w:val="16"/>
          <w:szCs w:val="16"/>
        </w:rPr>
        <w:footnoteRef/>
      </w:r>
      <w:r>
        <w:rPr>
          <w:rFonts w:cs="Arial"/>
          <w:color w:val="0D0D0D" w:themeColor="text1" w:themeTint="F2"/>
          <w:spacing w:val="-2"/>
          <w:sz w:val="16"/>
          <w:szCs w:val="16"/>
        </w:rPr>
        <w:t xml:space="preserve"> Zjišťování zakázek probíhá ve dvanácti zpracovatelských odvětvích vyrábějících převážně na zakázku, s dlouhodobějším výrobním cyklem a s většími zásobami zakázek. Meziroční tempa zakázek jsou očištěna o kalendářní vlivy.</w:t>
      </w:r>
    </w:p>
  </w:footnote>
  <w:footnote w:id="13">
    <w:p w14:paraId="65C387EF" w14:textId="77777777" w:rsidR="00DD1A46" w:rsidRPr="0073209B" w:rsidRDefault="00DD1A46" w:rsidP="00DD1A46">
      <w:pPr>
        <w:spacing w:after="0" w:line="240" w:lineRule="auto"/>
        <w:rPr>
          <w:color w:val="000000" w:themeColor="text1"/>
          <w:spacing w:val="-4"/>
          <w:sz w:val="16"/>
          <w:szCs w:val="16"/>
        </w:rPr>
      </w:pPr>
      <w:r w:rsidRPr="0073209B">
        <w:rPr>
          <w:rStyle w:val="Znakapoznpodarou"/>
          <w:sz w:val="16"/>
          <w:szCs w:val="16"/>
        </w:rPr>
        <w:footnoteRef/>
      </w:r>
      <w:r w:rsidRPr="0073209B">
        <w:rPr>
          <w:sz w:val="16"/>
          <w:szCs w:val="16"/>
        </w:rPr>
        <w:t xml:space="preserve"> </w:t>
      </w:r>
      <w:r w:rsidRPr="0073209B">
        <w:rPr>
          <w:color w:val="000000" w:themeColor="text1"/>
          <w:spacing w:val="-4"/>
          <w:sz w:val="16"/>
          <w:szCs w:val="16"/>
        </w:rPr>
        <w:t>Ve 4. čtvrtletí 2025 objem zakázek posílil o desetinu (nejvíce za poslední tři roky). Přispěla k němu ovšem fakticky pouze zahraniční poptávka</w:t>
      </w:r>
      <w:r>
        <w:rPr>
          <w:color w:val="000000" w:themeColor="text1"/>
          <w:spacing w:val="-4"/>
          <w:sz w:val="16"/>
          <w:szCs w:val="16"/>
        </w:rPr>
        <w:t xml:space="preserve">, a to </w:t>
      </w:r>
      <w:r w:rsidRPr="0073209B">
        <w:rPr>
          <w:color w:val="000000" w:themeColor="text1"/>
          <w:spacing w:val="-4"/>
          <w:sz w:val="16"/>
          <w:szCs w:val="16"/>
        </w:rPr>
        <w:t>především ve výrobě ostatních dopravních prostředků (s</w:t>
      </w:r>
      <w:r w:rsidRPr="0073209B">
        <w:rPr>
          <w:color w:val="0D0D0D" w:themeColor="text1" w:themeTint="F2"/>
          <w:sz w:val="16"/>
          <w:szCs w:val="16"/>
        </w:rPr>
        <w:t>ilný růstový impuls se týkal hlavně modernizace veřejné dopravy a armády)</w:t>
      </w:r>
      <w:r w:rsidRPr="0073209B">
        <w:rPr>
          <w:color w:val="000000" w:themeColor="text1"/>
          <w:spacing w:val="-4"/>
          <w:sz w:val="16"/>
          <w:szCs w:val="16"/>
        </w:rPr>
        <w:t xml:space="preserve"> </w:t>
      </w:r>
      <w:r>
        <w:rPr>
          <w:color w:val="000000" w:themeColor="text1"/>
          <w:spacing w:val="-4"/>
          <w:sz w:val="16"/>
          <w:szCs w:val="16"/>
        </w:rPr>
        <w:br/>
      </w:r>
      <w:r w:rsidRPr="0073209B">
        <w:rPr>
          <w:color w:val="000000" w:themeColor="text1"/>
          <w:spacing w:val="-4"/>
          <w:sz w:val="16"/>
          <w:szCs w:val="16"/>
        </w:rPr>
        <w:t>a</w:t>
      </w:r>
      <w:r>
        <w:rPr>
          <w:color w:val="000000" w:themeColor="text1"/>
          <w:spacing w:val="-4"/>
          <w:sz w:val="16"/>
          <w:szCs w:val="16"/>
        </w:rPr>
        <w:t xml:space="preserve"> dále</w:t>
      </w:r>
      <w:r w:rsidRPr="0073209B">
        <w:rPr>
          <w:color w:val="000000" w:themeColor="text1"/>
          <w:spacing w:val="-4"/>
          <w:sz w:val="16"/>
          <w:szCs w:val="16"/>
        </w:rPr>
        <w:t xml:space="preserve"> v elektrotechnice </w:t>
      </w:r>
      <w:r>
        <w:rPr>
          <w:color w:val="000000" w:themeColor="text1"/>
          <w:spacing w:val="-4"/>
          <w:sz w:val="16"/>
          <w:szCs w:val="16"/>
        </w:rPr>
        <w:t>a</w:t>
      </w:r>
      <w:r w:rsidRPr="0073209B">
        <w:rPr>
          <w:color w:val="000000" w:themeColor="text1"/>
          <w:spacing w:val="-4"/>
          <w:sz w:val="16"/>
          <w:szCs w:val="16"/>
        </w:rPr>
        <w:t xml:space="preserve"> kovodělném průmyslu.</w:t>
      </w:r>
    </w:p>
  </w:footnote>
  <w:footnote w:id="14">
    <w:p w14:paraId="1942CE8B" w14:textId="77777777" w:rsidR="00DD1A46" w:rsidRPr="00870373" w:rsidRDefault="00DD1A46" w:rsidP="00DD1A46">
      <w:pPr>
        <w:pStyle w:val="Textpoznpodarou"/>
        <w:rPr>
          <w:sz w:val="16"/>
          <w:szCs w:val="16"/>
        </w:rPr>
      </w:pPr>
      <w:r w:rsidRPr="00870373">
        <w:rPr>
          <w:rStyle w:val="Znakapoznpodarou"/>
          <w:sz w:val="16"/>
          <w:szCs w:val="16"/>
        </w:rPr>
        <w:footnoteRef/>
      </w:r>
      <w:r w:rsidRPr="00870373">
        <w:rPr>
          <w:sz w:val="16"/>
          <w:szCs w:val="16"/>
        </w:rPr>
        <w:t xml:space="preserve"> Např. v chemickém průmyslu vzrostla ve 2. čtvrtletí 2026 hodnota nových zakázek o desetinu. Při hodnocení reálných výhledů tohoto oboru je ale nutné vzít v potaz ve stejném období probíhající akcelerac</w:t>
      </w:r>
      <w:r>
        <w:rPr>
          <w:sz w:val="16"/>
          <w:szCs w:val="16"/>
        </w:rPr>
        <w:t>i</w:t>
      </w:r>
      <w:r w:rsidRPr="00870373">
        <w:rPr>
          <w:sz w:val="16"/>
          <w:szCs w:val="16"/>
        </w:rPr>
        <w:t xml:space="preserve"> růstu cen výrobců</w:t>
      </w:r>
      <w:r>
        <w:rPr>
          <w:sz w:val="16"/>
          <w:szCs w:val="16"/>
        </w:rPr>
        <w:t xml:space="preserve"> c</w:t>
      </w:r>
      <w:r w:rsidRPr="00870373">
        <w:rPr>
          <w:sz w:val="16"/>
          <w:szCs w:val="16"/>
        </w:rPr>
        <w:t>hemick</w:t>
      </w:r>
      <w:r>
        <w:rPr>
          <w:sz w:val="16"/>
          <w:szCs w:val="16"/>
        </w:rPr>
        <w:t>ých</w:t>
      </w:r>
      <w:r w:rsidRPr="00870373">
        <w:rPr>
          <w:sz w:val="16"/>
          <w:szCs w:val="16"/>
        </w:rPr>
        <w:t xml:space="preserve"> lát</w:t>
      </w:r>
      <w:r>
        <w:rPr>
          <w:sz w:val="16"/>
          <w:szCs w:val="16"/>
        </w:rPr>
        <w:t>ek</w:t>
      </w:r>
      <w:r w:rsidRPr="00870373">
        <w:rPr>
          <w:sz w:val="16"/>
          <w:szCs w:val="16"/>
        </w:rPr>
        <w:t xml:space="preserve"> a přípravk</w:t>
      </w:r>
      <w:r>
        <w:rPr>
          <w:sz w:val="16"/>
          <w:szCs w:val="16"/>
        </w:rPr>
        <w:t>ů</w:t>
      </w:r>
      <w:r w:rsidRPr="00870373">
        <w:rPr>
          <w:sz w:val="16"/>
          <w:szCs w:val="16"/>
        </w:rPr>
        <w:t xml:space="preserve"> (na 13 %) vyvolaných eskalací války v oblasti Perského zálivu. </w:t>
      </w:r>
    </w:p>
  </w:footnote>
  <w:footnote w:id="15">
    <w:p w14:paraId="32FA617F" w14:textId="77777777" w:rsidR="00DD1A46" w:rsidRPr="006B7557" w:rsidRDefault="00DD1A46" w:rsidP="00DD1A46">
      <w:pPr>
        <w:pStyle w:val="Textpoznpodarou"/>
        <w:rPr>
          <w:sz w:val="16"/>
          <w:szCs w:val="16"/>
        </w:rPr>
      </w:pPr>
      <w:r w:rsidRPr="006B7557">
        <w:rPr>
          <w:rStyle w:val="Znakapoznpodarou"/>
          <w:sz w:val="16"/>
          <w:szCs w:val="16"/>
        </w:rPr>
        <w:footnoteRef/>
      </w:r>
      <w:r w:rsidRPr="006B7557">
        <w:rPr>
          <w:sz w:val="16"/>
          <w:szCs w:val="16"/>
        </w:rPr>
        <w:t xml:space="preserve"> V červenci vyjádřili nejvyšší saldo důvěry podnikatelé v ostatním zpracovatelském průmyslu (+32 bodu), výrobě motorových vozidel (+18) </w:t>
      </w:r>
      <w:r>
        <w:rPr>
          <w:sz w:val="16"/>
          <w:szCs w:val="16"/>
        </w:rPr>
        <w:t>a dále např. v elektrotechnice (+4), opravách strojů (+4) či ve výrobě nápojů (+2). Opačně na tom bylo zejména gumárenství a</w:t>
      </w:r>
      <w:r w:rsidRPr="00870373">
        <w:rPr>
          <w:sz w:val="16"/>
          <w:szCs w:val="16"/>
        </w:rPr>
        <w:t> </w:t>
      </w:r>
      <w:proofErr w:type="spellStart"/>
      <w:r>
        <w:rPr>
          <w:sz w:val="16"/>
          <w:szCs w:val="16"/>
        </w:rPr>
        <w:t>plastikářství</w:t>
      </w:r>
      <w:proofErr w:type="spellEnd"/>
      <w:r>
        <w:rPr>
          <w:sz w:val="16"/>
          <w:szCs w:val="16"/>
        </w:rPr>
        <w:t xml:space="preserve"> (−42), nábytkářství (−20), farmacie (−12) a dále např. výroba stavebních materiálů (−8).</w:t>
      </w:r>
    </w:p>
  </w:footnote>
  <w:footnote w:id="16">
    <w:p w14:paraId="4A7B050D"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Podniky mohly uvést více bariér současně.</w:t>
      </w:r>
    </w:p>
  </w:footnote>
  <w:footnote w:id="17">
    <w:p w14:paraId="6C7D9B3D" w14:textId="77777777" w:rsidR="00DD1A46" w:rsidRPr="0093716F" w:rsidRDefault="00DD1A46" w:rsidP="00DD1A46">
      <w:pPr>
        <w:pStyle w:val="Textpoznpodarou"/>
        <w:rPr>
          <w:sz w:val="16"/>
          <w:szCs w:val="16"/>
        </w:rPr>
      </w:pPr>
      <w:r w:rsidRPr="0093716F">
        <w:rPr>
          <w:rStyle w:val="Znakapoznpodarou"/>
          <w:sz w:val="16"/>
          <w:szCs w:val="16"/>
        </w:rPr>
        <w:footnoteRef/>
      </w:r>
      <w:r w:rsidRPr="0093716F">
        <w:rPr>
          <w:sz w:val="16"/>
          <w:szCs w:val="16"/>
        </w:rPr>
        <w:t xml:space="preserve"> Jako bariéru zmínilo tento faktor aktuálně 11 % podniků, což se nevymyká dlouhodobému průměru.</w:t>
      </w:r>
      <w:r>
        <w:rPr>
          <w:sz w:val="16"/>
          <w:szCs w:val="16"/>
        </w:rPr>
        <w:t xml:space="preserve"> Na druhou stranu </w:t>
      </w:r>
      <w:r w:rsidRPr="0093716F">
        <w:rPr>
          <w:sz w:val="16"/>
          <w:szCs w:val="16"/>
        </w:rPr>
        <w:t>vzrostl význam ostatních omezujících faktorů – na počátku 3. čtvrtletí až na 21 % (nejvyšší podíl od konce roku 2023), kde firmy samy nejčastěji uváděly zhoršenou geopolitickou situaci, resp. její dopady na růst energetických nákladů, PHM a dalších vstupů.</w:t>
      </w:r>
    </w:p>
  </w:footnote>
  <w:footnote w:id="18">
    <w:p w14:paraId="29B952FF" w14:textId="77777777" w:rsidR="00DD1A46" w:rsidRPr="004A0F58" w:rsidRDefault="00DD1A46" w:rsidP="00DD1A46">
      <w:pPr>
        <w:pStyle w:val="Textpoznpodarou"/>
        <w:jc w:val="both"/>
        <w:rPr>
          <w:color w:val="0D0D0D" w:themeColor="text1" w:themeTint="F2"/>
          <w:spacing w:val="-2"/>
          <w:sz w:val="16"/>
          <w:szCs w:val="16"/>
        </w:rPr>
      </w:pPr>
      <w:r w:rsidRPr="004A0F58">
        <w:rPr>
          <w:rStyle w:val="Znakapoznpodarou"/>
          <w:rFonts w:cs="Arial"/>
          <w:color w:val="0D0D0D" w:themeColor="text1" w:themeTint="F2"/>
          <w:spacing w:val="-2"/>
          <w:sz w:val="16"/>
          <w:szCs w:val="16"/>
        </w:rPr>
        <w:footnoteRef/>
      </w:r>
      <w:r w:rsidRPr="004A0F58">
        <w:rPr>
          <w:rFonts w:cs="Arial"/>
          <w:color w:val="0D0D0D" w:themeColor="text1" w:themeTint="F2"/>
          <w:spacing w:val="-2"/>
          <w:sz w:val="16"/>
          <w:szCs w:val="16"/>
        </w:rPr>
        <w:t xml:space="preserve"> Údaje o stavební produkci jsou ve stálých cenách, meziroční tempa jsou očištěna o kalendářní vlivy, mezičtvrtletní též o vliv sezónnosti.</w:t>
      </w:r>
    </w:p>
  </w:footnote>
  <w:footnote w:id="19">
    <w:p w14:paraId="45B1C067" w14:textId="77777777" w:rsidR="00DD1A46" w:rsidRDefault="00DD1A46" w:rsidP="00DD1A46">
      <w:pPr>
        <w:pStyle w:val="Textpoznpodarou"/>
      </w:pPr>
      <w:r w:rsidRPr="00AD305C">
        <w:rPr>
          <w:rStyle w:val="Znakapoznpodarou"/>
          <w:sz w:val="16"/>
          <w:szCs w:val="16"/>
        </w:rPr>
        <w:footnoteRef/>
      </w:r>
      <w:r w:rsidRPr="00AD305C">
        <w:rPr>
          <w:sz w:val="16"/>
          <w:szCs w:val="16"/>
        </w:rPr>
        <w:t xml:space="preserve"> I tak byl ovšem letos počet zahájených bytů v metropoli relativně významný (4,2 tis.). Ve stejném období loňského roku totiž dosáhl 4,6 tis., což v rámci 1. pololetí znamenalo nej</w:t>
      </w:r>
      <w:r>
        <w:rPr>
          <w:sz w:val="16"/>
          <w:szCs w:val="16"/>
        </w:rPr>
        <w:t xml:space="preserve">silnější </w:t>
      </w:r>
      <w:r w:rsidRPr="00AD305C">
        <w:rPr>
          <w:sz w:val="16"/>
          <w:szCs w:val="16"/>
        </w:rPr>
        <w:t>výstavbu od počátku 90. let.</w:t>
      </w:r>
    </w:p>
  </w:footnote>
  <w:footnote w:id="20">
    <w:p w14:paraId="4F2EF8FF" w14:textId="77777777" w:rsidR="00DD1A46" w:rsidRPr="00B40B27" w:rsidRDefault="00DD1A46" w:rsidP="00DD1A46">
      <w:pPr>
        <w:pStyle w:val="Textpoznpodarou"/>
        <w:rPr>
          <w:sz w:val="16"/>
          <w:szCs w:val="16"/>
        </w:rPr>
      </w:pPr>
      <w:r w:rsidRPr="00B40B27">
        <w:rPr>
          <w:rStyle w:val="Znakapoznpodarou"/>
          <w:sz w:val="16"/>
          <w:szCs w:val="16"/>
        </w:rPr>
        <w:footnoteRef/>
      </w:r>
      <w:r w:rsidRPr="00B40B27">
        <w:rPr>
          <w:sz w:val="16"/>
          <w:szCs w:val="16"/>
        </w:rPr>
        <w:t xml:space="preserve"> </w:t>
      </w:r>
      <w:r w:rsidRPr="00B40B27">
        <w:rPr>
          <w:rStyle w:val="normaltextrun"/>
          <w:rFonts w:eastAsiaTheme="majorEastAsia" w:cs="Arial"/>
          <w:color w:val="0D0D0D" w:themeColor="text1" w:themeTint="F2"/>
          <w:spacing w:val="-2"/>
          <w:sz w:val="16"/>
          <w:szCs w:val="16"/>
        </w:rPr>
        <w:t>Zásoba práce klesá pouze v okrajovém segmentu zakázek v zahraničí (</w:t>
      </w:r>
      <w:r w:rsidRPr="004A0F58">
        <w:rPr>
          <w:rStyle w:val="normaltextrun"/>
          <w:rFonts w:eastAsiaTheme="majorEastAsia" w:cs="Arial"/>
          <w:color w:val="0D0D0D" w:themeColor="text1" w:themeTint="F2"/>
          <w:spacing w:val="-2"/>
          <w:sz w:val="16"/>
          <w:szCs w:val="16"/>
        </w:rPr>
        <w:t>−</w:t>
      </w:r>
      <w:r w:rsidRPr="00B40B27">
        <w:rPr>
          <w:rStyle w:val="normaltextrun"/>
          <w:rFonts w:eastAsiaTheme="majorEastAsia" w:cs="Arial"/>
          <w:color w:val="0D0D0D" w:themeColor="text1" w:themeTint="F2"/>
          <w:spacing w:val="-2"/>
          <w:sz w:val="16"/>
          <w:szCs w:val="16"/>
        </w:rPr>
        <w:t>14,</w:t>
      </w:r>
      <w:r>
        <w:rPr>
          <w:rStyle w:val="normaltextrun"/>
          <w:rFonts w:eastAsiaTheme="majorEastAsia" w:cs="Arial"/>
          <w:color w:val="0D0D0D" w:themeColor="text1" w:themeTint="F2"/>
          <w:spacing w:val="-2"/>
          <w:sz w:val="16"/>
          <w:szCs w:val="16"/>
        </w:rPr>
        <w:t>0</w:t>
      </w:r>
      <w:r w:rsidRPr="00B40B27">
        <w:rPr>
          <w:rStyle w:val="normaltextrun"/>
          <w:rFonts w:eastAsiaTheme="majorEastAsia" w:cs="Arial"/>
          <w:color w:val="0D0D0D" w:themeColor="text1" w:themeTint="F2"/>
          <w:spacing w:val="-2"/>
          <w:sz w:val="16"/>
          <w:szCs w:val="16"/>
        </w:rPr>
        <w:t xml:space="preserve"> %, pokles přetrvává třetí kvartál v řadě).</w:t>
      </w:r>
    </w:p>
  </w:footnote>
  <w:footnote w:id="21">
    <w:p w14:paraId="581336B6" w14:textId="77777777" w:rsidR="00DD1A46" w:rsidRPr="003B0E98" w:rsidRDefault="00DD1A46" w:rsidP="00DD1A46">
      <w:pPr>
        <w:pStyle w:val="Textpoznpodarou"/>
        <w:rPr>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rStyle w:val="normaltextrun"/>
          <w:rFonts w:eastAsiaTheme="majorEastAsia"/>
          <w:color w:val="0D0D0D" w:themeColor="text1" w:themeTint="F2"/>
          <w:spacing w:val="-2"/>
          <w:sz w:val="16"/>
          <w:szCs w:val="16"/>
        </w:rPr>
        <w:t xml:space="preserve">Údaje o podlahové ploše povolené nové výstavby budov však pokrývají hodnotově pouze zhruba 40 % až 50 % všech dříve (do prosince 2025) publikovaných povolení. Mírně nadpoloviční většina (53 %) orientačních hodnot staveb povolených v roce 2025 tak připadala na jiné účely. Šlo o rekonstrukce a modernizace stávajících budov (22 %), inženýrské dopravní stavby (20 %) a ostatní inženýrské stavby (11 %), např. v oblasti energetiky. Od ledna 2026 jsou dostupné údaje o počtu, nikoliv hodnotě povolených staveb. Celkově se počet těchto povolení </w:t>
      </w:r>
      <w:r>
        <w:rPr>
          <w:rStyle w:val="normaltextrun"/>
          <w:rFonts w:eastAsiaTheme="majorEastAsia"/>
          <w:color w:val="0D0D0D" w:themeColor="text1" w:themeTint="F2"/>
          <w:spacing w:val="-2"/>
          <w:sz w:val="16"/>
          <w:szCs w:val="16"/>
        </w:rPr>
        <w:t xml:space="preserve">letos v 1. pololetí </w:t>
      </w:r>
      <w:r w:rsidRPr="004A0F58">
        <w:rPr>
          <w:rStyle w:val="normaltextrun"/>
          <w:rFonts w:eastAsiaTheme="majorEastAsia"/>
          <w:color w:val="0D0D0D" w:themeColor="text1" w:themeTint="F2"/>
          <w:spacing w:val="-2"/>
          <w:sz w:val="16"/>
          <w:szCs w:val="16"/>
        </w:rPr>
        <w:t xml:space="preserve">meziročně zvýšil o </w:t>
      </w:r>
      <w:r>
        <w:rPr>
          <w:rStyle w:val="normaltextrun"/>
          <w:rFonts w:eastAsiaTheme="majorEastAsia"/>
          <w:color w:val="0D0D0D" w:themeColor="text1" w:themeTint="F2"/>
          <w:spacing w:val="-2"/>
          <w:sz w:val="16"/>
          <w:szCs w:val="16"/>
        </w:rPr>
        <w:t>7</w:t>
      </w:r>
      <w:r w:rsidRPr="004A0F58">
        <w:rPr>
          <w:rStyle w:val="normaltextrun"/>
          <w:rFonts w:eastAsiaTheme="majorEastAsia"/>
          <w:color w:val="0D0D0D" w:themeColor="text1" w:themeTint="F2"/>
          <w:spacing w:val="-2"/>
          <w:sz w:val="16"/>
          <w:szCs w:val="16"/>
        </w:rPr>
        <w:t xml:space="preserve"> %, z toho v nové výstavbě budov o </w:t>
      </w:r>
      <w:r>
        <w:rPr>
          <w:rStyle w:val="normaltextrun"/>
          <w:rFonts w:eastAsiaTheme="majorEastAsia"/>
          <w:color w:val="0D0D0D" w:themeColor="text1" w:themeTint="F2"/>
          <w:spacing w:val="-2"/>
          <w:sz w:val="16"/>
          <w:szCs w:val="16"/>
        </w:rPr>
        <w:t>21</w:t>
      </w:r>
      <w:r w:rsidRPr="004A0F58">
        <w:rPr>
          <w:rStyle w:val="normaltextrun"/>
          <w:rFonts w:eastAsiaTheme="majorEastAsia"/>
          <w:color w:val="0D0D0D" w:themeColor="text1" w:themeTint="F2"/>
          <w:spacing w:val="-2"/>
          <w:sz w:val="16"/>
          <w:szCs w:val="16"/>
        </w:rPr>
        <w:t xml:space="preserve"> %, dále rostl za inženýrské dopravní stavby (+1</w:t>
      </w:r>
      <w:r>
        <w:rPr>
          <w:rStyle w:val="normaltextrun"/>
          <w:rFonts w:eastAsiaTheme="majorEastAsia"/>
          <w:color w:val="0D0D0D" w:themeColor="text1" w:themeTint="F2"/>
          <w:spacing w:val="-2"/>
          <w:sz w:val="16"/>
          <w:szCs w:val="16"/>
        </w:rPr>
        <w:t>5</w:t>
      </w:r>
      <w:r w:rsidRPr="004A0F58">
        <w:rPr>
          <w:rStyle w:val="normaltextrun"/>
          <w:rFonts w:eastAsiaTheme="majorEastAsia"/>
          <w:color w:val="0D0D0D" w:themeColor="text1" w:themeTint="F2"/>
          <w:spacing w:val="-2"/>
          <w:sz w:val="16"/>
          <w:szCs w:val="16"/>
        </w:rPr>
        <w:t xml:space="preserve"> %) a ostatní </w:t>
      </w:r>
      <w:r>
        <w:rPr>
          <w:rStyle w:val="normaltextrun"/>
          <w:rFonts w:eastAsiaTheme="majorEastAsia"/>
          <w:color w:val="0D0D0D" w:themeColor="text1" w:themeTint="F2"/>
          <w:spacing w:val="-2"/>
          <w:sz w:val="16"/>
          <w:szCs w:val="16"/>
        </w:rPr>
        <w:t>inženýrské</w:t>
      </w:r>
      <w:r w:rsidRPr="004A0F58">
        <w:rPr>
          <w:rStyle w:val="normaltextrun"/>
          <w:rFonts w:eastAsiaTheme="majorEastAsia"/>
          <w:color w:val="0D0D0D" w:themeColor="text1" w:themeTint="F2"/>
          <w:spacing w:val="-2"/>
          <w:sz w:val="16"/>
          <w:szCs w:val="16"/>
        </w:rPr>
        <w:t xml:space="preserve"> stavby (+10 %), klesl naopak</w:t>
      </w:r>
      <w:r>
        <w:rPr>
          <w:rStyle w:val="normaltextrun"/>
          <w:rFonts w:eastAsiaTheme="majorEastAsia"/>
          <w:color w:val="0D0D0D" w:themeColor="text1" w:themeTint="F2"/>
          <w:spacing w:val="-2"/>
          <w:sz w:val="16"/>
          <w:szCs w:val="16"/>
        </w:rPr>
        <w:t xml:space="preserve"> především</w:t>
      </w:r>
      <w:r w:rsidRPr="004A0F58">
        <w:rPr>
          <w:rStyle w:val="normaltextrun"/>
          <w:rFonts w:eastAsiaTheme="majorEastAsia"/>
          <w:color w:val="0D0D0D" w:themeColor="text1" w:themeTint="F2"/>
          <w:spacing w:val="-2"/>
          <w:sz w:val="16"/>
          <w:szCs w:val="16"/>
        </w:rPr>
        <w:t xml:space="preserve"> za rekonstrukce a modernizace stávajících budov (</w:t>
      </w:r>
      <w:r w:rsidRPr="004A0F58">
        <w:rPr>
          <w:rStyle w:val="normaltextrun"/>
          <w:rFonts w:eastAsiaTheme="majorEastAsia" w:cs="Arial"/>
          <w:color w:val="0D0D0D" w:themeColor="text1" w:themeTint="F2"/>
          <w:spacing w:val="-2"/>
          <w:sz w:val="16"/>
          <w:szCs w:val="16"/>
        </w:rPr>
        <w:t>−</w:t>
      </w:r>
      <w:r>
        <w:rPr>
          <w:rStyle w:val="normaltextrun"/>
          <w:rFonts w:eastAsiaTheme="majorEastAsia"/>
          <w:color w:val="0D0D0D" w:themeColor="text1" w:themeTint="F2"/>
          <w:spacing w:val="-2"/>
          <w:sz w:val="16"/>
          <w:szCs w:val="16"/>
        </w:rPr>
        <w:t>9</w:t>
      </w:r>
      <w:r w:rsidRPr="004A0F58">
        <w:rPr>
          <w:rStyle w:val="normaltextrun"/>
          <w:rFonts w:eastAsiaTheme="majorEastAsia"/>
          <w:color w:val="0D0D0D" w:themeColor="text1" w:themeTint="F2"/>
          <w:spacing w:val="-2"/>
          <w:sz w:val="16"/>
          <w:szCs w:val="16"/>
        </w:rPr>
        <w:t xml:space="preserve"> %)</w:t>
      </w:r>
      <w:r>
        <w:rPr>
          <w:rStyle w:val="normaltextrun"/>
          <w:rFonts w:eastAsiaTheme="majorEastAsia"/>
          <w:color w:val="0D0D0D" w:themeColor="text1" w:themeTint="F2"/>
          <w:spacing w:val="-2"/>
          <w:sz w:val="16"/>
          <w:szCs w:val="16"/>
        </w:rPr>
        <w:t>.</w:t>
      </w:r>
    </w:p>
  </w:footnote>
  <w:footnote w:id="22">
    <w:p w14:paraId="7426C96B" w14:textId="77777777" w:rsidR="00DD1A46" w:rsidRPr="004A0F58" w:rsidRDefault="00DD1A46" w:rsidP="00DD1A46">
      <w:pPr>
        <w:pStyle w:val="Textpoznpodarou"/>
        <w:rPr>
          <w:color w:val="0D0D0D" w:themeColor="text1" w:themeTint="F2"/>
          <w:spacing w:val="-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color w:val="0D0D0D" w:themeColor="text1" w:themeTint="F2"/>
          <w:spacing w:val="-2"/>
          <w:sz w:val="16"/>
          <w:szCs w:val="16"/>
        </w:rPr>
        <w:t xml:space="preserve">Evidenční počet zaměstnanců (ve stavebních podnicích nad 50 pracovníků) se letos </w:t>
      </w:r>
      <w:r>
        <w:rPr>
          <w:color w:val="0D0D0D" w:themeColor="text1" w:themeTint="F2"/>
          <w:spacing w:val="-2"/>
          <w:sz w:val="16"/>
          <w:szCs w:val="16"/>
        </w:rPr>
        <w:t>v 1. pololetí</w:t>
      </w:r>
      <w:r w:rsidRPr="004A0F58">
        <w:rPr>
          <w:color w:val="0D0D0D" w:themeColor="text1" w:themeTint="F2"/>
          <w:spacing w:val="-2"/>
          <w:sz w:val="16"/>
          <w:szCs w:val="16"/>
        </w:rPr>
        <w:t xml:space="preserve"> meziročně zvýšil již o 2,1 %. Z</w:t>
      </w:r>
      <w:r>
        <w:rPr>
          <w:color w:val="0D0D0D" w:themeColor="text1" w:themeTint="F2"/>
          <w:spacing w:val="-2"/>
          <w:sz w:val="16"/>
          <w:szCs w:val="16"/>
        </w:rPr>
        <w:t>e</w:t>
      </w:r>
      <w:r w:rsidRPr="004A0F58">
        <w:rPr>
          <w:color w:val="0D0D0D" w:themeColor="text1" w:themeTint="F2"/>
          <w:spacing w:val="-2"/>
          <w:sz w:val="16"/>
          <w:szCs w:val="16"/>
        </w:rPr>
        <w:t xml:space="preserve"> čtvrtletních údajů pokrývajících celé odvětví plyne, že se zaměstnanost zvyšovala i v menších podnicích.  </w:t>
      </w:r>
    </w:p>
  </w:footnote>
  <w:footnote w:id="23">
    <w:p w14:paraId="0F09FDE4" w14:textId="77777777" w:rsidR="00DD1A46" w:rsidRPr="004A0F58" w:rsidRDefault="00DD1A46" w:rsidP="00DD1A46">
      <w:pPr>
        <w:pStyle w:val="Textpoznpodarou"/>
        <w:rPr>
          <w:color w:val="0D0D0D" w:themeColor="text1" w:themeTint="F2"/>
          <w:spacing w:val="-2"/>
          <w:sz w:val="16"/>
          <w:szCs w:val="16"/>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w:t>
      </w:r>
      <w:r w:rsidRPr="004A0F58">
        <w:rPr>
          <w:rStyle w:val="normaltextrun"/>
          <w:rFonts w:eastAsiaTheme="majorEastAsia" w:cs="Arial"/>
          <w:color w:val="0D0D0D" w:themeColor="text1" w:themeTint="F2"/>
          <w:spacing w:val="-2"/>
          <w:sz w:val="16"/>
          <w:szCs w:val="16"/>
        </w:rPr>
        <w:t xml:space="preserve">Nedostatečná poptávka nadále nejvíce sužovala podniky v segmentu výstavby budov </w:t>
      </w:r>
      <w:r>
        <w:rPr>
          <w:rStyle w:val="normaltextrun"/>
          <w:rFonts w:eastAsiaTheme="majorEastAsia" w:cs="Arial"/>
          <w:color w:val="0D0D0D" w:themeColor="text1" w:themeTint="F2"/>
          <w:spacing w:val="-2"/>
          <w:sz w:val="16"/>
          <w:szCs w:val="16"/>
        </w:rPr>
        <w:t>(40 % firem)</w:t>
      </w:r>
      <w:r w:rsidRPr="004A0F58">
        <w:rPr>
          <w:rStyle w:val="normaltextrun"/>
          <w:rFonts w:eastAsiaTheme="majorEastAsia" w:cs="Arial"/>
          <w:color w:val="0D0D0D" w:themeColor="text1" w:themeTint="F2"/>
          <w:spacing w:val="-2"/>
          <w:sz w:val="16"/>
          <w:szCs w:val="16"/>
        </w:rPr>
        <w:t xml:space="preserve">. Nedostatek pracovníků omezoval s podobnou intenzitou podniky </w:t>
      </w:r>
      <w:r>
        <w:rPr>
          <w:rStyle w:val="normaltextrun"/>
          <w:rFonts w:eastAsiaTheme="majorEastAsia" w:cs="Arial"/>
          <w:color w:val="0D0D0D" w:themeColor="text1" w:themeTint="F2"/>
          <w:spacing w:val="-2"/>
          <w:sz w:val="16"/>
          <w:szCs w:val="16"/>
        </w:rPr>
        <w:t xml:space="preserve">ve </w:t>
      </w:r>
      <w:r w:rsidRPr="004A0F58">
        <w:rPr>
          <w:rStyle w:val="normaltextrun"/>
          <w:rFonts w:eastAsiaTheme="majorEastAsia" w:cs="Arial"/>
          <w:color w:val="0D0D0D" w:themeColor="text1" w:themeTint="F2"/>
          <w:spacing w:val="-2"/>
          <w:sz w:val="16"/>
          <w:szCs w:val="16"/>
        </w:rPr>
        <w:t>všech třech hlavních segmentech stavebnictví</w:t>
      </w:r>
      <w:r>
        <w:rPr>
          <w:rStyle w:val="normaltextrun"/>
          <w:rFonts w:eastAsiaTheme="majorEastAsia" w:cs="Arial"/>
          <w:color w:val="0D0D0D" w:themeColor="text1" w:themeTint="F2"/>
          <w:spacing w:val="-2"/>
          <w:sz w:val="16"/>
          <w:szCs w:val="16"/>
        </w:rPr>
        <w:t xml:space="preserve"> a představoval pro ně klíčovou růstovou bariéru.</w:t>
      </w:r>
    </w:p>
  </w:footnote>
  <w:footnote w:id="24">
    <w:p w14:paraId="0D5DDC96" w14:textId="77777777" w:rsidR="00DD1A46" w:rsidRPr="00EB5C45" w:rsidRDefault="00DD1A46" w:rsidP="00DD1A46">
      <w:pPr>
        <w:pStyle w:val="Textpoznpodarou"/>
        <w:rPr>
          <w:sz w:val="16"/>
          <w:szCs w:val="16"/>
        </w:rPr>
      </w:pPr>
      <w:r w:rsidRPr="00EB5C45">
        <w:rPr>
          <w:rStyle w:val="Znakapoznpodarou"/>
          <w:sz w:val="16"/>
          <w:szCs w:val="16"/>
        </w:rPr>
        <w:footnoteRef/>
      </w:r>
      <w:r w:rsidRPr="00EB5C45">
        <w:rPr>
          <w:sz w:val="16"/>
          <w:szCs w:val="16"/>
        </w:rPr>
        <w:t xml:space="preserve"> V srpnu 2026 předpokládalo (v tříměsíčním výhledu) růst prodejních cen 20 % </w:t>
      </w:r>
      <w:r>
        <w:rPr>
          <w:sz w:val="16"/>
          <w:szCs w:val="16"/>
        </w:rPr>
        <w:t xml:space="preserve">stavebních </w:t>
      </w:r>
      <w:r w:rsidRPr="00EB5C45">
        <w:rPr>
          <w:sz w:val="16"/>
          <w:szCs w:val="16"/>
        </w:rPr>
        <w:t xml:space="preserve">podniků. To bylo sice znatelně méně než letos v dubnu (37 %, dočasné vzedmutí vlivem dopadů konfliktu v Perském zálivu), avšak stále nepatrně více než loni na konci léta. </w:t>
      </w:r>
    </w:p>
  </w:footnote>
  <w:footnote w:id="25">
    <w:p w14:paraId="64E42847" w14:textId="77777777" w:rsidR="00DD1A46" w:rsidRPr="004A0F58" w:rsidRDefault="00DD1A46" w:rsidP="00DD1A46">
      <w:pPr>
        <w:spacing w:after="0" w:line="240" w:lineRule="auto"/>
        <w:rPr>
          <w:color w:val="0D0D0D" w:themeColor="text1" w:themeTint="F2"/>
          <w:spacing w:val="-2"/>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Bez obchodu, peněžnictví, pojišťovnictví, vědy, výzkumu a veřejných služeb. Všechny údaje za tržby ve službách jsou ve stálých cenách, meziroční data jsou očištěna o kalendářní vlivy, mezičtvrtletní jsou očištěna o sezónní vlivy (včetně vlivu počtu pracovních dnů).</w:t>
      </w:r>
    </w:p>
  </w:footnote>
  <w:footnote w:id="26">
    <w:p w14:paraId="1FEA1811" w14:textId="77777777" w:rsidR="00DD1A46" w:rsidRPr="00CE1156" w:rsidRDefault="00DD1A46" w:rsidP="00DD1A46">
      <w:pPr>
        <w:pStyle w:val="Textpoznpodarou"/>
        <w:rPr>
          <w:sz w:val="16"/>
          <w:szCs w:val="16"/>
        </w:rPr>
      </w:pPr>
      <w:r w:rsidRPr="00CE1156">
        <w:rPr>
          <w:rStyle w:val="Znakapoznpodarou"/>
          <w:sz w:val="16"/>
          <w:szCs w:val="16"/>
        </w:rPr>
        <w:footnoteRef/>
      </w:r>
      <w:r w:rsidRPr="00CE1156">
        <w:rPr>
          <w:sz w:val="16"/>
          <w:szCs w:val="16"/>
        </w:rPr>
        <w:t xml:space="preserve"> Odhlédneme-li od rychlého oživení tohoto odvětví po ústupu pandemie (na přelomu let 2021 a 2022), pak zde představuje letošní tempo nejvyšší růst od 2. pololetí 2007.</w:t>
      </w:r>
    </w:p>
  </w:footnote>
  <w:footnote w:id="27">
    <w:p w14:paraId="72AA09B5"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Toto dílčí odvětví, v němž hrají významnou roli drobní podnikatelé a jež byl</w:t>
      </w:r>
      <w:r>
        <w:rPr>
          <w:color w:val="0D0D0D" w:themeColor="text1" w:themeTint="F2"/>
          <w:spacing w:val="-2"/>
          <w:sz w:val="16"/>
          <w:szCs w:val="16"/>
        </w:rPr>
        <w:t>o</w:t>
      </w:r>
      <w:r w:rsidRPr="004A0F58">
        <w:rPr>
          <w:color w:val="0D0D0D" w:themeColor="text1" w:themeTint="F2"/>
          <w:spacing w:val="-2"/>
          <w:sz w:val="16"/>
          <w:szCs w:val="16"/>
        </w:rPr>
        <w:t xml:space="preserve"> výrazně zasažen</w:t>
      </w:r>
      <w:r>
        <w:rPr>
          <w:color w:val="0D0D0D" w:themeColor="text1" w:themeTint="F2"/>
          <w:spacing w:val="-2"/>
          <w:sz w:val="16"/>
          <w:szCs w:val="16"/>
        </w:rPr>
        <w:t>o</w:t>
      </w:r>
      <w:r w:rsidRPr="004A0F58">
        <w:rPr>
          <w:color w:val="0D0D0D" w:themeColor="text1" w:themeTint="F2"/>
          <w:spacing w:val="-2"/>
          <w:sz w:val="16"/>
          <w:szCs w:val="16"/>
        </w:rPr>
        <w:t xml:space="preserve"> propadem poptávky během období pandemie, zahrnuje zejména zprostředkovatelské činnosti, návrhářské, překladatelské a fotografické služby, ale např. také činnosti stavebního dozoru.</w:t>
      </w:r>
    </w:p>
  </w:footnote>
  <w:footnote w:id="28">
    <w:p w14:paraId="0043542D" w14:textId="77777777" w:rsidR="00DD1A46" w:rsidRPr="004A0F58" w:rsidRDefault="00DD1A46" w:rsidP="00DD1A46">
      <w:pPr>
        <w:pStyle w:val="Textpoznpodarou"/>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zahrnutí různorodé aktivity, vč. manipulace s nákladem.</w:t>
      </w:r>
    </w:p>
  </w:footnote>
  <w:footnote w:id="29">
    <w:p w14:paraId="3200F9B9"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w:t>
      </w:r>
      <w:r w:rsidRPr="004A0F58">
        <w:rPr>
          <w:color w:val="0D0D0D" w:themeColor="text1" w:themeTint="F2"/>
          <w:spacing w:val="-6"/>
          <w:sz w:val="16"/>
          <w:szCs w:val="16"/>
        </w:rPr>
        <w:t>zahrnují zejména programování, poradenství v oblasti informačních technologií či správu počítačového vybavení.</w:t>
      </w:r>
    </w:p>
  </w:footnote>
  <w:footnote w:id="30">
    <w:p w14:paraId="6A78EA99" w14:textId="77777777" w:rsidR="00DD1A46" w:rsidRPr="004A0F58" w:rsidRDefault="00DD1A46" w:rsidP="00DD1A46">
      <w:pPr>
        <w:pStyle w:val="Textpoznpodarou"/>
        <w:jc w:val="both"/>
        <w:rPr>
          <w:color w:val="0D0D0D" w:themeColor="text1" w:themeTint="F2"/>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Jde především o činnosti webových portálů, zpravodajských tiskových kanceláří a agentur či zpracování dat a hosting. Ve druhé polovině minulé dekády, ale i během „pandemického období“ patřil přitom růst poptávky v tomto oboru v rámci služeb k nejvyšším. V letech 2022 až 2024 zde ovšem tržby celkově spíše stagnovaly a loni nastalo jen dílčí oživení. </w:t>
      </w:r>
    </w:p>
  </w:footnote>
  <w:footnote w:id="31">
    <w:p w14:paraId="3BCCE73E" w14:textId="77777777" w:rsidR="00DD1A46" w:rsidRPr="00281626" w:rsidRDefault="00DD1A46" w:rsidP="00DD1A46">
      <w:pPr>
        <w:pStyle w:val="Textpoznpodarou"/>
        <w:rPr>
          <w:sz w:val="16"/>
          <w:szCs w:val="16"/>
        </w:rPr>
      </w:pPr>
      <w:r w:rsidRPr="00281626">
        <w:rPr>
          <w:rStyle w:val="Znakapoznpodarou"/>
          <w:sz w:val="16"/>
          <w:szCs w:val="16"/>
        </w:rPr>
        <w:footnoteRef/>
      </w:r>
      <w:r w:rsidRPr="00281626">
        <w:rPr>
          <w:sz w:val="16"/>
          <w:szCs w:val="16"/>
        </w:rPr>
        <w:t xml:space="preserve"> </w:t>
      </w:r>
      <w:r w:rsidRPr="000E7FBC">
        <w:rPr>
          <w:spacing w:val="-2"/>
          <w:sz w:val="16"/>
          <w:szCs w:val="16"/>
        </w:rPr>
        <w:t>Zároveň přetrvával poměrně svižný růst cen těchto služeb. V nominálním vyjádření se zde tržby v</w:t>
      </w:r>
      <w:r>
        <w:rPr>
          <w:spacing w:val="-2"/>
          <w:sz w:val="16"/>
          <w:szCs w:val="16"/>
        </w:rPr>
        <w:t> </w:t>
      </w:r>
      <w:r w:rsidRPr="000E7FBC">
        <w:rPr>
          <w:spacing w:val="-2"/>
          <w:sz w:val="16"/>
          <w:szCs w:val="16"/>
        </w:rPr>
        <w:t>1</w:t>
      </w:r>
      <w:r>
        <w:rPr>
          <w:spacing w:val="-2"/>
          <w:sz w:val="16"/>
          <w:szCs w:val="16"/>
        </w:rPr>
        <w:t>.</w:t>
      </w:r>
      <w:r w:rsidRPr="000E7FBC">
        <w:rPr>
          <w:spacing w:val="-2"/>
          <w:sz w:val="16"/>
          <w:szCs w:val="16"/>
        </w:rPr>
        <w:t xml:space="preserve"> pololetí meziročně zvýšily o 11,9 %.</w:t>
      </w:r>
      <w:r w:rsidRPr="00281626">
        <w:rPr>
          <w:sz w:val="16"/>
          <w:szCs w:val="16"/>
        </w:rPr>
        <w:t xml:space="preserve"> </w:t>
      </w:r>
    </w:p>
  </w:footnote>
  <w:footnote w:id="32">
    <w:p w14:paraId="3ED0126F" w14:textId="77777777" w:rsidR="00DD1A46" w:rsidRPr="0093242F"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rFonts w:cs="Arial"/>
          <w:color w:val="0D0D0D" w:themeColor="text1" w:themeTint="F2"/>
          <w:sz w:val="16"/>
          <w:szCs w:val="16"/>
        </w:rPr>
        <w:t xml:space="preserve">Dle údajů </w:t>
      </w:r>
      <w:r w:rsidRPr="004A0F58">
        <w:rPr>
          <w:color w:val="0D0D0D" w:themeColor="text1" w:themeTint="F2"/>
          <w:sz w:val="16"/>
          <w:szCs w:val="16"/>
        </w:rPr>
        <w:t xml:space="preserve">Unie filmových distributorů vzrostly v 1. </w:t>
      </w:r>
      <w:r>
        <w:rPr>
          <w:color w:val="0D0D0D" w:themeColor="text1" w:themeTint="F2"/>
          <w:sz w:val="16"/>
          <w:szCs w:val="16"/>
        </w:rPr>
        <w:t>pololetí</w:t>
      </w:r>
      <w:r w:rsidRPr="004A0F58">
        <w:rPr>
          <w:color w:val="0D0D0D" w:themeColor="text1" w:themeTint="F2"/>
          <w:sz w:val="16"/>
          <w:szCs w:val="16"/>
        </w:rPr>
        <w:t xml:space="preserve"> 2026 hrubé nominální tržby provozovatelů kin v Česku meziročně </w:t>
      </w:r>
      <w:r>
        <w:rPr>
          <w:color w:val="0D0D0D" w:themeColor="text1" w:themeTint="F2"/>
          <w:sz w:val="16"/>
          <w:szCs w:val="16"/>
        </w:rPr>
        <w:t xml:space="preserve">pouze </w:t>
      </w:r>
      <w:r>
        <w:rPr>
          <w:color w:val="0D0D0D" w:themeColor="text1" w:themeTint="F2"/>
          <w:sz w:val="16"/>
          <w:szCs w:val="16"/>
        </w:rPr>
        <w:br/>
      </w:r>
      <w:r w:rsidRPr="004A0F58">
        <w:rPr>
          <w:color w:val="0D0D0D" w:themeColor="text1" w:themeTint="F2"/>
          <w:sz w:val="16"/>
          <w:szCs w:val="16"/>
        </w:rPr>
        <w:t xml:space="preserve">o </w:t>
      </w:r>
      <w:r>
        <w:rPr>
          <w:color w:val="0D0D0D" w:themeColor="text1" w:themeTint="F2"/>
          <w:sz w:val="16"/>
          <w:szCs w:val="16"/>
        </w:rPr>
        <w:t>0</w:t>
      </w:r>
      <w:r w:rsidRPr="004A0F58">
        <w:rPr>
          <w:color w:val="0D0D0D" w:themeColor="text1" w:themeTint="F2"/>
          <w:sz w:val="16"/>
          <w:szCs w:val="16"/>
        </w:rPr>
        <w:t>,</w:t>
      </w:r>
      <w:r>
        <w:rPr>
          <w:color w:val="0D0D0D" w:themeColor="text1" w:themeTint="F2"/>
          <w:sz w:val="16"/>
          <w:szCs w:val="16"/>
        </w:rPr>
        <w:t>7</w:t>
      </w:r>
      <w:r w:rsidRPr="004A0F58">
        <w:rPr>
          <w:color w:val="0D0D0D" w:themeColor="text1" w:themeTint="F2"/>
          <w:sz w:val="16"/>
          <w:szCs w:val="16"/>
        </w:rPr>
        <w:t xml:space="preserve"> %, a to při </w:t>
      </w:r>
      <w:r>
        <w:rPr>
          <w:color w:val="0D0D0D" w:themeColor="text1" w:themeTint="F2"/>
          <w:sz w:val="16"/>
          <w:szCs w:val="16"/>
        </w:rPr>
        <w:t>3%</w:t>
      </w:r>
      <w:r w:rsidRPr="004A0F58">
        <w:rPr>
          <w:color w:val="0D0D0D" w:themeColor="text1" w:themeTint="F2"/>
          <w:sz w:val="16"/>
          <w:szCs w:val="16"/>
        </w:rPr>
        <w:t xml:space="preserve"> </w:t>
      </w:r>
      <w:r>
        <w:rPr>
          <w:color w:val="0D0D0D" w:themeColor="text1" w:themeTint="F2"/>
          <w:sz w:val="16"/>
          <w:szCs w:val="16"/>
        </w:rPr>
        <w:t xml:space="preserve">poklesu </w:t>
      </w:r>
      <w:r w:rsidRPr="004A0F58">
        <w:rPr>
          <w:color w:val="0D0D0D" w:themeColor="text1" w:themeTint="F2"/>
          <w:sz w:val="16"/>
          <w:szCs w:val="16"/>
        </w:rPr>
        <w:t xml:space="preserve">celkové návštěvnosti. Oproti roku 2019, kdy většina výkonových ukazatelů dosáhla maxima, byla aktuální návštěvnost kin (při </w:t>
      </w:r>
      <w:r>
        <w:rPr>
          <w:color w:val="0D0D0D" w:themeColor="text1" w:themeTint="F2"/>
          <w:sz w:val="16"/>
          <w:szCs w:val="16"/>
        </w:rPr>
        <w:t>stagnaci</w:t>
      </w:r>
      <w:r w:rsidRPr="004A0F58">
        <w:rPr>
          <w:color w:val="0D0D0D" w:themeColor="text1" w:themeTint="F2"/>
          <w:sz w:val="16"/>
          <w:szCs w:val="16"/>
        </w:rPr>
        <w:t xml:space="preserve"> počtu odehraných představení) nižší o</w:t>
      </w:r>
      <w:r>
        <w:rPr>
          <w:color w:val="0D0D0D" w:themeColor="text1" w:themeTint="F2"/>
          <w:sz w:val="16"/>
          <w:szCs w:val="16"/>
        </w:rPr>
        <w:t xml:space="preserve"> 34</w:t>
      </w:r>
      <w:r w:rsidRPr="004A0F58">
        <w:rPr>
          <w:color w:val="0D0D0D" w:themeColor="text1" w:themeTint="F2"/>
          <w:sz w:val="16"/>
          <w:szCs w:val="16"/>
        </w:rPr>
        <w:t xml:space="preserve"> % a trž</w:t>
      </w:r>
      <w:r>
        <w:rPr>
          <w:color w:val="0D0D0D" w:themeColor="text1" w:themeTint="F2"/>
          <w:sz w:val="16"/>
          <w:szCs w:val="16"/>
        </w:rPr>
        <w:t>by</w:t>
      </w:r>
      <w:r w:rsidRPr="004A0F58">
        <w:rPr>
          <w:color w:val="0D0D0D" w:themeColor="text1" w:themeTint="F2"/>
          <w:sz w:val="16"/>
          <w:szCs w:val="16"/>
        </w:rPr>
        <w:t xml:space="preserve"> o </w:t>
      </w:r>
      <w:r>
        <w:rPr>
          <w:color w:val="0D0D0D" w:themeColor="text1" w:themeTint="F2"/>
          <w:sz w:val="16"/>
          <w:szCs w:val="16"/>
        </w:rPr>
        <w:t>15</w:t>
      </w:r>
      <w:r w:rsidRPr="004A0F58">
        <w:rPr>
          <w:color w:val="0D0D0D" w:themeColor="text1" w:themeTint="F2"/>
          <w:sz w:val="16"/>
          <w:szCs w:val="16"/>
        </w:rPr>
        <w:t xml:space="preserve"> %.</w:t>
      </w:r>
    </w:p>
  </w:footnote>
  <w:footnote w:id="33">
    <w:p w14:paraId="4F600F27" w14:textId="77777777" w:rsidR="00DD1A46" w:rsidRPr="004A0F58" w:rsidRDefault="00DD1A46" w:rsidP="00DD1A46">
      <w:pPr>
        <w:pStyle w:val="Textpoznpodarou"/>
        <w:jc w:val="both"/>
        <w:rPr>
          <w:color w:val="0D0D0D" w:themeColor="text1" w:themeTint="F2"/>
          <w:spacing w:val="-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color w:val="0D0D0D" w:themeColor="text1" w:themeTint="F2"/>
          <w:spacing w:val="-2"/>
          <w:sz w:val="16"/>
          <w:szCs w:val="16"/>
        </w:rPr>
        <w:t>V</w:t>
      </w:r>
      <w:r>
        <w:rPr>
          <w:color w:val="0D0D0D" w:themeColor="text1" w:themeTint="F2"/>
          <w:spacing w:val="-2"/>
          <w:sz w:val="16"/>
          <w:szCs w:val="16"/>
        </w:rPr>
        <w:t>e</w:t>
      </w:r>
      <w:r w:rsidRPr="004A0F58">
        <w:rPr>
          <w:color w:val="0D0D0D" w:themeColor="text1" w:themeTint="F2"/>
          <w:spacing w:val="-2"/>
          <w:sz w:val="16"/>
          <w:szCs w:val="16"/>
        </w:rPr>
        <w:t> </w:t>
      </w:r>
      <w:r>
        <w:rPr>
          <w:color w:val="0D0D0D" w:themeColor="text1" w:themeTint="F2"/>
          <w:spacing w:val="-2"/>
          <w:sz w:val="16"/>
          <w:szCs w:val="16"/>
        </w:rPr>
        <w:t>2</w:t>
      </w:r>
      <w:r w:rsidRPr="004A0F58">
        <w:rPr>
          <w:color w:val="0D0D0D" w:themeColor="text1" w:themeTint="F2"/>
          <w:spacing w:val="-2"/>
          <w:sz w:val="16"/>
          <w:szCs w:val="16"/>
        </w:rPr>
        <w:t>. čtvrtletí 2026 se zvýšily ceny ubytovacích služeb meziročně o 6,</w:t>
      </w:r>
      <w:r>
        <w:rPr>
          <w:color w:val="0D0D0D" w:themeColor="text1" w:themeTint="F2"/>
          <w:spacing w:val="-2"/>
          <w:sz w:val="16"/>
          <w:szCs w:val="16"/>
        </w:rPr>
        <w:t>4</w:t>
      </w:r>
      <w:r w:rsidRPr="004A0F58">
        <w:rPr>
          <w:color w:val="0D0D0D" w:themeColor="text1" w:themeTint="F2"/>
          <w:spacing w:val="-2"/>
          <w:sz w:val="16"/>
          <w:szCs w:val="16"/>
        </w:rPr>
        <w:t xml:space="preserve"> % a stravovacích služeb o 4,</w:t>
      </w:r>
      <w:r>
        <w:rPr>
          <w:color w:val="0D0D0D" w:themeColor="text1" w:themeTint="F2"/>
          <w:spacing w:val="-2"/>
          <w:sz w:val="16"/>
          <w:szCs w:val="16"/>
        </w:rPr>
        <w:t>1</w:t>
      </w:r>
      <w:r w:rsidRPr="004A0F58">
        <w:rPr>
          <w:color w:val="0D0D0D" w:themeColor="text1" w:themeTint="F2"/>
          <w:spacing w:val="-2"/>
          <w:sz w:val="16"/>
          <w:szCs w:val="16"/>
        </w:rPr>
        <w:t xml:space="preserve"> %. Proti roku 2015 byly v úhrnu za oba segmenty vyšší o </w:t>
      </w:r>
      <w:r>
        <w:rPr>
          <w:color w:val="0D0D0D" w:themeColor="text1" w:themeTint="F2"/>
          <w:spacing w:val="-2"/>
          <w:sz w:val="16"/>
          <w:szCs w:val="16"/>
        </w:rPr>
        <w:t>více než 100</w:t>
      </w:r>
      <w:r w:rsidRPr="004A0F58">
        <w:rPr>
          <w:color w:val="0D0D0D" w:themeColor="text1" w:themeTint="F2"/>
          <w:spacing w:val="-2"/>
          <w:sz w:val="16"/>
          <w:szCs w:val="16"/>
        </w:rPr>
        <w:t xml:space="preserve"> %, kdežto ceny v celém spotřebitelském koši se za stejné období navýšily „pouze“ o </w:t>
      </w:r>
      <w:r>
        <w:rPr>
          <w:color w:val="0D0D0D" w:themeColor="text1" w:themeTint="F2"/>
          <w:spacing w:val="-2"/>
          <w:sz w:val="16"/>
          <w:szCs w:val="16"/>
        </w:rPr>
        <w:t xml:space="preserve">necelých 60 </w:t>
      </w:r>
      <w:r w:rsidRPr="004A0F58">
        <w:rPr>
          <w:color w:val="0D0D0D" w:themeColor="text1" w:themeTint="F2"/>
          <w:spacing w:val="-2"/>
          <w:sz w:val="16"/>
          <w:szCs w:val="16"/>
        </w:rPr>
        <w:t>%.</w:t>
      </w:r>
    </w:p>
  </w:footnote>
  <w:footnote w:id="34">
    <w:p w14:paraId="33323B69"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zahrnují např. pořádání konferencí a výstav, inkasní činnosti, ověřování solventnosti zákazníka, ale také např. činnosti call-center. </w:t>
      </w:r>
    </w:p>
  </w:footnote>
  <w:footnote w:id="35">
    <w:p w14:paraId="291E08BB" w14:textId="77777777" w:rsidR="00DD1A46" w:rsidRPr="008D2DFF" w:rsidRDefault="00DD1A46" w:rsidP="00DD1A46">
      <w:pPr>
        <w:spacing w:after="0" w:line="240" w:lineRule="auto"/>
        <w:rPr>
          <w:bCs/>
          <w:color w:val="0D0D0D" w:themeColor="text1" w:themeTint="F2"/>
          <w:spacing w:val="-4"/>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bCs/>
          <w:color w:val="0D0D0D" w:themeColor="text1" w:themeTint="F2"/>
          <w:spacing w:val="-4"/>
          <w:sz w:val="16"/>
          <w:szCs w:val="16"/>
        </w:rPr>
        <w:t xml:space="preserve">Ty zahrnují především čištění a úklid budov a </w:t>
      </w:r>
      <w:r w:rsidRPr="008D2DFF">
        <w:rPr>
          <w:bCs/>
          <w:color w:val="0D0D0D" w:themeColor="text1" w:themeTint="F2"/>
          <w:spacing w:val="-4"/>
          <w:sz w:val="16"/>
          <w:szCs w:val="16"/>
        </w:rPr>
        <w:t>průmyslových zařízení.</w:t>
      </w:r>
    </w:p>
  </w:footnote>
  <w:footnote w:id="36">
    <w:p w14:paraId="0041C2C2" w14:textId="77777777" w:rsidR="00DD1A46" w:rsidRPr="004A0F58" w:rsidRDefault="00DD1A46" w:rsidP="00DD1A46">
      <w:pPr>
        <w:pStyle w:val="Textpoznpodarou"/>
        <w:jc w:val="both"/>
        <w:rPr>
          <w:color w:val="0D0D0D" w:themeColor="text1" w:themeTint="F2"/>
          <w:sz w:val="16"/>
          <w:szCs w:val="16"/>
        </w:rPr>
      </w:pPr>
      <w:r w:rsidRPr="008D2DFF">
        <w:rPr>
          <w:rStyle w:val="Znakapoznpodarou"/>
          <w:color w:val="0D0D0D" w:themeColor="text1" w:themeTint="F2"/>
          <w:sz w:val="16"/>
          <w:szCs w:val="16"/>
        </w:rPr>
        <w:footnoteRef/>
      </w:r>
      <w:r w:rsidRPr="008D2DFF">
        <w:rPr>
          <w:color w:val="0D0D0D" w:themeColor="text1" w:themeTint="F2"/>
          <w:sz w:val="16"/>
          <w:szCs w:val="16"/>
        </w:rPr>
        <w:t xml:space="preserve"> </w:t>
      </w:r>
      <w:r>
        <w:rPr>
          <w:color w:val="0D0D0D" w:themeColor="text1" w:themeTint="F2"/>
          <w:sz w:val="16"/>
          <w:szCs w:val="16"/>
        </w:rPr>
        <w:t xml:space="preserve">Tržby v nominálním vyjádření již však letos zřetelně rostly (+7,0 %). </w:t>
      </w:r>
      <w:r w:rsidRPr="008D2DFF">
        <w:rPr>
          <w:color w:val="0D0D0D" w:themeColor="text1" w:themeTint="F2"/>
          <w:sz w:val="16"/>
          <w:szCs w:val="16"/>
        </w:rPr>
        <w:t>K</w:t>
      </w:r>
      <w:r>
        <w:rPr>
          <w:color w:val="0D0D0D" w:themeColor="text1" w:themeTint="F2"/>
          <w:sz w:val="16"/>
          <w:szCs w:val="16"/>
        </w:rPr>
        <w:t xml:space="preserve"> </w:t>
      </w:r>
      <w:r w:rsidRPr="008D2DFF">
        <w:rPr>
          <w:color w:val="0D0D0D" w:themeColor="text1" w:themeTint="F2"/>
          <w:sz w:val="16"/>
          <w:szCs w:val="16"/>
        </w:rPr>
        <w:t xml:space="preserve">poklesu </w:t>
      </w:r>
      <w:r>
        <w:rPr>
          <w:color w:val="0D0D0D" w:themeColor="text1" w:themeTint="F2"/>
          <w:sz w:val="16"/>
          <w:szCs w:val="16"/>
        </w:rPr>
        <w:t xml:space="preserve">reálných </w:t>
      </w:r>
      <w:r w:rsidRPr="008D2DFF">
        <w:rPr>
          <w:color w:val="0D0D0D" w:themeColor="text1" w:themeTint="F2"/>
          <w:sz w:val="16"/>
          <w:szCs w:val="16"/>
        </w:rPr>
        <w:t xml:space="preserve">tržeb došlo i při vysokém růstu počtu pracujících cizinců v ČR. Na něm se v posledních čtyřech letech významně podíleli uprchlíci z Ukrajiny. Vzhledem ke statutu dočasné ochrany, který byl těmto osobám přiznán, je jejich zaměstnávání v tuzemsku administrativně jednodušší (oproti ostatním skupinám migrantů z tzv. třetích zemí) a ti tak mohou snáze </w:t>
      </w:r>
      <w:r w:rsidRPr="004A0F58">
        <w:rPr>
          <w:color w:val="0D0D0D" w:themeColor="text1" w:themeTint="F2"/>
          <w:sz w:val="16"/>
          <w:szCs w:val="16"/>
        </w:rPr>
        <w:t xml:space="preserve">nalézt práci „napřímo“ (bez zprostředkovatele). </w:t>
      </w:r>
    </w:p>
  </w:footnote>
  <w:footnote w:id="37">
    <w:p w14:paraId="75D93143" w14:textId="77777777" w:rsidR="00DD1A46" w:rsidRPr="009A2781" w:rsidRDefault="00DD1A46" w:rsidP="00DD1A46">
      <w:pPr>
        <w:pStyle w:val="Textpoznpodarou"/>
        <w:rPr>
          <w:sz w:val="16"/>
          <w:szCs w:val="16"/>
        </w:rPr>
      </w:pPr>
      <w:r w:rsidRPr="009A2781">
        <w:rPr>
          <w:rStyle w:val="Znakapoznpodarou"/>
          <w:sz w:val="16"/>
          <w:szCs w:val="16"/>
        </w:rPr>
        <w:footnoteRef/>
      </w:r>
      <w:r w:rsidRPr="009A2781">
        <w:rPr>
          <w:sz w:val="16"/>
          <w:szCs w:val="16"/>
        </w:rPr>
        <w:t xml:space="preserve"> To dokládá i fakt, že ve srovnání s 1. pololetí</w:t>
      </w:r>
      <w:r>
        <w:rPr>
          <w:sz w:val="16"/>
          <w:szCs w:val="16"/>
        </w:rPr>
        <w:t>m</w:t>
      </w:r>
      <w:r w:rsidRPr="009A2781">
        <w:rPr>
          <w:sz w:val="16"/>
          <w:szCs w:val="16"/>
        </w:rPr>
        <w:t xml:space="preserve"> 2019 zde byly letos tržby o desetinu nižší.</w:t>
      </w:r>
    </w:p>
  </w:footnote>
  <w:footnote w:id="38">
    <w:p w14:paraId="2843DEAA" w14:textId="77777777" w:rsidR="00DD1A46" w:rsidRPr="00D169CA" w:rsidRDefault="00DD1A46" w:rsidP="00DD1A46">
      <w:pPr>
        <w:spacing w:after="0" w:line="240" w:lineRule="auto"/>
        <w:jc w:val="left"/>
        <w:rPr>
          <w:color w:val="0D0D0D" w:themeColor="text1" w:themeTint="F2"/>
          <w:spacing w:val="-2"/>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w:t>
      </w:r>
      <w:r w:rsidRPr="00D169CA">
        <w:rPr>
          <w:color w:val="0D0D0D" w:themeColor="text1" w:themeTint="F2"/>
          <w:spacing w:val="-2"/>
          <w:sz w:val="16"/>
          <w:szCs w:val="16"/>
        </w:rPr>
        <w:t>Všechna meziroční tempa tržeb za maloobchod jsou uvedena ve stálých cenách a očištěna o kalendářní vlivy, mezičtvrtletní tempa jsou očištěna o sezónní vlivy (včetně vlivu počtu pracovních dnů). Maloobchod zahrnuje pouze odvětví CZ-NACE 47.</w:t>
      </w:r>
    </w:p>
  </w:footnote>
  <w:footnote w:id="39">
    <w:p w14:paraId="4EC1E345"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Vedle toho byl pátý rok v řadě patrný růst tržeb v okrajovém segmentu </w:t>
      </w:r>
      <w:r w:rsidRPr="00D169CA">
        <w:rPr>
          <w:rFonts w:cs="Arial"/>
          <w:color w:val="0D0D0D" w:themeColor="text1" w:themeTint="F2"/>
          <w:spacing w:val="-2"/>
          <w:sz w:val="16"/>
          <w:szCs w:val="16"/>
        </w:rPr>
        <w:t>nespecializovaných prodejen s převahou nepotravinářského zboží (aktuálně o 6,8 %). Ten se zaměřuje na nabídku různorodého, spíše drobnějšího zboží za diskontní ceny a v posledních letech postupně v Česku rozšiřoval svou obchodní sítˇ.</w:t>
      </w:r>
    </w:p>
  </w:footnote>
  <w:footnote w:id="40">
    <w:p w14:paraId="7F389ACA"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V něm tradičně dominují prodejny se sportovními potřebami. Patří sem ale také provozovny s hrami a hračkami, knihami, novin</w:t>
      </w:r>
      <w:r>
        <w:rPr>
          <w:color w:val="0D0D0D" w:themeColor="text1" w:themeTint="F2"/>
          <w:spacing w:val="-2"/>
          <w:sz w:val="16"/>
          <w:szCs w:val="16"/>
        </w:rPr>
        <w:t>ami</w:t>
      </w:r>
      <w:r w:rsidRPr="00D169CA">
        <w:rPr>
          <w:color w:val="0D0D0D" w:themeColor="text1" w:themeTint="F2"/>
          <w:spacing w:val="-2"/>
          <w:sz w:val="16"/>
          <w:szCs w:val="16"/>
        </w:rPr>
        <w:t>, časopisy a papírenským zbožím.</w:t>
      </w:r>
    </w:p>
  </w:footnote>
  <w:footnote w:id="41">
    <w:p w14:paraId="39973796"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Zahrnují hlavně </w:t>
      </w:r>
      <w:r w:rsidRPr="00D169CA">
        <w:rPr>
          <w:rStyle w:val="normaltextrun"/>
          <w:rFonts w:eastAsia="MS Gothic" w:cs="Arial"/>
          <w:color w:val="0D0D0D" w:themeColor="text1" w:themeTint="F2"/>
          <w:spacing w:val="-2"/>
          <w:sz w:val="16"/>
          <w:szCs w:val="16"/>
        </w:rPr>
        <w:t>železářské zboží, stavebniny, barvy, sklo, potřeby pro kutily, elektrospotřebiče, elektronik</w:t>
      </w:r>
      <w:r>
        <w:rPr>
          <w:rStyle w:val="normaltextrun"/>
          <w:rFonts w:eastAsia="MS Gothic" w:cs="Arial"/>
          <w:color w:val="0D0D0D" w:themeColor="text1" w:themeTint="F2"/>
          <w:spacing w:val="-2"/>
          <w:sz w:val="16"/>
          <w:szCs w:val="16"/>
        </w:rPr>
        <w:t>u</w:t>
      </w:r>
      <w:r w:rsidRPr="00D169CA">
        <w:rPr>
          <w:rStyle w:val="normaltextrun"/>
          <w:rFonts w:eastAsia="MS Gothic" w:cs="Arial"/>
          <w:color w:val="0D0D0D" w:themeColor="text1" w:themeTint="F2"/>
          <w:spacing w:val="-2"/>
          <w:sz w:val="16"/>
          <w:szCs w:val="16"/>
        </w:rPr>
        <w:t>, nábytek,</w:t>
      </w:r>
      <w:r w:rsidRPr="00D169CA">
        <w:rPr>
          <w:rFonts w:cs="Arial"/>
          <w:color w:val="0D0D0D" w:themeColor="text1" w:themeTint="F2"/>
          <w:spacing w:val="-2"/>
          <w:sz w:val="16"/>
          <w:szCs w:val="16"/>
        </w:rPr>
        <w:t xml:space="preserve"> </w:t>
      </w:r>
      <w:r w:rsidRPr="00D169CA">
        <w:rPr>
          <w:rStyle w:val="normaltextrun"/>
          <w:rFonts w:eastAsia="MS Gothic" w:cs="Arial"/>
          <w:color w:val="0D0D0D" w:themeColor="text1" w:themeTint="F2"/>
          <w:spacing w:val="-2"/>
          <w:sz w:val="16"/>
          <w:szCs w:val="16"/>
        </w:rPr>
        <w:t xml:space="preserve">svítidla, </w:t>
      </w:r>
      <w:r w:rsidRPr="00D169CA">
        <w:rPr>
          <w:rFonts w:cs="Arial"/>
          <w:color w:val="0D0D0D" w:themeColor="text1" w:themeTint="F2"/>
          <w:spacing w:val="-2"/>
          <w:sz w:val="16"/>
          <w:szCs w:val="16"/>
        </w:rPr>
        <w:t>koberce či bytový textil.</w:t>
      </w:r>
    </w:p>
  </w:footnote>
  <w:footnote w:id="42">
    <w:p w14:paraId="793C473C" w14:textId="77777777" w:rsidR="00DD1A46" w:rsidRPr="00D169CA" w:rsidRDefault="00DD1A46" w:rsidP="00DD1A46">
      <w:pPr>
        <w:pStyle w:val="Textpoznpodarou"/>
        <w:rPr>
          <w:spacing w:val="-2"/>
          <w:sz w:val="16"/>
          <w:szCs w:val="16"/>
        </w:rPr>
      </w:pPr>
      <w:r w:rsidRPr="00D169CA">
        <w:rPr>
          <w:rStyle w:val="Znakapoznpodarou"/>
          <w:spacing w:val="-2"/>
          <w:sz w:val="16"/>
          <w:szCs w:val="16"/>
        </w:rPr>
        <w:footnoteRef/>
      </w:r>
      <w:r w:rsidRPr="00D169CA">
        <w:rPr>
          <w:spacing w:val="-2"/>
          <w:sz w:val="16"/>
          <w:szCs w:val="16"/>
        </w:rPr>
        <w:t xml:space="preserve"> </w:t>
      </w:r>
      <w:r w:rsidRPr="00D169CA">
        <w:rPr>
          <w:color w:val="0D0D0D" w:themeColor="text1" w:themeTint="F2"/>
          <w:spacing w:val="-2"/>
          <w:sz w:val="16"/>
          <w:szCs w:val="16"/>
        </w:rPr>
        <w:t>Lze předpokládat, že stále významnější část poptávky po počítačových a komunikačních zařízeních je realizována zpravidla ve větších provozovnách náležících (dle své převažující činnosti) do internetového prodeje.</w:t>
      </w:r>
    </w:p>
  </w:footnote>
  <w:footnote w:id="43">
    <w:p w14:paraId="1885CF85" w14:textId="77777777" w:rsidR="00DD1A46" w:rsidRPr="00D169CA" w:rsidRDefault="00DD1A46" w:rsidP="00DD1A46">
      <w:pPr>
        <w:pStyle w:val="Textpoznpodarou"/>
        <w:rPr>
          <w:spacing w:val="-2"/>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Ty zahrnují např. masné výrobky, pečivo, cukrářské výrobky, nápoje či ov</w:t>
      </w:r>
      <w:r>
        <w:rPr>
          <w:color w:val="0D0D0D" w:themeColor="text1" w:themeTint="F2"/>
          <w:spacing w:val="-2"/>
          <w:sz w:val="16"/>
          <w:szCs w:val="16"/>
        </w:rPr>
        <w:t>o</w:t>
      </w:r>
      <w:r w:rsidRPr="00D169CA">
        <w:rPr>
          <w:color w:val="0D0D0D" w:themeColor="text1" w:themeTint="F2"/>
          <w:spacing w:val="-2"/>
          <w:sz w:val="16"/>
          <w:szCs w:val="16"/>
        </w:rPr>
        <w:t>ce a zeleninu. Největší váhu zde však v posledních letech mají prodejny s tabákovými výrobky, jejichž role roste zejména na úkor prodejen s masem.</w:t>
      </w:r>
    </w:p>
  </w:footnote>
  <w:footnote w:id="44">
    <w:p w14:paraId="6076EB92" w14:textId="77777777" w:rsidR="00DD1A46" w:rsidRPr="00D169CA" w:rsidRDefault="00DD1A46" w:rsidP="00DD1A46">
      <w:pPr>
        <w:pStyle w:val="Textpoznpodarou"/>
        <w:rPr>
          <w:sz w:val="16"/>
          <w:szCs w:val="16"/>
        </w:rPr>
      </w:pPr>
      <w:r w:rsidRPr="00D169CA">
        <w:rPr>
          <w:rStyle w:val="Znakapoznpodarou"/>
          <w:spacing w:val="-2"/>
          <w:sz w:val="16"/>
          <w:szCs w:val="16"/>
        </w:rPr>
        <w:footnoteRef/>
      </w:r>
      <w:r w:rsidRPr="00D169CA">
        <w:rPr>
          <w:spacing w:val="-2"/>
          <w:sz w:val="16"/>
          <w:szCs w:val="16"/>
        </w:rPr>
        <w:t xml:space="preserve"> Jednalo se</w:t>
      </w:r>
      <w:r>
        <w:rPr>
          <w:spacing w:val="-2"/>
          <w:sz w:val="16"/>
          <w:szCs w:val="16"/>
        </w:rPr>
        <w:t xml:space="preserve"> o</w:t>
      </w:r>
      <w:r w:rsidRPr="00D169CA">
        <w:rPr>
          <w:spacing w:val="-2"/>
          <w:sz w:val="16"/>
          <w:szCs w:val="16"/>
        </w:rPr>
        <w:t xml:space="preserve"> mimořádnou cenovou regulaci a </w:t>
      </w:r>
      <w:proofErr w:type="spellStart"/>
      <w:r w:rsidRPr="00D169CA">
        <w:rPr>
          <w:spacing w:val="-2"/>
          <w:sz w:val="16"/>
          <w:szCs w:val="16"/>
        </w:rPr>
        <w:t>zastropování</w:t>
      </w:r>
      <w:proofErr w:type="spellEnd"/>
      <w:r w:rsidRPr="00D169CA">
        <w:rPr>
          <w:spacing w:val="-2"/>
          <w:sz w:val="16"/>
          <w:szCs w:val="16"/>
        </w:rPr>
        <w:t xml:space="preserve"> marží prodejců pohonných hmot v Česk</w:t>
      </w:r>
      <w:r>
        <w:rPr>
          <w:spacing w:val="-2"/>
          <w:sz w:val="16"/>
          <w:szCs w:val="16"/>
        </w:rPr>
        <w:t>u</w:t>
      </w:r>
      <w:r w:rsidRPr="00D169CA">
        <w:rPr>
          <w:spacing w:val="-2"/>
          <w:sz w:val="16"/>
          <w:szCs w:val="16"/>
        </w:rPr>
        <w:t>, jež platilo od středy 8. dubna 2026 do neděle 19. července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9EBB" w14:textId="77777777" w:rsidR="00763B85" w:rsidRPr="006F5416" w:rsidRDefault="00763B85" w:rsidP="00937AE2">
    <w:pPr>
      <w:pStyle w:val="Zhlav"/>
    </w:pPr>
    <w:r w:rsidRPr="006F5416">
      <w:t>Název publikace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A682" w14:textId="77777777" w:rsidR="00763B85" w:rsidRPr="006F5416" w:rsidRDefault="00763B85" w:rsidP="00937AE2">
    <w:pPr>
      <w:pStyle w:val="Zhlav"/>
    </w:pPr>
    <w:r w:rsidRPr="006F5416">
      <w:t>Název publikace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C5946"/>
    <w:multiLevelType w:val="hybridMultilevel"/>
    <w:tmpl w:val="4C1C2D78"/>
    <w:lvl w:ilvl="0" w:tplc="B01A56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5764B"/>
    <w:multiLevelType w:val="hybridMultilevel"/>
    <w:tmpl w:val="84788BC8"/>
    <w:lvl w:ilvl="0" w:tplc="1B96A2C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9D55121"/>
    <w:multiLevelType w:val="hybridMultilevel"/>
    <w:tmpl w:val="338E27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D361065"/>
    <w:multiLevelType w:val="hybridMultilevel"/>
    <w:tmpl w:val="991072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0E145AAD"/>
    <w:multiLevelType w:val="hybridMultilevel"/>
    <w:tmpl w:val="96304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B35353"/>
    <w:multiLevelType w:val="multilevel"/>
    <w:tmpl w:val="1C0E9EAE"/>
    <w:name w:val="Analyza"/>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16" w15:restartNumberingAfterBreak="0">
    <w:nsid w:val="1E462C8E"/>
    <w:multiLevelType w:val="hybridMultilevel"/>
    <w:tmpl w:val="84B464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C64F20"/>
    <w:multiLevelType w:val="hybridMultilevel"/>
    <w:tmpl w:val="ADE25A6C"/>
    <w:lvl w:ilvl="0" w:tplc="04050001">
      <w:start w:val="1"/>
      <w:numFmt w:val="bullet"/>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352333"/>
    <w:multiLevelType w:val="multilevel"/>
    <w:tmpl w:val="D0ACFA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8DA62F8"/>
    <w:multiLevelType w:val="hybridMultilevel"/>
    <w:tmpl w:val="419C87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5A7A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2420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106E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1355C0"/>
    <w:multiLevelType w:val="multilevel"/>
    <w:tmpl w:val="697E8B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9914012"/>
    <w:multiLevelType w:val="multilevel"/>
    <w:tmpl w:val="F380F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C7C1667"/>
    <w:multiLevelType w:val="hybridMultilevel"/>
    <w:tmpl w:val="735E7570"/>
    <w:lvl w:ilvl="0" w:tplc="5588AF8E">
      <w:start w:val="1"/>
      <w:numFmt w:val="decimal"/>
      <w:lvlText w:val="%1."/>
      <w:lvlJc w:val="left"/>
      <w:pPr>
        <w:ind w:left="4800" w:hanging="360"/>
      </w:pPr>
      <w:rPr>
        <w:rFonts w:hint="default"/>
      </w:rPr>
    </w:lvl>
    <w:lvl w:ilvl="1" w:tplc="04050019" w:tentative="1">
      <w:start w:val="1"/>
      <w:numFmt w:val="lowerLetter"/>
      <w:lvlText w:val="%2."/>
      <w:lvlJc w:val="left"/>
      <w:pPr>
        <w:ind w:left="5520" w:hanging="360"/>
      </w:pPr>
    </w:lvl>
    <w:lvl w:ilvl="2" w:tplc="0405001B" w:tentative="1">
      <w:start w:val="1"/>
      <w:numFmt w:val="lowerRoman"/>
      <w:lvlText w:val="%3."/>
      <w:lvlJc w:val="right"/>
      <w:pPr>
        <w:ind w:left="6240" w:hanging="180"/>
      </w:pPr>
    </w:lvl>
    <w:lvl w:ilvl="3" w:tplc="0405000F" w:tentative="1">
      <w:start w:val="1"/>
      <w:numFmt w:val="decimal"/>
      <w:lvlText w:val="%4."/>
      <w:lvlJc w:val="left"/>
      <w:pPr>
        <w:ind w:left="6960" w:hanging="360"/>
      </w:pPr>
    </w:lvl>
    <w:lvl w:ilvl="4" w:tplc="04050019" w:tentative="1">
      <w:start w:val="1"/>
      <w:numFmt w:val="lowerLetter"/>
      <w:lvlText w:val="%5."/>
      <w:lvlJc w:val="left"/>
      <w:pPr>
        <w:ind w:left="7680" w:hanging="360"/>
      </w:pPr>
    </w:lvl>
    <w:lvl w:ilvl="5" w:tplc="0405001B" w:tentative="1">
      <w:start w:val="1"/>
      <w:numFmt w:val="lowerRoman"/>
      <w:lvlText w:val="%6."/>
      <w:lvlJc w:val="right"/>
      <w:pPr>
        <w:ind w:left="8400" w:hanging="180"/>
      </w:pPr>
    </w:lvl>
    <w:lvl w:ilvl="6" w:tplc="0405000F" w:tentative="1">
      <w:start w:val="1"/>
      <w:numFmt w:val="decimal"/>
      <w:lvlText w:val="%7."/>
      <w:lvlJc w:val="left"/>
      <w:pPr>
        <w:ind w:left="9120" w:hanging="360"/>
      </w:pPr>
    </w:lvl>
    <w:lvl w:ilvl="7" w:tplc="04050019" w:tentative="1">
      <w:start w:val="1"/>
      <w:numFmt w:val="lowerLetter"/>
      <w:lvlText w:val="%8."/>
      <w:lvlJc w:val="left"/>
      <w:pPr>
        <w:ind w:left="9840" w:hanging="360"/>
      </w:pPr>
    </w:lvl>
    <w:lvl w:ilvl="8" w:tplc="0405001B" w:tentative="1">
      <w:start w:val="1"/>
      <w:numFmt w:val="lowerRoman"/>
      <w:lvlText w:val="%9."/>
      <w:lvlJc w:val="right"/>
      <w:pPr>
        <w:ind w:left="10560" w:hanging="180"/>
      </w:pPr>
    </w:lvl>
  </w:abstractNum>
  <w:abstractNum w:abstractNumId="27" w15:restartNumberingAfterBreak="0">
    <w:nsid w:val="3D4D0562"/>
    <w:multiLevelType w:val="hybridMultilevel"/>
    <w:tmpl w:val="E8A8F2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BB1D16"/>
    <w:multiLevelType w:val="hybridMultilevel"/>
    <w:tmpl w:val="CA440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4558D6"/>
    <w:multiLevelType w:val="hybridMultilevel"/>
    <w:tmpl w:val="1B90B8E0"/>
    <w:lvl w:ilvl="0" w:tplc="4B66ED1E">
      <w:start w:val="1"/>
      <w:numFmt w:val="decimal"/>
      <w:lvlText w:val="%1."/>
      <w:lvlJc w:val="left"/>
      <w:pPr>
        <w:ind w:left="4905" w:hanging="360"/>
      </w:pPr>
      <w:rPr>
        <w:rFonts w:hint="default"/>
      </w:rPr>
    </w:lvl>
    <w:lvl w:ilvl="1" w:tplc="04050019" w:tentative="1">
      <w:start w:val="1"/>
      <w:numFmt w:val="lowerLetter"/>
      <w:lvlText w:val="%2."/>
      <w:lvlJc w:val="left"/>
      <w:pPr>
        <w:ind w:left="5625" w:hanging="360"/>
      </w:pPr>
    </w:lvl>
    <w:lvl w:ilvl="2" w:tplc="0405001B" w:tentative="1">
      <w:start w:val="1"/>
      <w:numFmt w:val="lowerRoman"/>
      <w:lvlText w:val="%3."/>
      <w:lvlJc w:val="right"/>
      <w:pPr>
        <w:ind w:left="6345" w:hanging="180"/>
      </w:pPr>
    </w:lvl>
    <w:lvl w:ilvl="3" w:tplc="0405000F" w:tentative="1">
      <w:start w:val="1"/>
      <w:numFmt w:val="decimal"/>
      <w:lvlText w:val="%4."/>
      <w:lvlJc w:val="left"/>
      <w:pPr>
        <w:ind w:left="7065" w:hanging="360"/>
      </w:pPr>
    </w:lvl>
    <w:lvl w:ilvl="4" w:tplc="04050019" w:tentative="1">
      <w:start w:val="1"/>
      <w:numFmt w:val="lowerLetter"/>
      <w:lvlText w:val="%5."/>
      <w:lvlJc w:val="left"/>
      <w:pPr>
        <w:ind w:left="7785" w:hanging="360"/>
      </w:pPr>
    </w:lvl>
    <w:lvl w:ilvl="5" w:tplc="0405001B" w:tentative="1">
      <w:start w:val="1"/>
      <w:numFmt w:val="lowerRoman"/>
      <w:lvlText w:val="%6."/>
      <w:lvlJc w:val="right"/>
      <w:pPr>
        <w:ind w:left="8505" w:hanging="180"/>
      </w:pPr>
    </w:lvl>
    <w:lvl w:ilvl="6" w:tplc="0405000F" w:tentative="1">
      <w:start w:val="1"/>
      <w:numFmt w:val="decimal"/>
      <w:lvlText w:val="%7."/>
      <w:lvlJc w:val="left"/>
      <w:pPr>
        <w:ind w:left="9225" w:hanging="360"/>
      </w:pPr>
    </w:lvl>
    <w:lvl w:ilvl="7" w:tplc="04050019" w:tentative="1">
      <w:start w:val="1"/>
      <w:numFmt w:val="lowerLetter"/>
      <w:lvlText w:val="%8."/>
      <w:lvlJc w:val="left"/>
      <w:pPr>
        <w:ind w:left="9945" w:hanging="360"/>
      </w:pPr>
    </w:lvl>
    <w:lvl w:ilvl="8" w:tplc="0405001B" w:tentative="1">
      <w:start w:val="1"/>
      <w:numFmt w:val="lowerRoman"/>
      <w:lvlText w:val="%9."/>
      <w:lvlJc w:val="right"/>
      <w:pPr>
        <w:ind w:left="10665" w:hanging="180"/>
      </w:pPr>
    </w:lvl>
  </w:abstractNum>
  <w:abstractNum w:abstractNumId="30" w15:restartNumberingAfterBreak="0">
    <w:nsid w:val="479678F7"/>
    <w:multiLevelType w:val="hybridMultilevel"/>
    <w:tmpl w:val="A4DE7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5051A8"/>
    <w:multiLevelType w:val="hybridMultilevel"/>
    <w:tmpl w:val="DEACEA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DA4287"/>
    <w:multiLevelType w:val="multilevel"/>
    <w:tmpl w:val="1C0E9EA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490F3B"/>
    <w:multiLevelType w:val="hybridMultilevel"/>
    <w:tmpl w:val="D64CB604"/>
    <w:lvl w:ilvl="0" w:tplc="67AC8A1C">
      <w:start w:val="1"/>
      <w:numFmt w:val="bullet"/>
      <w:lvlText w:val=""/>
      <w:lvlJc w:val="left"/>
      <w:pPr>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655F88"/>
    <w:multiLevelType w:val="hybridMultilevel"/>
    <w:tmpl w:val="70283F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8567A6"/>
    <w:multiLevelType w:val="hybridMultilevel"/>
    <w:tmpl w:val="50E0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CB210F"/>
    <w:multiLevelType w:val="multilevel"/>
    <w:tmpl w:val="D64CB60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CD405E1"/>
    <w:multiLevelType w:val="multilevel"/>
    <w:tmpl w:val="5FCA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F3AA7"/>
    <w:multiLevelType w:val="multilevel"/>
    <w:tmpl w:val="909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048D2"/>
    <w:multiLevelType w:val="hybridMultilevel"/>
    <w:tmpl w:val="D2A0F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235D04"/>
    <w:multiLevelType w:val="hybridMultilevel"/>
    <w:tmpl w:val="26840E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7747AF"/>
    <w:multiLevelType w:val="hybridMultilevel"/>
    <w:tmpl w:val="76204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51B2D"/>
    <w:multiLevelType w:val="hybridMultilevel"/>
    <w:tmpl w:val="4C1C2D78"/>
    <w:lvl w:ilvl="0" w:tplc="B01A5632">
      <w:start w:val="1"/>
      <w:numFmt w:val="bullet"/>
      <w:pStyle w:val="Normalodrk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A7946"/>
    <w:multiLevelType w:val="multilevel"/>
    <w:tmpl w:val="6F3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8E301A"/>
    <w:multiLevelType w:val="hybridMultilevel"/>
    <w:tmpl w:val="1A92D79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00647203">
    <w:abstractNumId w:val="31"/>
  </w:num>
  <w:num w:numId="2" w16cid:durableId="2108306025">
    <w:abstractNumId w:val="8"/>
  </w:num>
  <w:num w:numId="3" w16cid:durableId="1851791032">
    <w:abstractNumId w:val="3"/>
  </w:num>
  <w:num w:numId="4" w16cid:durableId="1418281433">
    <w:abstractNumId w:val="2"/>
  </w:num>
  <w:num w:numId="5" w16cid:durableId="1057360773">
    <w:abstractNumId w:val="1"/>
  </w:num>
  <w:num w:numId="6" w16cid:durableId="917859753">
    <w:abstractNumId w:val="0"/>
  </w:num>
  <w:num w:numId="7" w16cid:durableId="1884097028">
    <w:abstractNumId w:val="9"/>
  </w:num>
  <w:num w:numId="8" w16cid:durableId="824902319">
    <w:abstractNumId w:val="7"/>
  </w:num>
  <w:num w:numId="9" w16cid:durableId="1803766138">
    <w:abstractNumId w:val="6"/>
  </w:num>
  <w:num w:numId="10" w16cid:durableId="566259340">
    <w:abstractNumId w:val="5"/>
  </w:num>
  <w:num w:numId="11" w16cid:durableId="52774508">
    <w:abstractNumId w:val="4"/>
  </w:num>
  <w:num w:numId="12" w16cid:durableId="1533685237">
    <w:abstractNumId w:val="18"/>
  </w:num>
  <w:num w:numId="13" w16cid:durableId="195428688">
    <w:abstractNumId w:val="34"/>
  </w:num>
  <w:num w:numId="14" w16cid:durableId="1684941278">
    <w:abstractNumId w:val="15"/>
  </w:num>
  <w:num w:numId="15" w16cid:durableId="1238784906">
    <w:abstractNumId w:val="24"/>
  </w:num>
  <w:num w:numId="16" w16cid:durableId="2045134713">
    <w:abstractNumId w:val="19"/>
  </w:num>
  <w:num w:numId="17" w16cid:durableId="1458451516">
    <w:abstractNumId w:val="35"/>
  </w:num>
  <w:num w:numId="18" w16cid:durableId="849877926">
    <w:abstractNumId w:val="25"/>
  </w:num>
  <w:num w:numId="19" w16cid:durableId="1118066606">
    <w:abstractNumId w:val="38"/>
  </w:num>
  <w:num w:numId="20" w16cid:durableId="508564300">
    <w:abstractNumId w:val="44"/>
  </w:num>
  <w:num w:numId="21" w16cid:durableId="316148911">
    <w:abstractNumId w:val="33"/>
  </w:num>
  <w:num w:numId="22" w16cid:durableId="360010707">
    <w:abstractNumId w:val="23"/>
  </w:num>
  <w:num w:numId="23" w16cid:durableId="999309269">
    <w:abstractNumId w:val="21"/>
  </w:num>
  <w:num w:numId="24" w16cid:durableId="1194266313">
    <w:abstractNumId w:val="22"/>
  </w:num>
  <w:num w:numId="25" w16cid:durableId="1815366340">
    <w:abstractNumId w:val="41"/>
  </w:num>
  <w:num w:numId="26" w16cid:durableId="1577863405">
    <w:abstractNumId w:val="43"/>
  </w:num>
  <w:num w:numId="27" w16cid:durableId="1207061094">
    <w:abstractNumId w:val="13"/>
  </w:num>
  <w:num w:numId="28" w16cid:durableId="1693920833">
    <w:abstractNumId w:val="27"/>
  </w:num>
  <w:num w:numId="29" w16cid:durableId="1876775477">
    <w:abstractNumId w:val="26"/>
  </w:num>
  <w:num w:numId="30" w16cid:durableId="179972127">
    <w:abstractNumId w:val="10"/>
  </w:num>
  <w:num w:numId="31" w16cid:durableId="970136012">
    <w:abstractNumId w:val="28"/>
  </w:num>
  <w:num w:numId="32" w16cid:durableId="1617836376">
    <w:abstractNumId w:val="12"/>
  </w:num>
  <w:num w:numId="33" w16cid:durableId="357007340">
    <w:abstractNumId w:val="46"/>
  </w:num>
  <w:num w:numId="34" w16cid:durableId="2131776467">
    <w:abstractNumId w:val="11"/>
  </w:num>
  <w:num w:numId="35" w16cid:durableId="1776095800">
    <w:abstractNumId w:val="37"/>
  </w:num>
  <w:num w:numId="36" w16cid:durableId="862209000">
    <w:abstractNumId w:val="30"/>
  </w:num>
  <w:num w:numId="37" w16cid:durableId="322010878">
    <w:abstractNumId w:val="29"/>
  </w:num>
  <w:num w:numId="38" w16cid:durableId="1458373311">
    <w:abstractNumId w:val="39"/>
  </w:num>
  <w:num w:numId="39" w16cid:durableId="288441997">
    <w:abstractNumId w:val="45"/>
  </w:num>
  <w:num w:numId="40" w16cid:durableId="952595072">
    <w:abstractNumId w:val="40"/>
  </w:num>
  <w:num w:numId="41" w16cid:durableId="1427652868">
    <w:abstractNumId w:val="32"/>
  </w:num>
  <w:num w:numId="42" w16cid:durableId="1024401835">
    <w:abstractNumId w:val="20"/>
  </w:num>
  <w:num w:numId="43" w16cid:durableId="428089243">
    <w:abstractNumId w:val="14"/>
  </w:num>
  <w:num w:numId="44" w16cid:durableId="82647767">
    <w:abstractNumId w:val="36"/>
  </w:num>
  <w:num w:numId="45" w16cid:durableId="215163427">
    <w:abstractNumId w:val="16"/>
  </w:num>
  <w:num w:numId="46" w16cid:durableId="1639922006">
    <w:abstractNumId w:val="44"/>
    <w:lvlOverride w:ilvl="0">
      <w:startOverride w:val="1"/>
    </w:lvlOverride>
  </w:num>
  <w:num w:numId="47" w16cid:durableId="1509101590">
    <w:abstractNumId w:val="17"/>
  </w:num>
  <w:num w:numId="48" w16cid:durableId="14816520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43"/>
    <w:rsid w:val="0000209D"/>
    <w:rsid w:val="00004D5A"/>
    <w:rsid w:val="000056D5"/>
    <w:rsid w:val="00006ABD"/>
    <w:rsid w:val="0000767A"/>
    <w:rsid w:val="00010256"/>
    <w:rsid w:val="00010702"/>
    <w:rsid w:val="00011912"/>
    <w:rsid w:val="00015E7C"/>
    <w:rsid w:val="0002195D"/>
    <w:rsid w:val="000234D6"/>
    <w:rsid w:val="00023D29"/>
    <w:rsid w:val="00026389"/>
    <w:rsid w:val="00031AE0"/>
    <w:rsid w:val="000322EF"/>
    <w:rsid w:val="00033FCD"/>
    <w:rsid w:val="00036F4B"/>
    <w:rsid w:val="00040D10"/>
    <w:rsid w:val="00041CEC"/>
    <w:rsid w:val="0004694F"/>
    <w:rsid w:val="000522E4"/>
    <w:rsid w:val="000610E1"/>
    <w:rsid w:val="00062EC5"/>
    <w:rsid w:val="00062F22"/>
    <w:rsid w:val="000712B3"/>
    <w:rsid w:val="0008263E"/>
    <w:rsid w:val="00082C19"/>
    <w:rsid w:val="00085395"/>
    <w:rsid w:val="00087634"/>
    <w:rsid w:val="00087F2B"/>
    <w:rsid w:val="00092231"/>
    <w:rsid w:val="00095135"/>
    <w:rsid w:val="000974D1"/>
    <w:rsid w:val="0009799E"/>
    <w:rsid w:val="000A1183"/>
    <w:rsid w:val="000A256D"/>
    <w:rsid w:val="000A3A2C"/>
    <w:rsid w:val="000A57D4"/>
    <w:rsid w:val="000B7FD1"/>
    <w:rsid w:val="000C3408"/>
    <w:rsid w:val="000C6AFD"/>
    <w:rsid w:val="000D3ACB"/>
    <w:rsid w:val="000D5637"/>
    <w:rsid w:val="000E6FBD"/>
    <w:rsid w:val="00100F5C"/>
    <w:rsid w:val="00101CDA"/>
    <w:rsid w:val="00104C4C"/>
    <w:rsid w:val="001062D9"/>
    <w:rsid w:val="00117623"/>
    <w:rsid w:val="0012192F"/>
    <w:rsid w:val="00125D69"/>
    <w:rsid w:val="0013332E"/>
    <w:rsid w:val="001405FA"/>
    <w:rsid w:val="001425C3"/>
    <w:rsid w:val="001476BD"/>
    <w:rsid w:val="001612F4"/>
    <w:rsid w:val="0016256B"/>
    <w:rsid w:val="00163793"/>
    <w:rsid w:val="001706D6"/>
    <w:rsid w:val="001714F2"/>
    <w:rsid w:val="00175B9F"/>
    <w:rsid w:val="00181BBC"/>
    <w:rsid w:val="00184B08"/>
    <w:rsid w:val="00185010"/>
    <w:rsid w:val="0019143B"/>
    <w:rsid w:val="001A0487"/>
    <w:rsid w:val="001A552F"/>
    <w:rsid w:val="001B2CA9"/>
    <w:rsid w:val="001B3110"/>
    <w:rsid w:val="001B4729"/>
    <w:rsid w:val="001B6310"/>
    <w:rsid w:val="001B6C09"/>
    <w:rsid w:val="001C05CD"/>
    <w:rsid w:val="001D0569"/>
    <w:rsid w:val="001D48D4"/>
    <w:rsid w:val="001D68B2"/>
    <w:rsid w:val="001E504C"/>
    <w:rsid w:val="001E5803"/>
    <w:rsid w:val="001E6062"/>
    <w:rsid w:val="001F4597"/>
    <w:rsid w:val="00203DA4"/>
    <w:rsid w:val="002118B9"/>
    <w:rsid w:val="00214CF7"/>
    <w:rsid w:val="00217C5B"/>
    <w:rsid w:val="0022139E"/>
    <w:rsid w:val="00222729"/>
    <w:rsid w:val="002252E0"/>
    <w:rsid w:val="002255F6"/>
    <w:rsid w:val="00227850"/>
    <w:rsid w:val="00227A53"/>
    <w:rsid w:val="00230C6E"/>
    <w:rsid w:val="00236443"/>
    <w:rsid w:val="00241B06"/>
    <w:rsid w:val="002436BA"/>
    <w:rsid w:val="00244A15"/>
    <w:rsid w:val="00247319"/>
    <w:rsid w:val="0024799E"/>
    <w:rsid w:val="00253C0F"/>
    <w:rsid w:val="002558C1"/>
    <w:rsid w:val="00271465"/>
    <w:rsid w:val="00285412"/>
    <w:rsid w:val="00291640"/>
    <w:rsid w:val="002A16D4"/>
    <w:rsid w:val="002A230C"/>
    <w:rsid w:val="002A2B09"/>
    <w:rsid w:val="002B2299"/>
    <w:rsid w:val="002B4121"/>
    <w:rsid w:val="002B4845"/>
    <w:rsid w:val="002C43BD"/>
    <w:rsid w:val="002D0E59"/>
    <w:rsid w:val="002E02A1"/>
    <w:rsid w:val="002E42AC"/>
    <w:rsid w:val="002E4E4C"/>
    <w:rsid w:val="00302ADD"/>
    <w:rsid w:val="00304771"/>
    <w:rsid w:val="003052D4"/>
    <w:rsid w:val="00306C5B"/>
    <w:rsid w:val="003166B7"/>
    <w:rsid w:val="003209D6"/>
    <w:rsid w:val="00321924"/>
    <w:rsid w:val="0032656E"/>
    <w:rsid w:val="00332190"/>
    <w:rsid w:val="0034335E"/>
    <w:rsid w:val="00344668"/>
    <w:rsid w:val="003462D9"/>
    <w:rsid w:val="0036073B"/>
    <w:rsid w:val="00360C86"/>
    <w:rsid w:val="00360FBC"/>
    <w:rsid w:val="00362E90"/>
    <w:rsid w:val="00364FA0"/>
    <w:rsid w:val="003657F3"/>
    <w:rsid w:val="00366728"/>
    <w:rsid w:val="003818DC"/>
    <w:rsid w:val="00384327"/>
    <w:rsid w:val="00385D98"/>
    <w:rsid w:val="003A2B4D"/>
    <w:rsid w:val="003A2D12"/>
    <w:rsid w:val="003A478C"/>
    <w:rsid w:val="003A5525"/>
    <w:rsid w:val="003A6B38"/>
    <w:rsid w:val="003B2D3D"/>
    <w:rsid w:val="003B461F"/>
    <w:rsid w:val="003B5A32"/>
    <w:rsid w:val="003C3490"/>
    <w:rsid w:val="003C7E62"/>
    <w:rsid w:val="003D6920"/>
    <w:rsid w:val="003E4C91"/>
    <w:rsid w:val="003F313C"/>
    <w:rsid w:val="003F37FC"/>
    <w:rsid w:val="003F4B2C"/>
    <w:rsid w:val="003F551C"/>
    <w:rsid w:val="003F72ED"/>
    <w:rsid w:val="003F7D23"/>
    <w:rsid w:val="00407C13"/>
    <w:rsid w:val="0041041D"/>
    <w:rsid w:val="00410638"/>
    <w:rsid w:val="0041501E"/>
    <w:rsid w:val="004150B9"/>
    <w:rsid w:val="004159C3"/>
    <w:rsid w:val="00432A58"/>
    <w:rsid w:val="00434617"/>
    <w:rsid w:val="00440900"/>
    <w:rsid w:val="00441BF6"/>
    <w:rsid w:val="004441A0"/>
    <w:rsid w:val="004455BA"/>
    <w:rsid w:val="0045078A"/>
    <w:rsid w:val="0045086D"/>
    <w:rsid w:val="00451504"/>
    <w:rsid w:val="00460FB3"/>
    <w:rsid w:val="00476240"/>
    <w:rsid w:val="00476439"/>
    <w:rsid w:val="0047735C"/>
    <w:rsid w:val="004776BC"/>
    <w:rsid w:val="0048139F"/>
    <w:rsid w:val="00481E40"/>
    <w:rsid w:val="00484ECE"/>
    <w:rsid w:val="004915CB"/>
    <w:rsid w:val="004924DC"/>
    <w:rsid w:val="004A03CF"/>
    <w:rsid w:val="004A14E4"/>
    <w:rsid w:val="004A3212"/>
    <w:rsid w:val="004A4A88"/>
    <w:rsid w:val="004A5494"/>
    <w:rsid w:val="004A61C5"/>
    <w:rsid w:val="004A77DF"/>
    <w:rsid w:val="004B1417"/>
    <w:rsid w:val="004B55B7"/>
    <w:rsid w:val="004B6468"/>
    <w:rsid w:val="004B7125"/>
    <w:rsid w:val="004C384C"/>
    <w:rsid w:val="004C3867"/>
    <w:rsid w:val="004C4CD0"/>
    <w:rsid w:val="004C70DC"/>
    <w:rsid w:val="004D0211"/>
    <w:rsid w:val="004D0794"/>
    <w:rsid w:val="004F06F5"/>
    <w:rsid w:val="004F33A0"/>
    <w:rsid w:val="0050689D"/>
    <w:rsid w:val="005108C0"/>
    <w:rsid w:val="00511873"/>
    <w:rsid w:val="00512A2F"/>
    <w:rsid w:val="00513B7E"/>
    <w:rsid w:val="00515C74"/>
    <w:rsid w:val="0052007E"/>
    <w:rsid w:val="0052337A"/>
    <w:rsid w:val="00525137"/>
    <w:rsid w:val="005251DD"/>
    <w:rsid w:val="00532CE7"/>
    <w:rsid w:val="0053324C"/>
    <w:rsid w:val="00534A28"/>
    <w:rsid w:val="00541508"/>
    <w:rsid w:val="00543498"/>
    <w:rsid w:val="00555217"/>
    <w:rsid w:val="0055599F"/>
    <w:rsid w:val="00556D68"/>
    <w:rsid w:val="00563EB8"/>
    <w:rsid w:val="005647BF"/>
    <w:rsid w:val="00564AF1"/>
    <w:rsid w:val="00572FB1"/>
    <w:rsid w:val="0057364B"/>
    <w:rsid w:val="00574773"/>
    <w:rsid w:val="00583FFD"/>
    <w:rsid w:val="005911BE"/>
    <w:rsid w:val="00593152"/>
    <w:rsid w:val="005A10F2"/>
    <w:rsid w:val="005A21E0"/>
    <w:rsid w:val="005A28FF"/>
    <w:rsid w:val="005A3DF8"/>
    <w:rsid w:val="005A5549"/>
    <w:rsid w:val="005B121D"/>
    <w:rsid w:val="005B6459"/>
    <w:rsid w:val="005C06ED"/>
    <w:rsid w:val="005C2609"/>
    <w:rsid w:val="005D5802"/>
    <w:rsid w:val="005D7119"/>
    <w:rsid w:val="005D7890"/>
    <w:rsid w:val="005E7C78"/>
    <w:rsid w:val="005F18C5"/>
    <w:rsid w:val="005F3EB1"/>
    <w:rsid w:val="005F46D8"/>
    <w:rsid w:val="005F5469"/>
    <w:rsid w:val="00604307"/>
    <w:rsid w:val="0060487F"/>
    <w:rsid w:val="00604EAD"/>
    <w:rsid w:val="006104FB"/>
    <w:rsid w:val="00612A2F"/>
    <w:rsid w:val="00616E05"/>
    <w:rsid w:val="00624093"/>
    <w:rsid w:val="006350D5"/>
    <w:rsid w:val="00635B43"/>
    <w:rsid w:val="006404A7"/>
    <w:rsid w:val="006451E4"/>
    <w:rsid w:val="00645B33"/>
    <w:rsid w:val="00650942"/>
    <w:rsid w:val="006516CB"/>
    <w:rsid w:val="00656FC8"/>
    <w:rsid w:val="00657E87"/>
    <w:rsid w:val="00664803"/>
    <w:rsid w:val="00665BA4"/>
    <w:rsid w:val="00667AF2"/>
    <w:rsid w:val="006710C9"/>
    <w:rsid w:val="006741AC"/>
    <w:rsid w:val="00674D89"/>
    <w:rsid w:val="00675E37"/>
    <w:rsid w:val="0068174E"/>
    <w:rsid w:val="00681DCE"/>
    <w:rsid w:val="0068260E"/>
    <w:rsid w:val="00683398"/>
    <w:rsid w:val="00695BEF"/>
    <w:rsid w:val="006977F6"/>
    <w:rsid w:val="00697A13"/>
    <w:rsid w:val="006A109C"/>
    <w:rsid w:val="006B0F92"/>
    <w:rsid w:val="006B1AFC"/>
    <w:rsid w:val="006B344A"/>
    <w:rsid w:val="006B78D8"/>
    <w:rsid w:val="006C113F"/>
    <w:rsid w:val="006C123E"/>
    <w:rsid w:val="006C1752"/>
    <w:rsid w:val="006C56D4"/>
    <w:rsid w:val="006C6924"/>
    <w:rsid w:val="006C7CA6"/>
    <w:rsid w:val="006D3E8A"/>
    <w:rsid w:val="006D61F6"/>
    <w:rsid w:val="006E279A"/>
    <w:rsid w:val="006E313B"/>
    <w:rsid w:val="006E7227"/>
    <w:rsid w:val="006F438E"/>
    <w:rsid w:val="006F5416"/>
    <w:rsid w:val="00705242"/>
    <w:rsid w:val="00706AD4"/>
    <w:rsid w:val="00707150"/>
    <w:rsid w:val="007140BE"/>
    <w:rsid w:val="007211F5"/>
    <w:rsid w:val="00723946"/>
    <w:rsid w:val="007240E2"/>
    <w:rsid w:val="00725BB5"/>
    <w:rsid w:val="00730AE8"/>
    <w:rsid w:val="00730F1B"/>
    <w:rsid w:val="00741493"/>
    <w:rsid w:val="0075027A"/>
    <w:rsid w:val="00752180"/>
    <w:rsid w:val="00753CAB"/>
    <w:rsid w:val="00755202"/>
    <w:rsid w:val="00755D3A"/>
    <w:rsid w:val="007578D3"/>
    <w:rsid w:val="007609C6"/>
    <w:rsid w:val="00760EA4"/>
    <w:rsid w:val="00761600"/>
    <w:rsid w:val="0076175D"/>
    <w:rsid w:val="00763B85"/>
    <w:rsid w:val="0076521E"/>
    <w:rsid w:val="007661E9"/>
    <w:rsid w:val="00776169"/>
    <w:rsid w:val="00776527"/>
    <w:rsid w:val="00780EF1"/>
    <w:rsid w:val="00790764"/>
    <w:rsid w:val="0079453C"/>
    <w:rsid w:val="00794677"/>
    <w:rsid w:val="00797445"/>
    <w:rsid w:val="007A516D"/>
    <w:rsid w:val="007B6689"/>
    <w:rsid w:val="007C6BBD"/>
    <w:rsid w:val="007C7443"/>
    <w:rsid w:val="007D2975"/>
    <w:rsid w:val="007D40DF"/>
    <w:rsid w:val="007E29B4"/>
    <w:rsid w:val="007E435A"/>
    <w:rsid w:val="007E7E61"/>
    <w:rsid w:val="007F0845"/>
    <w:rsid w:val="007F6B15"/>
    <w:rsid w:val="007F708D"/>
    <w:rsid w:val="00801E13"/>
    <w:rsid w:val="00807C82"/>
    <w:rsid w:val="00814B15"/>
    <w:rsid w:val="00816905"/>
    <w:rsid w:val="008207EF"/>
    <w:rsid w:val="00821777"/>
    <w:rsid w:val="00821FF6"/>
    <w:rsid w:val="00822574"/>
    <w:rsid w:val="00825C4D"/>
    <w:rsid w:val="0083143E"/>
    <w:rsid w:val="00831CDE"/>
    <w:rsid w:val="00834304"/>
    <w:rsid w:val="00834FAA"/>
    <w:rsid w:val="00836086"/>
    <w:rsid w:val="00846121"/>
    <w:rsid w:val="0084708F"/>
    <w:rsid w:val="008477C8"/>
    <w:rsid w:val="0085114D"/>
    <w:rsid w:val="00852217"/>
    <w:rsid w:val="00855408"/>
    <w:rsid w:val="00856D65"/>
    <w:rsid w:val="00861B41"/>
    <w:rsid w:val="00861BE3"/>
    <w:rsid w:val="00863434"/>
    <w:rsid w:val="00865E4C"/>
    <w:rsid w:val="008701E4"/>
    <w:rsid w:val="00871069"/>
    <w:rsid w:val="00875A32"/>
    <w:rsid w:val="00876086"/>
    <w:rsid w:val="008825B0"/>
    <w:rsid w:val="00884AD6"/>
    <w:rsid w:val="008873D4"/>
    <w:rsid w:val="0089126C"/>
    <w:rsid w:val="0089296D"/>
    <w:rsid w:val="00893E85"/>
    <w:rsid w:val="00894031"/>
    <w:rsid w:val="00895508"/>
    <w:rsid w:val="0089685F"/>
    <w:rsid w:val="008B167B"/>
    <w:rsid w:val="008B7C02"/>
    <w:rsid w:val="008B7D2B"/>
    <w:rsid w:val="008C0049"/>
    <w:rsid w:val="008C0E88"/>
    <w:rsid w:val="008C53CB"/>
    <w:rsid w:val="008D17C7"/>
    <w:rsid w:val="008D1E6A"/>
    <w:rsid w:val="008D2A16"/>
    <w:rsid w:val="008E2C57"/>
    <w:rsid w:val="008E31FF"/>
    <w:rsid w:val="008E6F06"/>
    <w:rsid w:val="008E7FC9"/>
    <w:rsid w:val="008F029B"/>
    <w:rsid w:val="008F3FC9"/>
    <w:rsid w:val="008F585B"/>
    <w:rsid w:val="009003A8"/>
    <w:rsid w:val="00902500"/>
    <w:rsid w:val="00902EFF"/>
    <w:rsid w:val="00906401"/>
    <w:rsid w:val="0091155E"/>
    <w:rsid w:val="00912634"/>
    <w:rsid w:val="00912A92"/>
    <w:rsid w:val="0091728D"/>
    <w:rsid w:val="009203C8"/>
    <w:rsid w:val="0092180B"/>
    <w:rsid w:val="00921F14"/>
    <w:rsid w:val="009231A3"/>
    <w:rsid w:val="00924AC8"/>
    <w:rsid w:val="0092597A"/>
    <w:rsid w:val="00930FB1"/>
    <w:rsid w:val="0093139F"/>
    <w:rsid w:val="00932443"/>
    <w:rsid w:val="009324EF"/>
    <w:rsid w:val="00933121"/>
    <w:rsid w:val="00937AE2"/>
    <w:rsid w:val="0094427A"/>
    <w:rsid w:val="00945245"/>
    <w:rsid w:val="0095759C"/>
    <w:rsid w:val="00966405"/>
    <w:rsid w:val="009721DB"/>
    <w:rsid w:val="00974923"/>
    <w:rsid w:val="00975148"/>
    <w:rsid w:val="00980D3D"/>
    <w:rsid w:val="00987A30"/>
    <w:rsid w:val="00992CF3"/>
    <w:rsid w:val="00994868"/>
    <w:rsid w:val="009968D6"/>
    <w:rsid w:val="009A1CAB"/>
    <w:rsid w:val="009A60D1"/>
    <w:rsid w:val="009B1F0B"/>
    <w:rsid w:val="009B6FD3"/>
    <w:rsid w:val="009C1750"/>
    <w:rsid w:val="009C2E29"/>
    <w:rsid w:val="009C554B"/>
    <w:rsid w:val="009C719E"/>
    <w:rsid w:val="009C7A10"/>
    <w:rsid w:val="009D3ACD"/>
    <w:rsid w:val="009E5273"/>
    <w:rsid w:val="009E5DDB"/>
    <w:rsid w:val="009F4CA7"/>
    <w:rsid w:val="00A0439C"/>
    <w:rsid w:val="00A10D66"/>
    <w:rsid w:val="00A14114"/>
    <w:rsid w:val="00A16413"/>
    <w:rsid w:val="00A16E1D"/>
    <w:rsid w:val="00A171A3"/>
    <w:rsid w:val="00A17D5B"/>
    <w:rsid w:val="00A23E43"/>
    <w:rsid w:val="00A25216"/>
    <w:rsid w:val="00A30F65"/>
    <w:rsid w:val="00A33A89"/>
    <w:rsid w:val="00A40EAC"/>
    <w:rsid w:val="00A418BC"/>
    <w:rsid w:val="00A46DE0"/>
    <w:rsid w:val="00A50D73"/>
    <w:rsid w:val="00A52CAD"/>
    <w:rsid w:val="00A53FC7"/>
    <w:rsid w:val="00A62CE1"/>
    <w:rsid w:val="00A6741E"/>
    <w:rsid w:val="00A75E40"/>
    <w:rsid w:val="00A77D1D"/>
    <w:rsid w:val="00A84A6A"/>
    <w:rsid w:val="00A857C0"/>
    <w:rsid w:val="00A90FED"/>
    <w:rsid w:val="00AA2996"/>
    <w:rsid w:val="00AA52BF"/>
    <w:rsid w:val="00AA559A"/>
    <w:rsid w:val="00AB2AF1"/>
    <w:rsid w:val="00AC224B"/>
    <w:rsid w:val="00AC45BD"/>
    <w:rsid w:val="00AD0D0E"/>
    <w:rsid w:val="00AD1119"/>
    <w:rsid w:val="00AD168E"/>
    <w:rsid w:val="00AD306C"/>
    <w:rsid w:val="00AD68C4"/>
    <w:rsid w:val="00AE09B3"/>
    <w:rsid w:val="00AE1A83"/>
    <w:rsid w:val="00AF6128"/>
    <w:rsid w:val="00B00913"/>
    <w:rsid w:val="00B01593"/>
    <w:rsid w:val="00B023F2"/>
    <w:rsid w:val="00B04705"/>
    <w:rsid w:val="00B10A4D"/>
    <w:rsid w:val="00B14BC1"/>
    <w:rsid w:val="00B17E71"/>
    <w:rsid w:val="00B17FDE"/>
    <w:rsid w:val="00B2379C"/>
    <w:rsid w:val="00B2687D"/>
    <w:rsid w:val="00B32DDB"/>
    <w:rsid w:val="00B34528"/>
    <w:rsid w:val="00B34CC9"/>
    <w:rsid w:val="00B402FC"/>
    <w:rsid w:val="00B439DA"/>
    <w:rsid w:val="00B46604"/>
    <w:rsid w:val="00B530CD"/>
    <w:rsid w:val="00B536DD"/>
    <w:rsid w:val="00B55F5E"/>
    <w:rsid w:val="00B5752E"/>
    <w:rsid w:val="00B63A11"/>
    <w:rsid w:val="00B63B6A"/>
    <w:rsid w:val="00B64C24"/>
    <w:rsid w:val="00B6608F"/>
    <w:rsid w:val="00B679FB"/>
    <w:rsid w:val="00B76D1E"/>
    <w:rsid w:val="00B80EC6"/>
    <w:rsid w:val="00B84CF6"/>
    <w:rsid w:val="00B92D1D"/>
    <w:rsid w:val="00B938C5"/>
    <w:rsid w:val="00B95940"/>
    <w:rsid w:val="00BA6C2B"/>
    <w:rsid w:val="00BB099E"/>
    <w:rsid w:val="00BB2F43"/>
    <w:rsid w:val="00BB46F3"/>
    <w:rsid w:val="00BB4CB1"/>
    <w:rsid w:val="00BB4F98"/>
    <w:rsid w:val="00BC5C12"/>
    <w:rsid w:val="00BC7154"/>
    <w:rsid w:val="00BC731E"/>
    <w:rsid w:val="00BD366B"/>
    <w:rsid w:val="00BD6D50"/>
    <w:rsid w:val="00BE18B9"/>
    <w:rsid w:val="00BE2495"/>
    <w:rsid w:val="00BF1578"/>
    <w:rsid w:val="00C21F94"/>
    <w:rsid w:val="00C27913"/>
    <w:rsid w:val="00C27D07"/>
    <w:rsid w:val="00C33B68"/>
    <w:rsid w:val="00C35666"/>
    <w:rsid w:val="00C36A79"/>
    <w:rsid w:val="00C401D2"/>
    <w:rsid w:val="00C405D4"/>
    <w:rsid w:val="00C446A2"/>
    <w:rsid w:val="00C4513B"/>
    <w:rsid w:val="00C5390B"/>
    <w:rsid w:val="00C54697"/>
    <w:rsid w:val="00C73885"/>
    <w:rsid w:val="00C747B1"/>
    <w:rsid w:val="00C82191"/>
    <w:rsid w:val="00C83134"/>
    <w:rsid w:val="00C85545"/>
    <w:rsid w:val="00C90CF4"/>
    <w:rsid w:val="00C92EB6"/>
    <w:rsid w:val="00C93389"/>
    <w:rsid w:val="00CA0914"/>
    <w:rsid w:val="00CA6AB4"/>
    <w:rsid w:val="00CB4930"/>
    <w:rsid w:val="00CC2E7D"/>
    <w:rsid w:val="00CD10A5"/>
    <w:rsid w:val="00CD2076"/>
    <w:rsid w:val="00CD29B5"/>
    <w:rsid w:val="00CD5BA3"/>
    <w:rsid w:val="00CD6331"/>
    <w:rsid w:val="00CE670B"/>
    <w:rsid w:val="00CF4908"/>
    <w:rsid w:val="00CF51EC"/>
    <w:rsid w:val="00CF73AE"/>
    <w:rsid w:val="00D040DD"/>
    <w:rsid w:val="00D075BE"/>
    <w:rsid w:val="00D13986"/>
    <w:rsid w:val="00D21D83"/>
    <w:rsid w:val="00D235B7"/>
    <w:rsid w:val="00D25F28"/>
    <w:rsid w:val="00D26071"/>
    <w:rsid w:val="00D27973"/>
    <w:rsid w:val="00D35E1A"/>
    <w:rsid w:val="00D50F46"/>
    <w:rsid w:val="00D57677"/>
    <w:rsid w:val="00D66223"/>
    <w:rsid w:val="00D71625"/>
    <w:rsid w:val="00D76A18"/>
    <w:rsid w:val="00D8084C"/>
    <w:rsid w:val="00D915EA"/>
    <w:rsid w:val="00D94D95"/>
    <w:rsid w:val="00DA7C0C"/>
    <w:rsid w:val="00DB08A9"/>
    <w:rsid w:val="00DB2EC8"/>
    <w:rsid w:val="00DC5B3B"/>
    <w:rsid w:val="00DD129F"/>
    <w:rsid w:val="00DD1A46"/>
    <w:rsid w:val="00DE02BD"/>
    <w:rsid w:val="00DE0F3B"/>
    <w:rsid w:val="00DF42FF"/>
    <w:rsid w:val="00E01C0E"/>
    <w:rsid w:val="00E03F9A"/>
    <w:rsid w:val="00E04694"/>
    <w:rsid w:val="00E12B1E"/>
    <w:rsid w:val="00E17262"/>
    <w:rsid w:val="00E253A2"/>
    <w:rsid w:val="00E3309D"/>
    <w:rsid w:val="00E47EBA"/>
    <w:rsid w:val="00E50156"/>
    <w:rsid w:val="00E51643"/>
    <w:rsid w:val="00E53470"/>
    <w:rsid w:val="00E539F6"/>
    <w:rsid w:val="00E6519D"/>
    <w:rsid w:val="00E67696"/>
    <w:rsid w:val="00E71A58"/>
    <w:rsid w:val="00E72A7A"/>
    <w:rsid w:val="00E75C94"/>
    <w:rsid w:val="00E76A3F"/>
    <w:rsid w:val="00E93820"/>
    <w:rsid w:val="00E94A86"/>
    <w:rsid w:val="00E96143"/>
    <w:rsid w:val="00E963D6"/>
    <w:rsid w:val="00EA0987"/>
    <w:rsid w:val="00EA0C68"/>
    <w:rsid w:val="00EA32BC"/>
    <w:rsid w:val="00EB4511"/>
    <w:rsid w:val="00EB4A3B"/>
    <w:rsid w:val="00EC03D7"/>
    <w:rsid w:val="00ED62C6"/>
    <w:rsid w:val="00ED64C1"/>
    <w:rsid w:val="00EE3446"/>
    <w:rsid w:val="00EE3E78"/>
    <w:rsid w:val="00EE4B1B"/>
    <w:rsid w:val="00EE7F19"/>
    <w:rsid w:val="00EF150D"/>
    <w:rsid w:val="00EF1F5A"/>
    <w:rsid w:val="00EF47BF"/>
    <w:rsid w:val="00F04811"/>
    <w:rsid w:val="00F0488C"/>
    <w:rsid w:val="00F10F11"/>
    <w:rsid w:val="00F15AAA"/>
    <w:rsid w:val="00F15BEF"/>
    <w:rsid w:val="00F24407"/>
    <w:rsid w:val="00F24931"/>
    <w:rsid w:val="00F24FAA"/>
    <w:rsid w:val="00F3364D"/>
    <w:rsid w:val="00F3443C"/>
    <w:rsid w:val="00F437CC"/>
    <w:rsid w:val="00F44537"/>
    <w:rsid w:val="00F44B6A"/>
    <w:rsid w:val="00F47067"/>
    <w:rsid w:val="00F525EB"/>
    <w:rsid w:val="00F63DDE"/>
    <w:rsid w:val="00F63FB7"/>
    <w:rsid w:val="00F6421B"/>
    <w:rsid w:val="00F649D2"/>
    <w:rsid w:val="00F6602B"/>
    <w:rsid w:val="00F73A0C"/>
    <w:rsid w:val="00F756DB"/>
    <w:rsid w:val="00F84E7D"/>
    <w:rsid w:val="00F85066"/>
    <w:rsid w:val="00F87A4D"/>
    <w:rsid w:val="00F9785E"/>
    <w:rsid w:val="00FA5D4D"/>
    <w:rsid w:val="00FB0EE2"/>
    <w:rsid w:val="00FB542E"/>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16D78745"/>
  <w15:docId w15:val="{FC3C9807-8A20-484D-A937-0CB633FC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4FA0"/>
    <w:pPr>
      <w:spacing w:after="240" w:line="276" w:lineRule="auto"/>
      <w:jc w:val="both"/>
    </w:pPr>
    <w:rPr>
      <w:rFonts w:ascii="Arial" w:eastAsia="Times New Roman" w:hAnsi="Arial"/>
      <w:szCs w:val="24"/>
      <w:lang w:eastAsia="cs-CZ"/>
    </w:rPr>
  </w:style>
  <w:style w:type="paragraph" w:styleId="Nadpis1">
    <w:name w:val="heading 1"/>
    <w:next w:val="Normln"/>
    <w:link w:val="Nadpis1Char"/>
    <w:uiPriority w:val="9"/>
    <w:qFormat/>
    <w:rsid w:val="00EA0987"/>
    <w:pPr>
      <w:keepNext/>
      <w:keepLines/>
      <w:spacing w:after="100" w:line="276" w:lineRule="auto"/>
      <w:contextualSpacing/>
      <w:outlineLvl w:val="0"/>
    </w:pPr>
    <w:rPr>
      <w:rFonts w:ascii="Arial" w:eastAsia="MS Gothic" w:hAnsi="Arial"/>
      <w:b/>
      <w:bCs/>
      <w:color w:val="86BF5E"/>
      <w:sz w:val="32"/>
      <w:szCs w:val="28"/>
      <w:lang w:eastAsia="cs-CZ"/>
    </w:rPr>
  </w:style>
  <w:style w:type="paragraph" w:styleId="Nadpis2">
    <w:name w:val="heading 2"/>
    <w:next w:val="Normln"/>
    <w:link w:val="Nadpis2Char"/>
    <w:uiPriority w:val="9"/>
    <w:qFormat/>
    <w:rsid w:val="00EA0987"/>
    <w:pPr>
      <w:keepNext/>
      <w:keepLines/>
      <w:spacing w:line="276" w:lineRule="auto"/>
      <w:outlineLvl w:val="1"/>
    </w:pPr>
    <w:rPr>
      <w:rFonts w:ascii="Arial" w:eastAsia="MS Gothic" w:hAnsi="Arial"/>
      <w:b/>
      <w:bCs/>
      <w:color w:val="86BF5E"/>
      <w:sz w:val="28"/>
      <w:szCs w:val="26"/>
      <w:lang w:eastAsia="cs-CZ"/>
    </w:rPr>
  </w:style>
  <w:style w:type="paragraph" w:styleId="Nadpis3">
    <w:name w:val="heading 3"/>
    <w:next w:val="Normln"/>
    <w:link w:val="Nadpis3Char"/>
    <w:uiPriority w:val="9"/>
    <w:qFormat/>
    <w:rsid w:val="00EA0987"/>
    <w:pPr>
      <w:keepNext/>
      <w:keepLines/>
      <w:spacing w:line="276" w:lineRule="auto"/>
      <w:outlineLvl w:val="2"/>
    </w:pPr>
    <w:rPr>
      <w:rFonts w:ascii="Arial" w:eastAsia="MS Gothic" w:hAnsi="Arial"/>
      <w:b/>
      <w:bCs/>
      <w:color w:val="86BF5E"/>
      <w:sz w:val="24"/>
      <w:szCs w:val="24"/>
      <w:lang w:eastAsia="cs-CZ"/>
    </w:rPr>
  </w:style>
  <w:style w:type="paragraph" w:styleId="Nadpis4">
    <w:name w:val="heading 4"/>
    <w:next w:val="Normln"/>
    <w:link w:val="Nadpis4Char"/>
    <w:uiPriority w:val="9"/>
    <w:qFormat/>
    <w:rsid w:val="0041041D"/>
    <w:pPr>
      <w:keepNext/>
      <w:keepLines/>
      <w:spacing w:line="276" w:lineRule="auto"/>
      <w:outlineLvl w:val="3"/>
    </w:pPr>
    <w:rPr>
      <w:rFonts w:ascii="Arial" w:eastAsia="MS Gothic" w:hAnsi="Arial"/>
      <w:b/>
      <w:bCs/>
      <w:iCs/>
      <w:color w:val="86BF5E"/>
      <w:szCs w:val="24"/>
      <w:lang w:eastAsia="cs-CZ"/>
    </w:rPr>
  </w:style>
  <w:style w:type="paragraph" w:styleId="Nadpis5">
    <w:name w:val="heading 5"/>
    <w:basedOn w:val="Normln"/>
    <w:next w:val="Normln"/>
    <w:link w:val="Nadpis5Char"/>
    <w:uiPriority w:val="9"/>
    <w:semiHidden/>
    <w:unhideWhenUsed/>
    <w:rsid w:val="007A516D"/>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A516D"/>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A516D"/>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A516D"/>
    <w:pPr>
      <w:keepNext/>
      <w:keepLines/>
      <w:numPr>
        <w:ilvl w:val="7"/>
        <w:numId w:val="14"/>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7A516D"/>
    <w:pPr>
      <w:numPr>
        <w:ilvl w:val="8"/>
        <w:numId w:val="14"/>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qFormat/>
    <w:rsid w:val="00EA0987"/>
    <w:rPr>
      <w:rFonts w:ascii="Arial" w:eastAsia="MS Gothic" w:hAnsi="Arial"/>
      <w:b/>
      <w:bCs/>
      <w:color w:val="86BF5E"/>
      <w:sz w:val="32"/>
      <w:szCs w:val="28"/>
      <w:lang w:eastAsia="cs-CZ"/>
    </w:rPr>
  </w:style>
  <w:style w:type="character" w:customStyle="1" w:styleId="Nadpis2Char">
    <w:name w:val="Nadpis 2 Char"/>
    <w:link w:val="Nadpis2"/>
    <w:uiPriority w:val="9"/>
    <w:rsid w:val="00EA0987"/>
    <w:rPr>
      <w:rFonts w:ascii="Arial" w:eastAsia="MS Gothic" w:hAnsi="Arial"/>
      <w:b/>
      <w:bCs/>
      <w:color w:val="86BF5E"/>
      <w:sz w:val="28"/>
      <w:szCs w:val="26"/>
      <w:lang w:eastAsia="cs-CZ"/>
    </w:rPr>
  </w:style>
  <w:style w:type="character" w:customStyle="1" w:styleId="Nadpis3Char">
    <w:name w:val="Nadpis 3 Char"/>
    <w:link w:val="Nadpis3"/>
    <w:uiPriority w:val="9"/>
    <w:rsid w:val="00EA0987"/>
    <w:rPr>
      <w:rFonts w:ascii="Arial" w:eastAsia="MS Gothic" w:hAnsi="Arial"/>
      <w:b/>
      <w:bCs/>
      <w:color w:val="86BF5E"/>
      <w:sz w:val="24"/>
      <w:szCs w:val="24"/>
      <w:lang w:eastAsia="cs-CZ"/>
    </w:rPr>
  </w:style>
  <w:style w:type="character" w:customStyle="1" w:styleId="Nadpis4Char">
    <w:name w:val="Nadpis 4 Char"/>
    <w:link w:val="Nadpis4"/>
    <w:uiPriority w:val="9"/>
    <w:rsid w:val="0041041D"/>
    <w:rPr>
      <w:rFonts w:ascii="Arial" w:eastAsia="MS Gothic" w:hAnsi="Arial"/>
      <w:b/>
      <w:bCs/>
      <w:iCs/>
      <w:color w:val="86BF5E"/>
      <w:szCs w:val="24"/>
      <w:lang w:eastAsia="cs-CZ"/>
    </w:rPr>
  </w:style>
  <w:style w:type="character" w:customStyle="1" w:styleId="Nadpis9Char">
    <w:name w:val="Nadpis 9 Char"/>
    <w:link w:val="Nadpis9"/>
    <w:uiPriority w:val="9"/>
    <w:semiHidden/>
    <w:rsid w:val="007A516D"/>
    <w:rPr>
      <w:rFonts w:ascii="Cambria" w:eastAsia="Times New Roman" w:hAnsi="Cambria"/>
      <w:sz w:val="22"/>
      <w:szCs w:val="22"/>
      <w:lang w:eastAsia="cs-CZ"/>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iPriority w:val="99"/>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uiPriority w:val="99"/>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0A57D4"/>
    <w:pPr>
      <w:spacing w:after="80" w:line="288" w:lineRule="auto"/>
    </w:pPr>
    <w:rPr>
      <w:rFonts w:ascii="Arial" w:eastAsia="Times New Roman" w:hAnsi="Arial"/>
      <w:b/>
      <w:color w:val="86BF5E"/>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A-Box1">
    <w:name w:val="A-Box 1"/>
    <w:next w:val="Normln"/>
    <w:qFormat/>
    <w:rsid w:val="00EA0987"/>
    <w:pPr>
      <w:shd w:val="clear" w:color="auto" w:fill="F0F6E9"/>
      <w:spacing w:before="240" w:after="240" w:line="276" w:lineRule="auto"/>
      <w:contextualSpacing/>
      <w:jc w:val="both"/>
    </w:pPr>
    <w:rPr>
      <w:rFonts w:ascii="Arial" w:hAnsi="Arial" w:cs="Arial"/>
      <w:lang w:eastAsia="cs-CZ"/>
    </w:rPr>
  </w:style>
  <w:style w:type="paragraph" w:customStyle="1" w:styleId="A-Box2">
    <w:name w:val="A-Box 2"/>
    <w:next w:val="Normln"/>
    <w:qFormat/>
    <w:rsid w:val="00EA0987"/>
    <w:pPr>
      <w:spacing w:before="240" w:after="240" w:line="276" w:lineRule="auto"/>
      <w:contextualSpacing/>
      <w:jc w:val="both"/>
    </w:pPr>
    <w:rPr>
      <w:rFonts w:ascii="Arial" w:hAnsi="Arial" w:cs="Arial"/>
      <w:color w:val="86BF5E"/>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0A57D4"/>
    <w:pPr>
      <w:spacing w:after="40"/>
      <w:contextualSpacing/>
    </w:pPr>
    <w:rPr>
      <w:b/>
      <w:caps/>
      <w:sz w:val="24"/>
    </w:rPr>
  </w:style>
  <w:style w:type="paragraph" w:customStyle="1" w:styleId="TLKontakty">
    <w:name w:val="TL Kontakty"/>
    <w:qFormat/>
    <w:rsid w:val="000A57D4"/>
    <w:pPr>
      <w:spacing w:after="160" w:line="259" w:lineRule="auto"/>
      <w:contextualSpacing/>
    </w:pPr>
    <w:rPr>
      <w:rFonts w:ascii="Arial" w:eastAsia="Times New Roman" w:hAnsi="Arial"/>
      <w:b/>
      <w:color w:val="86BF5E"/>
      <w:lang w:eastAsia="cs-CZ"/>
    </w:rPr>
  </w:style>
  <w:style w:type="paragraph" w:styleId="Nzev">
    <w:name w:val="Title"/>
    <w:link w:val="NzevChar"/>
    <w:uiPriority w:val="10"/>
    <w:qFormat/>
    <w:rsid w:val="001E6062"/>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1E6062"/>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1E6062"/>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1E6062"/>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customStyle="1" w:styleId="Nadpis5Char">
    <w:name w:val="Nadpis 5 Char"/>
    <w:basedOn w:val="Standardnpsmoodstavce"/>
    <w:link w:val="Nadpis5"/>
    <w:uiPriority w:val="9"/>
    <w:semiHidden/>
    <w:rsid w:val="007A516D"/>
    <w:rPr>
      <w:rFonts w:asciiTheme="majorHAnsi" w:eastAsiaTheme="majorEastAsia" w:hAnsiTheme="majorHAnsi" w:cstheme="majorBidi"/>
      <w:color w:val="243F60" w:themeColor="accent1" w:themeShade="7F"/>
      <w:szCs w:val="24"/>
      <w:lang w:eastAsia="cs-CZ"/>
    </w:rPr>
  </w:style>
  <w:style w:type="character" w:customStyle="1" w:styleId="Nadpis6Char">
    <w:name w:val="Nadpis 6 Char"/>
    <w:basedOn w:val="Standardnpsmoodstavce"/>
    <w:link w:val="Nadpis6"/>
    <w:uiPriority w:val="9"/>
    <w:semiHidden/>
    <w:rsid w:val="007A516D"/>
    <w:rPr>
      <w:rFonts w:asciiTheme="majorHAnsi" w:eastAsiaTheme="majorEastAsia" w:hAnsiTheme="majorHAnsi" w:cstheme="majorBidi"/>
      <w:i/>
      <w:iCs/>
      <w:color w:val="243F60" w:themeColor="accent1" w:themeShade="7F"/>
      <w:szCs w:val="24"/>
      <w:lang w:eastAsia="cs-CZ"/>
    </w:rPr>
  </w:style>
  <w:style w:type="character" w:customStyle="1" w:styleId="Nadpis7Char">
    <w:name w:val="Nadpis 7 Char"/>
    <w:basedOn w:val="Standardnpsmoodstavce"/>
    <w:link w:val="Nadpis7"/>
    <w:uiPriority w:val="9"/>
    <w:semiHidden/>
    <w:rsid w:val="007A516D"/>
    <w:rPr>
      <w:rFonts w:asciiTheme="majorHAnsi" w:eastAsiaTheme="majorEastAsia" w:hAnsiTheme="majorHAnsi" w:cstheme="majorBidi"/>
      <w:i/>
      <w:iCs/>
      <w:color w:val="404040" w:themeColor="text1" w:themeTint="BF"/>
      <w:szCs w:val="24"/>
      <w:lang w:eastAsia="cs-CZ"/>
    </w:rPr>
  </w:style>
  <w:style w:type="character" w:customStyle="1" w:styleId="Nadpis8Char">
    <w:name w:val="Nadpis 8 Char"/>
    <w:basedOn w:val="Standardnpsmoodstavce"/>
    <w:link w:val="Nadpis8"/>
    <w:uiPriority w:val="9"/>
    <w:semiHidden/>
    <w:rsid w:val="007A516D"/>
    <w:rPr>
      <w:rFonts w:asciiTheme="majorHAnsi" w:eastAsiaTheme="majorEastAsia" w:hAnsiTheme="majorHAnsi" w:cstheme="majorBidi"/>
      <w:color w:val="404040" w:themeColor="text1" w:themeTint="BF"/>
      <w:lang w:eastAsia="cs-CZ"/>
    </w:rPr>
  </w:style>
  <w:style w:type="paragraph" w:styleId="Textpoznpodarou">
    <w:name w:val="footnote text"/>
    <w:aliases w:val="Text pozn. pod čarou_martin_ang"/>
    <w:basedOn w:val="Normln"/>
    <w:link w:val="TextpoznpodarouChar"/>
    <w:qFormat/>
    <w:rsid w:val="008E7FC9"/>
    <w:pPr>
      <w:spacing w:after="0" w:line="240" w:lineRule="auto"/>
      <w:jc w:val="left"/>
    </w:pPr>
    <w:rPr>
      <w:rFonts w:eastAsia="Calibri"/>
      <w:szCs w:val="20"/>
    </w:rPr>
  </w:style>
  <w:style w:type="character" w:customStyle="1" w:styleId="TextpoznpodarouChar">
    <w:name w:val="Text pozn. pod čarou Char"/>
    <w:aliases w:val="Text pozn. pod čarou_martin_ang Char"/>
    <w:basedOn w:val="Standardnpsmoodstavce"/>
    <w:link w:val="Textpoznpodarou"/>
    <w:qFormat/>
    <w:rsid w:val="008E7FC9"/>
    <w:rPr>
      <w:rFonts w:ascii="Arial" w:hAnsi="Arial"/>
      <w:lang w:eastAsia="cs-CZ"/>
    </w:rPr>
  </w:style>
  <w:style w:type="paragraph" w:styleId="Bezmezer">
    <w:name w:val="No Spacing"/>
    <w:uiPriority w:val="1"/>
    <w:qFormat/>
    <w:rsid w:val="00AD68C4"/>
    <w:pPr>
      <w:jc w:val="both"/>
    </w:pPr>
    <w:rPr>
      <w:rFonts w:ascii="Arial" w:eastAsia="Times New Roman" w:hAnsi="Arial"/>
      <w:szCs w:val="24"/>
      <w:lang w:eastAsia="cs-CZ"/>
    </w:rPr>
  </w:style>
  <w:style w:type="paragraph" w:customStyle="1" w:styleId="Marginlie">
    <w:name w:val="Marginálie"/>
    <w:basedOn w:val="Normln"/>
    <w:qFormat/>
    <w:rsid w:val="0089296D"/>
    <w:pPr>
      <w:spacing w:after="0"/>
      <w:jc w:val="left"/>
    </w:pPr>
    <w:rPr>
      <w:spacing w:val="-2"/>
      <w:sz w:val="16"/>
      <w:szCs w:val="16"/>
    </w:rPr>
  </w:style>
  <w:style w:type="paragraph" w:styleId="Odstavecseseznamem">
    <w:name w:val="List Paragraph"/>
    <w:basedOn w:val="Normln"/>
    <w:link w:val="OdstavecseseznamemChar"/>
    <w:uiPriority w:val="34"/>
    <w:qFormat/>
    <w:rsid w:val="006B0F92"/>
    <w:pPr>
      <w:ind w:left="720"/>
      <w:contextualSpacing/>
    </w:pPr>
  </w:style>
  <w:style w:type="paragraph" w:customStyle="1" w:styleId="Normalodrka">
    <w:name w:val="Normal odrážka"/>
    <w:qFormat/>
    <w:rsid w:val="006B0F92"/>
    <w:pPr>
      <w:numPr>
        <w:numId w:val="20"/>
      </w:numPr>
      <w:spacing w:after="240" w:line="276" w:lineRule="auto"/>
      <w:ind w:left="357" w:hanging="357"/>
      <w:jc w:val="both"/>
    </w:pPr>
    <w:rPr>
      <w:rFonts w:ascii="Arial" w:eastAsia="Times New Roman" w:hAnsi="Arial"/>
      <w:szCs w:val="24"/>
      <w:lang w:eastAsia="cs-CZ"/>
    </w:rPr>
  </w:style>
  <w:style w:type="paragraph" w:customStyle="1" w:styleId="Box1">
    <w:name w:val="Box 1"/>
    <w:next w:val="Normln"/>
    <w:qFormat/>
    <w:rsid w:val="00EA0987"/>
    <w:pPr>
      <w:shd w:val="clear" w:color="auto" w:fill="F0F6E9"/>
      <w:spacing w:before="240" w:after="240" w:line="276" w:lineRule="auto"/>
      <w:ind w:left="709"/>
      <w:contextualSpacing/>
      <w:jc w:val="both"/>
    </w:pPr>
    <w:rPr>
      <w:rFonts w:ascii="Arial" w:hAnsi="Arial" w:cs="Arial"/>
      <w:lang w:eastAsia="cs-CZ"/>
    </w:rPr>
  </w:style>
  <w:style w:type="paragraph" w:customStyle="1" w:styleId="Box2">
    <w:name w:val="Box 2"/>
    <w:next w:val="Normln"/>
    <w:qFormat/>
    <w:rsid w:val="00EA0987"/>
    <w:pPr>
      <w:spacing w:before="240" w:after="240" w:line="276" w:lineRule="auto"/>
      <w:ind w:left="709"/>
      <w:contextualSpacing/>
      <w:jc w:val="both"/>
    </w:pPr>
    <w:rPr>
      <w:rFonts w:ascii="Arial" w:hAnsi="Arial" w:cs="Arial"/>
      <w:b/>
      <w:color w:val="86BF5E"/>
      <w:lang w:eastAsia="cs-CZ"/>
    </w:rPr>
  </w:style>
  <w:style w:type="character" w:styleId="Zdraznnintenzivn">
    <w:name w:val="Intense Emphasis"/>
    <w:basedOn w:val="Standardnpsmoodstavce"/>
    <w:uiPriority w:val="21"/>
    <w:qFormat/>
    <w:rsid w:val="001E6062"/>
    <w:rPr>
      <w:i/>
      <w:iCs/>
      <w:color w:val="000000" w:themeColor="text1"/>
    </w:rPr>
  </w:style>
  <w:style w:type="character" w:styleId="Odkazintenzivn">
    <w:name w:val="Intense Reference"/>
    <w:basedOn w:val="Standardnpsmoodstavce"/>
    <w:uiPriority w:val="32"/>
    <w:qFormat/>
    <w:rsid w:val="001E6062"/>
    <w:rPr>
      <w:b/>
      <w:bCs/>
      <w:smallCaps/>
      <w:color w:val="000000" w:themeColor="text1"/>
      <w:spacing w:val="5"/>
    </w:rPr>
  </w:style>
  <w:style w:type="character" w:styleId="Znakapoznpodarou">
    <w:name w:val="footnote reference"/>
    <w:basedOn w:val="Standardnpsmoodstavce"/>
    <w:rsid w:val="009324EF"/>
    <w:rPr>
      <w:rFonts w:cs="Times New Roman"/>
      <w:vertAlign w:val="superscript"/>
    </w:rPr>
  </w:style>
  <w:style w:type="paragraph" w:customStyle="1" w:styleId="Nadpis11">
    <w:name w:val="Nadpis 11"/>
    <w:basedOn w:val="Normln"/>
    <w:uiPriority w:val="9"/>
    <w:qFormat/>
    <w:rsid w:val="009324EF"/>
    <w:pPr>
      <w:keepNext/>
      <w:keepLines/>
      <w:spacing w:after="100"/>
      <w:contextualSpacing/>
      <w:jc w:val="left"/>
      <w:outlineLvl w:val="0"/>
    </w:pPr>
    <w:rPr>
      <w:rFonts w:eastAsia="MS Gothic"/>
      <w:b/>
      <w:bCs/>
      <w:color w:val="71818C"/>
      <w:sz w:val="32"/>
      <w:szCs w:val="28"/>
    </w:rPr>
  </w:style>
  <w:style w:type="paragraph" w:customStyle="1" w:styleId="Textpoznpodarou1">
    <w:name w:val="Text pozn. pod čarou1"/>
    <w:basedOn w:val="Normln"/>
    <w:qFormat/>
    <w:rsid w:val="009324EF"/>
    <w:pPr>
      <w:spacing w:after="0" w:line="240" w:lineRule="auto"/>
      <w:jc w:val="left"/>
    </w:pPr>
    <w:rPr>
      <w:rFonts w:eastAsia="Calibri"/>
      <w:szCs w:val="20"/>
    </w:rPr>
  </w:style>
  <w:style w:type="character" w:styleId="Zdraznn">
    <w:name w:val="Emphasis"/>
    <w:basedOn w:val="Standardnpsmoodstavce"/>
    <w:uiPriority w:val="20"/>
    <w:qFormat/>
    <w:rsid w:val="009324EF"/>
    <w:rPr>
      <w:i/>
      <w:iCs/>
    </w:rPr>
  </w:style>
  <w:style w:type="character" w:customStyle="1" w:styleId="normaltextrun">
    <w:name w:val="normaltextrun"/>
    <w:basedOn w:val="Standardnpsmoodstavce"/>
    <w:rsid w:val="009324EF"/>
  </w:style>
  <w:style w:type="paragraph" w:customStyle="1" w:styleId="paragraph">
    <w:name w:val="paragraph"/>
    <w:basedOn w:val="Normln"/>
    <w:rsid w:val="009324EF"/>
    <w:pPr>
      <w:spacing w:before="100" w:beforeAutospacing="1" w:after="100" w:afterAutospacing="1" w:line="240" w:lineRule="auto"/>
      <w:jc w:val="left"/>
    </w:pPr>
    <w:rPr>
      <w:rFonts w:ascii="Times New Roman" w:hAnsi="Times New Roman"/>
      <w:sz w:val="24"/>
    </w:rPr>
  </w:style>
  <w:style w:type="character" w:customStyle="1" w:styleId="eop">
    <w:name w:val="eop"/>
    <w:basedOn w:val="Standardnpsmoodstavce"/>
    <w:rsid w:val="009324EF"/>
  </w:style>
  <w:style w:type="table" w:styleId="Mkatabulky">
    <w:name w:val="Table Grid"/>
    <w:basedOn w:val="Normlntabulka"/>
    <w:uiPriority w:val="59"/>
    <w:rsid w:val="009324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dpisobsahu">
    <w:name w:val="TOC Heading"/>
    <w:basedOn w:val="Nadpis1"/>
    <w:next w:val="Normln"/>
    <w:uiPriority w:val="39"/>
    <w:unhideWhenUsed/>
    <w:qFormat/>
    <w:rsid w:val="009324EF"/>
    <w:pPr>
      <w:spacing w:before="240" w:after="0" w:line="259" w:lineRule="auto"/>
      <w:contextualSpacing w:val="0"/>
      <w:outlineLvl w:val="9"/>
    </w:pPr>
    <w:rPr>
      <w:rFonts w:asciiTheme="majorHAnsi" w:eastAsiaTheme="majorEastAsia" w:hAnsiTheme="majorHAnsi" w:cstheme="majorBidi"/>
      <w:b w:val="0"/>
      <w:bCs w:val="0"/>
      <w:color w:val="365F91" w:themeColor="accent1" w:themeShade="BF"/>
      <w:szCs w:val="32"/>
    </w:rPr>
  </w:style>
  <w:style w:type="character" w:styleId="Odkaznakoment">
    <w:name w:val="annotation reference"/>
    <w:basedOn w:val="Standardnpsmoodstavce"/>
    <w:uiPriority w:val="99"/>
    <w:semiHidden/>
    <w:unhideWhenUsed/>
    <w:rsid w:val="009324EF"/>
    <w:rPr>
      <w:sz w:val="16"/>
      <w:szCs w:val="16"/>
    </w:rPr>
  </w:style>
  <w:style w:type="paragraph" w:styleId="Textkomente">
    <w:name w:val="annotation text"/>
    <w:basedOn w:val="Normln"/>
    <w:link w:val="TextkomenteChar"/>
    <w:uiPriority w:val="99"/>
    <w:unhideWhenUsed/>
    <w:rsid w:val="009324EF"/>
    <w:pPr>
      <w:spacing w:line="240" w:lineRule="auto"/>
    </w:pPr>
    <w:rPr>
      <w:szCs w:val="20"/>
    </w:rPr>
  </w:style>
  <w:style w:type="character" w:customStyle="1" w:styleId="TextkomenteChar">
    <w:name w:val="Text komentáře Char"/>
    <w:basedOn w:val="Standardnpsmoodstavce"/>
    <w:link w:val="Textkomente"/>
    <w:uiPriority w:val="99"/>
    <w:rsid w:val="009324EF"/>
    <w:rPr>
      <w:rFonts w:ascii="Arial" w:eastAsia="Times New Roman" w:hAnsi="Arial"/>
      <w:lang w:eastAsia="cs-CZ"/>
    </w:rPr>
  </w:style>
  <w:style w:type="paragraph" w:styleId="Pedmtkomente">
    <w:name w:val="annotation subject"/>
    <w:basedOn w:val="Textkomente"/>
    <w:next w:val="Textkomente"/>
    <w:link w:val="PedmtkomenteChar"/>
    <w:uiPriority w:val="99"/>
    <w:semiHidden/>
    <w:unhideWhenUsed/>
    <w:rsid w:val="009324EF"/>
    <w:rPr>
      <w:b/>
      <w:bCs/>
    </w:rPr>
  </w:style>
  <w:style w:type="character" w:customStyle="1" w:styleId="PedmtkomenteChar">
    <w:name w:val="Předmět komentáře Char"/>
    <w:basedOn w:val="TextkomenteChar"/>
    <w:link w:val="Pedmtkomente"/>
    <w:uiPriority w:val="99"/>
    <w:semiHidden/>
    <w:rsid w:val="009324EF"/>
    <w:rPr>
      <w:rFonts w:ascii="Arial" w:eastAsia="Times New Roman" w:hAnsi="Arial"/>
      <w:b/>
      <w:bCs/>
      <w:lang w:eastAsia="cs-CZ"/>
    </w:rPr>
  </w:style>
  <w:style w:type="paragraph" w:styleId="Rozloendokumentu">
    <w:name w:val="Document Map"/>
    <w:basedOn w:val="Normln"/>
    <w:link w:val="RozloendokumentuChar"/>
    <w:uiPriority w:val="99"/>
    <w:semiHidden/>
    <w:rsid w:val="009324EF"/>
    <w:pPr>
      <w:spacing w:after="0" w:line="288" w:lineRule="auto"/>
      <w:jc w:val="left"/>
    </w:pPr>
    <w:rPr>
      <w:rFonts w:ascii="Tahoma" w:eastAsia="Calibri" w:hAnsi="Tahoma" w:cs="Tahoma"/>
      <w:sz w:val="16"/>
      <w:szCs w:val="16"/>
    </w:rPr>
  </w:style>
  <w:style w:type="character" w:customStyle="1" w:styleId="RozloendokumentuChar">
    <w:name w:val="Rozložení dokumentu Char"/>
    <w:basedOn w:val="Standardnpsmoodstavce"/>
    <w:link w:val="Rozloendokumentu"/>
    <w:uiPriority w:val="99"/>
    <w:semiHidden/>
    <w:rsid w:val="009324EF"/>
    <w:rPr>
      <w:rFonts w:ascii="Tahoma" w:hAnsi="Tahoma" w:cs="Tahoma"/>
      <w:sz w:val="16"/>
      <w:szCs w:val="16"/>
      <w:lang w:eastAsia="cs-CZ"/>
    </w:rPr>
  </w:style>
  <w:style w:type="paragraph" w:customStyle="1" w:styleId="Nadpis12">
    <w:name w:val="Nadpis 12"/>
    <w:basedOn w:val="Normln"/>
    <w:uiPriority w:val="9"/>
    <w:qFormat/>
    <w:rsid w:val="009324EF"/>
    <w:pPr>
      <w:keepNext/>
      <w:keepLines/>
      <w:spacing w:after="100"/>
      <w:contextualSpacing/>
      <w:jc w:val="left"/>
      <w:outlineLvl w:val="0"/>
    </w:pPr>
    <w:rPr>
      <w:rFonts w:eastAsia="MS Gothic"/>
      <w:b/>
      <w:bCs/>
      <w:color w:val="71818C"/>
      <w:sz w:val="32"/>
      <w:szCs w:val="28"/>
    </w:rPr>
  </w:style>
  <w:style w:type="character" w:customStyle="1" w:styleId="spelle">
    <w:name w:val="spelle"/>
    <w:basedOn w:val="Standardnpsmoodstavce"/>
    <w:rsid w:val="009324EF"/>
  </w:style>
  <w:style w:type="paragraph" w:styleId="Revize">
    <w:name w:val="Revision"/>
    <w:hidden/>
    <w:uiPriority w:val="99"/>
    <w:semiHidden/>
    <w:rsid w:val="009324EF"/>
    <w:rPr>
      <w:rFonts w:ascii="Arial" w:eastAsia="Times New Roman" w:hAnsi="Arial"/>
      <w:szCs w:val="24"/>
      <w:lang w:eastAsia="cs-CZ"/>
    </w:rPr>
  </w:style>
  <w:style w:type="character" w:customStyle="1" w:styleId="odkaz-style-wrapper">
    <w:name w:val="odkaz-style-wrapper"/>
    <w:basedOn w:val="Standardnpsmoodstavce"/>
    <w:rsid w:val="009324EF"/>
  </w:style>
  <w:style w:type="character" w:customStyle="1" w:styleId="tabulka">
    <w:name w:val="tabulka"/>
    <w:basedOn w:val="Standardnpsmoodstavce"/>
    <w:rsid w:val="009324EF"/>
  </w:style>
  <w:style w:type="paragraph" w:customStyle="1" w:styleId="Default">
    <w:name w:val="Default"/>
    <w:rsid w:val="009324EF"/>
    <w:pPr>
      <w:autoSpaceDE w:val="0"/>
      <w:autoSpaceDN w:val="0"/>
      <w:adjustRightInd w:val="0"/>
    </w:pPr>
    <w:rPr>
      <w:rFonts w:cs="Calibri"/>
      <w:color w:val="000000"/>
      <w:sz w:val="24"/>
      <w:szCs w:val="24"/>
    </w:rPr>
  </w:style>
  <w:style w:type="paragraph" w:styleId="Normlnweb">
    <w:name w:val="Normal (Web)"/>
    <w:basedOn w:val="Normln"/>
    <w:uiPriority w:val="99"/>
    <w:semiHidden/>
    <w:unhideWhenUsed/>
    <w:rsid w:val="009324EF"/>
    <w:pPr>
      <w:spacing w:before="100" w:beforeAutospacing="1" w:after="100" w:afterAutospacing="1" w:line="240" w:lineRule="auto"/>
      <w:jc w:val="left"/>
    </w:pPr>
    <w:rPr>
      <w:rFonts w:ascii="Times New Roman" w:hAnsi="Times New Roman"/>
      <w:sz w:val="24"/>
    </w:rPr>
  </w:style>
  <w:style w:type="paragraph" w:styleId="FormtovanvHTML">
    <w:name w:val="HTML Preformatted"/>
    <w:basedOn w:val="Normln"/>
    <w:link w:val="FormtovanvHTMLChar"/>
    <w:uiPriority w:val="99"/>
    <w:semiHidden/>
    <w:unhideWhenUsed/>
    <w:rsid w:val="009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rPr>
  </w:style>
  <w:style w:type="character" w:customStyle="1" w:styleId="FormtovanvHTMLChar">
    <w:name w:val="Formátovaný v HTML Char"/>
    <w:basedOn w:val="Standardnpsmoodstavce"/>
    <w:link w:val="FormtovanvHTML"/>
    <w:uiPriority w:val="99"/>
    <w:semiHidden/>
    <w:rsid w:val="009324EF"/>
    <w:rPr>
      <w:rFonts w:ascii="Courier New" w:eastAsia="Times New Roman" w:hAnsi="Courier New" w:cs="Courier New"/>
      <w:lang w:eastAsia="cs-CZ"/>
    </w:rPr>
  </w:style>
  <w:style w:type="paragraph" w:customStyle="1" w:styleId="cay">
    <w:name w:val="c_ay"/>
    <w:basedOn w:val="Normln"/>
    <w:rsid w:val="009324EF"/>
    <w:pPr>
      <w:spacing w:before="100" w:beforeAutospacing="1" w:after="100" w:afterAutospacing="1" w:line="240" w:lineRule="auto"/>
      <w:jc w:val="left"/>
    </w:pPr>
    <w:rPr>
      <w:rFonts w:ascii="Times New Roman" w:hAnsi="Times New Roman"/>
      <w:sz w:val="24"/>
    </w:rPr>
  </w:style>
  <w:style w:type="character" w:customStyle="1" w:styleId="cew">
    <w:name w:val="c_ew"/>
    <w:basedOn w:val="Standardnpsmoodstavce"/>
    <w:rsid w:val="009324EF"/>
  </w:style>
  <w:style w:type="character" w:styleId="Sledovanodkaz">
    <w:name w:val="FollowedHyperlink"/>
    <w:basedOn w:val="Standardnpsmoodstavce"/>
    <w:uiPriority w:val="99"/>
    <w:semiHidden/>
    <w:unhideWhenUsed/>
    <w:rsid w:val="009324EF"/>
    <w:rPr>
      <w:color w:val="800080" w:themeColor="followedHyperlink"/>
      <w:u w:val="single"/>
    </w:rPr>
  </w:style>
  <w:style w:type="character" w:customStyle="1" w:styleId="cfu">
    <w:name w:val="c_fu"/>
    <w:basedOn w:val="Standardnpsmoodstavce"/>
    <w:rsid w:val="009324EF"/>
  </w:style>
  <w:style w:type="character" w:customStyle="1" w:styleId="OdstavecseseznamemChar">
    <w:name w:val="Odstavec se seznamem Char"/>
    <w:basedOn w:val="Standardnpsmoodstavce"/>
    <w:link w:val="Odstavecseseznamem"/>
    <w:uiPriority w:val="34"/>
    <w:rsid w:val="009324EF"/>
    <w:rPr>
      <w:rFonts w:ascii="Arial" w:eastAsia="Times New Roman" w:hAnsi="Arial"/>
      <w:szCs w:val="24"/>
      <w:lang w:eastAsia="cs-CZ"/>
    </w:rPr>
  </w:style>
  <w:style w:type="paragraph" w:styleId="Textvysvtlivek">
    <w:name w:val="endnote text"/>
    <w:basedOn w:val="Normln"/>
    <w:link w:val="TextvysvtlivekChar"/>
    <w:uiPriority w:val="99"/>
    <w:semiHidden/>
    <w:unhideWhenUsed/>
    <w:rsid w:val="00BB2F43"/>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BB2F43"/>
    <w:rPr>
      <w:rFonts w:ascii="Arial" w:eastAsia="Times New Roman" w:hAnsi="Arial"/>
      <w:lang w:eastAsia="cs-CZ"/>
    </w:rPr>
  </w:style>
  <w:style w:type="character" w:styleId="Odkaznavysvtlivky">
    <w:name w:val="endnote reference"/>
    <w:basedOn w:val="Standardnpsmoodstavce"/>
    <w:uiPriority w:val="99"/>
    <w:semiHidden/>
    <w:unhideWhenUsed/>
    <w:rsid w:val="00BB2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112676334">
      <w:bodyDiv w:val="1"/>
      <w:marLeft w:val="0"/>
      <w:marRight w:val="0"/>
      <w:marTop w:val="0"/>
      <w:marBottom w:val="0"/>
      <w:divBdr>
        <w:top w:val="none" w:sz="0" w:space="0" w:color="auto"/>
        <w:left w:val="none" w:sz="0" w:space="0" w:color="auto"/>
        <w:bottom w:val="none" w:sz="0" w:space="0" w:color="auto"/>
        <w:right w:val="none" w:sz="0" w:space="0" w:color="auto"/>
      </w:divBdr>
    </w:div>
    <w:div w:id="243729605">
      <w:bodyDiv w:val="1"/>
      <w:marLeft w:val="0"/>
      <w:marRight w:val="0"/>
      <w:marTop w:val="0"/>
      <w:marBottom w:val="0"/>
      <w:divBdr>
        <w:top w:val="none" w:sz="0" w:space="0" w:color="auto"/>
        <w:left w:val="none" w:sz="0" w:space="0" w:color="auto"/>
        <w:bottom w:val="none" w:sz="0" w:space="0" w:color="auto"/>
        <w:right w:val="none" w:sz="0" w:space="0" w:color="auto"/>
      </w:divBdr>
    </w:div>
    <w:div w:id="255015632">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883518353">
      <w:bodyDiv w:val="1"/>
      <w:marLeft w:val="0"/>
      <w:marRight w:val="0"/>
      <w:marTop w:val="0"/>
      <w:marBottom w:val="0"/>
      <w:divBdr>
        <w:top w:val="none" w:sz="0" w:space="0" w:color="auto"/>
        <w:left w:val="none" w:sz="0" w:space="0" w:color="auto"/>
        <w:bottom w:val="none" w:sz="0" w:space="0" w:color="auto"/>
        <w:right w:val="none" w:sz="0" w:space="0" w:color="auto"/>
      </w:divBdr>
    </w:div>
    <w:div w:id="932319695">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276136441">
      <w:bodyDiv w:val="1"/>
      <w:marLeft w:val="0"/>
      <w:marRight w:val="0"/>
      <w:marTop w:val="0"/>
      <w:marBottom w:val="0"/>
      <w:divBdr>
        <w:top w:val="none" w:sz="0" w:space="0" w:color="auto"/>
        <w:left w:val="none" w:sz="0" w:space="0" w:color="auto"/>
        <w:bottom w:val="none" w:sz="0" w:space="0" w:color="auto"/>
        <w:right w:val="none" w:sz="0" w:space="0" w:color="auto"/>
      </w:divBdr>
    </w:div>
    <w:div w:id="1283000633">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56962653">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bojnikova31519.CZSO\Downloads\Form_c444_Publikace_regiony%20a%20zeme%20-%20analyz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42166058558705E-2"/>
          <c:y val="1.5804737817313768E-2"/>
          <c:w val="0.92925508095319231"/>
          <c:h val="0.71044390007080849"/>
        </c:manualLayout>
      </c:layout>
      <c:barChart>
        <c:barDir val="col"/>
        <c:grouping val="stacked"/>
        <c:varyColors val="0"/>
        <c:ser>
          <c:idx val="0"/>
          <c:order val="0"/>
          <c:tx>
            <c:strRef>
              <c:f>'GRAF příspěvky IPP'!$A$27</c:f>
              <c:strCache>
                <c:ptCount val="1"/>
                <c:pt idx="0">
                  <c:v>Výroba dopravních prostředků (29, 30)</c:v>
                </c:pt>
              </c:strCache>
            </c:strRef>
          </c:tx>
          <c:spPr>
            <a:solidFill>
              <a:srgbClr val="D8A7B7"/>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IPP'!$AP$27:$BK$27</c:f>
              <c:numCache>
                <c:formatCode>0.0</c:formatCode>
                <c:ptCount val="22"/>
                <c:pt idx="0">
                  <c:v>1.9009220582212656</c:v>
                </c:pt>
                <c:pt idx="1">
                  <c:v>10.962436300546839</c:v>
                </c:pt>
                <c:pt idx="2">
                  <c:v>-3.7816826515966451</c:v>
                </c:pt>
                <c:pt idx="3">
                  <c:v>-3.2415310878086325</c:v>
                </c:pt>
                <c:pt idx="4">
                  <c:v>-1.9006279034039761</c:v>
                </c:pt>
                <c:pt idx="5">
                  <c:v>9.8882021278874688E-2</c:v>
                </c:pt>
                <c:pt idx="6">
                  <c:v>5.6047148528941628</c:v>
                </c:pt>
                <c:pt idx="7">
                  <c:v>3.9970459414903723</c:v>
                </c:pt>
                <c:pt idx="8">
                  <c:v>5.2762979416848301</c:v>
                </c:pt>
                <c:pt idx="9">
                  <c:v>5.0691801030618473</c:v>
                </c:pt>
                <c:pt idx="10">
                  <c:v>1.3395150948118291</c:v>
                </c:pt>
                <c:pt idx="11">
                  <c:v>3.1934880866006852</c:v>
                </c:pt>
                <c:pt idx="12">
                  <c:v>0.44683712045987689</c:v>
                </c:pt>
                <c:pt idx="13">
                  <c:v>-1.084777099067793</c:v>
                </c:pt>
                <c:pt idx="14">
                  <c:v>0.66912123314032446</c:v>
                </c:pt>
                <c:pt idx="15">
                  <c:v>-1.4432630187184605</c:v>
                </c:pt>
                <c:pt idx="16">
                  <c:v>-0.54269112179143586</c:v>
                </c:pt>
                <c:pt idx="17">
                  <c:v>0.5218638243939383</c:v>
                </c:pt>
                <c:pt idx="18">
                  <c:v>4.2308856127310224E-2</c:v>
                </c:pt>
                <c:pt idx="19">
                  <c:v>0.91758945337407605</c:v>
                </c:pt>
                <c:pt idx="20">
                  <c:v>1.0748049411015055</c:v>
                </c:pt>
                <c:pt idx="21">
                  <c:v>0.58905043036145588</c:v>
                </c:pt>
              </c:numCache>
            </c:numRef>
          </c:val>
          <c:extLst>
            <c:ext xmlns:c16="http://schemas.microsoft.com/office/drawing/2014/chart" uri="{C3380CC4-5D6E-409C-BE32-E72D297353CC}">
              <c16:uniqueId val="{00000000-C214-4B81-A12E-B22211A7646D}"/>
            </c:ext>
          </c:extLst>
        </c:ser>
        <c:ser>
          <c:idx val="1"/>
          <c:order val="1"/>
          <c:tx>
            <c:strRef>
              <c:f>'GRAF příspěvky IPP'!$A$28</c:f>
              <c:strCache>
                <c:ptCount val="1"/>
                <c:pt idx="0">
                  <c:v>Gumárenství, elektrotechnický pr. (22, 27)</c:v>
                </c:pt>
              </c:strCache>
            </c:strRef>
          </c:tx>
          <c:spPr>
            <a:solidFill>
              <a:srgbClr val="BC5B80"/>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IPP'!$AP$28:$BK$28</c:f>
              <c:numCache>
                <c:formatCode>0.0</c:formatCode>
                <c:ptCount val="22"/>
                <c:pt idx="0">
                  <c:v>0.71105377730316599</c:v>
                </c:pt>
                <c:pt idx="1">
                  <c:v>5.4813528736391373</c:v>
                </c:pt>
                <c:pt idx="2">
                  <c:v>0.6216905337035239</c:v>
                </c:pt>
                <c:pt idx="3">
                  <c:v>-0.4237146866197381</c:v>
                </c:pt>
                <c:pt idx="4">
                  <c:v>8.5432905047654106E-2</c:v>
                </c:pt>
                <c:pt idx="5">
                  <c:v>0.14017080136165114</c:v>
                </c:pt>
                <c:pt idx="6">
                  <c:v>0.54140847185477736</c:v>
                </c:pt>
                <c:pt idx="7">
                  <c:v>0.61586793753317559</c:v>
                </c:pt>
                <c:pt idx="8">
                  <c:v>0.24643729008607473</c:v>
                </c:pt>
                <c:pt idx="9">
                  <c:v>0.13297387060287902</c:v>
                </c:pt>
                <c:pt idx="10">
                  <c:v>-0.41954906744716108</c:v>
                </c:pt>
                <c:pt idx="11">
                  <c:v>1.8029268216841199E-2</c:v>
                </c:pt>
                <c:pt idx="12">
                  <c:v>3.5719762074797032E-2</c:v>
                </c:pt>
                <c:pt idx="13">
                  <c:v>-0.18845737493805909</c:v>
                </c:pt>
                <c:pt idx="14">
                  <c:v>0.14813881914088348</c:v>
                </c:pt>
                <c:pt idx="15">
                  <c:v>-0.54230725025084103</c:v>
                </c:pt>
                <c:pt idx="16">
                  <c:v>1.966746485500024E-2</c:v>
                </c:pt>
                <c:pt idx="17">
                  <c:v>0.45525345908759884</c:v>
                </c:pt>
                <c:pt idx="18">
                  <c:v>0.31760868121067576</c:v>
                </c:pt>
                <c:pt idx="19">
                  <c:v>0.67195606575933908</c:v>
                </c:pt>
                <c:pt idx="20">
                  <c:v>0.30354562054313466</c:v>
                </c:pt>
                <c:pt idx="21">
                  <c:v>0.16824369867946853</c:v>
                </c:pt>
              </c:numCache>
            </c:numRef>
          </c:val>
          <c:extLst>
            <c:ext xmlns:c16="http://schemas.microsoft.com/office/drawing/2014/chart" uri="{C3380CC4-5D6E-409C-BE32-E72D297353CC}">
              <c16:uniqueId val="{00000001-C214-4B81-A12E-B22211A7646D}"/>
            </c:ext>
          </c:extLst>
        </c:ser>
        <c:ser>
          <c:idx val="2"/>
          <c:order val="2"/>
          <c:tx>
            <c:strRef>
              <c:f>'GRAF příspěvky IPP'!$A$29</c:f>
              <c:strCache>
                <c:ptCount val="1"/>
                <c:pt idx="0">
                  <c:v>Strojírenství (28)</c:v>
                </c:pt>
              </c:strCache>
            </c:strRef>
          </c:tx>
          <c:spPr>
            <a:solidFill>
              <a:srgbClr val="9FC9D7"/>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IPP'!$AP$29:$BK$29</c:f>
              <c:numCache>
                <c:formatCode>0.0</c:formatCode>
                <c:ptCount val="22"/>
                <c:pt idx="0">
                  <c:v>6.9523816193354571E-2</c:v>
                </c:pt>
                <c:pt idx="1">
                  <c:v>2.0537889224076182</c:v>
                </c:pt>
                <c:pt idx="2">
                  <c:v>0.54998998649274944</c:v>
                </c:pt>
                <c:pt idx="3">
                  <c:v>0.27824368190942744</c:v>
                </c:pt>
                <c:pt idx="4">
                  <c:v>0.35474059805720581</c:v>
                </c:pt>
                <c:pt idx="5">
                  <c:v>9.159353246407527E-2</c:v>
                </c:pt>
                <c:pt idx="6">
                  <c:v>0.48985672658594026</c:v>
                </c:pt>
                <c:pt idx="7">
                  <c:v>0.65848483899880683</c:v>
                </c:pt>
                <c:pt idx="8">
                  <c:v>0.47009044095931496</c:v>
                </c:pt>
                <c:pt idx="9">
                  <c:v>0.4006172401103964</c:v>
                </c:pt>
                <c:pt idx="10">
                  <c:v>-0.57578518680795432</c:v>
                </c:pt>
                <c:pt idx="11">
                  <c:v>-0.75578874449495581</c:v>
                </c:pt>
                <c:pt idx="12">
                  <c:v>-0.9625142240233997</c:v>
                </c:pt>
                <c:pt idx="13">
                  <c:v>-0.80168828655754398</c:v>
                </c:pt>
                <c:pt idx="14">
                  <c:v>-0.39977018694536648</c:v>
                </c:pt>
                <c:pt idx="15">
                  <c:v>-0.52594869917284226</c:v>
                </c:pt>
                <c:pt idx="16">
                  <c:v>9.3041354664959691E-2</c:v>
                </c:pt>
                <c:pt idx="17">
                  <c:v>-0.14552526853020628</c:v>
                </c:pt>
                <c:pt idx="18">
                  <c:v>0.12346815960260442</c:v>
                </c:pt>
                <c:pt idx="19">
                  <c:v>0.49621663832706497</c:v>
                </c:pt>
                <c:pt idx="20">
                  <c:v>-0.33019006395087219</c:v>
                </c:pt>
                <c:pt idx="21">
                  <c:v>-3.6897165122714751E-2</c:v>
                </c:pt>
              </c:numCache>
            </c:numRef>
          </c:val>
          <c:extLst>
            <c:ext xmlns:c16="http://schemas.microsoft.com/office/drawing/2014/chart" uri="{C3380CC4-5D6E-409C-BE32-E72D297353CC}">
              <c16:uniqueId val="{00000002-C214-4B81-A12E-B22211A7646D}"/>
            </c:ext>
          </c:extLst>
        </c:ser>
        <c:ser>
          <c:idx val="3"/>
          <c:order val="3"/>
          <c:tx>
            <c:strRef>
              <c:f>'GRAF příspěvky IPP'!$A$30</c:f>
              <c:strCache>
                <c:ptCount val="1"/>
                <c:pt idx="0">
                  <c:v>Kovodělný průmysl (25)</c:v>
                </c:pt>
              </c:strCache>
            </c:strRef>
          </c:tx>
          <c:spPr>
            <a:solidFill>
              <a:srgbClr val="009CB5"/>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IPP'!$AP$30:$BK$30</c:f>
              <c:numCache>
                <c:formatCode>0.0</c:formatCode>
                <c:ptCount val="22"/>
                <c:pt idx="0">
                  <c:v>0.43211394669446129</c:v>
                </c:pt>
                <c:pt idx="1">
                  <c:v>2.9905594307699275</c:v>
                </c:pt>
                <c:pt idx="2">
                  <c:v>0.80057174840018464</c:v>
                </c:pt>
                <c:pt idx="3">
                  <c:v>1.7842744066281405E-2</c:v>
                </c:pt>
                <c:pt idx="4">
                  <c:v>0.2270419422273395</c:v>
                </c:pt>
                <c:pt idx="5">
                  <c:v>-0.40390149701119177</c:v>
                </c:pt>
                <c:pt idx="6">
                  <c:v>-0.31522655000635558</c:v>
                </c:pt>
                <c:pt idx="7">
                  <c:v>-0.2158460789696578</c:v>
                </c:pt>
                <c:pt idx="8">
                  <c:v>-0.35304158862001117</c:v>
                </c:pt>
                <c:pt idx="9">
                  <c:v>-9.898514727148211E-2</c:v>
                </c:pt>
                <c:pt idx="10">
                  <c:v>-0.21045961248750156</c:v>
                </c:pt>
                <c:pt idx="11">
                  <c:v>-0.27573885577866986</c:v>
                </c:pt>
                <c:pt idx="12">
                  <c:v>-0.20005962705948793</c:v>
                </c:pt>
                <c:pt idx="13">
                  <c:v>-3.6999886884328842E-2</c:v>
                </c:pt>
                <c:pt idx="14">
                  <c:v>0.34489368177621904</c:v>
                </c:pt>
                <c:pt idx="15">
                  <c:v>0.21350994299050982</c:v>
                </c:pt>
                <c:pt idx="16">
                  <c:v>0.2482577580048228</c:v>
                </c:pt>
                <c:pt idx="17">
                  <c:v>0.55947721307818932</c:v>
                </c:pt>
                <c:pt idx="18">
                  <c:v>0.65297800825529917</c:v>
                </c:pt>
                <c:pt idx="19">
                  <c:v>1.3018986212327026</c:v>
                </c:pt>
                <c:pt idx="20">
                  <c:v>0.47722904988677495</c:v>
                </c:pt>
                <c:pt idx="21">
                  <c:v>0.39469189072183186</c:v>
                </c:pt>
              </c:numCache>
            </c:numRef>
          </c:val>
          <c:extLst>
            <c:ext xmlns:c16="http://schemas.microsoft.com/office/drawing/2014/chart" uri="{C3380CC4-5D6E-409C-BE32-E72D297353CC}">
              <c16:uniqueId val="{00000003-C214-4B81-A12E-B22211A7646D}"/>
            </c:ext>
          </c:extLst>
        </c:ser>
        <c:ser>
          <c:idx val="4"/>
          <c:order val="4"/>
          <c:tx>
            <c:strRef>
              <c:f>'GRAF příspěvky IPP'!$A$31</c:f>
              <c:strCache>
                <c:ptCount val="1"/>
                <c:pt idx="0">
                  <c:v>Výroba PC, elektronic. a optic. přístr. (26)</c:v>
                </c:pt>
              </c:strCache>
            </c:strRef>
          </c:tx>
          <c:spPr>
            <a:solidFill>
              <a:srgbClr val="E6C483"/>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IPP'!$AP$31:$BK$31</c:f>
              <c:numCache>
                <c:formatCode>0.0</c:formatCode>
                <c:ptCount val="22"/>
                <c:pt idx="0">
                  <c:v>0.12975355540314282</c:v>
                </c:pt>
                <c:pt idx="1">
                  <c:v>0.21201733992680374</c:v>
                </c:pt>
                <c:pt idx="2">
                  <c:v>0.1941841019992544</c:v>
                </c:pt>
                <c:pt idx="3">
                  <c:v>-0.23843126852101912</c:v>
                </c:pt>
                <c:pt idx="4">
                  <c:v>2.2375778653478211E-2</c:v>
                </c:pt>
                <c:pt idx="5">
                  <c:v>-1.8664914809135777E-2</c:v>
                </c:pt>
                <c:pt idx="6">
                  <c:v>5.983720902341521E-2</c:v>
                </c:pt>
                <c:pt idx="7">
                  <c:v>0.43552217534069498</c:v>
                </c:pt>
                <c:pt idx="8">
                  <c:v>0.14470334752654473</c:v>
                </c:pt>
                <c:pt idx="9">
                  <c:v>8.8197188447825356E-2</c:v>
                </c:pt>
                <c:pt idx="10">
                  <c:v>-6.9028846604599223E-2</c:v>
                </c:pt>
                <c:pt idx="11">
                  <c:v>-6.5570020882029928E-2</c:v>
                </c:pt>
                <c:pt idx="12">
                  <c:v>-7.7915888293924231E-3</c:v>
                </c:pt>
                <c:pt idx="13">
                  <c:v>0.21997586638815811</c:v>
                </c:pt>
                <c:pt idx="14">
                  <c:v>0.28884635576240486</c:v>
                </c:pt>
                <c:pt idx="15">
                  <c:v>9.551918740327324E-2</c:v>
                </c:pt>
                <c:pt idx="16">
                  <c:v>6.3492554138264512E-3</c:v>
                </c:pt>
                <c:pt idx="17">
                  <c:v>-0.11311590007736777</c:v>
                </c:pt>
                <c:pt idx="18">
                  <c:v>-0.20805868829400714</c:v>
                </c:pt>
                <c:pt idx="19">
                  <c:v>3.374285216195165E-2</c:v>
                </c:pt>
                <c:pt idx="20">
                  <c:v>0.11568525571634966</c:v>
                </c:pt>
                <c:pt idx="21">
                  <c:v>0.44188816157675431</c:v>
                </c:pt>
              </c:numCache>
            </c:numRef>
          </c:val>
          <c:extLst>
            <c:ext xmlns:c16="http://schemas.microsoft.com/office/drawing/2014/chart" uri="{C3380CC4-5D6E-409C-BE32-E72D297353CC}">
              <c16:uniqueId val="{00000004-C214-4B81-A12E-B22211A7646D}"/>
            </c:ext>
          </c:extLst>
        </c:ser>
        <c:ser>
          <c:idx val="5"/>
          <c:order val="5"/>
          <c:tx>
            <c:strRef>
              <c:f>'GRAF příspěvky IPP'!$A$32</c:f>
              <c:strCache>
                <c:ptCount val="1"/>
                <c:pt idx="0">
                  <c:v>Chemický a farmaceutický pr. (20, 21)</c:v>
                </c:pt>
              </c:strCache>
            </c:strRef>
          </c:tx>
          <c:spPr>
            <a:solidFill>
              <a:srgbClr val="CC9610"/>
            </a:solidFill>
            <a:ln>
              <a:noFill/>
            </a:ln>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IPP'!$AP$32:$BK$32</c:f>
              <c:numCache>
                <c:formatCode>0.0</c:formatCode>
                <c:ptCount val="22"/>
                <c:pt idx="0">
                  <c:v>0.28426277083090246</c:v>
                </c:pt>
                <c:pt idx="1">
                  <c:v>0.82325325428168006</c:v>
                </c:pt>
                <c:pt idx="2">
                  <c:v>0.31991054650479339</c:v>
                </c:pt>
                <c:pt idx="3">
                  <c:v>8.7688985546260853E-2</c:v>
                </c:pt>
                <c:pt idx="4">
                  <c:v>0.24863963230574521</c:v>
                </c:pt>
                <c:pt idx="5">
                  <c:v>0.15905411527097743</c:v>
                </c:pt>
                <c:pt idx="6">
                  <c:v>-9.9192658046001692E-2</c:v>
                </c:pt>
                <c:pt idx="7">
                  <c:v>-0.29076993899169623</c:v>
                </c:pt>
                <c:pt idx="8">
                  <c:v>-0.60054284095284183</c:v>
                </c:pt>
                <c:pt idx="9">
                  <c:v>-0.17710340225216925</c:v>
                </c:pt>
                <c:pt idx="10">
                  <c:v>-7.3516958752537429E-2</c:v>
                </c:pt>
                <c:pt idx="11">
                  <c:v>-0.12575787999845109</c:v>
                </c:pt>
                <c:pt idx="12">
                  <c:v>0.26823896721095042</c:v>
                </c:pt>
                <c:pt idx="13">
                  <c:v>0.14459515409260676</c:v>
                </c:pt>
                <c:pt idx="14">
                  <c:v>-7.3019869232471224E-2</c:v>
                </c:pt>
                <c:pt idx="15">
                  <c:v>-7.0266611213317939E-2</c:v>
                </c:pt>
                <c:pt idx="16">
                  <c:v>-0.1146939798186169</c:v>
                </c:pt>
                <c:pt idx="17">
                  <c:v>-0.15184580495725425</c:v>
                </c:pt>
                <c:pt idx="18">
                  <c:v>0.18264060676424226</c:v>
                </c:pt>
                <c:pt idx="19">
                  <c:v>0.20375358364677904</c:v>
                </c:pt>
                <c:pt idx="20">
                  <c:v>9.0814162516393876E-2</c:v>
                </c:pt>
                <c:pt idx="21">
                  <c:v>0.1438927321808216</c:v>
                </c:pt>
              </c:numCache>
            </c:numRef>
          </c:val>
          <c:extLst>
            <c:ext xmlns:c16="http://schemas.microsoft.com/office/drawing/2014/chart" uri="{C3380CC4-5D6E-409C-BE32-E72D297353CC}">
              <c16:uniqueId val="{00000005-C214-4B81-A12E-B22211A7646D}"/>
            </c:ext>
          </c:extLst>
        </c:ser>
        <c:ser>
          <c:idx val="6"/>
          <c:order val="6"/>
          <c:tx>
            <c:strRef>
              <c:f>'GRAF příspěvky IPP'!$A$33</c:f>
              <c:strCache>
                <c:ptCount val="1"/>
                <c:pt idx="0">
                  <c:v>Zbývající zpracovatelský průmysl*</c:v>
                </c:pt>
              </c:strCache>
            </c:strRef>
          </c:tx>
          <c:spPr>
            <a:solidFill>
              <a:srgbClr val="C3DDAC"/>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IPP'!$AP$33:$BK$33</c:f>
              <c:numCache>
                <c:formatCode>0.0</c:formatCode>
                <c:ptCount val="22"/>
                <c:pt idx="0">
                  <c:v>-2.1128761312970146E-3</c:v>
                </c:pt>
                <c:pt idx="1">
                  <c:v>3.2182826185149889</c:v>
                </c:pt>
                <c:pt idx="2">
                  <c:v>1.5227369240206821</c:v>
                </c:pt>
                <c:pt idx="3">
                  <c:v>1.1735580757843487</c:v>
                </c:pt>
                <c:pt idx="4">
                  <c:v>1.6949563990634429</c:v>
                </c:pt>
                <c:pt idx="5">
                  <c:v>0.27470000381588033</c:v>
                </c:pt>
                <c:pt idx="6">
                  <c:v>-1.6667213846762752</c:v>
                </c:pt>
                <c:pt idx="7">
                  <c:v>-1.5269932606404839</c:v>
                </c:pt>
                <c:pt idx="8">
                  <c:v>-3.3261450575018028</c:v>
                </c:pt>
                <c:pt idx="9">
                  <c:v>-3.5878313003538334</c:v>
                </c:pt>
                <c:pt idx="10">
                  <c:v>-1.8071756863987505</c:v>
                </c:pt>
                <c:pt idx="11">
                  <c:v>-1.6144210415769553</c:v>
                </c:pt>
                <c:pt idx="12">
                  <c:v>0.13077401211331544</c:v>
                </c:pt>
                <c:pt idx="13">
                  <c:v>0.27796430392454941</c:v>
                </c:pt>
                <c:pt idx="14">
                  <c:v>-0.19589531851693803</c:v>
                </c:pt>
                <c:pt idx="15">
                  <c:v>0.25803068209411495</c:v>
                </c:pt>
                <c:pt idx="16">
                  <c:v>0.39233061967167515</c:v>
                </c:pt>
                <c:pt idx="17">
                  <c:v>0.68090920612682204</c:v>
                </c:pt>
                <c:pt idx="18">
                  <c:v>0.24246110208794136</c:v>
                </c:pt>
                <c:pt idx="19">
                  <c:v>0.66236418744352388</c:v>
                </c:pt>
                <c:pt idx="20">
                  <c:v>-0.19770670571548282</c:v>
                </c:pt>
                <c:pt idx="21">
                  <c:v>0.17425142827428519</c:v>
                </c:pt>
              </c:numCache>
            </c:numRef>
          </c:val>
          <c:extLst>
            <c:ext xmlns:c16="http://schemas.microsoft.com/office/drawing/2014/chart" uri="{C3380CC4-5D6E-409C-BE32-E72D297353CC}">
              <c16:uniqueId val="{00000006-C214-4B81-A12E-B22211A7646D}"/>
            </c:ext>
          </c:extLst>
        </c:ser>
        <c:ser>
          <c:idx val="7"/>
          <c:order val="7"/>
          <c:tx>
            <c:strRef>
              <c:f>'GRAF příspěvky IPP'!$A$34</c:f>
              <c:strCache>
                <c:ptCount val="1"/>
                <c:pt idx="0">
                  <c:v>Těžba a energetika (B, D)</c:v>
                </c:pt>
              </c:strCache>
            </c:strRef>
          </c:tx>
          <c:spPr>
            <a:solidFill>
              <a:srgbClr val="86BF5E"/>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IPP'!$AP$34:$BK$34</c:f>
              <c:numCache>
                <c:formatCode>0.0</c:formatCode>
                <c:ptCount val="22"/>
                <c:pt idx="0">
                  <c:v>0.59189490518500398</c:v>
                </c:pt>
                <c:pt idx="1">
                  <c:v>0.52656327821300353</c:v>
                </c:pt>
                <c:pt idx="2">
                  <c:v>0.31374008907545176</c:v>
                </c:pt>
                <c:pt idx="3">
                  <c:v>0.81659894104306607</c:v>
                </c:pt>
                <c:pt idx="4">
                  <c:v>-0.20894060705088399</c:v>
                </c:pt>
                <c:pt idx="5">
                  <c:v>0.24268235052886977</c:v>
                </c:pt>
                <c:pt idx="6">
                  <c:v>0.41441971307033448</c:v>
                </c:pt>
                <c:pt idx="7">
                  <c:v>-1.2878566765612138</c:v>
                </c:pt>
                <c:pt idx="8">
                  <c:v>-1.3045936982821111</c:v>
                </c:pt>
                <c:pt idx="9">
                  <c:v>-1.5790684974454656</c:v>
                </c:pt>
                <c:pt idx="10">
                  <c:v>-1.6278225134133213</c:v>
                </c:pt>
                <c:pt idx="11">
                  <c:v>-1.1076317448864703</c:v>
                </c:pt>
                <c:pt idx="12">
                  <c:v>-0.77646516844666147</c:v>
                </c:pt>
                <c:pt idx="13">
                  <c:v>-8.0819445457593481E-2</c:v>
                </c:pt>
                <c:pt idx="14">
                  <c:v>4.8663335749503378E-3</c:v>
                </c:pt>
                <c:pt idx="15">
                  <c:v>-0.18709046803243062</c:v>
                </c:pt>
                <c:pt idx="16">
                  <c:v>0.97124253669976768</c:v>
                </c:pt>
                <c:pt idx="17">
                  <c:v>0.4178870964782746</c:v>
                </c:pt>
                <c:pt idx="18">
                  <c:v>-0.21698633975406861</c:v>
                </c:pt>
                <c:pt idx="19">
                  <c:v>-6.8285150545431245E-2</c:v>
                </c:pt>
                <c:pt idx="20">
                  <c:v>-0.15282193009779654</c:v>
                </c:pt>
                <c:pt idx="21">
                  <c:v>0.49416740172810081</c:v>
                </c:pt>
              </c:numCache>
            </c:numRef>
          </c:val>
          <c:extLst>
            <c:ext xmlns:c16="http://schemas.microsoft.com/office/drawing/2014/chart" uri="{C3380CC4-5D6E-409C-BE32-E72D297353CC}">
              <c16:uniqueId val="{00000007-C214-4B81-A12E-B22211A7646D}"/>
            </c:ext>
          </c:extLst>
        </c:ser>
        <c:dLbls>
          <c:showLegendKey val="0"/>
          <c:showVal val="0"/>
          <c:showCatName val="0"/>
          <c:showSerName val="0"/>
          <c:showPercent val="0"/>
          <c:showBubbleSize val="0"/>
        </c:dLbls>
        <c:gapWidth val="15"/>
        <c:overlap val="100"/>
        <c:axId val="112768128"/>
        <c:axId val="112769664"/>
      </c:barChart>
      <c:lineChart>
        <c:grouping val="standard"/>
        <c:varyColors val="0"/>
        <c:ser>
          <c:idx val="8"/>
          <c:order val="8"/>
          <c:tx>
            <c:strRef>
              <c:f>'GRAF příspěvky IPP'!$A$35</c:f>
              <c:strCache>
                <c:ptCount val="1"/>
                <c:pt idx="0">
                  <c:v>Průmysl celkem (NACE B až D)</c:v>
                </c:pt>
              </c:strCache>
            </c:strRef>
          </c:tx>
          <c:spPr>
            <a:ln w="19050">
              <a:noFill/>
            </a:ln>
          </c:spPr>
          <c:marker>
            <c:symbol val="circle"/>
            <c:size val="4"/>
            <c:spPr>
              <a:solidFill>
                <a:schemeClr val="bg1"/>
              </a:solidFill>
              <a:ln>
                <a:solidFill>
                  <a:schemeClr val="tx1">
                    <a:lumMod val="95000"/>
                    <a:lumOff val="5000"/>
                  </a:schemeClr>
                </a:solidFill>
              </a:ln>
            </c:spPr>
          </c:marker>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IPP'!$AP$35:$BK$35</c:f>
              <c:numCache>
                <c:formatCode>0.0</c:formatCode>
                <c:ptCount val="22"/>
                <c:pt idx="0">
                  <c:v>4.1168725211000066</c:v>
                </c:pt>
                <c:pt idx="1">
                  <c:v>26.265769118799994</c:v>
                </c:pt>
                <c:pt idx="2">
                  <c:v>0.54199852979999719</c:v>
                </c:pt>
                <c:pt idx="3">
                  <c:v>-1.5307568214000042</c:v>
                </c:pt>
                <c:pt idx="4">
                  <c:v>0.52242344610000657</c:v>
                </c:pt>
                <c:pt idx="5">
                  <c:v>0.58376745799999696</c:v>
                </c:pt>
                <c:pt idx="6">
                  <c:v>5.0291005280000007</c:v>
                </c:pt>
                <c:pt idx="7">
                  <c:v>2.3867960538999995</c:v>
                </c:pt>
                <c:pt idx="8">
                  <c:v>0.54910159659999636</c:v>
                </c:pt>
                <c:pt idx="9">
                  <c:v>0.25366354800000579</c:v>
                </c:pt>
                <c:pt idx="10">
                  <c:v>-3.4405520449000022</c:v>
                </c:pt>
                <c:pt idx="11">
                  <c:v>-0.73423712599999646</c:v>
                </c:pt>
                <c:pt idx="12">
                  <c:v>-1.0590406973999933</c:v>
                </c:pt>
                <c:pt idx="13">
                  <c:v>-1.5528120830000063</c:v>
                </c:pt>
                <c:pt idx="14">
                  <c:v>0.78003301340000064</c:v>
                </c:pt>
                <c:pt idx="15">
                  <c:v>-2.2021802377000057</c:v>
                </c:pt>
                <c:pt idx="16">
                  <c:v>1.0735038876999994</c:v>
                </c:pt>
                <c:pt idx="17">
                  <c:v>2.2249038255999949</c:v>
                </c:pt>
                <c:pt idx="18">
                  <c:v>1.1364203859999975</c:v>
                </c:pt>
                <c:pt idx="19">
                  <c:v>4.2192362514000052</c:v>
                </c:pt>
                <c:pt idx="20">
                  <c:v>1.3813603300000068</c:v>
                </c:pt>
                <c:pt idx="21">
                  <c:v>2.3692885784000026</c:v>
                </c:pt>
              </c:numCache>
            </c:numRef>
          </c:val>
          <c:smooth val="0"/>
          <c:extLst>
            <c:ext xmlns:c16="http://schemas.microsoft.com/office/drawing/2014/chart" uri="{C3380CC4-5D6E-409C-BE32-E72D297353CC}">
              <c16:uniqueId val="{00000008-C214-4B81-A12E-B22211A7646D}"/>
            </c:ext>
          </c:extLst>
        </c:ser>
        <c:dLbls>
          <c:showLegendKey val="0"/>
          <c:showVal val="0"/>
          <c:showCatName val="0"/>
          <c:showSerName val="0"/>
          <c:showPercent val="0"/>
          <c:showBubbleSize val="0"/>
        </c:dLbls>
        <c:marker val="1"/>
        <c:smooth val="0"/>
        <c:axId val="112768128"/>
        <c:axId val="112769664"/>
      </c:lineChart>
      <c:catAx>
        <c:axId val="112768128"/>
        <c:scaling>
          <c:orientation val="minMax"/>
        </c:scaling>
        <c:delete val="0"/>
        <c:axPos val="b"/>
        <c:numFmt formatCode="General" sourceLinked="1"/>
        <c:majorTickMark val="none"/>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28"/>
          <c:min val="-8"/>
        </c:scaling>
        <c:delete val="0"/>
        <c:axPos val="l"/>
        <c:majorGridlines>
          <c:spPr>
            <a:ln>
              <a:solidFill>
                <a:srgbClr val="BEBEBE"/>
              </a:solidFill>
            </a:ln>
          </c:spPr>
        </c:majorGridlines>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4"/>
      </c:valAx>
      <c:spPr>
        <a:noFill/>
        <a:ln w="6350">
          <a:solidFill>
            <a:prstClr val="black">
              <a:lumMod val="95000"/>
              <a:lumOff val="5000"/>
            </a:prstClr>
          </a:solidFill>
        </a:ln>
      </c:spPr>
    </c:plotArea>
    <c:legend>
      <c:legendPos val="r"/>
      <c:layout>
        <c:manualLayout>
          <c:xMode val="edge"/>
          <c:yMode val="edge"/>
          <c:x val="4.6105052893994747E-2"/>
          <c:y val="0.81639977400602937"/>
          <c:w val="0.93011470148370468"/>
          <c:h val="0.17704298175785912"/>
        </c:manualLayout>
      </c:layout>
      <c:overlay val="0"/>
      <c:spPr>
        <a:ln w="6350">
          <a:solidFill>
            <a:prstClr val="black">
              <a:lumMod val="95000"/>
              <a:lumOff val="5000"/>
            </a:prstClr>
          </a:solidFill>
        </a:ln>
      </c:spPr>
      <c:txPr>
        <a:bodyPr/>
        <a:lstStyle/>
        <a:p>
          <a:pPr>
            <a:defRPr sz="80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746300854145584E-2"/>
          <c:y val="1.5647041011259352E-2"/>
          <c:w val="0.91780899788858206"/>
          <c:h val="0.76121701409139131"/>
        </c:manualLayout>
      </c:layout>
      <c:barChart>
        <c:barDir val="col"/>
        <c:grouping val="clustered"/>
        <c:varyColors val="0"/>
        <c:ser>
          <c:idx val="0"/>
          <c:order val="0"/>
          <c:tx>
            <c:strRef>
              <c:f>'výkonnost odvětví 2'!$A$36</c:f>
              <c:strCache>
                <c:ptCount val="1"/>
                <c:pt idx="0">
                  <c:v>Průmyslové zakázky celkem</c:v>
                </c:pt>
              </c:strCache>
            </c:strRef>
          </c:tx>
          <c:spPr>
            <a:solidFill>
              <a:srgbClr val="86BF5E"/>
            </a:solidFill>
            <a:ln>
              <a:noFill/>
            </a:ln>
          </c:spPr>
          <c:invertIfNegative val="0"/>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2'!$AP$36:$BL$36</c:f>
              <c:numCache>
                <c:formatCode>##0.0</c:formatCode>
                <c:ptCount val="23"/>
                <c:pt idx="0">
                  <c:v>10.604235177800007</c:v>
                </c:pt>
                <c:pt idx="1">
                  <c:v>46.728308701499998</c:v>
                </c:pt>
                <c:pt idx="2">
                  <c:v>7.4466496054999993</c:v>
                </c:pt>
                <c:pt idx="3">
                  <c:v>4.0119161703999993</c:v>
                </c:pt>
                <c:pt idx="4">
                  <c:v>6.356727203600002</c:v>
                </c:pt>
                <c:pt idx="5">
                  <c:v>10.097314984299999</c:v>
                </c:pt>
                <c:pt idx="6">
                  <c:v>15.276770302299994</c:v>
                </c:pt>
                <c:pt idx="7">
                  <c:v>12.582418127599993</c:v>
                </c:pt>
                <c:pt idx="8">
                  <c:v>3.1280309439000007</c:v>
                </c:pt>
                <c:pt idx="9">
                  <c:v>-2.2493627854999971</c:v>
                </c:pt>
                <c:pt idx="10">
                  <c:v>-3.8342366656000024</c:v>
                </c:pt>
                <c:pt idx="11">
                  <c:v>-0.94176836840000533</c:v>
                </c:pt>
                <c:pt idx="12">
                  <c:v>4.4876596448000043</c:v>
                </c:pt>
                <c:pt idx="13">
                  <c:v>4.4814919468000056</c:v>
                </c:pt>
                <c:pt idx="14">
                  <c:v>4.3701535717000013</c:v>
                </c:pt>
                <c:pt idx="15">
                  <c:v>1.2150424327000025</c:v>
                </c:pt>
                <c:pt idx="16">
                  <c:v>-0.12859206109999377</c:v>
                </c:pt>
                <c:pt idx="17" formatCode="#\ ##0.0">
                  <c:v>3.4043568106000066</c:v>
                </c:pt>
                <c:pt idx="18" formatCode="#\ ##0.0">
                  <c:v>2.2391494465999955</c:v>
                </c:pt>
                <c:pt idx="19" formatCode="#\ ##0.0">
                  <c:v>10.301430084900005</c:v>
                </c:pt>
                <c:pt idx="20" formatCode="#\ ##0.0">
                  <c:v>3.9650292808999978</c:v>
                </c:pt>
                <c:pt idx="21" formatCode="#\ ##0.0">
                  <c:v>6.6973747742</c:v>
                </c:pt>
              </c:numCache>
            </c:numRef>
          </c:val>
          <c:extLst>
            <c:ext xmlns:c16="http://schemas.microsoft.com/office/drawing/2014/chart" uri="{C3380CC4-5D6E-409C-BE32-E72D297353CC}">
              <c16:uniqueId val="{00000000-C5A6-48C5-8D17-98FE5BB23330}"/>
            </c:ext>
          </c:extLst>
        </c:ser>
        <c:dLbls>
          <c:showLegendKey val="0"/>
          <c:showVal val="0"/>
          <c:showCatName val="0"/>
          <c:showSerName val="0"/>
          <c:showPercent val="0"/>
          <c:showBubbleSize val="0"/>
        </c:dLbls>
        <c:gapWidth val="30"/>
        <c:axId val="112768128"/>
        <c:axId val="112769664"/>
      </c:barChart>
      <c:lineChart>
        <c:grouping val="standard"/>
        <c:varyColors val="0"/>
        <c:ser>
          <c:idx val="1"/>
          <c:order val="1"/>
          <c:tx>
            <c:strRef>
              <c:f>'výkonnost odvětví 2'!$A$37</c:f>
              <c:strCache>
                <c:ptCount val="1"/>
                <c:pt idx="0">
                  <c:v>z toho: zakázky z tuzemska</c:v>
                </c:pt>
              </c:strCache>
            </c:strRef>
          </c:tx>
          <c:spPr>
            <a:ln w="15875">
              <a:noFill/>
              <a:prstDash val="sysDot"/>
            </a:ln>
          </c:spPr>
          <c:marker>
            <c:symbol val="circle"/>
            <c:size val="5"/>
            <c:spPr>
              <a:solidFill>
                <a:schemeClr val="bg1"/>
              </a:solidFill>
              <a:ln w="12700">
                <a:solidFill>
                  <a:srgbClr val="85BF5E"/>
                </a:solidFill>
              </a:ln>
            </c:spPr>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2'!$AP$37:$BL$37</c:f>
              <c:numCache>
                <c:formatCode>##0.0</c:formatCode>
                <c:ptCount val="23"/>
                <c:pt idx="0">
                  <c:v>2.2004655299000007</c:v>
                </c:pt>
                <c:pt idx="1">
                  <c:v>42.217352803199987</c:v>
                </c:pt>
                <c:pt idx="2">
                  <c:v>9.2691617169000011</c:v>
                </c:pt>
                <c:pt idx="3">
                  <c:v>5.7638066604999949</c:v>
                </c:pt>
                <c:pt idx="4">
                  <c:v>8.7209050958999939</c:v>
                </c:pt>
                <c:pt idx="5">
                  <c:v>15.451566326000005</c:v>
                </c:pt>
                <c:pt idx="6">
                  <c:v>26.230660505800003</c:v>
                </c:pt>
                <c:pt idx="7">
                  <c:v>19.294277493300001</c:v>
                </c:pt>
                <c:pt idx="8">
                  <c:v>11.972474484000003</c:v>
                </c:pt>
                <c:pt idx="9">
                  <c:v>2.3732362854999991</c:v>
                </c:pt>
                <c:pt idx="10">
                  <c:v>-6.7666305145999956</c:v>
                </c:pt>
                <c:pt idx="11">
                  <c:v>-0.67773158740000383</c:v>
                </c:pt>
                <c:pt idx="12">
                  <c:v>3.480101154099998</c:v>
                </c:pt>
                <c:pt idx="13">
                  <c:v>3.085780016399994</c:v>
                </c:pt>
                <c:pt idx="14">
                  <c:v>7.8628991544999991</c:v>
                </c:pt>
                <c:pt idx="15">
                  <c:v>2.4191420900999958</c:v>
                </c:pt>
                <c:pt idx="16">
                  <c:v>0.47799061009999377</c:v>
                </c:pt>
                <c:pt idx="17" formatCode="#\ ##0.0">
                  <c:v>2.3784755613999948</c:v>
                </c:pt>
                <c:pt idx="18" formatCode="#\ ##0.0">
                  <c:v>4.5008512379999956</c:v>
                </c:pt>
                <c:pt idx="19" formatCode="#\ ##0.0">
                  <c:v>0.1822216103000045</c:v>
                </c:pt>
                <c:pt idx="20" formatCode="#\ ##0.0">
                  <c:v>2.4963724752000047</c:v>
                </c:pt>
                <c:pt idx="21" formatCode="#\ ##0.0">
                  <c:v>2.1657138125000017</c:v>
                </c:pt>
              </c:numCache>
            </c:numRef>
          </c:val>
          <c:smooth val="0"/>
          <c:extLst>
            <c:ext xmlns:c16="http://schemas.microsoft.com/office/drawing/2014/chart" uri="{C3380CC4-5D6E-409C-BE32-E72D297353CC}">
              <c16:uniqueId val="{00000001-C5A6-48C5-8D17-98FE5BB23330}"/>
            </c:ext>
          </c:extLst>
        </c:ser>
        <c:ser>
          <c:idx val="4"/>
          <c:order val="2"/>
          <c:tx>
            <c:strRef>
              <c:f>'výkonnost odvětví 2'!$A$40</c:f>
              <c:strCache>
                <c:ptCount val="1"/>
                <c:pt idx="0">
                  <c:v>Bariéra růstu: nedostatečná poptávka</c:v>
                </c:pt>
              </c:strCache>
            </c:strRef>
          </c:tx>
          <c:spPr>
            <a:ln w="15875">
              <a:solidFill>
                <a:srgbClr val="8390A7"/>
              </a:solidFill>
              <a:prstDash val="solid"/>
            </a:ln>
          </c:spPr>
          <c:marker>
            <c:symbol val="none"/>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2'!$AP$40:$BL$40</c:f>
              <c:numCache>
                <c:formatCode>#\ ##0.0</c:formatCode>
                <c:ptCount val="23"/>
                <c:pt idx="0">
                  <c:v>46.9</c:v>
                </c:pt>
                <c:pt idx="1">
                  <c:v>38.700000000000003</c:v>
                </c:pt>
                <c:pt idx="2">
                  <c:v>25.4</c:v>
                </c:pt>
                <c:pt idx="3">
                  <c:v>27.9</c:v>
                </c:pt>
                <c:pt idx="4">
                  <c:v>29.9</c:v>
                </c:pt>
                <c:pt idx="5">
                  <c:v>21.3</c:v>
                </c:pt>
                <c:pt idx="6">
                  <c:v>18.7</c:v>
                </c:pt>
                <c:pt idx="7">
                  <c:v>29.4</c:v>
                </c:pt>
                <c:pt idx="8">
                  <c:v>42.5</c:v>
                </c:pt>
                <c:pt idx="9">
                  <c:v>42</c:v>
                </c:pt>
                <c:pt idx="10">
                  <c:v>44.3</c:v>
                </c:pt>
                <c:pt idx="11">
                  <c:v>46.2</c:v>
                </c:pt>
                <c:pt idx="12">
                  <c:v>47.5</c:v>
                </c:pt>
                <c:pt idx="13">
                  <c:v>49.8</c:v>
                </c:pt>
                <c:pt idx="14">
                  <c:v>52</c:v>
                </c:pt>
                <c:pt idx="15">
                  <c:v>49</c:v>
                </c:pt>
                <c:pt idx="16">
                  <c:v>63.5</c:v>
                </c:pt>
                <c:pt idx="17">
                  <c:v>51.7</c:v>
                </c:pt>
                <c:pt idx="18">
                  <c:v>52.7</c:v>
                </c:pt>
                <c:pt idx="19">
                  <c:v>54.2</c:v>
                </c:pt>
                <c:pt idx="20">
                  <c:v>53</c:v>
                </c:pt>
                <c:pt idx="21">
                  <c:v>59.3</c:v>
                </c:pt>
                <c:pt idx="22" formatCode="General">
                  <c:v>47.6</c:v>
                </c:pt>
              </c:numCache>
            </c:numRef>
          </c:val>
          <c:smooth val="0"/>
          <c:extLst>
            <c:ext xmlns:c16="http://schemas.microsoft.com/office/drawing/2014/chart" uri="{C3380CC4-5D6E-409C-BE32-E72D297353CC}">
              <c16:uniqueId val="{00000002-C5A6-48C5-8D17-98FE5BB23330}"/>
            </c:ext>
          </c:extLst>
        </c:ser>
        <c:ser>
          <c:idx val="6"/>
          <c:order val="3"/>
          <c:tx>
            <c:strRef>
              <c:f>'výkonnost odvětví 2'!$A$42</c:f>
              <c:strCache>
                <c:ptCount val="1"/>
                <c:pt idx="0">
                  <c:v>Bariéra růstu: nedost. materiálu a zaříz.</c:v>
                </c:pt>
              </c:strCache>
            </c:strRef>
          </c:tx>
          <c:spPr>
            <a:ln w="15875">
              <a:solidFill>
                <a:srgbClr val="B8BBC0"/>
              </a:solidFill>
              <a:prstDash val="dash"/>
            </a:ln>
          </c:spPr>
          <c:marker>
            <c:symbol val="none"/>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2'!$AP$42:$BL$42</c:f>
              <c:numCache>
                <c:formatCode>#\ ##0.0</c:formatCode>
                <c:ptCount val="23"/>
                <c:pt idx="0">
                  <c:v>23.1</c:v>
                </c:pt>
                <c:pt idx="1">
                  <c:v>32.1</c:v>
                </c:pt>
                <c:pt idx="2">
                  <c:v>45.9</c:v>
                </c:pt>
                <c:pt idx="3">
                  <c:v>41.2</c:v>
                </c:pt>
                <c:pt idx="4">
                  <c:v>39.299999999999997</c:v>
                </c:pt>
                <c:pt idx="5">
                  <c:v>47.8</c:v>
                </c:pt>
                <c:pt idx="6">
                  <c:v>53.4</c:v>
                </c:pt>
                <c:pt idx="7">
                  <c:v>46.4</c:v>
                </c:pt>
                <c:pt idx="8">
                  <c:v>37.4</c:v>
                </c:pt>
                <c:pt idx="9">
                  <c:v>32.5</c:v>
                </c:pt>
                <c:pt idx="10">
                  <c:v>20.6</c:v>
                </c:pt>
                <c:pt idx="11">
                  <c:v>17.100000000000001</c:v>
                </c:pt>
                <c:pt idx="12">
                  <c:v>32.700000000000003</c:v>
                </c:pt>
                <c:pt idx="13">
                  <c:v>28.1</c:v>
                </c:pt>
                <c:pt idx="14">
                  <c:v>13</c:v>
                </c:pt>
                <c:pt idx="15">
                  <c:v>24.7</c:v>
                </c:pt>
                <c:pt idx="16">
                  <c:v>11.9</c:v>
                </c:pt>
                <c:pt idx="17">
                  <c:v>25</c:v>
                </c:pt>
                <c:pt idx="18">
                  <c:v>11</c:v>
                </c:pt>
                <c:pt idx="19">
                  <c:v>11.2</c:v>
                </c:pt>
                <c:pt idx="20">
                  <c:v>11.4</c:v>
                </c:pt>
                <c:pt idx="21">
                  <c:v>11.6</c:v>
                </c:pt>
                <c:pt idx="22" formatCode="General">
                  <c:v>11.3</c:v>
                </c:pt>
              </c:numCache>
            </c:numRef>
          </c:val>
          <c:smooth val="0"/>
          <c:extLst>
            <c:ext xmlns:c16="http://schemas.microsoft.com/office/drawing/2014/chart" uri="{C3380CC4-5D6E-409C-BE32-E72D297353CC}">
              <c16:uniqueId val="{00000003-C5A6-48C5-8D17-98FE5BB23330}"/>
            </c:ext>
          </c:extLst>
        </c:ser>
        <c:ser>
          <c:idx val="7"/>
          <c:order val="4"/>
          <c:tx>
            <c:strRef>
              <c:f>'výkonnost odvětví 2'!$A$43</c:f>
              <c:strCache>
                <c:ptCount val="1"/>
                <c:pt idx="0">
                  <c:v>Saldo souhrn. indik. důvěry v průmyslu</c:v>
                </c:pt>
              </c:strCache>
            </c:strRef>
          </c:tx>
          <c:spPr>
            <a:ln w="15875">
              <a:solidFill>
                <a:srgbClr val="CC9610"/>
              </a:solidFill>
              <a:prstDash val="sysDot"/>
            </a:ln>
          </c:spPr>
          <c:marker>
            <c:symbol val="diamond"/>
            <c:size val="5"/>
            <c:spPr>
              <a:solidFill>
                <a:srgbClr val="CC9610"/>
              </a:solidFill>
              <a:ln>
                <a:solidFill>
                  <a:srgbClr val="CC9610"/>
                </a:solidFill>
              </a:ln>
            </c:spPr>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2'!$AP$43:$BL$43</c:f>
              <c:numCache>
                <c:formatCode>#\ ##0.0</c:formatCode>
                <c:ptCount val="23"/>
                <c:pt idx="0">
                  <c:v>-3.1999999999999997</c:v>
                </c:pt>
                <c:pt idx="1">
                  <c:v>6.4333333333333336</c:v>
                </c:pt>
                <c:pt idx="2">
                  <c:v>-2.3333333333333335</c:v>
                </c:pt>
                <c:pt idx="3">
                  <c:v>-6.666666666666667</c:v>
                </c:pt>
                <c:pt idx="4">
                  <c:v>-2</c:v>
                </c:pt>
                <c:pt idx="5">
                  <c:v>5.666666666666667</c:v>
                </c:pt>
                <c:pt idx="6">
                  <c:v>-2.1333333333333333</c:v>
                </c:pt>
                <c:pt idx="7">
                  <c:v>-7.7666666666666666</c:v>
                </c:pt>
                <c:pt idx="8">
                  <c:v>-6.3666666666666671</c:v>
                </c:pt>
                <c:pt idx="9">
                  <c:v>-6.4666666666666659</c:v>
                </c:pt>
                <c:pt idx="10">
                  <c:v>-10.799999999999999</c:v>
                </c:pt>
                <c:pt idx="11">
                  <c:v>-5.1333333333333329</c:v>
                </c:pt>
                <c:pt idx="12">
                  <c:v>-11.200000000000001</c:v>
                </c:pt>
                <c:pt idx="13">
                  <c:v>-6.5666666666666664</c:v>
                </c:pt>
                <c:pt idx="14">
                  <c:v>-7.2333333333333334</c:v>
                </c:pt>
                <c:pt idx="15">
                  <c:v>-7.7666666666666666</c:v>
                </c:pt>
                <c:pt idx="16">
                  <c:v>-5.666666666666667</c:v>
                </c:pt>
                <c:pt idx="17">
                  <c:v>-6.5333333333333341</c:v>
                </c:pt>
                <c:pt idx="18">
                  <c:v>-5.333333333333333</c:v>
                </c:pt>
                <c:pt idx="19">
                  <c:v>-4.7666666666666666</c:v>
                </c:pt>
                <c:pt idx="20">
                  <c:v>-3.4666666666666668</c:v>
                </c:pt>
                <c:pt idx="21">
                  <c:v>-3.4333333333333336</c:v>
                </c:pt>
                <c:pt idx="22">
                  <c:v>-1.85</c:v>
                </c:pt>
              </c:numCache>
            </c:numRef>
          </c:val>
          <c:smooth val="0"/>
          <c:extLst>
            <c:ext xmlns:c16="http://schemas.microsoft.com/office/drawing/2014/chart" uri="{C3380CC4-5D6E-409C-BE32-E72D297353CC}">
              <c16:uniqueId val="{00000004-C5A6-48C5-8D17-98FE5BB23330}"/>
            </c:ext>
          </c:extLst>
        </c:ser>
        <c:dLbls>
          <c:showLegendKey val="0"/>
          <c:showVal val="0"/>
          <c:showCatName val="0"/>
          <c:showSerName val="0"/>
          <c:showPercent val="0"/>
          <c:showBubbleSize val="0"/>
        </c:dLbls>
        <c:marker val="1"/>
        <c:smooth val="0"/>
        <c:axId val="112768128"/>
        <c:axId val="112769664"/>
      </c:lineChart>
      <c:catAx>
        <c:axId val="112768128"/>
        <c:scaling>
          <c:orientation val="minMax"/>
        </c:scaling>
        <c:delete val="0"/>
        <c:axPos val="b"/>
        <c:numFmt formatCode="General" sourceLinked="1"/>
        <c:majorTickMark val="out"/>
        <c:minorTickMark val="none"/>
        <c:tickLblPos val="low"/>
        <c:crossAx val="112769664"/>
        <c:crosses val="autoZero"/>
        <c:auto val="1"/>
        <c:lblAlgn val="ctr"/>
        <c:lblOffset val="0"/>
        <c:noMultiLvlLbl val="0"/>
      </c:catAx>
      <c:valAx>
        <c:axId val="112769664"/>
        <c:scaling>
          <c:orientation val="minMax"/>
          <c:max val="70"/>
          <c:min val="-20"/>
        </c:scaling>
        <c:delete val="0"/>
        <c:axPos val="l"/>
        <c:majorGridlines>
          <c:spPr>
            <a:ln>
              <a:solidFill>
                <a:srgbClr val="BEBEBE"/>
              </a:solidFill>
            </a:ln>
          </c:spPr>
        </c:majorGridlines>
        <c:numFmt formatCode="0" sourceLinked="0"/>
        <c:majorTickMark val="out"/>
        <c:minorTickMark val="none"/>
        <c:tickLblPos val="nextTo"/>
        <c:crossAx val="112768128"/>
        <c:crosses val="autoZero"/>
        <c:crossBetween val="between"/>
        <c:majorUnit val="10"/>
      </c:valAx>
      <c:spPr>
        <a:noFill/>
        <a:ln w="6350">
          <a:solidFill>
            <a:prstClr val="black">
              <a:lumMod val="95000"/>
              <a:lumOff val="5000"/>
            </a:prstClr>
          </a:solidFill>
        </a:ln>
      </c:spPr>
    </c:plotArea>
    <c:legend>
      <c:legendPos val="r"/>
      <c:layout>
        <c:manualLayout>
          <c:xMode val="edge"/>
          <c:yMode val="edge"/>
          <c:x val="5.024508272843501E-2"/>
          <c:y val="0.87353462305389384"/>
          <c:w val="0.93114922631990038"/>
          <c:h val="0.11948133459972562"/>
        </c:manualLayout>
      </c:layout>
      <c:overlay val="0"/>
      <c:spPr>
        <a:ln w="6350">
          <a:solidFill>
            <a:prstClr val="black">
              <a:lumMod val="95000"/>
              <a:lumOff val="5000"/>
            </a:prstClr>
          </a:solidFill>
        </a:ln>
      </c:spPr>
      <c:txPr>
        <a:bodyPr/>
        <a:lstStyle/>
        <a:p>
          <a:pPr>
            <a:defRPr sz="780"/>
          </a:pPr>
          <a:endParaRPr lang="cs-CZ"/>
        </a:p>
      </c:txPr>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52733524588496E-2"/>
          <c:y val="1.6492431800159527E-2"/>
          <c:w val="0.8549624610877129"/>
          <c:h val="0.75413191483370345"/>
        </c:manualLayout>
      </c:layout>
      <c:barChart>
        <c:barDir val="col"/>
        <c:grouping val="stacked"/>
        <c:varyColors val="0"/>
        <c:ser>
          <c:idx val="1"/>
          <c:order val="1"/>
          <c:tx>
            <c:strRef>
              <c:f>'výkonnost odvětví 3'!$U$52</c:f>
              <c:strCache>
                <c:ptCount val="1"/>
                <c:pt idx="0">
                  <c:v>Pozemní stavitelství</c:v>
                </c:pt>
              </c:strCache>
            </c:strRef>
          </c:tx>
          <c:spPr>
            <a:solidFill>
              <a:srgbClr val="9FC9D7"/>
            </a:solidFill>
            <a:ln>
              <a:noFill/>
            </a:ln>
          </c:spPr>
          <c:invertIfNegative val="0"/>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3'!$U$53:$U$75</c:f>
              <c:numCache>
                <c:formatCode>0.0</c:formatCode>
                <c:ptCount val="23"/>
                <c:pt idx="0">
                  <c:v>-5.0660837283894127</c:v>
                </c:pt>
                <c:pt idx="1">
                  <c:v>2.4656819622014705</c:v>
                </c:pt>
                <c:pt idx="2">
                  <c:v>2.7078036992242112</c:v>
                </c:pt>
                <c:pt idx="3">
                  <c:v>5.3885116062898586</c:v>
                </c:pt>
                <c:pt idx="4">
                  <c:v>7.2599370375691361</c:v>
                </c:pt>
                <c:pt idx="5">
                  <c:v>3.5228521802835968</c:v>
                </c:pt>
                <c:pt idx="6">
                  <c:v>-0.76086526249632169</c:v>
                </c:pt>
                <c:pt idx="7">
                  <c:v>-1.4422238162798067</c:v>
                </c:pt>
                <c:pt idx="8">
                  <c:v>2.0785501415796661</c:v>
                </c:pt>
                <c:pt idx="9">
                  <c:v>-1.7940004523509017</c:v>
                </c:pt>
                <c:pt idx="10">
                  <c:v>-0.44420059250800503</c:v>
                </c:pt>
                <c:pt idx="11">
                  <c:v>-2.3463867721548444</c:v>
                </c:pt>
                <c:pt idx="12">
                  <c:v>-5.1543406570414874</c:v>
                </c:pt>
                <c:pt idx="13">
                  <c:v>-3.1463977386870448</c:v>
                </c:pt>
                <c:pt idx="14">
                  <c:v>-1.8872107153037683</c:v>
                </c:pt>
                <c:pt idx="15">
                  <c:v>1.6874158785106754</c:v>
                </c:pt>
                <c:pt idx="16">
                  <c:v>7.1050689620756158</c:v>
                </c:pt>
                <c:pt idx="17">
                  <c:v>7.3083691806545366</c:v>
                </c:pt>
                <c:pt idx="18">
                  <c:v>8.1561639741042313</c:v>
                </c:pt>
                <c:pt idx="19">
                  <c:v>4.934183736192943</c:v>
                </c:pt>
                <c:pt idx="20">
                  <c:v>4</c:v>
                </c:pt>
                <c:pt idx="21">
                  <c:v>4.3354985512150002</c:v>
                </c:pt>
              </c:numCache>
            </c:numRef>
          </c:val>
          <c:extLst>
            <c:ext xmlns:c16="http://schemas.microsoft.com/office/drawing/2014/chart" uri="{C3380CC4-5D6E-409C-BE32-E72D297353CC}">
              <c16:uniqueId val="{00000000-BF4A-4D1B-90AB-B2EB5AE96707}"/>
            </c:ext>
          </c:extLst>
        </c:ser>
        <c:ser>
          <c:idx val="2"/>
          <c:order val="2"/>
          <c:tx>
            <c:strRef>
              <c:f>'výkonnost odvětví 3'!$V$52</c:f>
              <c:strCache>
                <c:ptCount val="1"/>
                <c:pt idx="0">
                  <c:v>Inženýrské stavitelství</c:v>
                </c:pt>
              </c:strCache>
            </c:strRef>
          </c:tx>
          <c:spPr>
            <a:solidFill>
              <a:srgbClr val="009CB5"/>
            </a:solidFill>
            <a:ln>
              <a:noFill/>
            </a:ln>
          </c:spPr>
          <c:invertIfNegative val="0"/>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3'!$V$53:$V$75</c:f>
              <c:numCache>
                <c:formatCode>0.0</c:formatCode>
                <c:ptCount val="23"/>
                <c:pt idx="0">
                  <c:v>-0.39522301308242569</c:v>
                </c:pt>
                <c:pt idx="1">
                  <c:v>1.8600290235434405</c:v>
                </c:pt>
                <c:pt idx="2">
                  <c:v>0.52162218280948758</c:v>
                </c:pt>
                <c:pt idx="3">
                  <c:v>-1.0553579383328437</c:v>
                </c:pt>
                <c:pt idx="4">
                  <c:v>5.3542662490461961</c:v>
                </c:pt>
                <c:pt idx="5">
                  <c:v>1.3478592062038046</c:v>
                </c:pt>
                <c:pt idx="6">
                  <c:v>0.66736359398673328</c:v>
                </c:pt>
                <c:pt idx="7">
                  <c:v>1.4188446024940988</c:v>
                </c:pt>
                <c:pt idx="8">
                  <c:v>-3.8410888445248759</c:v>
                </c:pt>
                <c:pt idx="9">
                  <c:v>-2.3631236527439059</c:v>
                </c:pt>
                <c:pt idx="10">
                  <c:v>-0.13182183197812178</c:v>
                </c:pt>
                <c:pt idx="11">
                  <c:v>-0.56534456319622506</c:v>
                </c:pt>
                <c:pt idx="12">
                  <c:v>1.1608192067090914</c:v>
                </c:pt>
                <c:pt idx="13">
                  <c:v>-1.4573196686113525</c:v>
                </c:pt>
                <c:pt idx="14">
                  <c:v>0.30856458109758472</c:v>
                </c:pt>
                <c:pt idx="15">
                  <c:v>1.5095691516466947</c:v>
                </c:pt>
                <c:pt idx="16">
                  <c:v>2.8429452920484981</c:v>
                </c:pt>
                <c:pt idx="17">
                  <c:v>4.6745610681433529</c:v>
                </c:pt>
                <c:pt idx="18">
                  <c:v>5.5844079848996229</c:v>
                </c:pt>
                <c:pt idx="19">
                  <c:v>2.8341560537560264</c:v>
                </c:pt>
                <c:pt idx="20">
                  <c:v>-0.3</c:v>
                </c:pt>
                <c:pt idx="21">
                  <c:v>-0.17723944854000137</c:v>
                </c:pt>
              </c:numCache>
            </c:numRef>
          </c:val>
          <c:extLst>
            <c:ext xmlns:c16="http://schemas.microsoft.com/office/drawing/2014/chart" uri="{C3380CC4-5D6E-409C-BE32-E72D297353CC}">
              <c16:uniqueId val="{00000001-BF4A-4D1B-90AB-B2EB5AE96707}"/>
            </c:ext>
          </c:extLst>
        </c:ser>
        <c:dLbls>
          <c:showLegendKey val="0"/>
          <c:showVal val="0"/>
          <c:showCatName val="0"/>
          <c:showSerName val="0"/>
          <c:showPercent val="0"/>
          <c:showBubbleSize val="0"/>
        </c:dLbls>
        <c:gapWidth val="30"/>
        <c:overlap val="100"/>
        <c:axId val="112768128"/>
        <c:axId val="112769664"/>
      </c:barChart>
      <c:lineChart>
        <c:grouping val="standard"/>
        <c:varyColors val="0"/>
        <c:ser>
          <c:idx val="0"/>
          <c:order val="0"/>
          <c:tx>
            <c:strRef>
              <c:f>'výkonnost odvětví 3'!$T$52</c:f>
              <c:strCache>
                <c:ptCount val="1"/>
                <c:pt idx="0">
                  <c:v>Stavební produkce celkem</c:v>
                </c:pt>
              </c:strCache>
            </c:strRef>
          </c:tx>
          <c:spPr>
            <a:ln>
              <a:noFill/>
            </a:ln>
          </c:spPr>
          <c:marker>
            <c:symbol val="dash"/>
            <c:size val="10"/>
            <c:spPr>
              <a:solidFill>
                <a:schemeClr val="tx1">
                  <a:lumMod val="95000"/>
                  <a:lumOff val="5000"/>
                </a:schemeClr>
              </a:solidFill>
              <a:ln>
                <a:no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3'!$T$53:$T$75</c:f>
              <c:numCache>
                <c:formatCode>0.0</c:formatCode>
                <c:ptCount val="23"/>
                <c:pt idx="0">
                  <c:v>-5.449827937799995</c:v>
                </c:pt>
                <c:pt idx="1">
                  <c:v>4.3346326277000031</c:v>
                </c:pt>
                <c:pt idx="2">
                  <c:v>3.2527324745999948</c:v>
                </c:pt>
                <c:pt idx="3">
                  <c:v>4.3444783167000054</c:v>
                </c:pt>
                <c:pt idx="4">
                  <c:v>12.605105655499997</c:v>
                </c:pt>
                <c:pt idx="5">
                  <c:v>4.8704536909999945</c:v>
                </c:pt>
                <c:pt idx="6">
                  <c:v>-9.4174134400006437E-2</c:v>
                </c:pt>
                <c:pt idx="7">
                  <c:v>-1.3883214100005148E-2</c:v>
                </c:pt>
                <c:pt idx="8">
                  <c:v>-1.7717177847000016</c:v>
                </c:pt>
                <c:pt idx="9">
                  <c:v>-4.1402313415999998</c:v>
                </c:pt>
                <c:pt idx="10">
                  <c:v>-0.56619568009999455</c:v>
                </c:pt>
                <c:pt idx="11">
                  <c:v>-2.9142969090000008</c:v>
                </c:pt>
                <c:pt idx="12">
                  <c:v>-3.966105693800003</c:v>
                </c:pt>
                <c:pt idx="13">
                  <c:v>-4.6095742126999966</c:v>
                </c:pt>
                <c:pt idx="14">
                  <c:v>-1.6053599297000005</c:v>
                </c:pt>
                <c:pt idx="15">
                  <c:v>3.1979198801000024</c:v>
                </c:pt>
                <c:pt idx="16">
                  <c:v>9.9456413813000069</c:v>
                </c:pt>
                <c:pt idx="17">
                  <c:v>11.992779862299997</c:v>
                </c:pt>
                <c:pt idx="18">
                  <c:v>13.730028734300006</c:v>
                </c:pt>
                <c:pt idx="19">
                  <c:v>7.7796862008000005</c:v>
                </c:pt>
                <c:pt idx="20">
                  <c:v>3.7364473016999966</c:v>
                </c:pt>
                <c:pt idx="21">
                  <c:v>4.1282368793000046</c:v>
                </c:pt>
              </c:numCache>
            </c:numRef>
          </c:val>
          <c:smooth val="0"/>
          <c:extLst>
            <c:ext xmlns:c16="http://schemas.microsoft.com/office/drawing/2014/chart" uri="{C3380CC4-5D6E-409C-BE32-E72D297353CC}">
              <c16:uniqueId val="{00000002-BF4A-4D1B-90AB-B2EB5AE96707}"/>
            </c:ext>
          </c:extLst>
        </c:ser>
        <c:dLbls>
          <c:showLegendKey val="0"/>
          <c:showVal val="0"/>
          <c:showCatName val="0"/>
          <c:showSerName val="0"/>
          <c:showPercent val="0"/>
          <c:showBubbleSize val="0"/>
        </c:dLbls>
        <c:marker val="1"/>
        <c:smooth val="0"/>
        <c:axId val="112768128"/>
        <c:axId val="112769664"/>
      </c:lineChart>
      <c:lineChart>
        <c:grouping val="standard"/>
        <c:varyColors val="0"/>
        <c:ser>
          <c:idx val="3"/>
          <c:order val="3"/>
          <c:tx>
            <c:strRef>
              <c:f>'výkonnost odvětví 3'!$W$52</c:f>
              <c:strCache>
                <c:ptCount val="1"/>
                <c:pt idx="0">
                  <c:v>Nové stavební zakázky v tuzemsku</c:v>
                </c:pt>
              </c:strCache>
            </c:strRef>
          </c:tx>
          <c:spPr>
            <a:ln w="9525">
              <a:solidFill>
                <a:srgbClr val="86BF5E"/>
              </a:solidFill>
              <a:prstDash val="sysDot"/>
            </a:ln>
          </c:spPr>
          <c:marker>
            <c:symbol val="circle"/>
            <c:size val="5"/>
            <c:spPr>
              <a:solidFill>
                <a:srgbClr val="85BF5E"/>
              </a:solidFill>
              <a:ln>
                <a:no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3'!$W$53:$W$75</c:f>
              <c:numCache>
                <c:formatCode>0.0</c:formatCode>
                <c:ptCount val="23"/>
                <c:pt idx="0">
                  <c:v>28.856340981154375</c:v>
                </c:pt>
                <c:pt idx="1">
                  <c:v>22.0478670382426</c:v>
                </c:pt>
                <c:pt idx="2">
                  <c:v>10.015015612184257</c:v>
                </c:pt>
                <c:pt idx="3">
                  <c:v>1.0053213537781147</c:v>
                </c:pt>
                <c:pt idx="4">
                  <c:v>13.067478460417888</c:v>
                </c:pt>
                <c:pt idx="5">
                  <c:v>17.619167772184284</c:v>
                </c:pt>
                <c:pt idx="6">
                  <c:v>12.421954480552543</c:v>
                </c:pt>
                <c:pt idx="7">
                  <c:v>13.031852753748723</c:v>
                </c:pt>
                <c:pt idx="8">
                  <c:v>-10.144501025957553</c:v>
                </c:pt>
                <c:pt idx="9">
                  <c:v>-18.697561390531931</c:v>
                </c:pt>
                <c:pt idx="10">
                  <c:v>27.514816854662854</c:v>
                </c:pt>
                <c:pt idx="11">
                  <c:v>9.3063425617587683</c:v>
                </c:pt>
                <c:pt idx="12">
                  <c:v>30.48574840110382</c:v>
                </c:pt>
                <c:pt idx="13">
                  <c:v>24.810378988741093</c:v>
                </c:pt>
                <c:pt idx="14">
                  <c:v>-2.1445567903011948</c:v>
                </c:pt>
                <c:pt idx="15">
                  <c:v>17.246427278094785</c:v>
                </c:pt>
                <c:pt idx="16">
                  <c:v>14.966548023920552</c:v>
                </c:pt>
                <c:pt idx="17">
                  <c:v>18.397953312123349</c:v>
                </c:pt>
                <c:pt idx="18">
                  <c:v>8.8509967247769197</c:v>
                </c:pt>
                <c:pt idx="19">
                  <c:v>-2.6142731987564503</c:v>
                </c:pt>
                <c:pt idx="20">
                  <c:v>-7.4593940388818112</c:v>
                </c:pt>
                <c:pt idx="21">
                  <c:v>7.8010519659062822</c:v>
                </c:pt>
              </c:numCache>
            </c:numRef>
          </c:val>
          <c:smooth val="0"/>
          <c:extLst>
            <c:ext xmlns:c16="http://schemas.microsoft.com/office/drawing/2014/chart" uri="{C3380CC4-5D6E-409C-BE32-E72D297353CC}">
              <c16:uniqueId val="{00000003-BF4A-4D1B-90AB-B2EB5AE96707}"/>
            </c:ext>
          </c:extLst>
        </c:ser>
        <c:ser>
          <c:idx val="7"/>
          <c:order val="4"/>
          <c:tx>
            <c:strRef>
              <c:f>'výkonnost odvětví 3'!$X$52</c:f>
              <c:strCache>
                <c:ptCount val="1"/>
                <c:pt idx="0">
                  <c:v>Saldo indikátoru důvěry ve stavebnictví</c:v>
                </c:pt>
              </c:strCache>
            </c:strRef>
          </c:tx>
          <c:spPr>
            <a:ln w="15875">
              <a:solidFill>
                <a:srgbClr val="CC9610"/>
              </a:solidFill>
              <a:prstDash val="sysDot"/>
            </a:ln>
          </c:spPr>
          <c:marker>
            <c:symbol val="diamond"/>
            <c:size val="5"/>
            <c:spPr>
              <a:solidFill>
                <a:srgbClr val="CC9610"/>
              </a:solidFill>
              <a:ln>
                <a:solidFill>
                  <a:srgbClr val="CC9610"/>
                </a:solid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3'!$X$53:$X$75</c:f>
              <c:numCache>
                <c:formatCode>0.0</c:formatCode>
                <c:ptCount val="23"/>
                <c:pt idx="0">
                  <c:v>-7.166666666666667</c:v>
                </c:pt>
                <c:pt idx="1">
                  <c:v>-6.5</c:v>
                </c:pt>
                <c:pt idx="2">
                  <c:v>-6.5</c:v>
                </c:pt>
                <c:pt idx="3">
                  <c:v>-6.833333333333333</c:v>
                </c:pt>
                <c:pt idx="4">
                  <c:v>3.8333333333333335</c:v>
                </c:pt>
                <c:pt idx="5">
                  <c:v>-1</c:v>
                </c:pt>
                <c:pt idx="6">
                  <c:v>-6.333333333333333</c:v>
                </c:pt>
                <c:pt idx="7">
                  <c:v>-8.1666666666666661</c:v>
                </c:pt>
                <c:pt idx="8">
                  <c:v>-13.666666666666666</c:v>
                </c:pt>
                <c:pt idx="9">
                  <c:v>-15</c:v>
                </c:pt>
                <c:pt idx="10">
                  <c:v>-16.666666666666668</c:v>
                </c:pt>
                <c:pt idx="11">
                  <c:v>-14.333333333333334</c:v>
                </c:pt>
                <c:pt idx="12">
                  <c:v>-9</c:v>
                </c:pt>
                <c:pt idx="13">
                  <c:v>-13.5</c:v>
                </c:pt>
                <c:pt idx="14">
                  <c:v>-10.5</c:v>
                </c:pt>
                <c:pt idx="15">
                  <c:v>-6.166666666666667</c:v>
                </c:pt>
                <c:pt idx="16">
                  <c:v>-4.5</c:v>
                </c:pt>
                <c:pt idx="17">
                  <c:v>-1.6666666666666667</c:v>
                </c:pt>
                <c:pt idx="18">
                  <c:v>3</c:v>
                </c:pt>
                <c:pt idx="19">
                  <c:v>-1.3333333333333333</c:v>
                </c:pt>
                <c:pt idx="20">
                  <c:v>-3.8333333333333335</c:v>
                </c:pt>
                <c:pt idx="21">
                  <c:v>-3</c:v>
                </c:pt>
                <c:pt idx="22">
                  <c:v>-4.75</c:v>
                </c:pt>
              </c:numCache>
            </c:numRef>
          </c:val>
          <c:smooth val="0"/>
          <c:extLst>
            <c:ext xmlns:c16="http://schemas.microsoft.com/office/drawing/2014/chart" uri="{C3380CC4-5D6E-409C-BE32-E72D297353CC}">
              <c16:uniqueId val="{00000004-BF4A-4D1B-90AB-B2EB5AE96707}"/>
            </c:ext>
          </c:extLst>
        </c:ser>
        <c:dLbls>
          <c:showLegendKey val="0"/>
          <c:showVal val="0"/>
          <c:showCatName val="0"/>
          <c:showSerName val="0"/>
          <c:showPercent val="0"/>
          <c:showBubbleSize val="0"/>
        </c:dLbls>
        <c:marker val="1"/>
        <c:smooth val="0"/>
        <c:axId val="1118074639"/>
        <c:axId val="1118080463"/>
      </c:lineChart>
      <c:catAx>
        <c:axId val="112768128"/>
        <c:scaling>
          <c:orientation val="minMax"/>
        </c:scaling>
        <c:delete val="0"/>
        <c:axPos val="b"/>
        <c:numFmt formatCode="General" sourceLinked="1"/>
        <c:majorTickMark val="out"/>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25"/>
          <c:min val="-10"/>
        </c:scaling>
        <c:delete val="0"/>
        <c:axPos val="l"/>
        <c:majorGridlines>
          <c:spPr>
            <a:ln>
              <a:solidFill>
                <a:srgbClr val="BEBEBE"/>
              </a:solidFill>
            </a:ln>
          </c:spPr>
        </c:majorGridlines>
        <c:title>
          <c:tx>
            <c:rich>
              <a:bodyPr/>
              <a:lstStyle/>
              <a:p>
                <a:pPr>
                  <a:defRPr sz="700" b="0" i="1">
                    <a:latin typeface="Arial" panose="020B0604020202020204" pitchFamily="34" charset="0"/>
                    <a:cs typeface="Arial" panose="020B0604020202020204" pitchFamily="34" charset="0"/>
                  </a:defRPr>
                </a:pPr>
                <a:r>
                  <a:rPr lang="cs-CZ" sz="700" b="0" i="1">
                    <a:latin typeface="Arial" panose="020B0604020202020204" pitchFamily="34" charset="0"/>
                    <a:cs typeface="Arial" panose="020B0604020202020204" pitchFamily="34" charset="0"/>
                  </a:rPr>
                  <a:t>Stavební produkce</a:t>
                </a:r>
              </a:p>
            </c:rich>
          </c:tx>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5"/>
      </c:valAx>
      <c:valAx>
        <c:axId val="1118080463"/>
        <c:scaling>
          <c:orientation val="minMax"/>
          <c:max val="40"/>
          <c:min val="-100"/>
        </c:scaling>
        <c:delete val="0"/>
        <c:axPos val="r"/>
        <c:title>
          <c:tx>
            <c:rich>
              <a:bodyPr/>
              <a:lstStyle/>
              <a:p>
                <a:pPr>
                  <a:defRPr sz="700" b="0" i="1">
                    <a:latin typeface="Arial" panose="020B0604020202020204" pitchFamily="34" charset="0"/>
                    <a:cs typeface="Arial" panose="020B0604020202020204" pitchFamily="34" charset="0"/>
                  </a:defRPr>
                </a:pPr>
                <a:r>
                  <a:rPr lang="cs-CZ" sz="700" b="0" i="1" u="none" strike="noStrike" kern="1200" baseline="0">
                    <a:solidFill>
                      <a:sysClr val="windowText" lastClr="000000"/>
                    </a:solidFill>
                    <a:latin typeface="Arial" panose="020B0604020202020204" pitchFamily="34" charset="0"/>
                    <a:cs typeface="Arial" panose="020B0604020202020204" pitchFamily="34" charset="0"/>
                  </a:rPr>
                  <a:t>Zakázky, s</a:t>
                </a:r>
                <a:r>
                  <a:rPr lang="cs-CZ" sz="700" b="0" i="1">
                    <a:latin typeface="Arial" panose="020B0604020202020204" pitchFamily="34" charset="0"/>
                    <a:cs typeface="Arial" panose="020B0604020202020204" pitchFamily="34" charset="0"/>
                  </a:rPr>
                  <a:t>aldo důvěry</a:t>
                </a:r>
              </a:p>
            </c:rich>
          </c:tx>
          <c:overlay val="0"/>
        </c:title>
        <c:numFmt formatCode="0"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cs-CZ"/>
          </a:p>
        </c:txPr>
        <c:crossAx val="1118074639"/>
        <c:crosses val="max"/>
        <c:crossBetween val="between"/>
        <c:majorUnit val="20"/>
      </c:valAx>
      <c:catAx>
        <c:axId val="1118074639"/>
        <c:scaling>
          <c:orientation val="minMax"/>
        </c:scaling>
        <c:delete val="1"/>
        <c:axPos val="b"/>
        <c:numFmt formatCode="General" sourceLinked="1"/>
        <c:majorTickMark val="out"/>
        <c:minorTickMark val="none"/>
        <c:tickLblPos val="nextTo"/>
        <c:crossAx val="1118080463"/>
        <c:crosses val="autoZero"/>
        <c:auto val="1"/>
        <c:lblAlgn val="ctr"/>
        <c:lblOffset val="100"/>
        <c:noMultiLvlLbl val="0"/>
      </c:catAx>
      <c:spPr>
        <a:noFill/>
        <a:ln w="6350">
          <a:solidFill>
            <a:prstClr val="black">
              <a:lumMod val="95000"/>
              <a:lumOff val="5000"/>
            </a:prstClr>
          </a:solidFill>
        </a:ln>
      </c:spPr>
    </c:plotArea>
    <c:legend>
      <c:legendPos val="r"/>
      <c:layout>
        <c:manualLayout>
          <c:xMode val="edge"/>
          <c:yMode val="edge"/>
          <c:x val="6.9689830437861935E-2"/>
          <c:y val="0.87030042400171759"/>
          <c:w val="0.89592230971128606"/>
          <c:h val="0.11928626377558324"/>
        </c:manualLayout>
      </c:layout>
      <c:overlay val="0"/>
      <c:spPr>
        <a:ln w="6350">
          <a:solidFill>
            <a:prstClr val="black">
              <a:lumMod val="95000"/>
              <a:lumOff val="5000"/>
            </a:prstClr>
          </a:solidFill>
        </a:ln>
      </c:spPr>
      <c:txPr>
        <a:bodyPr/>
        <a:lstStyle/>
        <a:p>
          <a:pPr>
            <a:defRPr sz="75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103461956681463E-2"/>
          <c:y val="1.6079035728293573E-2"/>
          <c:w val="0.85232138637098975"/>
          <c:h val="0.74333452737491468"/>
        </c:manualLayout>
      </c:layout>
      <c:barChart>
        <c:barDir val="col"/>
        <c:grouping val="stacked"/>
        <c:varyColors val="0"/>
        <c:ser>
          <c:idx val="1"/>
          <c:order val="1"/>
          <c:tx>
            <c:strRef>
              <c:f>'Služby-příspěvky k růstu-4'!$D$33</c:f>
              <c:strCache>
                <c:ptCount val="1"/>
                <c:pt idx="0">
                  <c:v>Doprava a skladování</c:v>
                </c:pt>
              </c:strCache>
            </c:strRef>
          </c:tx>
          <c:spPr>
            <a:solidFill>
              <a:srgbClr val="85BF5E"/>
            </a:solidFill>
            <a:ln>
              <a:noFill/>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růstu-4'!$D$70:$D$92</c:f>
              <c:numCache>
                <c:formatCode>0.0</c:formatCode>
                <c:ptCount val="23"/>
                <c:pt idx="0">
                  <c:v>0.339424474017815</c:v>
                </c:pt>
                <c:pt idx="1">
                  <c:v>6.4769797031497607</c:v>
                </c:pt>
                <c:pt idx="2">
                  <c:v>3.6889628511037609</c:v>
                </c:pt>
                <c:pt idx="3">
                  <c:v>3.3165927698599269</c:v>
                </c:pt>
                <c:pt idx="4">
                  <c:v>3.9470600999621772</c:v>
                </c:pt>
                <c:pt idx="5">
                  <c:v>4.0149179535188493</c:v>
                </c:pt>
                <c:pt idx="6">
                  <c:v>3.2325096024643996</c:v>
                </c:pt>
                <c:pt idx="7">
                  <c:v>0.69379105004502784</c:v>
                </c:pt>
                <c:pt idx="8">
                  <c:v>-1.2161396930190405</c:v>
                </c:pt>
                <c:pt idx="9">
                  <c:v>-3.0939854937459703</c:v>
                </c:pt>
                <c:pt idx="10">
                  <c:v>-3.4666853638300101</c:v>
                </c:pt>
                <c:pt idx="11">
                  <c:v>-2.6087324525460365</c:v>
                </c:pt>
                <c:pt idx="12">
                  <c:v>0.22215379874635741</c:v>
                </c:pt>
                <c:pt idx="13">
                  <c:v>1.1334584885357104</c:v>
                </c:pt>
                <c:pt idx="14">
                  <c:v>1.5974384509373598</c:v>
                </c:pt>
                <c:pt idx="15">
                  <c:v>1.3973357604610437</c:v>
                </c:pt>
                <c:pt idx="16">
                  <c:v>0.80325056787954308</c:v>
                </c:pt>
                <c:pt idx="17">
                  <c:v>0.54015078832255659</c:v>
                </c:pt>
                <c:pt idx="18" formatCode="##0.0">
                  <c:v>-0.18721090556233616</c:v>
                </c:pt>
                <c:pt idx="19" formatCode="##0.0">
                  <c:v>0.33254686563740377</c:v>
                </c:pt>
                <c:pt idx="20" formatCode="##0.00">
                  <c:v>0.28811224359021398</c:v>
                </c:pt>
                <c:pt idx="21" formatCode="##0.0">
                  <c:v>1.007754550533426</c:v>
                </c:pt>
              </c:numCache>
            </c:numRef>
          </c:val>
          <c:extLst>
            <c:ext xmlns:c16="http://schemas.microsoft.com/office/drawing/2014/chart" uri="{C3380CC4-5D6E-409C-BE32-E72D297353CC}">
              <c16:uniqueId val="{00000000-4C6A-472C-ACF6-B1CFC8705DA2}"/>
            </c:ext>
          </c:extLst>
        </c:ser>
        <c:ser>
          <c:idx val="2"/>
          <c:order val="2"/>
          <c:tx>
            <c:strRef>
              <c:f>'Služby-příspěvky k růstu-4'!$E$33</c:f>
              <c:strCache>
                <c:ptCount val="1"/>
                <c:pt idx="0">
                  <c:v>Ubytování, stravování a pohostinství</c:v>
                </c:pt>
              </c:strCache>
            </c:strRef>
          </c:tx>
          <c:spPr>
            <a:solidFill>
              <a:srgbClr val="C3DDAC"/>
            </a:solidFill>
            <a:ln>
              <a:noFill/>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růstu-4'!$E$70:$E$92</c:f>
              <c:numCache>
                <c:formatCode>0.0</c:formatCode>
                <c:ptCount val="23"/>
                <c:pt idx="0">
                  <c:v>-3.6481810348244856</c:v>
                </c:pt>
                <c:pt idx="1">
                  <c:v>1.4037988406202084</c:v>
                </c:pt>
                <c:pt idx="2">
                  <c:v>0.65953594741947219</c:v>
                </c:pt>
                <c:pt idx="3">
                  <c:v>2.895453687502811</c:v>
                </c:pt>
                <c:pt idx="4">
                  <c:v>2.8324438712139846</c:v>
                </c:pt>
                <c:pt idx="5">
                  <c:v>2.4351384435535226</c:v>
                </c:pt>
                <c:pt idx="6">
                  <c:v>-0.45786033686732791</c:v>
                </c:pt>
                <c:pt idx="7">
                  <c:v>0.56712079637132995</c:v>
                </c:pt>
                <c:pt idx="8">
                  <c:v>0.4723075875012247</c:v>
                </c:pt>
                <c:pt idx="9">
                  <c:v>-2.9299883973641278E-2</c:v>
                </c:pt>
                <c:pt idx="10">
                  <c:v>0.13053617447369642</c:v>
                </c:pt>
                <c:pt idx="11">
                  <c:v>7.6420413212893251E-2</c:v>
                </c:pt>
                <c:pt idx="12">
                  <c:v>0.20145632085284665</c:v>
                </c:pt>
                <c:pt idx="13">
                  <c:v>0.17229933870263658</c:v>
                </c:pt>
                <c:pt idx="14" formatCode="0.00">
                  <c:v>-0.15247052022392038</c:v>
                </c:pt>
                <c:pt idx="15">
                  <c:v>-2.0658054410665041E-3</c:v>
                </c:pt>
                <c:pt idx="16">
                  <c:v>-7.2379808866863612E-2</c:v>
                </c:pt>
                <c:pt idx="17">
                  <c:v>0.18602301571860602</c:v>
                </c:pt>
                <c:pt idx="18" formatCode="##0.0">
                  <c:v>9.6409614713450983E-2</c:v>
                </c:pt>
                <c:pt idx="19" formatCode="##0.0">
                  <c:v>0.10549799268773981</c:v>
                </c:pt>
                <c:pt idx="20" formatCode="##0.00">
                  <c:v>5.9168888885642743E-2</c:v>
                </c:pt>
                <c:pt idx="21" formatCode="##0.0">
                  <c:v>1.5701139825883326E-2</c:v>
                </c:pt>
              </c:numCache>
            </c:numRef>
          </c:val>
          <c:extLst>
            <c:ext xmlns:c16="http://schemas.microsoft.com/office/drawing/2014/chart" uri="{C3380CC4-5D6E-409C-BE32-E72D297353CC}">
              <c16:uniqueId val="{00000001-4C6A-472C-ACF6-B1CFC8705DA2}"/>
            </c:ext>
          </c:extLst>
        </c:ser>
        <c:ser>
          <c:idx val="3"/>
          <c:order val="3"/>
          <c:tx>
            <c:strRef>
              <c:f>'Služby-příspěvky k růstu-4'!$F$33</c:f>
              <c:strCache>
                <c:ptCount val="1"/>
                <c:pt idx="0">
                  <c:v>Informační a komunikační činnosti</c:v>
                </c:pt>
              </c:strCache>
            </c:strRef>
          </c:tx>
          <c:spPr>
            <a:solidFill>
              <a:srgbClr val="9FC9D7"/>
            </a:solidFill>
            <a:ln w="9525">
              <a:noFill/>
              <a:prstDash val="sysDot"/>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růstu-4'!$F$70:$F$92</c:f>
              <c:numCache>
                <c:formatCode>0.0</c:formatCode>
                <c:ptCount val="23"/>
                <c:pt idx="0">
                  <c:v>0.7988501443406586</c:v>
                </c:pt>
                <c:pt idx="1">
                  <c:v>1.7181750258280606</c:v>
                </c:pt>
                <c:pt idx="2">
                  <c:v>1.7378716382378383</c:v>
                </c:pt>
                <c:pt idx="3">
                  <c:v>2.1146664892810083</c:v>
                </c:pt>
                <c:pt idx="4">
                  <c:v>1.7486967131569446</c:v>
                </c:pt>
                <c:pt idx="5">
                  <c:v>0.98429447082323185</c:v>
                </c:pt>
                <c:pt idx="6">
                  <c:v>0.77312161208373731</c:v>
                </c:pt>
                <c:pt idx="7">
                  <c:v>0.37849138255379744</c:v>
                </c:pt>
                <c:pt idx="8">
                  <c:v>0.58328729987999939</c:v>
                </c:pt>
                <c:pt idx="9">
                  <c:v>-7.5730778386939148E-3</c:v>
                </c:pt>
                <c:pt idx="10">
                  <c:v>-0.79323887005342941</c:v>
                </c:pt>
                <c:pt idx="11">
                  <c:v>-0.79223292270674051</c:v>
                </c:pt>
                <c:pt idx="12">
                  <c:v>0.10170859512000795</c:v>
                </c:pt>
                <c:pt idx="13">
                  <c:v>0.47948732516812043</c:v>
                </c:pt>
                <c:pt idx="14">
                  <c:v>0.84486717556551161</c:v>
                </c:pt>
                <c:pt idx="15">
                  <c:v>0.51262848620882862</c:v>
                </c:pt>
                <c:pt idx="16">
                  <c:v>0.98600582961254812</c:v>
                </c:pt>
                <c:pt idx="17">
                  <c:v>0.74167636187881258</c:v>
                </c:pt>
                <c:pt idx="18" formatCode="##0.0">
                  <c:v>0.1147257241443904</c:v>
                </c:pt>
                <c:pt idx="19" formatCode="##0.0">
                  <c:v>0.67839818243854277</c:v>
                </c:pt>
                <c:pt idx="20" formatCode="##0.00">
                  <c:v>0.57150016256675851</c:v>
                </c:pt>
                <c:pt idx="21" formatCode="##0.0">
                  <c:v>0.30261297593303971</c:v>
                </c:pt>
              </c:numCache>
            </c:numRef>
          </c:val>
          <c:extLst>
            <c:ext xmlns:c16="http://schemas.microsoft.com/office/drawing/2014/chart" uri="{C3380CC4-5D6E-409C-BE32-E72D297353CC}">
              <c16:uniqueId val="{00000002-4C6A-472C-ACF6-B1CFC8705DA2}"/>
            </c:ext>
          </c:extLst>
        </c:ser>
        <c:ser>
          <c:idx val="4"/>
          <c:order val="4"/>
          <c:tx>
            <c:strRef>
              <c:f>'Služby-příspěvky k růstu-4'!$G$33</c:f>
              <c:strCache>
                <c:ptCount val="1"/>
                <c:pt idx="0">
                  <c:v>Činnosti v oblasti nemovitostí</c:v>
                </c:pt>
              </c:strCache>
            </c:strRef>
          </c:tx>
          <c:spPr>
            <a:solidFill>
              <a:srgbClr val="8390A7"/>
            </a:solidFill>
            <a:ln w="15875">
              <a:noFill/>
              <a:prstDash val="solid"/>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růstu-4'!$G$70:$G$92</c:f>
              <c:numCache>
                <c:formatCode>0.0</c:formatCode>
                <c:ptCount val="23"/>
                <c:pt idx="0">
                  <c:v>-0.21094775963960005</c:v>
                </c:pt>
                <c:pt idx="1">
                  <c:v>0.51155875534620054</c:v>
                </c:pt>
                <c:pt idx="2">
                  <c:v>-2.3689723896500255E-2</c:v>
                </c:pt>
                <c:pt idx="3">
                  <c:v>0.25599910697759964</c:v>
                </c:pt>
                <c:pt idx="4">
                  <c:v>0.96345448971199943</c:v>
                </c:pt>
                <c:pt idx="5">
                  <c:v>0.47159042328799955</c:v>
                </c:pt>
                <c:pt idx="6">
                  <c:v>0.2185622188815784</c:v>
                </c:pt>
                <c:pt idx="7">
                  <c:v>0.33309446355833333</c:v>
                </c:pt>
                <c:pt idx="8">
                  <c:v>0.16012954609680044</c:v>
                </c:pt>
                <c:pt idx="9">
                  <c:v>-0.18624032886239958</c:v>
                </c:pt>
                <c:pt idx="10">
                  <c:v>-0.27795457738857821</c:v>
                </c:pt>
                <c:pt idx="11">
                  <c:v>-0.2089599685726716</c:v>
                </c:pt>
                <c:pt idx="12">
                  <c:v>-0.20651327563660776</c:v>
                </c:pt>
                <c:pt idx="13">
                  <c:v>0.27793895598753937</c:v>
                </c:pt>
                <c:pt idx="14">
                  <c:v>-0.11784164354918217</c:v>
                </c:pt>
                <c:pt idx="15">
                  <c:v>-4.2577128381585134E-3</c:v>
                </c:pt>
                <c:pt idx="16">
                  <c:v>0.24983684273778797</c:v>
                </c:pt>
                <c:pt idx="17">
                  <c:v>-3.5129585766133953E-2</c:v>
                </c:pt>
                <c:pt idx="18" formatCode="##0.00">
                  <c:v>7.2348490771794213E-2</c:v>
                </c:pt>
                <c:pt idx="19" formatCode="##0.00">
                  <c:v>-2.6007249512033318E-3</c:v>
                </c:pt>
                <c:pt idx="20" formatCode="##0.00">
                  <c:v>0.10846010076821222</c:v>
                </c:pt>
                <c:pt idx="21" formatCode="##0.00">
                  <c:v>-4.1973790651377595E-2</c:v>
                </c:pt>
              </c:numCache>
            </c:numRef>
          </c:val>
          <c:extLst>
            <c:ext xmlns:c16="http://schemas.microsoft.com/office/drawing/2014/chart" uri="{C3380CC4-5D6E-409C-BE32-E72D297353CC}">
              <c16:uniqueId val="{00000003-4C6A-472C-ACF6-B1CFC8705DA2}"/>
            </c:ext>
          </c:extLst>
        </c:ser>
        <c:ser>
          <c:idx val="5"/>
          <c:order val="5"/>
          <c:tx>
            <c:strRef>
              <c:f>'Služby-příspěvky k růstu-4'!$H$33</c:f>
              <c:strCache>
                <c:ptCount val="1"/>
                <c:pt idx="0">
                  <c:v>Profesní, vědecké a technické čin.</c:v>
                </c:pt>
              </c:strCache>
            </c:strRef>
          </c:tx>
          <c:spPr>
            <a:solidFill>
              <a:srgbClr val="D8A7B7"/>
            </a:solidFill>
            <a:ln w="15875">
              <a:noFill/>
              <a:prstDash val="sysDash"/>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růstu-4'!$H$70:$H$92</c:f>
              <c:numCache>
                <c:formatCode>0.0</c:formatCode>
                <c:ptCount val="23"/>
                <c:pt idx="0">
                  <c:v>-1.7950376935096992</c:v>
                </c:pt>
                <c:pt idx="1">
                  <c:v>2.6109436485369422</c:v>
                </c:pt>
                <c:pt idx="2">
                  <c:v>1.7658640715104823</c:v>
                </c:pt>
                <c:pt idx="3">
                  <c:v>2.2127999066374913</c:v>
                </c:pt>
                <c:pt idx="4">
                  <c:v>2.2724371059363357</c:v>
                </c:pt>
                <c:pt idx="5">
                  <c:v>1.3852889410778095</c:v>
                </c:pt>
                <c:pt idx="6">
                  <c:v>0.99380318082145103</c:v>
                </c:pt>
                <c:pt idx="7">
                  <c:v>0.14402260783636861</c:v>
                </c:pt>
                <c:pt idx="8">
                  <c:v>0.81830585604138473</c:v>
                </c:pt>
                <c:pt idx="9">
                  <c:v>0.82445770430622045</c:v>
                </c:pt>
                <c:pt idx="10">
                  <c:v>0.13034479111537206</c:v>
                </c:pt>
                <c:pt idx="11">
                  <c:v>0.83926985282434741</c:v>
                </c:pt>
                <c:pt idx="12">
                  <c:v>0.47900305251715447</c:v>
                </c:pt>
                <c:pt idx="13">
                  <c:v>0.6811209478493595</c:v>
                </c:pt>
                <c:pt idx="14">
                  <c:v>0.26171925847671451</c:v>
                </c:pt>
                <c:pt idx="15">
                  <c:v>5.2664778577602829E-2</c:v>
                </c:pt>
                <c:pt idx="16">
                  <c:v>1.1345609464854818</c:v>
                </c:pt>
                <c:pt idx="17">
                  <c:v>0.7856538852501882</c:v>
                </c:pt>
                <c:pt idx="18" formatCode="##0.0">
                  <c:v>0.42580499337647543</c:v>
                </c:pt>
                <c:pt idx="19" formatCode="##0.0">
                  <c:v>0.81694680701116895</c:v>
                </c:pt>
                <c:pt idx="20" formatCode="##0.00">
                  <c:v>1.0962359844946965</c:v>
                </c:pt>
                <c:pt idx="21" formatCode="##0.00">
                  <c:v>1.5977164564734303</c:v>
                </c:pt>
              </c:numCache>
            </c:numRef>
          </c:val>
          <c:extLst>
            <c:ext xmlns:c16="http://schemas.microsoft.com/office/drawing/2014/chart" uri="{C3380CC4-5D6E-409C-BE32-E72D297353CC}">
              <c16:uniqueId val="{00000004-4C6A-472C-ACF6-B1CFC8705DA2}"/>
            </c:ext>
          </c:extLst>
        </c:ser>
        <c:ser>
          <c:idx val="6"/>
          <c:order val="6"/>
          <c:tx>
            <c:strRef>
              <c:f>'Služby-příspěvky k růstu-4'!$I$33</c:f>
              <c:strCache>
                <c:ptCount val="1"/>
                <c:pt idx="0">
                  <c:v>Administrativní a podpůrné činnosti</c:v>
                </c:pt>
              </c:strCache>
            </c:strRef>
          </c:tx>
          <c:spPr>
            <a:solidFill>
              <a:srgbClr val="BC5B80"/>
            </a:solidFill>
            <a:ln w="15875">
              <a:noFill/>
              <a:prstDash val="dash"/>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růstu-4'!$I$70:$I$92</c:f>
              <c:numCache>
                <c:formatCode>0.0</c:formatCode>
                <c:ptCount val="23"/>
                <c:pt idx="0">
                  <c:v>-1.4358217562142097</c:v>
                </c:pt>
                <c:pt idx="1">
                  <c:v>2.2464230275243353</c:v>
                </c:pt>
                <c:pt idx="2">
                  <c:v>2.1186703809511758</c:v>
                </c:pt>
                <c:pt idx="3">
                  <c:v>1.4303808425259847</c:v>
                </c:pt>
                <c:pt idx="4">
                  <c:v>1.7130286439903932</c:v>
                </c:pt>
                <c:pt idx="5">
                  <c:v>3.1134189678455448</c:v>
                </c:pt>
                <c:pt idx="6">
                  <c:v>2.2147457278098601</c:v>
                </c:pt>
                <c:pt idx="7">
                  <c:v>0.75981525938647765</c:v>
                </c:pt>
                <c:pt idx="8">
                  <c:v>0.44351110190196352</c:v>
                </c:pt>
                <c:pt idx="9">
                  <c:v>0.17445700794147556</c:v>
                </c:pt>
                <c:pt idx="10">
                  <c:v>-0.14076488780736343</c:v>
                </c:pt>
                <c:pt idx="11">
                  <c:v>-4.4118459768652668E-2</c:v>
                </c:pt>
                <c:pt idx="12">
                  <c:v>0.38907387149663825</c:v>
                </c:pt>
                <c:pt idx="13">
                  <c:v>0.14119431179866418</c:v>
                </c:pt>
                <c:pt idx="14">
                  <c:v>0.42156883926372257</c:v>
                </c:pt>
                <c:pt idx="15">
                  <c:v>0.1753380195098404</c:v>
                </c:pt>
                <c:pt idx="16">
                  <c:v>0.20110493372888275</c:v>
                </c:pt>
                <c:pt idx="17">
                  <c:v>-6.0928454451434383E-2</c:v>
                </c:pt>
                <c:pt idx="18" formatCode="##0.0">
                  <c:v>-0.29813668231958129</c:v>
                </c:pt>
                <c:pt idx="19" formatCode="##0.0">
                  <c:v>0.21794576654740916</c:v>
                </c:pt>
                <c:pt idx="20" formatCode="##0.00">
                  <c:v>0.19235653309962822</c:v>
                </c:pt>
                <c:pt idx="21" formatCode="##0.00">
                  <c:v>-1.3074840033455808E-2</c:v>
                </c:pt>
              </c:numCache>
            </c:numRef>
          </c:val>
          <c:extLst>
            <c:ext xmlns:c16="http://schemas.microsoft.com/office/drawing/2014/chart" uri="{C3380CC4-5D6E-409C-BE32-E72D297353CC}">
              <c16:uniqueId val="{00000005-4C6A-472C-ACF6-B1CFC8705DA2}"/>
            </c:ext>
          </c:extLst>
        </c:ser>
        <c:dLbls>
          <c:showLegendKey val="0"/>
          <c:showVal val="0"/>
          <c:showCatName val="0"/>
          <c:showSerName val="0"/>
          <c:showPercent val="0"/>
          <c:showBubbleSize val="0"/>
        </c:dLbls>
        <c:gapWidth val="30"/>
        <c:overlap val="100"/>
        <c:axId val="112768128"/>
        <c:axId val="112769664"/>
      </c:barChart>
      <c:lineChart>
        <c:grouping val="standard"/>
        <c:varyColors val="0"/>
        <c:ser>
          <c:idx val="0"/>
          <c:order val="0"/>
          <c:tx>
            <c:strRef>
              <c:f>'Služby-příspěvky k růstu-4'!$C$33</c:f>
              <c:strCache>
                <c:ptCount val="1"/>
                <c:pt idx="0">
                  <c:v>Služby celkem (meziroční růst v %)</c:v>
                </c:pt>
              </c:strCache>
            </c:strRef>
          </c:tx>
          <c:spPr>
            <a:ln>
              <a:noFill/>
            </a:ln>
          </c:spPr>
          <c:marker>
            <c:symbol val="circle"/>
            <c:size val="5"/>
            <c:spPr>
              <a:solidFill>
                <a:schemeClr val="bg1"/>
              </a:solidFill>
              <a:ln>
                <a:solidFill>
                  <a:schemeClr val="bg2">
                    <a:lumMod val="25000"/>
                  </a:schemeClr>
                </a:solidFill>
              </a:ln>
            </c:spPr>
          </c:marker>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růstu-4'!$C$70:$C$92</c:f>
              <c:numCache>
                <c:formatCode>##0.0</c:formatCode>
                <c:ptCount val="23"/>
                <c:pt idx="0">
                  <c:v>-6.4132536481999978</c:v>
                </c:pt>
                <c:pt idx="1">
                  <c:v>14.467562655400002</c:v>
                </c:pt>
                <c:pt idx="2">
                  <c:v>9.8320905563000025</c:v>
                </c:pt>
                <c:pt idx="3">
                  <c:v>12.455555082499998</c:v>
                </c:pt>
                <c:pt idx="4">
                  <c:v>13.606929218800005</c:v>
                </c:pt>
                <c:pt idx="5">
                  <c:v>12.572544585499998</c:v>
                </c:pt>
                <c:pt idx="6">
                  <c:v>6.879013124599993</c:v>
                </c:pt>
                <c:pt idx="7">
                  <c:v>3.1298011397999943</c:v>
                </c:pt>
                <c:pt idx="8">
                  <c:v>1.6153658048000068</c:v>
                </c:pt>
                <c:pt idx="9">
                  <c:v>-1.6536002934000038</c:v>
                </c:pt>
                <c:pt idx="10">
                  <c:v>-3.8563340338999978</c:v>
                </c:pt>
                <c:pt idx="11">
                  <c:v>-2.1916659226999968</c:v>
                </c:pt>
                <c:pt idx="12">
                  <c:v>1.1705021491000025</c:v>
                </c:pt>
                <c:pt idx="13">
                  <c:v>2.8897127916000045</c:v>
                </c:pt>
                <c:pt idx="14">
                  <c:v>2.8739830930000068</c:v>
                </c:pt>
                <c:pt idx="15">
                  <c:v>2.1315290016000006</c:v>
                </c:pt>
                <c:pt idx="16">
                  <c:v>3.3033721543999945</c:v>
                </c:pt>
                <c:pt idx="17">
                  <c:v>2.1538382643999938</c:v>
                </c:pt>
                <c:pt idx="18">
                  <c:v>0.22968848959999377</c:v>
                </c:pt>
                <c:pt idx="19">
                  <c:v>2.1487386682999983</c:v>
                </c:pt>
                <c:pt idx="20">
                  <c:v>2.3158332446000003</c:v>
                </c:pt>
                <c:pt idx="21">
                  <c:v>2.8791146047590415</c:v>
                </c:pt>
              </c:numCache>
            </c:numRef>
          </c:val>
          <c:smooth val="0"/>
          <c:extLst>
            <c:ext xmlns:c16="http://schemas.microsoft.com/office/drawing/2014/chart" uri="{C3380CC4-5D6E-409C-BE32-E72D297353CC}">
              <c16:uniqueId val="{00000006-4C6A-472C-ACF6-B1CFC8705DA2}"/>
            </c:ext>
          </c:extLst>
        </c:ser>
        <c:dLbls>
          <c:showLegendKey val="0"/>
          <c:showVal val="0"/>
          <c:showCatName val="0"/>
          <c:showSerName val="0"/>
          <c:showPercent val="0"/>
          <c:showBubbleSize val="0"/>
        </c:dLbls>
        <c:marker val="1"/>
        <c:smooth val="0"/>
        <c:axId val="112768128"/>
        <c:axId val="112769664"/>
      </c:lineChart>
      <c:lineChart>
        <c:grouping val="standard"/>
        <c:varyColors val="0"/>
        <c:ser>
          <c:idx val="7"/>
          <c:order val="7"/>
          <c:tx>
            <c:strRef>
              <c:f>'Služby-příspěvky k růstu-4'!$J$33</c:f>
              <c:strCache>
                <c:ptCount val="1"/>
                <c:pt idx="0">
                  <c:v>Saldo indikátoru důvěry ve službách</c:v>
                </c:pt>
              </c:strCache>
            </c:strRef>
          </c:tx>
          <c:spPr>
            <a:ln w="15875">
              <a:solidFill>
                <a:srgbClr val="CC9610"/>
              </a:solidFill>
              <a:prstDash val="sysDot"/>
            </a:ln>
          </c:spPr>
          <c:marker>
            <c:symbol val="diamond"/>
            <c:size val="5"/>
            <c:spPr>
              <a:solidFill>
                <a:srgbClr val="E6C45B"/>
              </a:solidFill>
              <a:ln>
                <a:solidFill>
                  <a:srgbClr val="E6C45B"/>
                </a:solidFill>
              </a:ln>
            </c:spPr>
          </c:marker>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růstu-4'!$J$70:$J$92</c:f>
              <c:numCache>
                <c:formatCode>#\ ##0.0</c:formatCode>
                <c:ptCount val="23"/>
                <c:pt idx="0">
                  <c:v>4.1000000000000005</c:v>
                </c:pt>
                <c:pt idx="1">
                  <c:v>21.233333333333334</c:v>
                </c:pt>
                <c:pt idx="2">
                  <c:v>26.233333333333334</c:v>
                </c:pt>
                <c:pt idx="3">
                  <c:v>27.133333333333336</c:v>
                </c:pt>
                <c:pt idx="4">
                  <c:v>30.666666666666668</c:v>
                </c:pt>
                <c:pt idx="5">
                  <c:v>36.699999999999996</c:v>
                </c:pt>
                <c:pt idx="6">
                  <c:v>26.566666666666666</c:v>
                </c:pt>
                <c:pt idx="7">
                  <c:v>21.533333333333331</c:v>
                </c:pt>
                <c:pt idx="8">
                  <c:v>23.099999999999998</c:v>
                </c:pt>
                <c:pt idx="9" formatCode="0.0">
                  <c:v>26</c:v>
                </c:pt>
                <c:pt idx="10" formatCode="0.0">
                  <c:v>23.366666666666664</c:v>
                </c:pt>
                <c:pt idx="11" formatCode="0.0">
                  <c:v>22.8</c:v>
                </c:pt>
                <c:pt idx="12" formatCode="0.0">
                  <c:v>23.2</c:v>
                </c:pt>
                <c:pt idx="13" formatCode="0.0">
                  <c:v>29.7</c:v>
                </c:pt>
                <c:pt idx="14" formatCode="0.0">
                  <c:v>25.766666666666666</c:v>
                </c:pt>
                <c:pt idx="15" formatCode="0.0">
                  <c:v>31.8</c:v>
                </c:pt>
                <c:pt idx="16" formatCode="0.0">
                  <c:v>32.1</c:v>
                </c:pt>
                <c:pt idx="17" formatCode="0.0">
                  <c:v>35.56666666666667</c:v>
                </c:pt>
                <c:pt idx="18" formatCode="0.0">
                  <c:v>37.43333333333333</c:v>
                </c:pt>
                <c:pt idx="19" formatCode="0.0">
                  <c:v>37.133333333333333</c:v>
                </c:pt>
                <c:pt idx="20" formatCode="0.0">
                  <c:v>33.199999999999996</c:v>
                </c:pt>
                <c:pt idx="21" formatCode="0.0">
                  <c:v>34.133333333333333</c:v>
                </c:pt>
                <c:pt idx="22" formatCode="0.0">
                  <c:v>33.85</c:v>
                </c:pt>
              </c:numCache>
            </c:numRef>
          </c:val>
          <c:smooth val="0"/>
          <c:extLst>
            <c:ext xmlns:c16="http://schemas.microsoft.com/office/drawing/2014/chart" uri="{C3380CC4-5D6E-409C-BE32-E72D297353CC}">
              <c16:uniqueId val="{00000007-4C6A-472C-ACF6-B1CFC8705DA2}"/>
            </c:ext>
          </c:extLst>
        </c:ser>
        <c:dLbls>
          <c:showLegendKey val="0"/>
          <c:showVal val="0"/>
          <c:showCatName val="0"/>
          <c:showSerName val="0"/>
          <c:showPercent val="0"/>
          <c:showBubbleSize val="0"/>
        </c:dLbls>
        <c:marker val="1"/>
        <c:smooth val="0"/>
        <c:axId val="1118074639"/>
        <c:axId val="1118080463"/>
      </c:lineChart>
      <c:catAx>
        <c:axId val="112768128"/>
        <c:scaling>
          <c:orientation val="minMax"/>
        </c:scaling>
        <c:delete val="0"/>
        <c:axPos val="b"/>
        <c:numFmt formatCode="General" sourceLinked="1"/>
        <c:majorTickMark val="out"/>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16"/>
          <c:min val="-8"/>
        </c:scaling>
        <c:delete val="0"/>
        <c:axPos val="l"/>
        <c:majorGridlines>
          <c:spPr>
            <a:ln>
              <a:solidFill>
                <a:srgbClr val="BEBEBE"/>
              </a:solidFill>
            </a:ln>
          </c:spPr>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700" b="0" i="1"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cs-CZ" sz="700" b="0" i="1" u="none" strike="noStrike" kern="1200" baseline="0">
                    <a:solidFill>
                      <a:sysClr val="windowText" lastClr="000000"/>
                    </a:solidFill>
                    <a:latin typeface="Arial" pitchFamily="34" charset="0"/>
                  </a:rPr>
                  <a:t>Tržby</a:t>
                </a:r>
              </a:p>
            </c:rich>
          </c:tx>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2"/>
      </c:valAx>
      <c:valAx>
        <c:axId val="1118080463"/>
        <c:scaling>
          <c:orientation val="minMax"/>
          <c:max val="90"/>
          <c:min val="-90"/>
        </c:scaling>
        <c:delete val="0"/>
        <c:axPos val="r"/>
        <c:title>
          <c:tx>
            <c:rich>
              <a:bodyPr/>
              <a:lstStyle/>
              <a:p>
                <a:pPr>
                  <a:defRPr sz="700" b="0" i="1">
                    <a:latin typeface="Arial" panose="020B0604020202020204" pitchFamily="34" charset="0"/>
                    <a:cs typeface="Arial" panose="020B0604020202020204" pitchFamily="34" charset="0"/>
                  </a:defRPr>
                </a:pPr>
                <a:r>
                  <a:rPr lang="cs-CZ" sz="700" b="0" i="1" u="none" strike="noStrike" kern="1200" baseline="0">
                    <a:solidFill>
                      <a:sysClr val="windowText" lastClr="000000"/>
                    </a:solidFill>
                    <a:effectLst/>
                    <a:latin typeface="Arial" pitchFamily="34" charset="0"/>
                  </a:rPr>
                  <a:t>S</a:t>
                </a:r>
                <a:r>
                  <a:rPr lang="cs-CZ" sz="700" b="0" i="1" u="none" strike="noStrike" kern="1200" baseline="0">
                    <a:solidFill>
                      <a:sysClr val="windowText" lastClr="000000"/>
                    </a:solidFill>
                    <a:latin typeface="Arial" pitchFamily="34" charset="0"/>
                  </a:rPr>
                  <a:t>aldo důvěry</a:t>
                </a:r>
              </a:p>
            </c:rich>
          </c:tx>
          <c:overlay val="0"/>
        </c:title>
        <c:numFmt formatCode="0"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cs-CZ"/>
          </a:p>
        </c:txPr>
        <c:crossAx val="1118074639"/>
        <c:crosses val="max"/>
        <c:crossBetween val="between"/>
        <c:majorUnit val="15"/>
      </c:valAx>
      <c:catAx>
        <c:axId val="1118074639"/>
        <c:scaling>
          <c:orientation val="minMax"/>
        </c:scaling>
        <c:delete val="1"/>
        <c:axPos val="b"/>
        <c:numFmt formatCode="General" sourceLinked="1"/>
        <c:majorTickMark val="out"/>
        <c:minorTickMark val="none"/>
        <c:tickLblPos val="nextTo"/>
        <c:crossAx val="1118080463"/>
        <c:crosses val="autoZero"/>
        <c:auto val="1"/>
        <c:lblAlgn val="ctr"/>
        <c:lblOffset val="100"/>
        <c:noMultiLvlLbl val="0"/>
      </c:catAx>
      <c:spPr>
        <a:noFill/>
        <a:ln w="6350">
          <a:solidFill>
            <a:prstClr val="black">
              <a:lumMod val="95000"/>
              <a:lumOff val="5000"/>
            </a:prstClr>
          </a:solidFill>
        </a:ln>
      </c:spPr>
    </c:plotArea>
    <c:legend>
      <c:legendPos val="r"/>
      <c:layout>
        <c:manualLayout>
          <c:xMode val="edge"/>
          <c:yMode val="edge"/>
          <c:x val="7.0001801900296201E-2"/>
          <c:y val="0.85963107523768045"/>
          <c:w val="0.84916191390155948"/>
          <c:h val="0.13343471350937136"/>
        </c:manualLayout>
      </c:layout>
      <c:overlay val="0"/>
      <c:spPr>
        <a:ln w="6350">
          <a:solidFill>
            <a:prstClr val="black">
              <a:lumMod val="95000"/>
              <a:lumOff val="5000"/>
            </a:prstClr>
          </a:solidFill>
        </a:ln>
      </c:spPr>
      <c:txPr>
        <a:bodyPr/>
        <a:lstStyle/>
        <a:p>
          <a:pPr>
            <a:defRPr sz="75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61666861125732E-2"/>
          <c:y val="1.5803328678987455E-2"/>
          <c:w val="0.85878628700879256"/>
          <c:h val="0.72017726231386026"/>
        </c:manualLayout>
      </c:layout>
      <c:barChart>
        <c:barDir val="col"/>
        <c:grouping val="stacked"/>
        <c:varyColors val="0"/>
        <c:ser>
          <c:idx val="0"/>
          <c:order val="1"/>
          <c:tx>
            <c:strRef>
              <c:f>'výkonnost odvětví 5a'!$AE$94</c:f>
              <c:strCache>
                <c:ptCount val="1"/>
                <c:pt idx="0">
                  <c:v>Maloobchodní prodej PHM</c:v>
                </c:pt>
              </c:strCache>
            </c:strRef>
          </c:tx>
          <c:spPr>
            <a:solidFill>
              <a:srgbClr val="D8A7B7"/>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5a'!$AE$95:$AE$117</c:f>
              <c:numCache>
                <c:formatCode>#\ ##0.0</c:formatCode>
                <c:ptCount val="23"/>
                <c:pt idx="0">
                  <c:v>-0.81633308384803649</c:v>
                </c:pt>
                <c:pt idx="1">
                  <c:v>1.0661245592829736</c:v>
                </c:pt>
                <c:pt idx="2">
                  <c:v>0.3708178364450001</c:v>
                </c:pt>
                <c:pt idx="3">
                  <c:v>0.92292154230298873</c:v>
                </c:pt>
                <c:pt idx="4">
                  <c:v>1.2419630506136443</c:v>
                </c:pt>
                <c:pt idx="5">
                  <c:v>-0.71067684522765739</c:v>
                </c:pt>
                <c:pt idx="6">
                  <c:v>-1.4491644290911438</c:v>
                </c:pt>
                <c:pt idx="7">
                  <c:v>-0.42995505381927168</c:v>
                </c:pt>
                <c:pt idx="8">
                  <c:v>9.5458675092153264E-2</c:v>
                </c:pt>
                <c:pt idx="9">
                  <c:v>1.0492722703411108</c:v>
                </c:pt>
                <c:pt idx="10">
                  <c:v>1.0264386851088958</c:v>
                </c:pt>
                <c:pt idx="11">
                  <c:v>0.21049074889666031</c:v>
                </c:pt>
                <c:pt idx="12">
                  <c:v>0.60481791909109861</c:v>
                </c:pt>
                <c:pt idx="13">
                  <c:v>0.24849103372461948</c:v>
                </c:pt>
                <c:pt idx="14">
                  <c:v>0.43089986377264855</c:v>
                </c:pt>
                <c:pt idx="15">
                  <c:v>1.0777096930205046</c:v>
                </c:pt>
                <c:pt idx="16">
                  <c:v>0.84754168746101166</c:v>
                </c:pt>
                <c:pt idx="17">
                  <c:v>1.4338258372744686</c:v>
                </c:pt>
                <c:pt idx="18">
                  <c:v>1.1260107270445603</c:v>
                </c:pt>
                <c:pt idx="19">
                  <c:v>0.51079691665369509</c:v>
                </c:pt>
                <c:pt idx="20">
                  <c:v>0.78439860155785146</c:v>
                </c:pt>
                <c:pt idx="21">
                  <c:v>-0.37834397088344307</c:v>
                </c:pt>
              </c:numCache>
            </c:numRef>
          </c:val>
          <c:extLst>
            <c:ext xmlns:c16="http://schemas.microsoft.com/office/drawing/2014/chart" uri="{C3380CC4-5D6E-409C-BE32-E72D297353CC}">
              <c16:uniqueId val="{00000000-6023-43F2-8AF8-6439AB18574D}"/>
            </c:ext>
          </c:extLst>
        </c:ser>
        <c:ser>
          <c:idx val="1"/>
          <c:order val="2"/>
          <c:tx>
            <c:strRef>
              <c:f>'výkonnost odvětví 5a'!$AF$94</c:f>
              <c:strCache>
                <c:ptCount val="1"/>
                <c:pt idx="0">
                  <c:v>Maloobchod s potravinami</c:v>
                </c:pt>
              </c:strCache>
            </c:strRef>
          </c:tx>
          <c:spPr>
            <a:solidFill>
              <a:srgbClr val="9FC9D7"/>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5a'!$AF$95:$AF$117</c:f>
              <c:numCache>
                <c:formatCode>#\ ##0.0</c:formatCode>
                <c:ptCount val="23"/>
                <c:pt idx="0">
                  <c:v>-0.60800150069014991</c:v>
                </c:pt>
                <c:pt idx="1">
                  <c:v>0.49250944633700811</c:v>
                </c:pt>
                <c:pt idx="2">
                  <c:v>-0.28688609101343943</c:v>
                </c:pt>
                <c:pt idx="3">
                  <c:v>4.3800306137142479E-3</c:v>
                </c:pt>
                <c:pt idx="4">
                  <c:v>-6.4175842874484551E-2</c:v>
                </c:pt>
                <c:pt idx="5">
                  <c:v>-1.0911352734755946</c:v>
                </c:pt>
                <c:pt idx="6">
                  <c:v>-2.2916947244037824</c:v>
                </c:pt>
                <c:pt idx="7">
                  <c:v>-3.2405346948524247</c:v>
                </c:pt>
                <c:pt idx="8">
                  <c:v>-3.1003225513686483</c:v>
                </c:pt>
                <c:pt idx="9">
                  <c:v>-2.8643617620019293</c:v>
                </c:pt>
                <c:pt idx="10">
                  <c:v>-1.6895878324348372</c:v>
                </c:pt>
                <c:pt idx="11">
                  <c:v>-0.73810904871198657</c:v>
                </c:pt>
                <c:pt idx="12">
                  <c:v>0.86894606289846266</c:v>
                </c:pt>
                <c:pt idx="13">
                  <c:v>1.1051650678258578</c:v>
                </c:pt>
                <c:pt idx="14">
                  <c:v>0.8563953272815128</c:v>
                </c:pt>
                <c:pt idx="15">
                  <c:v>0.64937589110840233</c:v>
                </c:pt>
                <c:pt idx="16">
                  <c:v>0.26057701986251053</c:v>
                </c:pt>
                <c:pt idx="17">
                  <c:v>0.45745604123417072</c:v>
                </c:pt>
                <c:pt idx="18">
                  <c:v>-0.20194711801004936</c:v>
                </c:pt>
                <c:pt idx="19">
                  <c:v>0.15922035729177425</c:v>
                </c:pt>
                <c:pt idx="20">
                  <c:v>0.8706919317042322</c:v>
                </c:pt>
                <c:pt idx="21">
                  <c:v>0.40870830283788773</c:v>
                </c:pt>
              </c:numCache>
            </c:numRef>
          </c:val>
          <c:extLst>
            <c:ext xmlns:c16="http://schemas.microsoft.com/office/drawing/2014/chart" uri="{C3380CC4-5D6E-409C-BE32-E72D297353CC}">
              <c16:uniqueId val="{00000001-6023-43F2-8AF8-6439AB18574D}"/>
            </c:ext>
          </c:extLst>
        </c:ser>
        <c:ser>
          <c:idx val="4"/>
          <c:order val="3"/>
          <c:tx>
            <c:strRef>
              <c:f>'výkonnost odvětví 5a'!$AG$94</c:f>
              <c:strCache>
                <c:ptCount val="1"/>
                <c:pt idx="0">
                  <c:v>Prodej přes internet a zásilk. sl. (4791)</c:v>
                </c:pt>
              </c:strCache>
            </c:strRef>
          </c:tx>
          <c:spPr>
            <a:solidFill>
              <a:srgbClr val="86BF5E"/>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5a'!$AG$95:$AG$117</c:f>
              <c:numCache>
                <c:formatCode>0.0</c:formatCode>
                <c:ptCount val="23"/>
                <c:pt idx="0">
                  <c:v>6.2238854273550013</c:v>
                </c:pt>
                <c:pt idx="1">
                  <c:v>1.9673322846559995</c:v>
                </c:pt>
                <c:pt idx="2">
                  <c:v>2.8897118076869992</c:v>
                </c:pt>
                <c:pt idx="3">
                  <c:v>0.34179985445399946</c:v>
                </c:pt>
                <c:pt idx="4">
                  <c:v>-2.4078707420265935</c:v>
                </c:pt>
                <c:pt idx="5">
                  <c:v>-1.349955965070883</c:v>
                </c:pt>
                <c:pt idx="6">
                  <c:v>-1.0048027273966744</c:v>
                </c:pt>
                <c:pt idx="7">
                  <c:v>-2.3459348297332032</c:v>
                </c:pt>
                <c:pt idx="8">
                  <c:v>-1.3265584415025811</c:v>
                </c:pt>
                <c:pt idx="9">
                  <c:v>-0.91879385638196398</c:v>
                </c:pt>
                <c:pt idx="10">
                  <c:v>0.15432045252273588</c:v>
                </c:pt>
                <c:pt idx="11">
                  <c:v>1.0599391386010431</c:v>
                </c:pt>
                <c:pt idx="12">
                  <c:v>1.9544124034542716</c:v>
                </c:pt>
                <c:pt idx="13">
                  <c:v>2.1075071094211357</c:v>
                </c:pt>
                <c:pt idx="14">
                  <c:v>2.2593762471344836</c:v>
                </c:pt>
                <c:pt idx="15">
                  <c:v>2.6348346674843302</c:v>
                </c:pt>
                <c:pt idx="16">
                  <c:v>1.6390411946382319</c:v>
                </c:pt>
                <c:pt idx="17">
                  <c:v>1.6485400657428455</c:v>
                </c:pt>
                <c:pt idx="18">
                  <c:v>0.85158954348677929</c:v>
                </c:pt>
                <c:pt idx="19">
                  <c:v>1.4394944108959997</c:v>
                </c:pt>
                <c:pt idx="20">
                  <c:v>2.5447494407586366</c:v>
                </c:pt>
                <c:pt idx="21">
                  <c:v>1.6488656198111336</c:v>
                </c:pt>
              </c:numCache>
            </c:numRef>
          </c:val>
          <c:extLst>
            <c:ext xmlns:c16="http://schemas.microsoft.com/office/drawing/2014/chart" uri="{C3380CC4-5D6E-409C-BE32-E72D297353CC}">
              <c16:uniqueId val="{00000002-6023-43F2-8AF8-6439AB18574D}"/>
            </c:ext>
          </c:extLst>
        </c:ser>
        <c:ser>
          <c:idx val="7"/>
          <c:order val="4"/>
          <c:tx>
            <c:strRef>
              <c:f>'výkonnost odvětví 5a'!$AH$94</c:f>
              <c:strCache>
                <c:ptCount val="1"/>
                <c:pt idx="0">
                  <c:v>Mal. s nepotravinář. zbožím (bez 4791)</c:v>
                </c:pt>
              </c:strCache>
            </c:strRef>
          </c:tx>
          <c:spPr>
            <a:solidFill>
              <a:srgbClr val="C3DDAC"/>
            </a:solidFill>
            <a:ln w="3175">
              <a:noFill/>
              <a:prstDash val="sysDash"/>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5a'!$AH$95:$AH$117</c:f>
              <c:numCache>
                <c:formatCode>0.0</c:formatCode>
                <c:ptCount val="23"/>
                <c:pt idx="0">
                  <c:v>-6.4378832740831777</c:v>
                </c:pt>
                <c:pt idx="1">
                  <c:v>3.6127103130279985</c:v>
                </c:pt>
                <c:pt idx="2">
                  <c:v>0.73630771937103123</c:v>
                </c:pt>
                <c:pt idx="3">
                  <c:v>5.3320966130746958</c:v>
                </c:pt>
                <c:pt idx="4">
                  <c:v>8.4003136537116685</c:v>
                </c:pt>
                <c:pt idx="5">
                  <c:v>0.39774275692530625</c:v>
                </c:pt>
                <c:pt idx="6">
                  <c:v>-2.9364594892099953</c:v>
                </c:pt>
                <c:pt idx="7">
                  <c:v>-3.2956745451924179</c:v>
                </c:pt>
                <c:pt idx="8">
                  <c:v>-3.4576994027970742</c:v>
                </c:pt>
                <c:pt idx="9">
                  <c:v>-3.5742421547066727</c:v>
                </c:pt>
                <c:pt idx="10">
                  <c:v>-2.6144486307594161</c:v>
                </c:pt>
                <c:pt idx="11">
                  <c:v>-0.60913827462999803</c:v>
                </c:pt>
                <c:pt idx="12">
                  <c:v>0.83153037049008405</c:v>
                </c:pt>
                <c:pt idx="13">
                  <c:v>0.48596020541238572</c:v>
                </c:pt>
                <c:pt idx="14">
                  <c:v>1.1133090618165551</c:v>
                </c:pt>
                <c:pt idx="15">
                  <c:v>0.87270334517766601</c:v>
                </c:pt>
                <c:pt idx="16">
                  <c:v>0.47104673234671557</c:v>
                </c:pt>
                <c:pt idx="17">
                  <c:v>1.1988419090889981</c:v>
                </c:pt>
                <c:pt idx="18">
                  <c:v>0.75812356604077813</c:v>
                </c:pt>
                <c:pt idx="19">
                  <c:v>0.67985914667585545</c:v>
                </c:pt>
                <c:pt idx="20">
                  <c:v>0.8033903559583071</c:v>
                </c:pt>
                <c:pt idx="21">
                  <c:v>1.3291917221854421</c:v>
                </c:pt>
              </c:numCache>
            </c:numRef>
          </c:val>
          <c:extLst>
            <c:ext xmlns:c16="http://schemas.microsoft.com/office/drawing/2014/chart" uri="{C3380CC4-5D6E-409C-BE32-E72D297353CC}">
              <c16:uniqueId val="{00000003-6023-43F2-8AF8-6439AB18574D}"/>
            </c:ext>
          </c:extLst>
        </c:ser>
        <c:dLbls>
          <c:showLegendKey val="0"/>
          <c:showVal val="0"/>
          <c:showCatName val="0"/>
          <c:showSerName val="0"/>
          <c:showPercent val="0"/>
          <c:showBubbleSize val="0"/>
        </c:dLbls>
        <c:gapWidth val="30"/>
        <c:overlap val="100"/>
        <c:axId val="156100864"/>
        <c:axId val="156573696"/>
      </c:barChart>
      <c:lineChart>
        <c:grouping val="standard"/>
        <c:varyColors val="0"/>
        <c:ser>
          <c:idx val="3"/>
          <c:order val="0"/>
          <c:tx>
            <c:strRef>
              <c:f>'výkonnost odvětví 5a'!$AD$94</c:f>
              <c:strCache>
                <c:ptCount val="1"/>
                <c:pt idx="0">
                  <c:v>Maloobchod celkem</c:v>
                </c:pt>
              </c:strCache>
            </c:strRef>
          </c:tx>
          <c:spPr>
            <a:ln>
              <a:noFill/>
            </a:ln>
          </c:spPr>
          <c:marker>
            <c:symbol val="circle"/>
            <c:size val="6"/>
            <c:spPr>
              <a:solidFill>
                <a:schemeClr val="bg1"/>
              </a:solidFill>
              <a:ln w="6350">
                <a:solidFill>
                  <a:schemeClr val="tx1">
                    <a:lumMod val="95000"/>
                    <a:lumOff val="5000"/>
                  </a:schemeClr>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5a'!$AD$95:$AD$117</c:f>
              <c:numCache>
                <c:formatCode>#\ ##0.0</c:formatCode>
                <c:ptCount val="23"/>
                <c:pt idx="0">
                  <c:v>-1.6944738047999977</c:v>
                </c:pt>
                <c:pt idx="1">
                  <c:v>6.9699746755999996</c:v>
                </c:pt>
                <c:pt idx="2">
                  <c:v>3.5945193927999952</c:v>
                </c:pt>
                <c:pt idx="3">
                  <c:v>6.501938194600001</c:v>
                </c:pt>
                <c:pt idx="4">
                  <c:v>6.7636861944999964</c:v>
                </c:pt>
                <c:pt idx="5">
                  <c:v>-2.7937071447999955</c:v>
                </c:pt>
                <c:pt idx="6">
                  <c:v>-7.661441571200001</c:v>
                </c:pt>
                <c:pt idx="7">
                  <c:v>-9.3128019889999933</c:v>
                </c:pt>
                <c:pt idx="8">
                  <c:v>-7.7706820764000071</c:v>
                </c:pt>
                <c:pt idx="9">
                  <c:v>-6.2954328725000011</c:v>
                </c:pt>
                <c:pt idx="10">
                  <c:v>-3.1409401905000038</c:v>
                </c:pt>
                <c:pt idx="11">
                  <c:v>-0.14030773449999856</c:v>
                </c:pt>
                <c:pt idx="12">
                  <c:v>4.2562721995000032</c:v>
                </c:pt>
                <c:pt idx="13">
                  <c:v>3.9476722012000067</c:v>
                </c:pt>
                <c:pt idx="14">
                  <c:v>4.6595745105999953</c:v>
                </c:pt>
                <c:pt idx="15">
                  <c:v>5.2336453399999954</c:v>
                </c:pt>
                <c:pt idx="16">
                  <c:v>3.2172809716000046</c:v>
                </c:pt>
                <c:pt idx="17">
                  <c:v>4.7393316045999967</c:v>
                </c:pt>
                <c:pt idx="18">
                  <c:v>2.533373490200006</c:v>
                </c:pt>
                <c:pt idx="19">
                  <c:v>2.7902028445000013</c:v>
                </c:pt>
                <c:pt idx="20">
                  <c:v>5.0030300485999959</c:v>
                </c:pt>
                <c:pt idx="21">
                  <c:v>3.0091654543000033</c:v>
                </c:pt>
              </c:numCache>
            </c:numRef>
          </c:val>
          <c:smooth val="0"/>
          <c:extLst>
            <c:ext xmlns:c16="http://schemas.microsoft.com/office/drawing/2014/chart" uri="{C3380CC4-5D6E-409C-BE32-E72D297353CC}">
              <c16:uniqueId val="{00000004-6023-43F2-8AF8-6439AB18574D}"/>
            </c:ext>
          </c:extLst>
        </c:ser>
        <c:ser>
          <c:idx val="8"/>
          <c:order val="5"/>
          <c:tx>
            <c:strRef>
              <c:f>'výkonnost odvětví 5a'!$AI$94</c:f>
              <c:strCache>
                <c:ptCount val="1"/>
              </c:strCache>
            </c:strRef>
          </c:tx>
          <c:spPr>
            <a:ln w="12700">
              <a:noFill/>
              <a:prstDash val="sysDot"/>
            </a:ln>
          </c:spPr>
          <c:marker>
            <c:symbol val="none"/>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5a'!$AI$95:$AI$117</c:f>
              <c:numCache>
                <c:formatCode>#,##0</c:formatCode>
                <c:ptCount val="23"/>
                <c:pt idx="0">
                  <c:v>9999</c:v>
                </c:pt>
                <c:pt idx="1">
                  <c:v>9999</c:v>
                </c:pt>
                <c:pt idx="2">
                  <c:v>9999</c:v>
                </c:pt>
                <c:pt idx="3">
                  <c:v>9999</c:v>
                </c:pt>
                <c:pt idx="4">
                  <c:v>9999</c:v>
                </c:pt>
                <c:pt idx="5">
                  <c:v>9999</c:v>
                </c:pt>
                <c:pt idx="6">
                  <c:v>9999</c:v>
                </c:pt>
                <c:pt idx="7">
                  <c:v>9999</c:v>
                </c:pt>
                <c:pt idx="8">
                  <c:v>9999</c:v>
                </c:pt>
                <c:pt idx="9">
                  <c:v>9999</c:v>
                </c:pt>
                <c:pt idx="10">
                  <c:v>9999</c:v>
                </c:pt>
                <c:pt idx="11">
                  <c:v>9999</c:v>
                </c:pt>
                <c:pt idx="12">
                  <c:v>9999</c:v>
                </c:pt>
                <c:pt idx="13">
                  <c:v>9999</c:v>
                </c:pt>
                <c:pt idx="14">
                  <c:v>9999</c:v>
                </c:pt>
                <c:pt idx="15">
                  <c:v>9999</c:v>
                </c:pt>
                <c:pt idx="16">
                  <c:v>9999</c:v>
                </c:pt>
                <c:pt idx="17">
                  <c:v>9999</c:v>
                </c:pt>
                <c:pt idx="18">
                  <c:v>9999</c:v>
                </c:pt>
                <c:pt idx="19">
                  <c:v>9999</c:v>
                </c:pt>
                <c:pt idx="20">
                  <c:v>9999</c:v>
                </c:pt>
                <c:pt idx="21">
                  <c:v>9999</c:v>
                </c:pt>
              </c:numCache>
            </c:numRef>
          </c:val>
          <c:smooth val="0"/>
          <c:extLst>
            <c:ext xmlns:c16="http://schemas.microsoft.com/office/drawing/2014/chart" uri="{C3380CC4-5D6E-409C-BE32-E72D297353CC}">
              <c16:uniqueId val="{00000005-6023-43F2-8AF8-6439AB18574D}"/>
            </c:ext>
          </c:extLst>
        </c:ser>
        <c:dLbls>
          <c:showLegendKey val="0"/>
          <c:showVal val="0"/>
          <c:showCatName val="0"/>
          <c:showSerName val="0"/>
          <c:showPercent val="0"/>
          <c:showBubbleSize val="0"/>
        </c:dLbls>
        <c:marker val="1"/>
        <c:smooth val="0"/>
        <c:axId val="156100864"/>
        <c:axId val="156573696"/>
      </c:lineChart>
      <c:lineChart>
        <c:grouping val="standard"/>
        <c:varyColors val="0"/>
        <c:ser>
          <c:idx val="9"/>
          <c:order val="6"/>
          <c:tx>
            <c:strRef>
              <c:f>'výkonnost odvětví 5a'!$AJ$94</c:f>
              <c:strCache>
                <c:ptCount val="1"/>
                <c:pt idx="0">
                  <c:v>Saldo indikátoru důvěry spotřebitelů</c:v>
                </c:pt>
              </c:strCache>
            </c:strRef>
          </c:tx>
          <c:spPr>
            <a:ln w="6350">
              <a:solidFill>
                <a:schemeClr val="bg1">
                  <a:lumMod val="65000"/>
                </a:schemeClr>
              </a:solidFill>
              <a:prstDash val="sysDash"/>
            </a:ln>
          </c:spPr>
          <c:marker>
            <c:symbol val="triangle"/>
            <c:size val="4"/>
            <c:spPr>
              <a:solidFill>
                <a:srgbClr val="009CB5"/>
              </a:solidFill>
              <a:ln>
                <a:solidFill>
                  <a:srgbClr val="009CB5"/>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5a'!$AJ$95:$AJ$117</c:f>
              <c:numCache>
                <c:formatCode>0.0</c:formatCode>
                <c:ptCount val="23"/>
                <c:pt idx="0">
                  <c:v>-16.083333333333332</c:v>
                </c:pt>
                <c:pt idx="1">
                  <c:v>-8</c:v>
                </c:pt>
                <c:pt idx="2">
                  <c:v>-6.25</c:v>
                </c:pt>
                <c:pt idx="3">
                  <c:v>-13.933333333333332</c:v>
                </c:pt>
                <c:pt idx="4">
                  <c:v>-19.433333333333334</c:v>
                </c:pt>
                <c:pt idx="5">
                  <c:v>-29.666666666666668</c:v>
                </c:pt>
                <c:pt idx="6">
                  <c:v>-32.199999999999996</c:v>
                </c:pt>
                <c:pt idx="7">
                  <c:v>-32.43333333333333</c:v>
                </c:pt>
                <c:pt idx="8">
                  <c:v>-22.599999999999998</c:v>
                </c:pt>
                <c:pt idx="9">
                  <c:v>-19.466666666666669</c:v>
                </c:pt>
                <c:pt idx="10">
                  <c:v>-18.333333333333332</c:v>
                </c:pt>
                <c:pt idx="11">
                  <c:v>-19.433333333333334</c:v>
                </c:pt>
                <c:pt idx="12">
                  <c:v>-14.866666666666667</c:v>
                </c:pt>
                <c:pt idx="13">
                  <c:v>-8.5</c:v>
                </c:pt>
                <c:pt idx="14">
                  <c:v>-12.300000000000002</c:v>
                </c:pt>
                <c:pt idx="15">
                  <c:v>-9.6</c:v>
                </c:pt>
                <c:pt idx="16">
                  <c:v>-12.666666666666666</c:v>
                </c:pt>
                <c:pt idx="17">
                  <c:v>-10.700000000000001</c:v>
                </c:pt>
                <c:pt idx="18">
                  <c:v>-8.4666666666666668</c:v>
                </c:pt>
                <c:pt idx="19">
                  <c:v>-1.4333333333333333</c:v>
                </c:pt>
                <c:pt idx="20">
                  <c:v>-2.5</c:v>
                </c:pt>
                <c:pt idx="21">
                  <c:v>-5.6000000000000005</c:v>
                </c:pt>
                <c:pt idx="22">
                  <c:v>-6.8000000000000007</c:v>
                </c:pt>
              </c:numCache>
            </c:numRef>
          </c:val>
          <c:smooth val="0"/>
          <c:extLst>
            <c:ext xmlns:c16="http://schemas.microsoft.com/office/drawing/2014/chart" uri="{C3380CC4-5D6E-409C-BE32-E72D297353CC}">
              <c16:uniqueId val="{00000006-6023-43F2-8AF8-6439AB18574D}"/>
            </c:ext>
          </c:extLst>
        </c:ser>
        <c:ser>
          <c:idx val="2"/>
          <c:order val="7"/>
          <c:tx>
            <c:strRef>
              <c:f>'výkonnost odvětví 5a'!$AK$94</c:f>
              <c:strCache>
                <c:ptCount val="1"/>
                <c:pt idx="0">
                  <c:v>Saldo indikátoru důvěry obchodníků</c:v>
                </c:pt>
              </c:strCache>
            </c:strRef>
          </c:tx>
          <c:spPr>
            <a:ln w="15875">
              <a:solidFill>
                <a:srgbClr val="CC9610"/>
              </a:solidFill>
              <a:prstDash val="sysDot"/>
            </a:ln>
          </c:spPr>
          <c:marker>
            <c:symbol val="diamond"/>
            <c:size val="4"/>
            <c:spPr>
              <a:solidFill>
                <a:srgbClr val="CC9610"/>
              </a:solidFill>
              <a:ln>
                <a:solidFill>
                  <a:srgbClr val="CC9610"/>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5a'!$AK$95:$AK$117</c:f>
              <c:numCache>
                <c:formatCode>0.0</c:formatCode>
                <c:ptCount val="23"/>
                <c:pt idx="0">
                  <c:v>2.2333333333333334</c:v>
                </c:pt>
                <c:pt idx="1">
                  <c:v>15.433333333333332</c:v>
                </c:pt>
                <c:pt idx="2">
                  <c:v>19.866666666666667</c:v>
                </c:pt>
                <c:pt idx="3">
                  <c:v>22.333333333333332</c:v>
                </c:pt>
                <c:pt idx="4">
                  <c:v>19.766666666666666</c:v>
                </c:pt>
                <c:pt idx="5">
                  <c:v>17.099999999999998</c:v>
                </c:pt>
                <c:pt idx="6">
                  <c:v>10.200000000000001</c:v>
                </c:pt>
                <c:pt idx="7">
                  <c:v>12.333333333333334</c:v>
                </c:pt>
                <c:pt idx="8">
                  <c:v>11.433333333333332</c:v>
                </c:pt>
                <c:pt idx="9">
                  <c:v>12.533333333333333</c:v>
                </c:pt>
                <c:pt idx="10">
                  <c:v>6.7666666666666666</c:v>
                </c:pt>
                <c:pt idx="11">
                  <c:v>4.2</c:v>
                </c:pt>
                <c:pt idx="12">
                  <c:v>5</c:v>
                </c:pt>
                <c:pt idx="13">
                  <c:v>9.5333333333333332</c:v>
                </c:pt>
                <c:pt idx="14">
                  <c:v>10.533333333333333</c:v>
                </c:pt>
                <c:pt idx="15">
                  <c:v>9.6666666666666661</c:v>
                </c:pt>
                <c:pt idx="16">
                  <c:v>14.466666666666667</c:v>
                </c:pt>
                <c:pt idx="17">
                  <c:v>12.533333333333333</c:v>
                </c:pt>
                <c:pt idx="18">
                  <c:v>13.333333333333334</c:v>
                </c:pt>
                <c:pt idx="19">
                  <c:v>10.933333333333332</c:v>
                </c:pt>
                <c:pt idx="20">
                  <c:v>11.866666666666667</c:v>
                </c:pt>
                <c:pt idx="21">
                  <c:v>7.2333333333333334</c:v>
                </c:pt>
                <c:pt idx="22">
                  <c:v>6.65</c:v>
                </c:pt>
              </c:numCache>
            </c:numRef>
          </c:val>
          <c:smooth val="0"/>
          <c:extLst>
            <c:ext xmlns:c16="http://schemas.microsoft.com/office/drawing/2014/chart" uri="{C3380CC4-5D6E-409C-BE32-E72D297353CC}">
              <c16:uniqueId val="{00000007-6023-43F2-8AF8-6439AB18574D}"/>
            </c:ext>
          </c:extLst>
        </c:ser>
        <c:dLbls>
          <c:showLegendKey val="0"/>
          <c:showVal val="0"/>
          <c:showCatName val="0"/>
          <c:showSerName val="0"/>
          <c:showPercent val="0"/>
          <c:showBubbleSize val="0"/>
        </c:dLbls>
        <c:marker val="1"/>
        <c:smooth val="0"/>
        <c:axId val="1875570767"/>
        <c:axId val="1875563695"/>
      </c:lineChart>
      <c:catAx>
        <c:axId val="156100864"/>
        <c:scaling>
          <c:orientation val="minMax"/>
        </c:scaling>
        <c:delete val="0"/>
        <c:axPos val="b"/>
        <c:numFmt formatCode="General" sourceLinked="0"/>
        <c:majorTickMark val="out"/>
        <c:minorTickMark val="none"/>
        <c:tickLblPos val="low"/>
        <c:txPr>
          <a:bodyPr/>
          <a:lstStyle/>
          <a:p>
            <a:pPr>
              <a:defRPr sz="800"/>
            </a:pPr>
            <a:endParaRPr lang="cs-CZ"/>
          </a:p>
        </c:txPr>
        <c:crossAx val="156573696"/>
        <c:crosses val="autoZero"/>
        <c:auto val="1"/>
        <c:lblAlgn val="ctr"/>
        <c:lblOffset val="0"/>
        <c:noMultiLvlLbl val="0"/>
      </c:catAx>
      <c:valAx>
        <c:axId val="156573696"/>
        <c:scaling>
          <c:orientation val="minMax"/>
          <c:max val="12"/>
          <c:min val="-10"/>
        </c:scaling>
        <c:delete val="0"/>
        <c:axPos val="l"/>
        <c:majorGridlines>
          <c:spPr>
            <a:ln w="6350">
              <a:solidFill>
                <a:schemeClr val="bg1">
                  <a:lumMod val="75000"/>
                </a:schemeClr>
              </a:solidFill>
            </a:ln>
          </c:spPr>
        </c:majorGridlines>
        <c:title>
          <c:tx>
            <c:rich>
              <a:bodyPr/>
              <a:lstStyle/>
              <a:p>
                <a:pPr>
                  <a:defRPr sz="750" b="0" i="1"/>
                </a:pPr>
                <a:r>
                  <a:rPr lang="cs-CZ" sz="750" b="0" i="1"/>
                  <a:t>Tržby</a:t>
                </a:r>
              </a:p>
            </c:rich>
          </c:tx>
          <c:layout>
            <c:manualLayout>
              <c:xMode val="edge"/>
              <c:yMode val="edge"/>
              <c:x val="2.6086947381477195E-3"/>
              <c:y val="0.34214060710194732"/>
            </c:manualLayout>
          </c:layout>
          <c:overlay val="0"/>
        </c:title>
        <c:numFmt formatCode="0" sourceLinked="0"/>
        <c:majorTickMark val="out"/>
        <c:minorTickMark val="none"/>
        <c:tickLblPos val="nextTo"/>
        <c:txPr>
          <a:bodyPr/>
          <a:lstStyle/>
          <a:p>
            <a:pPr>
              <a:defRPr sz="800"/>
            </a:pPr>
            <a:endParaRPr lang="cs-CZ"/>
          </a:p>
        </c:txPr>
        <c:crossAx val="156100864"/>
        <c:crosses val="autoZero"/>
        <c:crossBetween val="between"/>
        <c:majorUnit val="2"/>
      </c:valAx>
      <c:valAx>
        <c:axId val="1875563695"/>
        <c:scaling>
          <c:orientation val="minMax"/>
          <c:max val="120"/>
          <c:min val="-45"/>
        </c:scaling>
        <c:delete val="0"/>
        <c:axPos val="r"/>
        <c:title>
          <c:tx>
            <c:rich>
              <a:bodyPr/>
              <a:lstStyle/>
              <a:p>
                <a:pPr>
                  <a:defRPr sz="750" b="0" i="1"/>
                </a:pPr>
                <a:r>
                  <a:rPr lang="cs-CZ" sz="750" b="0" i="1" u="none" strike="noStrike" baseline="0">
                    <a:effectLst/>
                    <a:latin typeface="Arial" panose="020B0604020202020204" pitchFamily="34" charset="0"/>
                    <a:cs typeface="Arial" panose="020B0604020202020204" pitchFamily="34" charset="0"/>
                  </a:rPr>
                  <a:t>Saldo důvěry</a:t>
                </a:r>
                <a:endParaRPr lang="cs-CZ" sz="750" b="0" i="1">
                  <a:latin typeface="Arial" panose="020B0604020202020204" pitchFamily="34" charset="0"/>
                  <a:cs typeface="Arial" panose="020B0604020202020204" pitchFamily="34" charset="0"/>
                </a:endParaRPr>
              </a:p>
            </c:rich>
          </c:tx>
          <c:layout>
            <c:manualLayout>
              <c:xMode val="edge"/>
              <c:yMode val="edge"/>
              <c:x val="0.96896265019335537"/>
              <c:y val="0.32911091593913405"/>
            </c:manualLayout>
          </c:layout>
          <c:overlay val="0"/>
        </c:title>
        <c:numFmt formatCode="#,##0" sourceLinked="0"/>
        <c:majorTickMark val="out"/>
        <c:minorTickMark val="none"/>
        <c:tickLblPos val="nextTo"/>
        <c:txPr>
          <a:bodyPr/>
          <a:lstStyle/>
          <a:p>
            <a:pPr>
              <a:defRPr sz="800"/>
            </a:pPr>
            <a:endParaRPr lang="cs-CZ"/>
          </a:p>
        </c:txPr>
        <c:crossAx val="1875570767"/>
        <c:crosses val="max"/>
        <c:crossBetween val="between"/>
        <c:majorUnit val="15"/>
      </c:valAx>
      <c:catAx>
        <c:axId val="1875570767"/>
        <c:scaling>
          <c:orientation val="minMax"/>
        </c:scaling>
        <c:delete val="1"/>
        <c:axPos val="b"/>
        <c:numFmt formatCode="General" sourceLinked="1"/>
        <c:majorTickMark val="out"/>
        <c:minorTickMark val="none"/>
        <c:tickLblPos val="nextTo"/>
        <c:crossAx val="1875563695"/>
        <c:crosses val="autoZero"/>
        <c:auto val="1"/>
        <c:lblAlgn val="ctr"/>
        <c:lblOffset val="100"/>
        <c:noMultiLvlLbl val="0"/>
      </c:catAx>
      <c:spPr>
        <a:ln>
          <a:solidFill>
            <a:schemeClr val="tx1"/>
          </a:solidFill>
        </a:ln>
      </c:spPr>
    </c:plotArea>
    <c:legend>
      <c:legendPos val="r"/>
      <c:layout>
        <c:manualLayout>
          <c:xMode val="edge"/>
          <c:yMode val="edge"/>
          <c:x val="3.4507130341186319E-2"/>
          <c:y val="0.83746678121420393"/>
          <c:w val="0.95214351710241263"/>
          <c:h val="0.14798568155784653"/>
        </c:manualLayout>
      </c:layout>
      <c:overlay val="0"/>
      <c:spPr>
        <a:ln w="6350">
          <a:solidFill>
            <a:schemeClr val="tx1"/>
          </a:solidFill>
        </a:ln>
      </c:spPr>
      <c:txPr>
        <a:bodyPr/>
        <a:lstStyle/>
        <a:p>
          <a:pPr>
            <a:defRPr sz="800"/>
          </a:pPr>
          <a:endParaRPr lang="cs-CZ"/>
        </a:p>
      </c:txPr>
    </c:legend>
    <c:plotVisOnly val="1"/>
    <c:dispBlanksAs val="gap"/>
    <c:showDLblsOverMax val="0"/>
  </c:chart>
  <c:spPr>
    <a:ln>
      <a:noFill/>
    </a:ln>
  </c:spPr>
  <c:txPr>
    <a:bodyPr/>
    <a:lstStyle/>
    <a:p>
      <a:pPr>
        <a:defRPr sz="1500" baseline="0">
          <a:latin typeface="Arial" pitchFamily="34" charset="0"/>
        </a:defRPr>
      </a:pPr>
      <a:endParaRPr lang="cs-C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v1.2</Verzeform>
    <Forma xmlns="8675fb2b-b414-4bad-b4c4-d9349268b5a1">
      <Value>Elektronická</Value>
    </Forma>
    <Vazbanaproces xmlns="8675fb2b-b414-4bad-b4c4-d9349268b5a1">179. Vnější komunikace
</Vazbanaproces>
    <Gestor xmlns="8675fb2b-b414-4bad-b4c4-d9349268b5a1">
      <UserInfo>
        <DisplayName>Novotný Michal</DisplayName>
        <AccountId>24</AccountId>
        <AccountType/>
      </UserInfo>
    </Gestor>
    <Form_c xmlns="8675fb2b-b414-4bad-b4c4-d9349268b5a1">444</Form_c>
    <NazevForm xmlns="8675fb2b-b414-4bad-b4c4-d9349268b5a1">Publikace CZ barevná - regiony a země - analýzy</NazevForm>
    <UcinnostOdForm xmlns="8675fb2b-b414-4bad-b4c4-d9349268b5a1">2026-09-06T22:00:00+00:00</UcinnostOdForm>
    <PredpisForm xmlns="8675fb2b-b414-4bad-b4c4-d9349268b5a1">Manuál značky a jednotného vizuálního stylu Českého statistického úřadu</PredpisForm>
    <UstanoveniForm xmlns="8675fb2b-b414-4bad-b4c4-d9349268b5a1" xsi:nil="true"/>
    <PoznForm xmlns="8675fb2b-b414-4bad-b4c4-d9349268b5a1" xsi:nil="true"/>
    <Oznaceni xmlns="8675fb2b-b414-4bad-b4c4-d9349268b5a1">Form_c444</Oznaceni>
    <UcinnostDoForm xmlns="8675fb2b-b414-4bad-b4c4-d9349268b5a1" xsi:nil="true"/>
    <Platnost xmlns="8675fb2b-b414-4bad-b4c4-d9349268b5a1">true</Platnost>
    <Odkaz xmlns="8675fb2b-b414-4bad-b4c4-d9349268b5a1">
      <Url xsi:nil="true"/>
      <Description xsi:nil="true"/>
    </Odkaz>
    <lcf76f155ced4ddcb4097134ff3c332f xmlns="8675fb2b-b414-4bad-b4c4-d9349268b5a1">
      <Terms xmlns="http://schemas.microsoft.com/office/infopath/2007/PartnerControls"/>
    </lcf76f155ced4ddcb4097134ff3c332f>
    <TaxCatchAll xmlns="406a38fe-c53c-4047-b0f8-c641386931ae" xsi:nil="true"/>
    <ProcDomena xmlns="406a38fe-c53c-4047-b0f8-c641386931ae">
      <Value>P4 Komunikace a propagace</Value>
    </ProcDomena>
    <DomenaForm xmlns="8675fb2b-b414-4bad-b4c4-d9349268b5a1" xsi:nil="true"/>
    <SiteKnihDok xmlns="406a38fe-c53c-4047-b0f8-c641386931ae">Vnitřní předpisy</SiteKnihDok>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40" ma:contentTypeDescription="Vytvoří nový dokument" ma:contentTypeScope="" ma:versionID="110421115ddc15f999b8bb81d2de1ec1">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68ff216229c3f5ed4e0b6e8627bc574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iteKnihDok" minOccurs="0"/>
                <xsd:element ref="ns3:ProcDome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_old"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element name="SiteKnihDok" ma:index="37" nillable="true" ma:displayName="SiteKnihDok" ma:default="Vnitřní předpisy" ma:description="Seznam knihoven v Site Knihovna dokumentů ČSÚ" ma:format="Dropdown" ma:internalName="SiteKnihDok">
      <xsd:simpleType>
        <xsd:restriction base="dms:Choice">
          <xsd:enumeration value="Vnitřní předpisy"/>
          <xsd:enumeration value="Formuláře"/>
          <xsd:enumeration value="Návody a manuály"/>
          <xsd:enumeration value="Zápisy a reporty"/>
        </xsd:restriction>
      </xsd:simpleType>
    </xsd:element>
    <xsd:element name="ProcDomena" ma:index="38" nillable="true" ma:displayName="Procesní doména" ma:default="P1 Bezpečnost" ma:internalName="ProcDomena">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A6635-18E5-4C5D-A03B-290B098117D4}">
  <ds:schemaRefs>
    <ds:schemaRef ds:uri="http://schemas.openxmlformats.org/officeDocument/2006/bibliography"/>
  </ds:schemaRefs>
</ds:datastoreItem>
</file>

<file path=customXml/itemProps2.xml><?xml version="1.0" encoding="utf-8"?>
<ds:datastoreItem xmlns:ds="http://schemas.openxmlformats.org/officeDocument/2006/customXml" ds:itemID="{1E7681AD-41B0-431A-9D34-CF6700A12FAC}">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3.xml><?xml version="1.0" encoding="utf-8"?>
<ds:datastoreItem xmlns:ds="http://schemas.openxmlformats.org/officeDocument/2006/customXml" ds:itemID="{4520BFF4-F202-41B8-B99D-38B5B951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8A1E1-1E99-4B4F-B9B5-70567730A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Form_c444_Publikace_regiony a zeme - analyzy.dotx</Template>
  <TotalTime>89</TotalTime>
  <Pages>12</Pages>
  <Words>5227</Words>
  <Characters>30840</Characters>
  <Application>Microsoft Office Word</Application>
  <DocSecurity>0</DocSecurity>
  <Lines>257</Lines>
  <Paragraphs>71</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Company>CSU</Company>
  <LinksUpToDate>false</LinksUpToDate>
  <CharactersWithSpaces>35996</CharactersWithSpaces>
  <SharedDoc>false</SharedDoc>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Publikace CZ barevná - regiony a země - analýzy</dc:title>
  <dc:subject/>
  <dc:creator>Zábojníková Karolína</dc:creator>
  <cp:keywords/>
  <cp:lastModifiedBy>Zábojníková Karolína</cp:lastModifiedBy>
  <cp:revision>46</cp:revision>
  <cp:lastPrinted>2014-07-17T14:07:00Z</cp:lastPrinted>
  <dcterms:created xsi:type="dcterms:W3CDTF">2026-09-14T09:32:00Z</dcterms:created>
  <dcterms:modified xsi:type="dcterms:W3CDTF">2026-09-15T10:23:00Z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vícetematické analýzy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2018-04-17T07:00:00Z</vt:filetime>
  </property>
  <property fmtid="{D5CDD505-2E9C-101B-9397-08002B2CF9AE}" pid="8" name="Označení">
    <vt:lpwstr>Form_c444</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