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1655" w14:textId="77777777" w:rsidR="006B1AFC" w:rsidRPr="00FC6700" w:rsidRDefault="006B1AFC" w:rsidP="009324EF">
      <w:pPr>
        <w:pStyle w:val="Nadpis1"/>
      </w:pPr>
      <w:bookmarkStart w:id="0" w:name="_Toc239947455"/>
      <w:bookmarkStart w:id="1" w:name="_Toc240366907"/>
      <w:r w:rsidRPr="00FC6700">
        <w:rPr>
          <w:szCs w:val="32"/>
        </w:rPr>
        <w:t>8</w:t>
      </w:r>
      <w:r w:rsidRPr="00FC6700">
        <w:t>. </w:t>
      </w:r>
      <w:r>
        <w:t>Veřejné finance</w:t>
      </w:r>
      <w:bookmarkEnd w:id="0"/>
      <w:bookmarkEnd w:id="1"/>
    </w:p>
    <w:tbl>
      <w:tblPr>
        <w:tblW w:w="9669" w:type="dxa"/>
        <w:tblInd w:w="-2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3"/>
        <w:gridCol w:w="203"/>
        <w:gridCol w:w="7663"/>
      </w:tblGrid>
      <w:tr w:rsidR="006B1AFC" w:rsidRPr="00FC6700" w14:paraId="4192351E" w14:textId="77777777" w:rsidTr="003C4A79">
        <w:trPr>
          <w:trHeight w:val="60"/>
        </w:trPr>
        <w:tc>
          <w:tcPr>
            <w:tcW w:w="9669" w:type="dxa"/>
            <w:gridSpan w:val="3"/>
            <w:tcMar>
              <w:left w:w="0" w:type="dxa"/>
            </w:tcMar>
          </w:tcPr>
          <w:p w14:paraId="7694B289" w14:textId="77777777" w:rsidR="006B1AFC" w:rsidRPr="006B2C72" w:rsidRDefault="006B1AFC" w:rsidP="003C4A79">
            <w:pPr>
              <w:pStyle w:val="Nadpis3"/>
              <w:rPr>
                <w:spacing w:val="-2"/>
              </w:rPr>
            </w:pPr>
            <w:bookmarkStart w:id="2" w:name="_Toc239947456"/>
            <w:bookmarkStart w:id="3" w:name="_Toc240366908"/>
            <w:r w:rsidRPr="006B2C72">
              <w:rPr>
                <w:lang w:eastAsia="en-US"/>
              </w:rPr>
              <w:t>8.1 Hospodaření sektoru vládních i</w:t>
            </w:r>
            <w:r>
              <w:rPr>
                <w:lang w:eastAsia="en-US"/>
              </w:rPr>
              <w:t>nstitucí</w:t>
            </w:r>
            <w:bookmarkEnd w:id="2"/>
            <w:bookmarkEnd w:id="3"/>
          </w:p>
        </w:tc>
      </w:tr>
      <w:tr w:rsidR="006B1AFC" w:rsidRPr="00FC6700" w14:paraId="2819EFC3" w14:textId="77777777" w:rsidTr="003C4A79">
        <w:trPr>
          <w:trHeight w:val="60"/>
        </w:trPr>
        <w:tc>
          <w:tcPr>
            <w:tcW w:w="1803" w:type="dxa"/>
            <w:tcMar>
              <w:left w:w="0" w:type="dxa"/>
            </w:tcMar>
          </w:tcPr>
          <w:p w14:paraId="210CA9C6" w14:textId="77777777" w:rsidR="006B1AFC" w:rsidRPr="006B2C72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rPr>
                <w:color w:val="0D0D0D" w:themeColor="text1" w:themeTint="F2"/>
                <w:spacing w:val="0"/>
              </w:rPr>
              <w:t>Deficit hospodaření sektoru vládních institucí se v 1. čtvrtletí meziročně velmi mírně prohloubil.</w:t>
            </w:r>
          </w:p>
        </w:tc>
        <w:tc>
          <w:tcPr>
            <w:tcW w:w="203" w:type="dxa"/>
            <w:tcMar>
              <w:left w:w="0" w:type="dxa"/>
            </w:tcMar>
          </w:tcPr>
          <w:p w14:paraId="7DD9DDA7" w14:textId="77777777" w:rsidR="006B1AFC" w:rsidRPr="006B2C72" w:rsidRDefault="006B1AFC" w:rsidP="003C4A79">
            <w:pPr>
              <w:pStyle w:val="Textpoznpodarou"/>
              <w:jc w:val="both"/>
              <w:rPr>
                <w:color w:val="0D0D0D" w:themeColor="text1" w:themeTint="F2"/>
              </w:rPr>
            </w:pPr>
          </w:p>
        </w:tc>
        <w:tc>
          <w:tcPr>
            <w:tcW w:w="7663" w:type="dxa"/>
            <w:tcMar>
              <w:left w:w="0" w:type="dxa"/>
            </w:tcMar>
          </w:tcPr>
          <w:p w14:paraId="2A194FDF" w14:textId="77777777" w:rsidR="006B1AFC" w:rsidRPr="006B2C72" w:rsidRDefault="006B1AFC" w:rsidP="003C4A79">
            <w:pPr>
              <w:spacing w:after="200"/>
              <w:rPr>
                <w:color w:val="0D0D0D" w:themeColor="text1" w:themeTint="F2"/>
                <w:spacing w:val="-2"/>
              </w:rPr>
            </w:pPr>
            <w:r w:rsidRPr="006A0671">
              <w:rPr>
                <w:color w:val="0D0D0D" w:themeColor="text1" w:themeTint="F2"/>
                <w:spacing w:val="-2"/>
              </w:rPr>
              <w:t xml:space="preserve">Dle aktuálních údajů hospodařil sektor vládních institucí v Česku v 1. </w:t>
            </w:r>
            <w:r>
              <w:rPr>
                <w:color w:val="0D0D0D" w:themeColor="text1" w:themeTint="F2"/>
                <w:spacing w:val="-2"/>
              </w:rPr>
              <w:t>čtvrtletí</w:t>
            </w:r>
            <w:r w:rsidRPr="003405C2">
              <w:rPr>
                <w:color w:val="0D0D0D" w:themeColor="text1" w:themeTint="F2"/>
                <w:spacing w:val="-2"/>
              </w:rPr>
              <w:t xml:space="preserve"> 202</w:t>
            </w:r>
            <w:r>
              <w:rPr>
                <w:color w:val="0D0D0D" w:themeColor="text1" w:themeTint="F2"/>
                <w:spacing w:val="-2"/>
              </w:rPr>
              <w:t>6</w:t>
            </w:r>
            <w:r w:rsidRPr="003405C2">
              <w:rPr>
                <w:rStyle w:val="Znakapoznpodarou"/>
                <w:color w:val="0D0D0D" w:themeColor="text1" w:themeTint="F2"/>
                <w:spacing w:val="-2"/>
              </w:rPr>
              <w:footnoteReference w:id="1"/>
            </w:r>
            <w:r w:rsidRPr="003405C2">
              <w:rPr>
                <w:color w:val="0D0D0D" w:themeColor="text1" w:themeTint="F2"/>
                <w:spacing w:val="-2"/>
              </w:rPr>
              <w:t xml:space="preserve"> </w:t>
            </w:r>
            <w:r>
              <w:rPr>
                <w:color w:val="0D0D0D" w:themeColor="text1" w:themeTint="F2"/>
                <w:spacing w:val="-2"/>
              </w:rPr>
              <w:br/>
            </w:r>
            <w:r w:rsidRPr="003405C2">
              <w:rPr>
                <w:color w:val="0D0D0D" w:themeColor="text1" w:themeTint="F2"/>
                <w:spacing w:val="-2"/>
              </w:rPr>
              <w:t xml:space="preserve">s deficitem </w:t>
            </w:r>
            <w:r>
              <w:rPr>
                <w:color w:val="0D0D0D" w:themeColor="text1" w:themeTint="F2"/>
                <w:spacing w:val="-2"/>
              </w:rPr>
              <w:t>72,3</w:t>
            </w:r>
            <w:r w:rsidRPr="003405C2">
              <w:rPr>
                <w:color w:val="0D0D0D" w:themeColor="text1" w:themeTint="F2"/>
                <w:spacing w:val="-2"/>
              </w:rPr>
              <w:t> mld. korun</w:t>
            </w:r>
            <w:r w:rsidRPr="003405C2">
              <w:rPr>
                <w:rStyle w:val="Znakapoznpodarou"/>
                <w:color w:val="0D0D0D" w:themeColor="text1" w:themeTint="F2"/>
                <w:spacing w:val="-2"/>
              </w:rPr>
              <w:footnoteReference w:id="2"/>
            </w:r>
            <w:r w:rsidRPr="003405C2">
              <w:rPr>
                <w:color w:val="0D0D0D" w:themeColor="text1" w:themeTint="F2"/>
                <w:spacing w:val="-2"/>
              </w:rPr>
              <w:t>.</w:t>
            </w:r>
            <w:r>
              <w:rPr>
                <w:color w:val="0D0D0D" w:themeColor="text1" w:themeTint="F2"/>
                <w:spacing w:val="-2"/>
              </w:rPr>
              <w:t xml:space="preserve"> Schodek se meziročně opět prohloubil (o 1,6 mld. korun</w:t>
            </w:r>
            <w:r w:rsidRPr="007377B4">
              <w:rPr>
                <w:rStyle w:val="Znakapoznpodarou"/>
                <w:color w:val="0D0D0D" w:themeColor="text1" w:themeTint="F2"/>
                <w:spacing w:val="-2"/>
              </w:rPr>
              <w:footnoteReference w:id="3"/>
            </w:r>
            <w:r>
              <w:rPr>
                <w:color w:val="0D0D0D" w:themeColor="text1" w:themeTint="F2"/>
                <w:spacing w:val="-2"/>
              </w:rPr>
              <w:t>), avšak řádově mírněji než na počátku loňského roku. Zatímco růst celkových příjmů lehce zrychlil (na 5,2 %), u výdajů tempo nepatrně opadlo (na 4,9 %). K posílení příjmů nadále nejvíce přispěly stabilně rostoucí přijaté</w:t>
            </w:r>
            <w:r w:rsidRPr="00721AAA">
              <w:rPr>
                <w:color w:val="0D0D0D" w:themeColor="text1" w:themeTint="F2"/>
                <w:spacing w:val="-2"/>
              </w:rPr>
              <w:t xml:space="preserve"> sociální příspěvk</w:t>
            </w:r>
            <w:r>
              <w:rPr>
                <w:color w:val="0D0D0D" w:themeColor="text1" w:themeTint="F2"/>
                <w:spacing w:val="-2"/>
              </w:rPr>
              <w:t>y zaměstnanců i zaměstnavatelů (+6,5 %). Významný vliv měly i přímé daně, byť růst u většiny z nich byl zatím letos oproti předchozím čtvrtletím slabší. V rámci nepřímých daní se pozitivně projevovala zejména DPH, jejíž výběr postupně sílil (na +8,9 %, v rámci v 1. čtvrtletí nejvíce za poslední čtyři roky). Rovněž většina ostatních příjmových položek alespoň mírně rostla, výjimku představovaly spíše váhově okrajovější k</w:t>
            </w:r>
            <w:r w:rsidRPr="00546CF9">
              <w:rPr>
                <w:color w:val="0D0D0D" w:themeColor="text1" w:themeTint="F2"/>
                <w:spacing w:val="-2"/>
              </w:rPr>
              <w:t>apitálové transfer</w:t>
            </w:r>
            <w:r>
              <w:rPr>
                <w:color w:val="0D0D0D" w:themeColor="text1" w:themeTint="F2"/>
                <w:spacing w:val="-2"/>
              </w:rPr>
              <w:t>y a také některé d</w:t>
            </w:r>
            <w:r w:rsidRPr="00546CF9">
              <w:rPr>
                <w:color w:val="0D0D0D" w:themeColor="text1" w:themeTint="F2"/>
                <w:spacing w:val="-2"/>
              </w:rPr>
              <w:t>aně z</w:t>
            </w:r>
            <w:r>
              <w:rPr>
                <w:color w:val="0D0D0D" w:themeColor="text1" w:themeTint="F2"/>
                <w:spacing w:val="-2"/>
              </w:rPr>
              <w:t> </w:t>
            </w:r>
            <w:r w:rsidRPr="00546CF9">
              <w:rPr>
                <w:color w:val="0D0D0D" w:themeColor="text1" w:themeTint="F2"/>
                <w:spacing w:val="-2"/>
              </w:rPr>
              <w:t>výroby</w:t>
            </w:r>
            <w:r>
              <w:rPr>
                <w:color w:val="0D0D0D" w:themeColor="text1" w:themeTint="F2"/>
                <w:spacing w:val="-2"/>
              </w:rPr>
              <w:t xml:space="preserve"> (především kvůli zrušení </w:t>
            </w:r>
            <w:r w:rsidRPr="00546CF9">
              <w:rPr>
                <w:color w:val="0D0D0D" w:themeColor="text1" w:themeTint="F2"/>
                <w:spacing w:val="-2"/>
              </w:rPr>
              <w:t>poplatk</w:t>
            </w:r>
            <w:r>
              <w:rPr>
                <w:color w:val="0D0D0D" w:themeColor="text1" w:themeTint="F2"/>
                <w:spacing w:val="-2"/>
              </w:rPr>
              <w:t>u</w:t>
            </w:r>
            <w:r w:rsidRPr="00546CF9">
              <w:rPr>
                <w:color w:val="0D0D0D" w:themeColor="text1" w:themeTint="F2"/>
                <w:spacing w:val="-2"/>
              </w:rPr>
              <w:t xml:space="preserve"> za obnovitelné zdroje energie</w:t>
            </w:r>
            <w:r>
              <w:rPr>
                <w:color w:val="0D0D0D" w:themeColor="text1" w:themeTint="F2"/>
                <w:spacing w:val="-2"/>
              </w:rPr>
              <w:t xml:space="preserve"> domácnostem a firmám).  </w:t>
            </w:r>
          </w:p>
        </w:tc>
      </w:tr>
      <w:tr w:rsidR="006B1AFC" w:rsidRPr="00FC6700" w14:paraId="24310768" w14:textId="77777777" w:rsidTr="003C4A79">
        <w:trPr>
          <w:trHeight w:val="60"/>
        </w:trPr>
        <w:tc>
          <w:tcPr>
            <w:tcW w:w="1803" w:type="dxa"/>
            <w:tcMar>
              <w:left w:w="0" w:type="dxa"/>
            </w:tcMar>
          </w:tcPr>
          <w:p w14:paraId="060FC5D7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  <w:r w:rsidRPr="00877DBC">
              <w:rPr>
                <w:color w:val="0D0D0D" w:themeColor="text1" w:themeTint="F2"/>
                <w:spacing w:val="0"/>
              </w:rPr>
              <w:t>V</w:t>
            </w:r>
            <w:r>
              <w:rPr>
                <w:color w:val="0D0D0D" w:themeColor="text1" w:themeTint="F2"/>
                <w:spacing w:val="0"/>
              </w:rPr>
              <w:t>e</w:t>
            </w:r>
            <w:r w:rsidRPr="00877DBC">
              <w:rPr>
                <w:color w:val="0D0D0D" w:themeColor="text1" w:themeTint="F2"/>
                <w:spacing w:val="0"/>
              </w:rPr>
              <w:t xml:space="preserve"> vyšších celkových výdajích se odrazil</w:t>
            </w:r>
            <w:r>
              <w:rPr>
                <w:color w:val="0D0D0D" w:themeColor="text1" w:themeTint="F2"/>
                <w:spacing w:val="0"/>
              </w:rPr>
              <w:t>o</w:t>
            </w:r>
            <w:r w:rsidRPr="00877DBC">
              <w:rPr>
                <w:color w:val="0D0D0D" w:themeColor="text1" w:themeTint="F2"/>
                <w:spacing w:val="0"/>
              </w:rPr>
              <w:t xml:space="preserve"> především </w:t>
            </w:r>
            <w:r>
              <w:rPr>
                <w:color w:val="0D0D0D" w:themeColor="text1" w:themeTint="F2"/>
                <w:spacing w:val="0"/>
              </w:rPr>
              <w:t xml:space="preserve">posílení </w:t>
            </w:r>
            <w:r w:rsidRPr="00877DBC">
              <w:rPr>
                <w:color w:val="0D0D0D" w:themeColor="text1" w:themeTint="F2"/>
                <w:spacing w:val="0"/>
              </w:rPr>
              <w:t>sociální</w:t>
            </w:r>
            <w:r>
              <w:rPr>
                <w:color w:val="0D0D0D" w:themeColor="text1" w:themeTint="F2"/>
                <w:spacing w:val="0"/>
              </w:rPr>
              <w:t>ch</w:t>
            </w:r>
            <w:r w:rsidRPr="00877DBC">
              <w:rPr>
                <w:color w:val="0D0D0D" w:themeColor="text1" w:themeTint="F2"/>
                <w:spacing w:val="0"/>
              </w:rPr>
              <w:t xml:space="preserve"> dáv</w:t>
            </w:r>
            <w:r>
              <w:rPr>
                <w:color w:val="0D0D0D" w:themeColor="text1" w:themeTint="F2"/>
                <w:spacing w:val="0"/>
              </w:rPr>
              <w:t>ek</w:t>
            </w:r>
            <w:r w:rsidRPr="00877DBC">
              <w:rPr>
                <w:color w:val="0D0D0D" w:themeColor="text1" w:themeTint="F2"/>
                <w:spacing w:val="0"/>
              </w:rPr>
              <w:t xml:space="preserve"> </w:t>
            </w:r>
            <w:r>
              <w:rPr>
                <w:color w:val="0D0D0D" w:themeColor="text1" w:themeTint="F2"/>
                <w:spacing w:val="0"/>
              </w:rPr>
              <w:br/>
            </w:r>
            <w:r w:rsidRPr="00877DBC">
              <w:rPr>
                <w:color w:val="0D0D0D" w:themeColor="text1" w:themeTint="F2"/>
                <w:spacing w:val="0"/>
              </w:rPr>
              <w:t>a investic</w:t>
            </w:r>
            <w:r>
              <w:rPr>
                <w:color w:val="0D0D0D" w:themeColor="text1" w:themeTint="F2"/>
                <w:spacing w:val="0"/>
              </w:rPr>
              <w:t>.</w:t>
            </w:r>
            <w:r w:rsidRPr="00877DBC">
              <w:rPr>
                <w:color w:val="0D0D0D" w:themeColor="text1" w:themeTint="F2"/>
                <w:spacing w:val="0"/>
              </w:rPr>
              <w:t xml:space="preserve">  </w:t>
            </w:r>
          </w:p>
          <w:p w14:paraId="26256CD9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04CD8CF7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5CA581D2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547247EE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3F3E4BDB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53F0D498" w14:textId="77777777" w:rsidR="006B1AFC" w:rsidRPr="00877DB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5918A25C" w14:textId="77777777" w:rsidR="006B1AFC" w:rsidRPr="00D86057" w:rsidRDefault="006B1AFC" w:rsidP="003C4A79">
            <w:pPr>
              <w:pStyle w:val="Marginlie"/>
              <w:rPr>
                <w:color w:val="948A54" w:themeColor="background2" w:themeShade="80"/>
                <w:spacing w:val="0"/>
              </w:rPr>
            </w:pPr>
          </w:p>
          <w:p w14:paraId="211986C7" w14:textId="77777777" w:rsidR="006B1AFC" w:rsidRPr="00877DB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  <w:r w:rsidRPr="00877DBC">
              <w:rPr>
                <w:color w:val="0D0D0D" w:themeColor="text1" w:themeTint="F2"/>
                <w:spacing w:val="0"/>
              </w:rPr>
              <w:t>Růst objemu dotací i</w:t>
            </w:r>
            <w:r w:rsidRPr="006B20B5">
              <w:rPr>
                <w:color w:val="0D0D0D" w:themeColor="text1" w:themeTint="F2"/>
                <w:spacing w:val="0"/>
              </w:rPr>
              <w:t> </w:t>
            </w:r>
            <w:r w:rsidRPr="00877DBC">
              <w:rPr>
                <w:color w:val="0D0D0D" w:themeColor="text1" w:themeTint="F2"/>
                <w:spacing w:val="0"/>
              </w:rPr>
              <w:t xml:space="preserve">výdajů na </w:t>
            </w:r>
            <w:proofErr w:type="spellStart"/>
            <w:r w:rsidRPr="00877DBC">
              <w:rPr>
                <w:color w:val="0D0D0D" w:themeColor="text1" w:themeTint="F2"/>
                <w:spacing w:val="0"/>
              </w:rPr>
              <w:t>mezispotřebu</w:t>
            </w:r>
            <w:proofErr w:type="spellEnd"/>
            <w:r w:rsidRPr="00877DBC">
              <w:rPr>
                <w:color w:val="0D0D0D" w:themeColor="text1" w:themeTint="F2"/>
                <w:spacing w:val="0"/>
              </w:rPr>
              <w:t xml:space="preserve"> razantně zvolnil. </w:t>
            </w:r>
          </w:p>
          <w:p w14:paraId="6B545496" w14:textId="77777777" w:rsidR="006B1AFC" w:rsidRPr="00D86057" w:rsidRDefault="006B1AFC" w:rsidP="003C4A79">
            <w:pPr>
              <w:pStyle w:val="Marginlie"/>
              <w:rPr>
                <w:color w:val="948A54" w:themeColor="background2" w:themeShade="80"/>
                <w:spacing w:val="0"/>
              </w:rPr>
            </w:pPr>
          </w:p>
          <w:p w14:paraId="1D3DE599" w14:textId="77777777" w:rsidR="006B1AFC" w:rsidRPr="00D86057" w:rsidRDefault="006B1AFC" w:rsidP="003C4A79">
            <w:pPr>
              <w:pStyle w:val="Marginlie"/>
              <w:rPr>
                <w:color w:val="948A54" w:themeColor="background2" w:themeShade="80"/>
                <w:spacing w:val="0"/>
              </w:rPr>
            </w:pPr>
          </w:p>
          <w:p w14:paraId="6A9DCFA8" w14:textId="77777777" w:rsidR="006B1AFC" w:rsidRPr="00D86057" w:rsidRDefault="006B1AFC" w:rsidP="003C4A79">
            <w:pPr>
              <w:pStyle w:val="Marginlie"/>
              <w:rPr>
                <w:color w:val="948A54" w:themeColor="background2" w:themeShade="80"/>
                <w:spacing w:val="0"/>
              </w:rPr>
            </w:pPr>
          </w:p>
        </w:tc>
        <w:tc>
          <w:tcPr>
            <w:tcW w:w="203" w:type="dxa"/>
            <w:tcMar>
              <w:left w:w="0" w:type="dxa"/>
            </w:tcMar>
          </w:tcPr>
          <w:p w14:paraId="43345F42" w14:textId="77777777" w:rsidR="006B1AFC" w:rsidRPr="00D86057" w:rsidRDefault="006B1AFC" w:rsidP="003C4A79">
            <w:pPr>
              <w:pStyle w:val="Textpoznpodarou"/>
              <w:jc w:val="both"/>
              <w:rPr>
                <w:color w:val="948A54" w:themeColor="background2" w:themeShade="80"/>
              </w:rPr>
            </w:pPr>
          </w:p>
        </w:tc>
        <w:tc>
          <w:tcPr>
            <w:tcW w:w="7663" w:type="dxa"/>
            <w:tcMar>
              <w:left w:w="0" w:type="dxa"/>
            </w:tcMar>
          </w:tcPr>
          <w:p w14:paraId="4B375126" w14:textId="77777777" w:rsidR="006B1AFC" w:rsidRPr="00763CEC" w:rsidRDefault="006B1AFC" w:rsidP="003C4A79">
            <w:pPr>
              <w:spacing w:after="200"/>
              <w:rPr>
                <w:color w:val="0D0D0D" w:themeColor="text1" w:themeTint="F2"/>
                <w:spacing w:val="-4"/>
              </w:rPr>
            </w:pPr>
            <w:r w:rsidRPr="00763CEC">
              <w:rPr>
                <w:color w:val="0D0D0D" w:themeColor="text1" w:themeTint="F2"/>
                <w:spacing w:val="-4"/>
              </w:rPr>
              <w:t xml:space="preserve">Pro meziroční navýšení celkových výdajů sektoru vládních institucí v 1. čtvrtletí </w:t>
            </w:r>
            <w:r>
              <w:rPr>
                <w:color w:val="0D0D0D" w:themeColor="text1" w:themeTint="F2"/>
                <w:spacing w:val="-4"/>
              </w:rPr>
              <w:br/>
            </w:r>
            <w:r w:rsidRPr="00763CEC">
              <w:rPr>
                <w:color w:val="0D0D0D" w:themeColor="text1" w:themeTint="F2"/>
                <w:spacing w:val="-4"/>
              </w:rPr>
              <w:t xml:space="preserve">(+42 mld. korun) byly rozhodující sociální dávky (vč. naturálních sociálních transferů), které k němu přispěly více než třetinou a samy o sobě posílily o 4,3 % (téměř dvojnásobně oproti úhrnu </w:t>
            </w:r>
            <w:r w:rsidRPr="00763CEC">
              <w:rPr>
                <w:color w:val="0D0D0D" w:themeColor="text1" w:themeTint="F2"/>
                <w:spacing w:val="-6"/>
              </w:rPr>
              <w:t>za celý loňský rok). Podstatnou roli sehrál i pokračující svižný růst investic, je</w:t>
            </w:r>
            <w:r>
              <w:rPr>
                <w:color w:val="0D0D0D" w:themeColor="text1" w:themeTint="F2"/>
                <w:spacing w:val="-6"/>
              </w:rPr>
              <w:t>n</w:t>
            </w:r>
            <w:r w:rsidRPr="00763CEC">
              <w:rPr>
                <w:color w:val="0D0D0D" w:themeColor="text1" w:themeTint="F2"/>
                <w:spacing w:val="-6"/>
              </w:rPr>
              <w:t>ž dosáhl 13,8 %,</w:t>
            </w:r>
            <w:r w:rsidRPr="00763CEC">
              <w:rPr>
                <w:color w:val="0D0D0D" w:themeColor="text1" w:themeTint="F2"/>
                <w:spacing w:val="-4"/>
              </w:rPr>
              <w:t xml:space="preserve"> a stejně jako po celý loňský rok byl významně podpořen i vyšší aktivitou místních vládních institucí. Objemově významné náhrady zaměstnancům</w:t>
            </w:r>
            <w:r w:rsidRPr="00763CEC">
              <w:rPr>
                <w:rStyle w:val="Znakapoznpodarou"/>
                <w:color w:val="0D0D0D" w:themeColor="text1" w:themeTint="F2"/>
                <w:spacing w:val="-4"/>
              </w:rPr>
              <w:footnoteReference w:id="4"/>
            </w:r>
            <w:r w:rsidRPr="00763CEC">
              <w:rPr>
                <w:color w:val="0D0D0D" w:themeColor="text1" w:themeTint="F2"/>
                <w:spacing w:val="-4"/>
              </w:rPr>
              <w:t xml:space="preserve"> se celkově zvýšily </w:t>
            </w:r>
            <w:r>
              <w:rPr>
                <w:color w:val="0D0D0D" w:themeColor="text1" w:themeTint="F2"/>
                <w:spacing w:val="-4"/>
              </w:rPr>
              <w:br/>
            </w:r>
            <w:r w:rsidRPr="00763CEC">
              <w:rPr>
                <w:color w:val="0D0D0D" w:themeColor="text1" w:themeTint="F2"/>
                <w:spacing w:val="-4"/>
              </w:rPr>
              <w:t xml:space="preserve">o 4,7 % (svižněji v ústředních vládních institucích). Šlo o srovnatelné tempo jako na počátku loňského roku (avšak </w:t>
            </w:r>
            <w:r>
              <w:rPr>
                <w:color w:val="0D0D0D" w:themeColor="text1" w:themeTint="F2"/>
                <w:spacing w:val="-4"/>
              </w:rPr>
              <w:t xml:space="preserve">zatím </w:t>
            </w:r>
            <w:r w:rsidRPr="00763CEC">
              <w:rPr>
                <w:color w:val="0D0D0D" w:themeColor="text1" w:themeTint="F2"/>
                <w:spacing w:val="-4"/>
              </w:rPr>
              <w:t xml:space="preserve">slabší oproti průměru za celý rok 2025). Ostatní běžné transfery se letos zvýšily o 9,4 %. Za jejich svižným růstem, probíhajícím druhý rok v řadě, stály zejména vyšší povinné odvody ČR do rozpočtu EU. Růst některých významných položek ovšem zvolňoval. Výdaje na </w:t>
            </w:r>
            <w:proofErr w:type="spellStart"/>
            <w:r w:rsidRPr="00763CEC">
              <w:rPr>
                <w:color w:val="0D0D0D" w:themeColor="text1" w:themeTint="F2"/>
                <w:spacing w:val="-4"/>
              </w:rPr>
              <w:t>mezispotřebu</w:t>
            </w:r>
            <w:proofErr w:type="spellEnd"/>
            <w:r w:rsidRPr="00763CEC">
              <w:rPr>
                <w:color w:val="0D0D0D" w:themeColor="text1" w:themeTint="F2"/>
                <w:spacing w:val="-4"/>
              </w:rPr>
              <w:t xml:space="preserve"> se zvýšily jen o 1,9 % (nejméně za posledních </w:t>
            </w:r>
            <w:r>
              <w:rPr>
                <w:color w:val="0D0D0D" w:themeColor="text1" w:themeTint="F2"/>
                <w:spacing w:val="-4"/>
              </w:rPr>
              <w:t>dvacet</w:t>
            </w:r>
            <w:r w:rsidRPr="00763CEC">
              <w:rPr>
                <w:color w:val="0D0D0D" w:themeColor="text1" w:themeTint="F2"/>
                <w:spacing w:val="-4"/>
              </w:rPr>
              <w:t xml:space="preserve"> kvartálů), zčásti vlivem poklesu cen některých energií a také sílící</w:t>
            </w:r>
            <w:r>
              <w:rPr>
                <w:color w:val="0D0D0D" w:themeColor="text1" w:themeTint="F2"/>
                <w:spacing w:val="-4"/>
              </w:rPr>
              <w:t>ho</w:t>
            </w:r>
            <w:r w:rsidRPr="00763CEC">
              <w:rPr>
                <w:color w:val="0D0D0D" w:themeColor="text1" w:themeTint="F2"/>
                <w:spacing w:val="-4"/>
              </w:rPr>
              <w:t xml:space="preserve"> všeobecné</w:t>
            </w:r>
            <w:r>
              <w:rPr>
                <w:color w:val="0D0D0D" w:themeColor="text1" w:themeTint="F2"/>
                <w:spacing w:val="-4"/>
              </w:rPr>
              <w:t>ho</w:t>
            </w:r>
            <w:r w:rsidRPr="00763CEC">
              <w:rPr>
                <w:color w:val="0D0D0D" w:themeColor="text1" w:themeTint="F2"/>
                <w:spacing w:val="-4"/>
              </w:rPr>
              <w:t xml:space="preserve"> tlaku na úspory provozních výdajů. Zmírnil </w:t>
            </w:r>
            <w:r>
              <w:rPr>
                <w:color w:val="0D0D0D" w:themeColor="text1" w:themeTint="F2"/>
                <w:spacing w:val="-4"/>
              </w:rPr>
              <w:t>i</w:t>
            </w:r>
            <w:r w:rsidRPr="00763CEC">
              <w:rPr>
                <w:color w:val="0D0D0D" w:themeColor="text1" w:themeTint="F2"/>
                <w:spacing w:val="-4"/>
              </w:rPr>
              <w:t xml:space="preserve"> růst dotací (na +3,1 %), a to vlivem meziročně nižšího objemu vyplacených dotací na výrobu</w:t>
            </w:r>
            <w:r w:rsidRPr="00763CEC">
              <w:rPr>
                <w:rStyle w:val="Znakapoznpodarou"/>
                <w:color w:val="0D0D0D" w:themeColor="text1" w:themeTint="F2"/>
                <w:spacing w:val="-4"/>
              </w:rPr>
              <w:footnoteReference w:id="5"/>
            </w:r>
            <w:r w:rsidRPr="00763CEC">
              <w:rPr>
                <w:color w:val="0D0D0D" w:themeColor="text1" w:themeTint="F2"/>
                <w:spacing w:val="-4"/>
              </w:rPr>
              <w:t xml:space="preserve">. Proti růstu celkových výdajů vládních </w:t>
            </w:r>
            <w:r w:rsidRPr="00CD4841">
              <w:rPr>
                <w:color w:val="0D0D0D" w:themeColor="text1" w:themeTint="F2"/>
                <w:spacing w:val="-2"/>
              </w:rPr>
              <w:t>institucí působily jen váhově okrajové položky vyplacených daní a kapitálových transferů.</w:t>
            </w:r>
            <w:r w:rsidRPr="00763CEC">
              <w:rPr>
                <w:color w:val="0D0D0D" w:themeColor="text1" w:themeTint="F2"/>
                <w:spacing w:val="-4"/>
              </w:rPr>
              <w:t xml:space="preserve"> </w:t>
            </w:r>
          </w:p>
        </w:tc>
      </w:tr>
      <w:tr w:rsidR="006B1AFC" w:rsidRPr="00561800" w14:paraId="63C67237" w14:textId="77777777" w:rsidTr="003C4A79">
        <w:trPr>
          <w:trHeight w:val="60"/>
        </w:trPr>
        <w:tc>
          <w:tcPr>
            <w:tcW w:w="1803" w:type="dxa"/>
            <w:tcMar>
              <w:left w:w="0" w:type="dxa"/>
            </w:tcMar>
          </w:tcPr>
          <w:p w14:paraId="07F5EA24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rPr>
                <w:color w:val="0D0D0D" w:themeColor="text1" w:themeTint="F2"/>
                <w:spacing w:val="0"/>
              </w:rPr>
              <w:t>Deficit hospodaření sektoru vládních institucí v EU se na počátku letošního roku mezikvartálně lehce zmírnil.</w:t>
            </w:r>
          </w:p>
          <w:p w14:paraId="002413E4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031BB6C6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593F6C19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7122DCB3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-4"/>
              </w:rPr>
            </w:pPr>
            <w:r w:rsidRPr="000465A9">
              <w:rPr>
                <w:color w:val="0D0D0D" w:themeColor="text1" w:themeTint="F2"/>
              </w:rPr>
              <w:t xml:space="preserve">Nejhlubší schodek tížil aktuálně nový členský </w:t>
            </w:r>
            <w:r w:rsidRPr="000465A9">
              <w:rPr>
                <w:color w:val="0D0D0D" w:themeColor="text1" w:themeTint="F2"/>
                <w:spacing w:val="-4"/>
              </w:rPr>
              <w:t>stát eurozóny – Bulharsko.</w:t>
            </w:r>
            <w:r>
              <w:rPr>
                <w:color w:val="0D0D0D" w:themeColor="text1" w:themeTint="F2"/>
                <w:spacing w:val="-4"/>
              </w:rPr>
              <w:t xml:space="preserve"> Naopak přebytek hospodaření nastal pouze v pěti státech Unie. </w:t>
            </w:r>
          </w:p>
          <w:p w14:paraId="6179B2F1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-4"/>
              </w:rPr>
            </w:pPr>
            <w:r>
              <w:rPr>
                <w:color w:val="0D0D0D" w:themeColor="text1" w:themeTint="F2"/>
                <w:spacing w:val="-4"/>
              </w:rPr>
              <w:lastRenderedPageBreak/>
              <w:t xml:space="preserve">Česko si udržovalo nejnižší schodek v rámci středoevropského regionu. </w:t>
            </w:r>
          </w:p>
          <w:p w14:paraId="14D2A165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6F864AFF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0DF81865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-4"/>
              </w:rPr>
            </w:pPr>
          </w:p>
          <w:p w14:paraId="01CC82A2" w14:textId="77777777" w:rsidR="006B1AFC" w:rsidRPr="000465A9" w:rsidRDefault="006B1AFC" w:rsidP="003C4A79">
            <w:pPr>
              <w:pStyle w:val="Marginlie"/>
              <w:rPr>
                <w:color w:val="0D0D0D" w:themeColor="text1" w:themeTint="F2"/>
              </w:rPr>
            </w:pPr>
          </w:p>
        </w:tc>
        <w:tc>
          <w:tcPr>
            <w:tcW w:w="203" w:type="dxa"/>
            <w:tcMar>
              <w:left w:w="0" w:type="dxa"/>
            </w:tcMar>
          </w:tcPr>
          <w:p w14:paraId="1DBC2D36" w14:textId="77777777" w:rsidR="006B1AFC" w:rsidRPr="00561800" w:rsidRDefault="006B1AFC" w:rsidP="003C4A79">
            <w:pPr>
              <w:pStyle w:val="Textpoznpodarou"/>
              <w:jc w:val="both"/>
              <w:rPr>
                <w:color w:val="0D0D0D" w:themeColor="text1" w:themeTint="F2"/>
              </w:rPr>
            </w:pPr>
          </w:p>
        </w:tc>
        <w:tc>
          <w:tcPr>
            <w:tcW w:w="7663" w:type="dxa"/>
            <w:tcMar>
              <w:left w:w="0" w:type="dxa"/>
            </w:tcMar>
          </w:tcPr>
          <w:p w14:paraId="571F387A" w14:textId="77777777" w:rsidR="006B1AFC" w:rsidRPr="00763CEC" w:rsidRDefault="006B1AFC" w:rsidP="003C4A79">
            <w:pPr>
              <w:spacing w:after="200"/>
              <w:rPr>
                <w:color w:val="0D0D0D" w:themeColor="text1" w:themeTint="F2"/>
                <w:spacing w:val="-4"/>
              </w:rPr>
            </w:pPr>
            <w:r w:rsidRPr="00763CEC">
              <w:rPr>
                <w:color w:val="0D0D0D" w:themeColor="text1" w:themeTint="F2"/>
                <w:spacing w:val="-4"/>
              </w:rPr>
              <w:t>Situace v oblasti hospodaření sektoru vládních institucí v členských státech EU</w:t>
            </w:r>
            <w:r w:rsidRPr="00763CEC">
              <w:rPr>
                <w:rStyle w:val="Znakapoznpodarou"/>
                <w:color w:val="0D0D0D" w:themeColor="text1" w:themeTint="F2"/>
                <w:spacing w:val="-4"/>
              </w:rPr>
              <w:footnoteReference w:id="6"/>
            </w:r>
            <w:r w:rsidRPr="00763CEC">
              <w:rPr>
                <w:color w:val="0D0D0D" w:themeColor="text1" w:themeTint="F2"/>
                <w:spacing w:val="-4"/>
              </w:rPr>
              <w:t xml:space="preserve"> se na počátku letošního roku velmi mírně zlepšila. Během roku 2025 výkon ekonomiky v Unii vlivem nestabilní geopolitické situace i napětí v obchodních vztazích s některými klíčovými partnery postupně slábl a spolu s tím se vlivem rychleji rostoucích veřejných výdajů zhoršoval i deficit hospodaření vládního sektoru (až na 3,4 % HDP). V 1. čtvrtletí se tento schodek zmírnil na 3,1 % HDP. Deficit přes 3 % HDP vykázalo 12 členských států </w:t>
            </w:r>
            <w:r>
              <w:rPr>
                <w:color w:val="0D0D0D" w:themeColor="text1" w:themeTint="F2"/>
                <w:spacing w:val="-4"/>
              </w:rPr>
              <w:br/>
            </w:r>
            <w:r w:rsidRPr="00763CEC">
              <w:rPr>
                <w:color w:val="0D0D0D" w:themeColor="text1" w:themeTint="F2"/>
                <w:spacing w:val="-4"/>
              </w:rPr>
              <w:t>(a 9 z 21 zemí eurozóny)</w:t>
            </w:r>
            <w:r>
              <w:rPr>
                <w:color w:val="0D0D0D" w:themeColor="text1" w:themeTint="F2"/>
                <w:spacing w:val="-4"/>
              </w:rPr>
              <w:t>. N</w:t>
            </w:r>
            <w:r w:rsidRPr="00763CEC">
              <w:rPr>
                <w:color w:val="0D0D0D" w:themeColor="text1" w:themeTint="F2"/>
                <w:spacing w:val="-4"/>
              </w:rPr>
              <w:t xml:space="preserve">ejvíce tížil Bulharsko (7,6 % HDP), kde </w:t>
            </w:r>
            <w:r>
              <w:rPr>
                <w:color w:val="0D0D0D" w:themeColor="text1" w:themeTint="F2"/>
                <w:spacing w:val="-4"/>
              </w:rPr>
              <w:t xml:space="preserve">se </w:t>
            </w:r>
            <w:r w:rsidRPr="00763CEC">
              <w:rPr>
                <w:color w:val="0D0D0D" w:themeColor="text1" w:themeTint="F2"/>
                <w:spacing w:val="-4"/>
              </w:rPr>
              <w:t>současně nejvýrazněj</w:t>
            </w:r>
            <w:r>
              <w:rPr>
                <w:color w:val="0D0D0D" w:themeColor="text1" w:themeTint="F2"/>
                <w:spacing w:val="-4"/>
              </w:rPr>
              <w:t xml:space="preserve">i </w:t>
            </w:r>
            <w:r w:rsidRPr="00763CEC">
              <w:rPr>
                <w:color w:val="0D0D0D" w:themeColor="text1" w:themeTint="F2"/>
                <w:spacing w:val="-4"/>
              </w:rPr>
              <w:t>meziročn</w:t>
            </w:r>
            <w:r>
              <w:rPr>
                <w:color w:val="0D0D0D" w:themeColor="text1" w:themeTint="F2"/>
                <w:spacing w:val="-4"/>
              </w:rPr>
              <w:t xml:space="preserve">ě </w:t>
            </w:r>
            <w:r w:rsidRPr="00763CEC">
              <w:rPr>
                <w:color w:val="0D0D0D" w:themeColor="text1" w:themeTint="F2"/>
                <w:spacing w:val="-4"/>
              </w:rPr>
              <w:t>prohloub</w:t>
            </w:r>
            <w:r>
              <w:rPr>
                <w:color w:val="0D0D0D" w:themeColor="text1" w:themeTint="F2"/>
                <w:spacing w:val="-4"/>
              </w:rPr>
              <w:t>il</w:t>
            </w:r>
            <w:r w:rsidRPr="00763CEC">
              <w:rPr>
                <w:color w:val="0D0D0D" w:themeColor="text1" w:themeTint="F2"/>
                <w:spacing w:val="-4"/>
              </w:rPr>
              <w:t xml:space="preserve"> (o 4,5 p. b.). S výraznou fiskální </w:t>
            </w:r>
            <w:r w:rsidRPr="00F956B8">
              <w:rPr>
                <w:color w:val="0D0D0D" w:themeColor="text1" w:themeTint="F2"/>
                <w:spacing w:val="-6"/>
              </w:rPr>
              <w:t>nerovnováhou se potýkaly také Maďarsko (−6,6 % HDP), Polsko (−5,9 %), Francie (−5,1 %),</w:t>
            </w:r>
            <w:r>
              <w:rPr>
                <w:color w:val="0D0D0D" w:themeColor="text1" w:themeTint="F2"/>
                <w:spacing w:val="-4"/>
              </w:rPr>
              <w:t xml:space="preserve"> </w:t>
            </w:r>
            <w:r w:rsidRPr="00763CEC">
              <w:rPr>
                <w:color w:val="0D0D0D" w:themeColor="text1" w:themeTint="F2"/>
                <w:spacing w:val="-4"/>
              </w:rPr>
              <w:t>Belgie (</w:t>
            </w:r>
            <w:r>
              <w:rPr>
                <w:color w:val="0D0D0D" w:themeColor="text1" w:themeTint="F2"/>
                <w:spacing w:val="-4"/>
              </w:rPr>
              <w:t>−</w:t>
            </w:r>
            <w:r w:rsidRPr="00763CEC">
              <w:rPr>
                <w:color w:val="0D0D0D" w:themeColor="text1" w:themeTint="F2"/>
                <w:spacing w:val="-4"/>
              </w:rPr>
              <w:t>4,8 % HDP) a dále např. Německo (</w:t>
            </w:r>
            <w:r>
              <w:rPr>
                <w:color w:val="0D0D0D" w:themeColor="text1" w:themeTint="F2"/>
                <w:spacing w:val="-4"/>
              </w:rPr>
              <w:t>−</w:t>
            </w:r>
            <w:r w:rsidRPr="00763CEC">
              <w:rPr>
                <w:color w:val="0D0D0D" w:themeColor="text1" w:themeTint="F2"/>
                <w:spacing w:val="-4"/>
              </w:rPr>
              <w:t xml:space="preserve">3,6 %), které jako jediná z velkých ekonomik zaznamenalo meziroční zhoršení schodku (o 1,5 p. b.). V Česku činil aktuálně deficit 2,3 % HDP (s převahou nejméně ze všech středoevropských států) a na téměř totožné úrovni se pohyboval i po celý </w:t>
            </w:r>
            <w:r w:rsidRPr="00763CEC">
              <w:rPr>
                <w:color w:val="0D0D0D" w:themeColor="text1" w:themeTint="F2"/>
                <w:spacing w:val="-4"/>
              </w:rPr>
              <w:lastRenderedPageBreak/>
              <w:t xml:space="preserve">loňský rok. Přebytek hospodaření se projevil jen v pěti vesměs menších státech. Zatímco na Kypru, </w:t>
            </w:r>
            <w:r>
              <w:rPr>
                <w:color w:val="0D0D0D" w:themeColor="text1" w:themeTint="F2"/>
                <w:spacing w:val="-4"/>
              </w:rPr>
              <w:t xml:space="preserve">v </w:t>
            </w:r>
            <w:r w:rsidRPr="00763CEC">
              <w:rPr>
                <w:color w:val="0D0D0D" w:themeColor="text1" w:themeTint="F2"/>
                <w:spacing w:val="-4"/>
              </w:rPr>
              <w:t xml:space="preserve">Dánsku i Irsku šlo o dlouhodobější jev (přetrvávající minimálně od ústupu pandemie), v Řecku a Portugalsku </w:t>
            </w:r>
            <w:r>
              <w:rPr>
                <w:color w:val="0D0D0D" w:themeColor="text1" w:themeTint="F2"/>
                <w:spacing w:val="-4"/>
              </w:rPr>
              <w:t xml:space="preserve">pak </w:t>
            </w:r>
            <w:r w:rsidRPr="00763CEC">
              <w:rPr>
                <w:color w:val="0D0D0D" w:themeColor="text1" w:themeTint="F2"/>
                <w:spacing w:val="-4"/>
              </w:rPr>
              <w:t xml:space="preserve">spíše o aktuální konsolidační reakci na </w:t>
            </w:r>
            <w:r w:rsidRPr="006D67F3">
              <w:rPr>
                <w:color w:val="0D0D0D" w:themeColor="text1" w:themeTint="F2"/>
                <w:spacing w:val="-2"/>
              </w:rPr>
              <w:t>dlouhodobě velmi vysokou zadluženost vládního sektoru. Ve srovnání s počátkem loňského roku se letos saldo hospodaření zlepšilo v deseti státech Unie</w:t>
            </w:r>
            <w:r>
              <w:rPr>
                <w:color w:val="0D0D0D" w:themeColor="text1" w:themeTint="F2"/>
                <w:spacing w:val="-2"/>
              </w:rPr>
              <w:t xml:space="preserve"> </w:t>
            </w:r>
            <w:r w:rsidRPr="006D67F3">
              <w:rPr>
                <w:color w:val="0D0D0D" w:themeColor="text1" w:themeTint="F2"/>
                <w:spacing w:val="-2"/>
              </w:rPr>
              <w:t>– mírně např. v Polsku (z</w:t>
            </w:r>
            <w:r w:rsidRPr="00763CEC">
              <w:rPr>
                <w:color w:val="0D0D0D" w:themeColor="text1" w:themeTint="F2"/>
                <w:spacing w:val="-4"/>
              </w:rPr>
              <w:t xml:space="preserve"> –6,7 % HDP na –5,9 %) či Španělsku (z –2,9 % na –1,9 % HDP). Významný posun ovšem nastal pouze v Rumunsku (z –9,0 % HDP na –3,6 %), které i tak stále patřilo </w:t>
            </w:r>
            <w:r w:rsidRPr="006D67F3">
              <w:rPr>
                <w:color w:val="0D0D0D" w:themeColor="text1" w:themeTint="F2"/>
                <w:spacing w:val="-6"/>
              </w:rPr>
              <w:t xml:space="preserve">k desítce </w:t>
            </w:r>
            <w:r w:rsidRPr="006D67F3">
              <w:rPr>
                <w:spacing w:val="-6"/>
              </w:rPr>
              <w:t>států čelících ze strany Unie systematickému tlaku na konsolidaci veřejných financí</w:t>
            </w:r>
            <w:r w:rsidRPr="006D67F3">
              <w:rPr>
                <w:rStyle w:val="Znakapoznpodarou"/>
                <w:spacing w:val="-6"/>
              </w:rPr>
              <w:footnoteReference w:id="7"/>
            </w:r>
            <w:r w:rsidRPr="006D67F3">
              <w:rPr>
                <w:spacing w:val="-6"/>
              </w:rPr>
              <w:t>.</w:t>
            </w:r>
          </w:p>
        </w:tc>
      </w:tr>
      <w:tr w:rsidR="006B1AFC" w:rsidRPr="00FC6700" w14:paraId="638B5C34" w14:textId="77777777" w:rsidTr="003C4A79">
        <w:trPr>
          <w:trHeight w:val="155"/>
        </w:trPr>
        <w:tc>
          <w:tcPr>
            <w:tcW w:w="1803" w:type="dxa"/>
            <w:vMerge w:val="restart"/>
            <w:tcMar>
              <w:left w:w="0" w:type="dxa"/>
            </w:tcMar>
          </w:tcPr>
          <w:p w14:paraId="4F189646" w14:textId="77777777" w:rsidR="006B1AFC" w:rsidRPr="00C229C1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</w:tc>
        <w:tc>
          <w:tcPr>
            <w:tcW w:w="203" w:type="dxa"/>
            <w:vMerge w:val="restart"/>
            <w:tcMar>
              <w:left w:w="0" w:type="dxa"/>
            </w:tcMar>
          </w:tcPr>
          <w:p w14:paraId="7D49E3A7" w14:textId="77777777" w:rsidR="006B1AFC" w:rsidRPr="00D86057" w:rsidRDefault="006B1AFC" w:rsidP="003C4A79">
            <w:pPr>
              <w:pStyle w:val="Textpoznpodarou"/>
              <w:jc w:val="both"/>
              <w:rPr>
                <w:color w:val="948A54" w:themeColor="background2" w:themeShade="80"/>
              </w:rPr>
            </w:pPr>
          </w:p>
        </w:tc>
        <w:tc>
          <w:tcPr>
            <w:tcW w:w="7663" w:type="dxa"/>
            <w:tcMar>
              <w:left w:w="0" w:type="dxa"/>
            </w:tcMar>
          </w:tcPr>
          <w:p w14:paraId="16AF70E9" w14:textId="77777777" w:rsidR="006B1AFC" w:rsidRPr="00763CEC" w:rsidRDefault="006B1AFC" w:rsidP="003C4A79">
            <w:pPr>
              <w:spacing w:after="0"/>
              <w:rPr>
                <w:color w:val="0D0D0D" w:themeColor="text1" w:themeTint="F2"/>
                <w:spacing w:val="-4"/>
              </w:rPr>
            </w:pPr>
            <w:r w:rsidRPr="00E14F83">
              <w:rPr>
                <w:rFonts w:cs="Arial"/>
                <w:b/>
                <w:bCs/>
                <w:color w:val="000000"/>
                <w:spacing w:val="-4"/>
                <w:szCs w:val="20"/>
              </w:rPr>
              <w:t>Graf č. 1</w:t>
            </w:r>
            <w:r>
              <w:rPr>
                <w:rFonts w:cs="Arial"/>
                <w:b/>
                <w:bCs/>
                <w:color w:val="000000"/>
                <w:spacing w:val="-4"/>
                <w:szCs w:val="20"/>
              </w:rPr>
              <w:t>7</w:t>
            </w:r>
            <w:r w:rsidRPr="00E14F83">
              <w:rPr>
                <w:rFonts w:cs="Arial"/>
                <w:b/>
                <w:bCs/>
                <w:color w:val="000000"/>
                <w:spacing w:val="-4"/>
                <w:szCs w:val="20"/>
              </w:rPr>
              <w:t xml:space="preserve"> </w:t>
            </w:r>
            <w:r w:rsidRPr="00E14F83">
              <w:rPr>
                <w:rFonts w:cs="Arial"/>
                <w:b/>
                <w:bCs/>
                <w:color w:val="0D0D0D" w:themeColor="text1" w:themeTint="F2"/>
                <w:spacing w:val="-4"/>
              </w:rPr>
              <w:t xml:space="preserve">Saldo hospodaření sektoru vládních institucí </w:t>
            </w:r>
            <w:r>
              <w:rPr>
                <w:rFonts w:cs="Arial"/>
                <w:b/>
                <w:bCs/>
                <w:color w:val="0D0D0D" w:themeColor="text1" w:themeTint="F2"/>
                <w:spacing w:val="-4"/>
              </w:rPr>
              <w:t>v Česku a EU a jeho vybraných členských zemích</w:t>
            </w:r>
            <w:r w:rsidRPr="00CA6263">
              <w:rPr>
                <w:rFonts w:cs="Arial"/>
                <w:b/>
                <w:bCs/>
                <w:color w:val="0D0D0D" w:themeColor="text1" w:themeTint="F2"/>
              </w:rPr>
              <w:t xml:space="preserve"> </w:t>
            </w:r>
            <w:r w:rsidRPr="00CA6263">
              <w:rPr>
                <w:rFonts w:cs="Arial"/>
                <w:bCs/>
                <w:color w:val="0D0D0D" w:themeColor="text1" w:themeTint="F2"/>
              </w:rPr>
              <w:t>(</w:t>
            </w:r>
            <w:r>
              <w:rPr>
                <w:rFonts w:cs="Arial"/>
                <w:bCs/>
                <w:color w:val="0D0D0D" w:themeColor="text1" w:themeTint="F2"/>
              </w:rPr>
              <w:t xml:space="preserve">sezónně očištěno, </w:t>
            </w:r>
            <w:r w:rsidRPr="00CA6263">
              <w:rPr>
                <w:rFonts w:cs="Arial"/>
                <w:bCs/>
                <w:color w:val="0D0D0D" w:themeColor="text1" w:themeTint="F2"/>
              </w:rPr>
              <w:t>v % HDP)</w:t>
            </w:r>
          </w:p>
        </w:tc>
      </w:tr>
      <w:tr w:rsidR="006B1AFC" w:rsidRPr="00FC6700" w14:paraId="0AFE9840" w14:textId="77777777" w:rsidTr="003C4A79">
        <w:trPr>
          <w:trHeight w:val="155"/>
        </w:trPr>
        <w:tc>
          <w:tcPr>
            <w:tcW w:w="1803" w:type="dxa"/>
            <w:vMerge/>
            <w:tcMar>
              <w:left w:w="0" w:type="dxa"/>
            </w:tcMar>
          </w:tcPr>
          <w:p w14:paraId="745D349E" w14:textId="77777777" w:rsidR="006B1AFC" w:rsidRPr="00C229C1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</w:tc>
        <w:tc>
          <w:tcPr>
            <w:tcW w:w="203" w:type="dxa"/>
            <w:vMerge/>
            <w:tcMar>
              <w:left w:w="0" w:type="dxa"/>
            </w:tcMar>
          </w:tcPr>
          <w:p w14:paraId="36B889A9" w14:textId="77777777" w:rsidR="006B1AFC" w:rsidRPr="00D86057" w:rsidRDefault="006B1AFC" w:rsidP="003C4A79">
            <w:pPr>
              <w:pStyle w:val="Textpoznpodarou"/>
              <w:jc w:val="both"/>
              <w:rPr>
                <w:color w:val="948A54" w:themeColor="background2" w:themeShade="80"/>
              </w:rPr>
            </w:pPr>
          </w:p>
        </w:tc>
        <w:tc>
          <w:tcPr>
            <w:tcW w:w="7663" w:type="dxa"/>
            <w:tcMar>
              <w:left w:w="0" w:type="dxa"/>
            </w:tcMar>
          </w:tcPr>
          <w:p w14:paraId="6085E066" w14:textId="77777777" w:rsidR="006B1AFC" w:rsidRPr="00763CEC" w:rsidRDefault="006B1AFC" w:rsidP="003C4A79">
            <w:pPr>
              <w:spacing w:after="0"/>
              <w:rPr>
                <w:color w:val="0D0D0D" w:themeColor="text1" w:themeTint="F2"/>
                <w:spacing w:val="-4"/>
              </w:rPr>
            </w:pPr>
            <w:r>
              <w:rPr>
                <w:noProof/>
              </w:rPr>
              <w:drawing>
                <wp:inline distT="0" distB="0" distL="0" distR="0" wp14:anchorId="46DABE3B" wp14:editId="50C0AB82">
                  <wp:extent cx="4784090" cy="3060000"/>
                  <wp:effectExtent l="0" t="0" r="0" b="7620"/>
                  <wp:docPr id="1288314021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D16315-C6BA-41B8-8B7F-4B4FABBDE79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6B1AFC" w:rsidRPr="00FC6700" w14:paraId="28F712D2" w14:textId="77777777" w:rsidTr="003C4A79">
        <w:trPr>
          <w:trHeight w:val="155"/>
        </w:trPr>
        <w:tc>
          <w:tcPr>
            <w:tcW w:w="1803" w:type="dxa"/>
            <w:vMerge/>
            <w:tcMar>
              <w:left w:w="0" w:type="dxa"/>
            </w:tcMar>
          </w:tcPr>
          <w:p w14:paraId="64239801" w14:textId="77777777" w:rsidR="006B1AFC" w:rsidRPr="00C229C1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</w:tc>
        <w:tc>
          <w:tcPr>
            <w:tcW w:w="203" w:type="dxa"/>
            <w:vMerge/>
            <w:tcMar>
              <w:left w:w="0" w:type="dxa"/>
            </w:tcMar>
          </w:tcPr>
          <w:p w14:paraId="448B4683" w14:textId="77777777" w:rsidR="006B1AFC" w:rsidRPr="00D86057" w:rsidRDefault="006B1AFC" w:rsidP="003C4A79">
            <w:pPr>
              <w:pStyle w:val="Textpoznpodarou"/>
              <w:jc w:val="both"/>
              <w:rPr>
                <w:color w:val="948A54" w:themeColor="background2" w:themeShade="80"/>
              </w:rPr>
            </w:pPr>
          </w:p>
        </w:tc>
        <w:tc>
          <w:tcPr>
            <w:tcW w:w="7663" w:type="dxa"/>
            <w:tcMar>
              <w:left w:w="0" w:type="dxa"/>
            </w:tcMar>
          </w:tcPr>
          <w:p w14:paraId="2E1CFBDD" w14:textId="77777777" w:rsidR="006B1AFC" w:rsidRPr="00763CEC" w:rsidRDefault="006B1AFC" w:rsidP="003C4A79">
            <w:pPr>
              <w:spacing w:after="200"/>
              <w:rPr>
                <w:color w:val="0D0D0D" w:themeColor="text1" w:themeTint="F2"/>
                <w:spacing w:val="-4"/>
              </w:rPr>
            </w:pPr>
            <w:r w:rsidRPr="00E14F83">
              <w:rPr>
                <w:color w:val="0D0D0D" w:themeColor="text1" w:themeTint="F2"/>
                <w:sz w:val="14"/>
                <w:szCs w:val="14"/>
              </w:rPr>
              <w:t>Zdroj: Eurostat</w:t>
            </w:r>
          </w:p>
        </w:tc>
      </w:tr>
      <w:tr w:rsidR="006B1AFC" w:rsidRPr="00FC6700" w14:paraId="3E73A035" w14:textId="77777777" w:rsidTr="003C4A79">
        <w:trPr>
          <w:trHeight w:val="60"/>
        </w:trPr>
        <w:tc>
          <w:tcPr>
            <w:tcW w:w="1803" w:type="dxa"/>
            <w:tcMar>
              <w:left w:w="0" w:type="dxa"/>
            </w:tcMar>
          </w:tcPr>
          <w:p w14:paraId="2999CB59" w14:textId="77777777" w:rsidR="006B1AFC" w:rsidRPr="00C229C1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  <w:r w:rsidRPr="00C229C1">
              <w:rPr>
                <w:color w:val="0D0D0D" w:themeColor="text1" w:themeTint="F2"/>
                <w:spacing w:val="0"/>
              </w:rPr>
              <w:t xml:space="preserve">Míra zadlužení sektoru </w:t>
            </w:r>
            <w:r>
              <w:rPr>
                <w:color w:val="0D0D0D" w:themeColor="text1" w:themeTint="F2"/>
                <w:spacing w:val="0"/>
              </w:rPr>
              <w:t>vládních institucí</w:t>
            </w:r>
            <w:r w:rsidRPr="00C229C1">
              <w:rPr>
                <w:color w:val="0D0D0D" w:themeColor="text1" w:themeTint="F2"/>
                <w:spacing w:val="0"/>
              </w:rPr>
              <w:t xml:space="preserve"> v EU vzrostla </w:t>
            </w:r>
            <w:r>
              <w:rPr>
                <w:color w:val="0D0D0D" w:themeColor="text1" w:themeTint="F2"/>
                <w:spacing w:val="0"/>
              </w:rPr>
              <w:t xml:space="preserve">meziročně </w:t>
            </w:r>
            <w:r w:rsidRPr="00C229C1">
              <w:rPr>
                <w:color w:val="0D0D0D" w:themeColor="text1" w:themeTint="F2"/>
                <w:spacing w:val="0"/>
              </w:rPr>
              <w:t xml:space="preserve">nejvíce </w:t>
            </w:r>
            <w:r>
              <w:rPr>
                <w:color w:val="0D0D0D" w:themeColor="text1" w:themeTint="F2"/>
                <w:spacing w:val="0"/>
              </w:rPr>
              <w:t>z</w:t>
            </w:r>
            <w:r w:rsidRPr="00C229C1">
              <w:rPr>
                <w:color w:val="0D0D0D" w:themeColor="text1" w:themeTint="F2"/>
                <w:spacing w:val="0"/>
              </w:rPr>
              <w:t>a poslední</w:t>
            </w:r>
            <w:r>
              <w:rPr>
                <w:color w:val="0D0D0D" w:themeColor="text1" w:themeTint="F2"/>
                <w:spacing w:val="0"/>
              </w:rPr>
              <w:t>ch pět let</w:t>
            </w:r>
            <w:r w:rsidRPr="00C229C1">
              <w:rPr>
                <w:color w:val="0D0D0D" w:themeColor="text1" w:themeTint="F2"/>
                <w:spacing w:val="0"/>
              </w:rPr>
              <w:t xml:space="preserve">. </w:t>
            </w:r>
          </w:p>
          <w:p w14:paraId="0C1ACCA2" w14:textId="77777777" w:rsidR="006B1AFC" w:rsidRPr="00C229C1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7B291846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729522D2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5E65D9FC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04687097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35B414BE" w14:textId="77777777" w:rsidR="006B1AFC" w:rsidRPr="00C229C1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588C863A" w14:textId="77777777" w:rsidR="006B1AFC" w:rsidRPr="00C229C1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</w:p>
          <w:p w14:paraId="22064AAB" w14:textId="77777777" w:rsidR="006B1AFC" w:rsidRPr="00D86057" w:rsidRDefault="006B1AFC" w:rsidP="003C4A79">
            <w:pPr>
              <w:pStyle w:val="Marginlie"/>
              <w:rPr>
                <w:color w:val="948A54" w:themeColor="background2" w:themeShade="80"/>
                <w:spacing w:val="0"/>
              </w:rPr>
            </w:pPr>
            <w:r w:rsidRPr="00C229C1">
              <w:rPr>
                <w:color w:val="0D0D0D" w:themeColor="text1" w:themeTint="F2"/>
                <w:spacing w:val="0"/>
              </w:rPr>
              <w:t>V Česku se zadluženost druhý rok v řadě mírně zvýšila, stále však dosahovala v rámci střední Evropy minima</w:t>
            </w:r>
            <w:r w:rsidRPr="00D86057">
              <w:rPr>
                <w:color w:val="948A54" w:themeColor="background2" w:themeShade="80"/>
                <w:spacing w:val="0"/>
              </w:rPr>
              <w:t xml:space="preserve">. </w:t>
            </w:r>
          </w:p>
        </w:tc>
        <w:tc>
          <w:tcPr>
            <w:tcW w:w="203" w:type="dxa"/>
            <w:tcMar>
              <w:left w:w="0" w:type="dxa"/>
            </w:tcMar>
          </w:tcPr>
          <w:p w14:paraId="666B55AA" w14:textId="77777777" w:rsidR="006B1AFC" w:rsidRPr="00D86057" w:rsidRDefault="006B1AFC" w:rsidP="003C4A79">
            <w:pPr>
              <w:pStyle w:val="Textpoznpodarou"/>
              <w:jc w:val="both"/>
              <w:rPr>
                <w:color w:val="948A54" w:themeColor="background2" w:themeShade="80"/>
              </w:rPr>
            </w:pPr>
          </w:p>
        </w:tc>
        <w:tc>
          <w:tcPr>
            <w:tcW w:w="7663" w:type="dxa"/>
            <w:tcMar>
              <w:left w:w="0" w:type="dxa"/>
            </w:tcMar>
          </w:tcPr>
          <w:p w14:paraId="3EC248E7" w14:textId="77777777" w:rsidR="006B1AFC" w:rsidRPr="00763CEC" w:rsidRDefault="006B1AFC" w:rsidP="00366728">
            <w:pPr>
              <w:spacing w:after="0"/>
              <w:rPr>
                <w:color w:val="0D0D0D" w:themeColor="text1" w:themeTint="F2"/>
                <w:spacing w:val="-4"/>
              </w:rPr>
            </w:pPr>
            <w:r w:rsidRPr="00763CEC">
              <w:rPr>
                <w:color w:val="0D0D0D" w:themeColor="text1" w:themeTint="F2"/>
                <w:spacing w:val="-4"/>
              </w:rPr>
              <w:t>Hrubý konsolidovaný dluh sektoru vládních institucí činil na konci 1. čtvrtletí v EU 82,9 % (v eurozóně 88,9 % HDP). Úroveň zadlužení v obou uskupeních byla nejvyšší za poslední tři a půl roku. Meziročně</w:t>
            </w:r>
            <w:r>
              <w:rPr>
                <w:color w:val="0D0D0D" w:themeColor="text1" w:themeTint="F2"/>
                <w:spacing w:val="-4"/>
              </w:rPr>
              <w:t xml:space="preserve"> rostla</w:t>
            </w:r>
            <w:r w:rsidRPr="00763CEC">
              <w:rPr>
                <w:color w:val="0D0D0D" w:themeColor="text1" w:themeTint="F2"/>
                <w:spacing w:val="-4"/>
              </w:rPr>
              <w:t xml:space="preserve"> pátý kvartál v řadě – </w:t>
            </w:r>
            <w:r>
              <w:rPr>
                <w:color w:val="0D0D0D" w:themeColor="text1" w:themeTint="F2"/>
                <w:spacing w:val="-4"/>
              </w:rPr>
              <w:t>nyní</w:t>
            </w:r>
            <w:r w:rsidRPr="00763CEC">
              <w:rPr>
                <w:color w:val="0D0D0D" w:themeColor="text1" w:themeTint="F2"/>
                <w:spacing w:val="-4"/>
              </w:rPr>
              <w:t xml:space="preserve"> již o 1,5 p. b. (nejvíce za posledních pět let).</w:t>
            </w:r>
            <w:r>
              <w:rPr>
                <w:color w:val="0D0D0D" w:themeColor="text1" w:themeTint="F2"/>
                <w:spacing w:val="-4"/>
              </w:rPr>
              <w:t xml:space="preserve"> Z</w:t>
            </w:r>
            <w:r w:rsidRPr="00763CEC">
              <w:rPr>
                <w:color w:val="0D0D0D" w:themeColor="text1" w:themeTint="F2"/>
                <w:spacing w:val="-4"/>
              </w:rPr>
              <w:t xml:space="preserve">adluženost v EU </w:t>
            </w:r>
            <w:r>
              <w:rPr>
                <w:color w:val="0D0D0D" w:themeColor="text1" w:themeTint="F2"/>
                <w:spacing w:val="-4"/>
              </w:rPr>
              <w:t xml:space="preserve">se </w:t>
            </w:r>
            <w:r w:rsidRPr="00763CEC">
              <w:rPr>
                <w:color w:val="0D0D0D" w:themeColor="text1" w:themeTint="F2"/>
                <w:spacing w:val="-4"/>
              </w:rPr>
              <w:t xml:space="preserve">významně navýšila </w:t>
            </w:r>
            <w:r>
              <w:rPr>
                <w:color w:val="0D0D0D" w:themeColor="text1" w:themeTint="F2"/>
                <w:spacing w:val="-4"/>
              </w:rPr>
              <w:t>i</w:t>
            </w:r>
            <w:r w:rsidRPr="00763CEC">
              <w:rPr>
                <w:color w:val="0D0D0D" w:themeColor="text1" w:themeTint="F2"/>
                <w:spacing w:val="-4"/>
              </w:rPr>
              <w:t xml:space="preserve"> </w:t>
            </w:r>
            <w:r>
              <w:rPr>
                <w:color w:val="0D0D0D" w:themeColor="text1" w:themeTint="F2"/>
                <w:spacing w:val="-4"/>
              </w:rPr>
              <w:t>mezikvartálně</w:t>
            </w:r>
            <w:r w:rsidRPr="00763CEC">
              <w:rPr>
                <w:color w:val="0D0D0D" w:themeColor="text1" w:themeTint="F2"/>
                <w:spacing w:val="-4"/>
              </w:rPr>
              <w:t xml:space="preserve"> (+1,1 p. b.), přičemž proti jejímu růstu působilo posilování nominálního HDP</w:t>
            </w:r>
            <w:r w:rsidRPr="00763CEC">
              <w:rPr>
                <w:rStyle w:val="Znakapoznpodarou"/>
                <w:color w:val="0D0D0D" w:themeColor="text1" w:themeTint="F2"/>
                <w:spacing w:val="-4"/>
              </w:rPr>
              <w:footnoteReference w:id="8"/>
            </w:r>
            <w:r w:rsidRPr="00763CEC">
              <w:rPr>
                <w:color w:val="0D0D0D" w:themeColor="text1" w:themeTint="F2"/>
                <w:spacing w:val="-4"/>
              </w:rPr>
              <w:t xml:space="preserve">. </w:t>
            </w:r>
            <w:r>
              <w:rPr>
                <w:color w:val="0D0D0D" w:themeColor="text1" w:themeTint="F2"/>
                <w:spacing w:val="-4"/>
              </w:rPr>
              <w:t>Zadluženost vzrostla meziročně</w:t>
            </w:r>
            <w:r w:rsidRPr="00763CEC">
              <w:rPr>
                <w:color w:val="0D0D0D" w:themeColor="text1" w:themeTint="F2"/>
                <w:spacing w:val="-4"/>
              </w:rPr>
              <w:t xml:space="preserve"> ve dvou třetinách členských států – </w:t>
            </w:r>
            <w:r>
              <w:rPr>
                <w:color w:val="0D0D0D" w:themeColor="text1" w:themeTint="F2"/>
                <w:spacing w:val="-4"/>
              </w:rPr>
              <w:t>největší byl</w:t>
            </w:r>
            <w:r w:rsidRPr="00763CEC">
              <w:rPr>
                <w:color w:val="0D0D0D" w:themeColor="text1" w:themeTint="F2"/>
                <w:spacing w:val="-4"/>
              </w:rPr>
              <w:t xml:space="preserve"> ve Finsku (+5,5 p. b., na 89,7 % HDP), Bulharsku (+4,8 p. b, na 28,5 % HDP), Polsku (+4,6 p. b., na 61,6 % HDP), z velkých ekonomik </w:t>
            </w:r>
            <w:r>
              <w:rPr>
                <w:color w:val="0D0D0D" w:themeColor="text1" w:themeTint="F2"/>
                <w:spacing w:val="-4"/>
              </w:rPr>
              <w:t>především</w:t>
            </w:r>
            <w:r w:rsidRPr="00763CEC">
              <w:rPr>
                <w:color w:val="0D0D0D" w:themeColor="text1" w:themeTint="F2"/>
                <w:spacing w:val="-4"/>
              </w:rPr>
              <w:t xml:space="preserve"> ve Francii (+4,0 p. b., na 117,6 % HDP) a Německu (+2,4 p. b., na 64,4 % HDP). </w:t>
            </w:r>
            <w:r w:rsidRPr="006D67F3">
              <w:rPr>
                <w:color w:val="0D0D0D" w:themeColor="text1" w:themeTint="F2"/>
                <w:spacing w:val="-5"/>
              </w:rPr>
              <w:t>Klesl</w:t>
            </w:r>
            <w:r>
              <w:rPr>
                <w:color w:val="0D0D0D" w:themeColor="text1" w:themeTint="F2"/>
                <w:spacing w:val="-5"/>
              </w:rPr>
              <w:t>a</w:t>
            </w:r>
            <w:r w:rsidRPr="006D67F3">
              <w:rPr>
                <w:color w:val="0D0D0D" w:themeColor="text1" w:themeTint="F2"/>
                <w:spacing w:val="-5"/>
              </w:rPr>
              <w:t xml:space="preserve"> </w:t>
            </w:r>
            <w:r>
              <w:rPr>
                <w:color w:val="0D0D0D" w:themeColor="text1" w:themeTint="F2"/>
                <w:spacing w:val="-5"/>
              </w:rPr>
              <w:t>však</w:t>
            </w:r>
            <w:r w:rsidRPr="006D67F3">
              <w:rPr>
                <w:color w:val="0D0D0D" w:themeColor="text1" w:themeTint="F2"/>
                <w:spacing w:val="-5"/>
              </w:rPr>
              <w:t xml:space="preserve"> v některých vysoce zadlužených státech – hlavně v Řecku (</w:t>
            </w:r>
            <w:r>
              <w:rPr>
                <w:color w:val="0D0D0D" w:themeColor="text1" w:themeTint="F2"/>
                <w:spacing w:val="-5"/>
              </w:rPr>
              <w:t>−</w:t>
            </w:r>
            <w:r w:rsidRPr="006D67F3">
              <w:rPr>
                <w:color w:val="0D0D0D" w:themeColor="text1" w:themeTint="F2"/>
                <w:spacing w:val="-5"/>
              </w:rPr>
              <w:t>9,4</w:t>
            </w:r>
            <w:r>
              <w:rPr>
                <w:color w:val="0D0D0D" w:themeColor="text1" w:themeTint="F2"/>
                <w:spacing w:val="-5"/>
              </w:rPr>
              <w:t> </w:t>
            </w:r>
            <w:r w:rsidRPr="006D67F3">
              <w:rPr>
                <w:color w:val="0D0D0D" w:themeColor="text1" w:themeTint="F2"/>
                <w:spacing w:val="-5"/>
              </w:rPr>
              <w:t>p.</w:t>
            </w:r>
            <w:r>
              <w:rPr>
                <w:color w:val="0D0D0D" w:themeColor="text1" w:themeTint="F2"/>
                <w:spacing w:val="-5"/>
              </w:rPr>
              <w:t> </w:t>
            </w:r>
            <w:r w:rsidRPr="006D67F3">
              <w:rPr>
                <w:color w:val="0D0D0D" w:themeColor="text1" w:themeTint="F2"/>
                <w:spacing w:val="-5"/>
              </w:rPr>
              <w:t>b., na 143,5 %</w:t>
            </w:r>
            <w:r w:rsidRPr="00763CEC">
              <w:rPr>
                <w:color w:val="0D0D0D" w:themeColor="text1" w:themeTint="F2"/>
                <w:spacing w:val="-4"/>
              </w:rPr>
              <w:t xml:space="preserve"> HDP, za posledních pět let byla nižší o třetinu), Portugalsku (</w:t>
            </w:r>
            <w:r>
              <w:rPr>
                <w:color w:val="0D0D0D" w:themeColor="text1" w:themeTint="F2"/>
                <w:spacing w:val="-4"/>
              </w:rPr>
              <w:t>−</w:t>
            </w:r>
            <w:r w:rsidRPr="00763CEC">
              <w:rPr>
                <w:color w:val="0D0D0D" w:themeColor="text1" w:themeTint="F2"/>
                <w:spacing w:val="-4"/>
              </w:rPr>
              <w:t>3,8</w:t>
            </w:r>
            <w:r>
              <w:rPr>
                <w:color w:val="0D0D0D" w:themeColor="text1" w:themeTint="F2"/>
                <w:spacing w:val="-4"/>
              </w:rPr>
              <w:t> </w:t>
            </w:r>
            <w:r w:rsidRPr="00763CEC">
              <w:rPr>
                <w:color w:val="0D0D0D" w:themeColor="text1" w:themeTint="F2"/>
                <w:spacing w:val="-4"/>
              </w:rPr>
              <w:t>p.</w:t>
            </w:r>
            <w:r>
              <w:rPr>
                <w:color w:val="0D0D0D" w:themeColor="text1" w:themeTint="F2"/>
                <w:spacing w:val="-4"/>
              </w:rPr>
              <w:t> </w:t>
            </w:r>
            <w:r w:rsidRPr="00763CEC">
              <w:rPr>
                <w:color w:val="0D0D0D" w:themeColor="text1" w:themeTint="F2"/>
                <w:spacing w:val="-4"/>
              </w:rPr>
              <w:t>b., na 91,0 %</w:t>
            </w:r>
            <w:r>
              <w:rPr>
                <w:color w:val="0D0D0D" w:themeColor="text1" w:themeTint="F2"/>
                <w:spacing w:val="-4"/>
              </w:rPr>
              <w:t xml:space="preserve"> </w:t>
            </w:r>
            <w:r w:rsidRPr="00763CEC">
              <w:rPr>
                <w:color w:val="0D0D0D" w:themeColor="text1" w:themeTint="F2"/>
                <w:spacing w:val="-4"/>
              </w:rPr>
              <w:t>HDP) a Španělsku (</w:t>
            </w:r>
            <w:r>
              <w:rPr>
                <w:color w:val="0D0D0D" w:themeColor="text1" w:themeTint="F2"/>
                <w:spacing w:val="-4"/>
              </w:rPr>
              <w:t>−</w:t>
            </w:r>
            <w:r w:rsidRPr="00763CEC">
              <w:rPr>
                <w:color w:val="0D0D0D" w:themeColor="text1" w:themeTint="F2"/>
                <w:spacing w:val="-4"/>
              </w:rPr>
              <w:t xml:space="preserve">1,7 p. b., </w:t>
            </w:r>
            <w:r>
              <w:rPr>
                <w:color w:val="0D0D0D" w:themeColor="text1" w:themeTint="F2"/>
                <w:spacing w:val="-4"/>
              </w:rPr>
              <w:t>n</w:t>
            </w:r>
            <w:r w:rsidRPr="00763CEC">
              <w:rPr>
                <w:color w:val="0D0D0D" w:themeColor="text1" w:themeTint="F2"/>
                <w:spacing w:val="-4"/>
              </w:rPr>
              <w:t>a 101,6 % HDP), ale např. i v Dánsku (</w:t>
            </w:r>
            <w:r>
              <w:rPr>
                <w:color w:val="0D0D0D" w:themeColor="text1" w:themeTint="F2"/>
                <w:spacing w:val="-4"/>
              </w:rPr>
              <w:t>−</w:t>
            </w:r>
            <w:r w:rsidRPr="00763CEC">
              <w:rPr>
                <w:color w:val="0D0D0D" w:themeColor="text1" w:themeTint="F2"/>
                <w:spacing w:val="-4"/>
              </w:rPr>
              <w:t xml:space="preserve">2,5 p. b, na 26,8 % HDP). </w:t>
            </w:r>
            <w:r>
              <w:rPr>
                <w:color w:val="0D0D0D" w:themeColor="text1" w:themeTint="F2"/>
                <w:spacing w:val="-4"/>
              </w:rPr>
              <w:t>Zadluženost v</w:t>
            </w:r>
            <w:r w:rsidRPr="00763CEC">
              <w:rPr>
                <w:color w:val="0D0D0D" w:themeColor="text1" w:themeTint="F2"/>
                <w:spacing w:val="-4"/>
              </w:rPr>
              <w:t> Česku mírně vzrostla o 0,8 p. b. a dosáhla deváté nejnižší úrovně v Unii (44,1 % HDP</w:t>
            </w:r>
            <w:r w:rsidRPr="00763CEC">
              <w:rPr>
                <w:rStyle w:val="Znakapoznpodarou"/>
                <w:color w:val="0D0D0D" w:themeColor="text1" w:themeTint="F2"/>
                <w:spacing w:val="-4"/>
              </w:rPr>
              <w:footnoteReference w:id="9"/>
            </w:r>
            <w:r w:rsidRPr="00763CEC">
              <w:rPr>
                <w:color w:val="0D0D0D" w:themeColor="text1" w:themeTint="F2"/>
                <w:spacing w:val="-4"/>
              </w:rPr>
              <w:t>). Té i přes nedávné významné konsolidační úsilí v negativním smyslu nadále vévodilo Řecko</w:t>
            </w:r>
            <w:r w:rsidRPr="00763CEC">
              <w:rPr>
                <w:rStyle w:val="Znakapoznpodarou"/>
                <w:color w:val="0D0D0D" w:themeColor="text1" w:themeTint="F2"/>
                <w:spacing w:val="-4"/>
              </w:rPr>
              <w:footnoteReference w:id="10"/>
            </w:r>
            <w:r w:rsidRPr="00763CEC">
              <w:rPr>
                <w:color w:val="0D0D0D" w:themeColor="text1" w:themeTint="F2"/>
                <w:spacing w:val="-4"/>
              </w:rPr>
              <w:t xml:space="preserve"> před Itálií (138,9 % HDP), Francií a</w:t>
            </w:r>
            <w:r>
              <w:rPr>
                <w:color w:val="0D0D0D" w:themeColor="text1" w:themeTint="F2"/>
                <w:spacing w:val="-4"/>
              </w:rPr>
              <w:t> </w:t>
            </w:r>
            <w:r w:rsidRPr="00763CEC">
              <w:rPr>
                <w:color w:val="0D0D0D" w:themeColor="text1" w:themeTint="F2"/>
                <w:spacing w:val="-4"/>
              </w:rPr>
              <w:t xml:space="preserve">Španělskem. </w:t>
            </w:r>
            <w:r>
              <w:rPr>
                <w:color w:val="0D0D0D" w:themeColor="text1" w:themeTint="F2"/>
                <w:spacing w:val="-4"/>
              </w:rPr>
              <w:t>Na opačném pólu se dlouhodobě nachází Estonsko (25,2 % HDP</w:t>
            </w:r>
            <w:r>
              <w:rPr>
                <w:rStyle w:val="Znakapoznpodarou"/>
                <w:color w:val="0D0D0D" w:themeColor="text1" w:themeTint="F2"/>
                <w:spacing w:val="-4"/>
              </w:rPr>
              <w:footnoteReference w:id="11"/>
            </w:r>
            <w:r>
              <w:rPr>
                <w:color w:val="0D0D0D" w:themeColor="text1" w:themeTint="F2"/>
                <w:spacing w:val="-4"/>
              </w:rPr>
              <w:t xml:space="preserve">), aktuálně nově následované Dánskem (26,8 % HDP). </w:t>
            </w:r>
          </w:p>
        </w:tc>
      </w:tr>
      <w:tr w:rsidR="006B1AFC" w:rsidRPr="00FC6700" w14:paraId="4CF3B18A" w14:textId="77777777" w:rsidTr="003C4A79">
        <w:trPr>
          <w:trHeight w:val="60"/>
        </w:trPr>
        <w:tc>
          <w:tcPr>
            <w:tcW w:w="9669" w:type="dxa"/>
            <w:gridSpan w:val="3"/>
            <w:tcMar>
              <w:left w:w="0" w:type="dxa"/>
            </w:tcMar>
          </w:tcPr>
          <w:p w14:paraId="74D5E65F" w14:textId="77777777" w:rsidR="006B1AFC" w:rsidRPr="00593CD1" w:rsidRDefault="006B1AFC" w:rsidP="003C4A79">
            <w:pPr>
              <w:pStyle w:val="Nadpis3"/>
              <w:rPr>
                <w:color w:val="0D0D0D" w:themeColor="text1" w:themeTint="F2"/>
                <w:spacing w:val="-2"/>
              </w:rPr>
            </w:pPr>
            <w:bookmarkStart w:id="4" w:name="_Toc239947457"/>
            <w:bookmarkStart w:id="5" w:name="_Toc240366909"/>
            <w:r w:rsidRPr="006B2C72">
              <w:rPr>
                <w:lang w:eastAsia="en-US"/>
              </w:rPr>
              <w:lastRenderedPageBreak/>
              <w:t>8.</w:t>
            </w:r>
            <w:r>
              <w:rPr>
                <w:lang w:eastAsia="en-US"/>
              </w:rPr>
              <w:t>2</w:t>
            </w:r>
            <w:r w:rsidRPr="006B2C7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Příjmy státního rozpočtu</w:t>
            </w:r>
            <w:bookmarkEnd w:id="4"/>
            <w:bookmarkEnd w:id="5"/>
          </w:p>
        </w:tc>
      </w:tr>
      <w:tr w:rsidR="006B1AFC" w:rsidRPr="00FC6700" w14:paraId="63B80B3A" w14:textId="77777777" w:rsidTr="003C4A79">
        <w:trPr>
          <w:trHeight w:val="60"/>
        </w:trPr>
        <w:tc>
          <w:tcPr>
            <w:tcW w:w="1803" w:type="dxa"/>
            <w:tcMar>
              <w:left w:w="0" w:type="dxa"/>
            </w:tcMar>
          </w:tcPr>
          <w:p w14:paraId="3BEECBAE" w14:textId="77777777" w:rsidR="006B1AFC" w:rsidRDefault="006B1AFC" w:rsidP="003C4A79">
            <w:pPr>
              <w:pStyle w:val="Marginlie"/>
              <w:rPr>
                <w:spacing w:val="0"/>
              </w:rPr>
            </w:pPr>
            <w:r>
              <w:rPr>
                <w:spacing w:val="0"/>
              </w:rPr>
              <w:t xml:space="preserve">Výrazně deficitní hospodaření SR pokračovalo sedmý rok v řadě. Letos se schodek meziročně prohloubil, </w:t>
            </w:r>
            <w:r>
              <w:rPr>
                <w:spacing w:val="0"/>
              </w:rPr>
              <w:br/>
              <w:t xml:space="preserve">mj. i vlivem snížení kladné bilance ve vztahu k rozpočtu EU či změny </w:t>
            </w:r>
            <w:r w:rsidRPr="00B9572A">
              <w:rPr>
                <w:spacing w:val="-4"/>
              </w:rPr>
              <w:t>rozpočtového určení daní.</w:t>
            </w:r>
          </w:p>
          <w:p w14:paraId="5308B62A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</w:tc>
        <w:tc>
          <w:tcPr>
            <w:tcW w:w="203" w:type="dxa"/>
            <w:tcMar>
              <w:left w:w="0" w:type="dxa"/>
            </w:tcMar>
          </w:tcPr>
          <w:p w14:paraId="10414EF0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347E1352" w14:textId="77777777" w:rsidR="006B1AFC" w:rsidRPr="00593CD1" w:rsidRDefault="006B1AFC" w:rsidP="003C4A79">
            <w:pPr>
              <w:spacing w:after="200"/>
              <w:rPr>
                <w:color w:val="0D0D0D" w:themeColor="text1" w:themeTint="F2"/>
                <w:spacing w:val="-2"/>
              </w:rPr>
            </w:pPr>
            <w:r w:rsidRPr="00865239">
              <w:rPr>
                <w:color w:val="0D0D0D" w:themeColor="text1" w:themeTint="F2"/>
                <w:spacing w:val="-2"/>
              </w:rPr>
              <w:t>Hospodaření státního rozpočtu (</w:t>
            </w:r>
            <w:r w:rsidRPr="00F316C9">
              <w:rPr>
                <w:spacing w:val="-2"/>
              </w:rPr>
              <w:t>SR)</w:t>
            </w:r>
            <w:r w:rsidRPr="00F316C9">
              <w:rPr>
                <w:rStyle w:val="Znakapoznpodarou"/>
                <w:spacing w:val="-2"/>
              </w:rPr>
              <w:footnoteReference w:id="12"/>
            </w:r>
            <w:r w:rsidRPr="00F316C9">
              <w:rPr>
                <w:spacing w:val="-2"/>
              </w:rPr>
              <w:t xml:space="preserve"> skončilo v</w:t>
            </w:r>
            <w:r>
              <w:rPr>
                <w:spacing w:val="-2"/>
              </w:rPr>
              <w:t> 1. pololetí</w:t>
            </w:r>
            <w:r w:rsidRPr="00F316C9">
              <w:rPr>
                <w:spacing w:val="-2"/>
              </w:rPr>
              <w:t xml:space="preserve"> 202</w:t>
            </w:r>
            <w:r>
              <w:rPr>
                <w:spacing w:val="-2"/>
              </w:rPr>
              <w:t>6</w:t>
            </w:r>
            <w:r w:rsidRPr="00F316C9">
              <w:rPr>
                <w:spacing w:val="-2"/>
              </w:rPr>
              <w:t xml:space="preserve"> schodkem </w:t>
            </w:r>
            <w:r>
              <w:rPr>
                <w:spacing w:val="-2"/>
              </w:rPr>
              <w:br/>
              <w:t>183,6</w:t>
            </w:r>
            <w:r w:rsidRPr="00F316C9">
              <w:rPr>
                <w:spacing w:val="-2"/>
              </w:rPr>
              <w:t> mld. korun,</w:t>
            </w:r>
            <w:r>
              <w:rPr>
                <w:spacing w:val="-2"/>
              </w:rPr>
              <w:t xml:space="preserve"> meziročně o více než pětinu hlubším (po očištění salda </w:t>
            </w:r>
            <w:r w:rsidRPr="00F316C9">
              <w:rPr>
                <w:spacing w:val="-2"/>
              </w:rPr>
              <w:t>o prostředky z rozpočtu EU</w:t>
            </w:r>
            <w:r>
              <w:rPr>
                <w:rStyle w:val="Znakapoznpodarou"/>
                <w:spacing w:val="-2"/>
              </w:rPr>
              <w:footnoteReference w:id="13"/>
            </w:r>
            <w:r>
              <w:rPr>
                <w:spacing w:val="-2"/>
              </w:rPr>
              <w:t xml:space="preserve"> se toto zhoršení ještě více zvýraznilo</w:t>
            </w:r>
            <w:r>
              <w:rPr>
                <w:rStyle w:val="Znakapoznpodarou"/>
                <w:spacing w:val="-2"/>
              </w:rPr>
              <w:footnoteReference w:id="14"/>
            </w:r>
            <w:r>
              <w:rPr>
                <w:spacing w:val="-2"/>
              </w:rPr>
              <w:t>). Citelné schodky tak tížily SR již sedmý rok v řadě a dosavadní letošní deficit byl současně nejvyšší za poslední tři roky. K</w:t>
            </w:r>
            <w:r>
              <w:rPr>
                <w:color w:val="0D0D0D" w:themeColor="text1" w:themeTint="F2"/>
                <w:spacing w:val="-2"/>
              </w:rPr>
              <w:t> </w:t>
            </w:r>
            <w:r>
              <w:rPr>
                <w:spacing w:val="-2"/>
              </w:rPr>
              <w:t xml:space="preserve">meziročnímu navýšení schodku došlo při výraznějším posílení růstového tempa celkových výdajů a současně při jeho lehkém zmírnění na příjmové straně rozpočtu. Přetrvávající mírný růst tuzemské ekonomiky se nadále postupně propisoval do vyšších daňových příjmů SR, jejich růst byl ovšem tlumen </w:t>
            </w:r>
            <w:r w:rsidRPr="00F316C9">
              <w:rPr>
                <w:spacing w:val="-2"/>
              </w:rPr>
              <w:t>změn</w:t>
            </w:r>
            <w:r>
              <w:rPr>
                <w:spacing w:val="-2"/>
              </w:rPr>
              <w:t>ou</w:t>
            </w:r>
            <w:r w:rsidRPr="00F316C9">
              <w:rPr>
                <w:spacing w:val="-2"/>
              </w:rPr>
              <w:t xml:space="preserve"> rozpočtového určení daní, jež od ledna 202</w:t>
            </w:r>
            <w:r>
              <w:rPr>
                <w:spacing w:val="-2"/>
              </w:rPr>
              <w:t>6</w:t>
            </w:r>
            <w:r w:rsidRPr="00F316C9">
              <w:rPr>
                <w:spacing w:val="-2"/>
              </w:rPr>
              <w:t xml:space="preserve"> </w:t>
            </w:r>
            <w:r>
              <w:rPr>
                <w:spacing w:val="-2"/>
              </w:rPr>
              <w:t>snížila</w:t>
            </w:r>
            <w:r w:rsidRPr="00F316C9">
              <w:rPr>
                <w:spacing w:val="-2"/>
              </w:rPr>
              <w:t xml:space="preserve"> podíl na </w:t>
            </w:r>
            <w:r>
              <w:rPr>
                <w:spacing w:val="-2"/>
              </w:rPr>
              <w:t xml:space="preserve">SR </w:t>
            </w:r>
            <w:r w:rsidRPr="00F316C9">
              <w:rPr>
                <w:spacing w:val="-2"/>
              </w:rPr>
              <w:t xml:space="preserve">výnosu některých váhově významných daní ve prospěch </w:t>
            </w:r>
            <w:r>
              <w:rPr>
                <w:spacing w:val="-2"/>
              </w:rPr>
              <w:t>územních rozpočtů</w:t>
            </w:r>
            <w:r w:rsidRPr="00F316C9">
              <w:rPr>
                <w:rStyle w:val="Znakapoznpodarou"/>
                <w:spacing w:val="-2"/>
              </w:rPr>
              <w:footnoteReference w:id="15"/>
            </w:r>
            <w:r w:rsidRPr="00F316C9">
              <w:rPr>
                <w:spacing w:val="-2"/>
              </w:rPr>
              <w:t>.</w:t>
            </w:r>
            <w:r>
              <w:rPr>
                <w:spacing w:val="-2"/>
              </w:rPr>
              <w:t xml:space="preserve"> Vedle toho se na příjmové i výdajové straně rozpočtu stále </w:t>
            </w:r>
            <w:r>
              <w:rPr>
                <w:spacing w:val="-4"/>
              </w:rPr>
              <w:t xml:space="preserve">projevovaly </w:t>
            </w:r>
            <w:r w:rsidRPr="00F316C9">
              <w:rPr>
                <w:spacing w:val="-2"/>
              </w:rPr>
              <w:t xml:space="preserve">dopady konsolidačního ozdravného balíčku (schváleného </w:t>
            </w:r>
            <w:r>
              <w:rPr>
                <w:spacing w:val="-2"/>
              </w:rPr>
              <w:t xml:space="preserve">již </w:t>
            </w:r>
            <w:r w:rsidRPr="00F316C9">
              <w:rPr>
                <w:spacing w:val="-2"/>
              </w:rPr>
              <w:t>v roce 2023)</w:t>
            </w:r>
            <w:r>
              <w:rPr>
                <w:spacing w:val="-2"/>
              </w:rPr>
              <w:t>. Naopak prakticky vyprchal vliv specifického režimu rozpočtového provizoria</w:t>
            </w:r>
            <w:r>
              <w:rPr>
                <w:rStyle w:val="Znakapoznpodarou"/>
                <w:spacing w:val="-4"/>
              </w:rPr>
              <w:footnoteReference w:id="16"/>
            </w:r>
            <w:r>
              <w:rPr>
                <w:spacing w:val="-2"/>
              </w:rPr>
              <w:t>, které</w:t>
            </w:r>
            <w:r>
              <w:rPr>
                <w:spacing w:val="-4"/>
              </w:rPr>
              <w:t xml:space="preserve"> na počátku roku ovlivnilo zejména čerpání investic i možnosti předfinancování některých běžných transferů během 2. čtvrtletí 2026. </w:t>
            </w:r>
          </w:p>
        </w:tc>
      </w:tr>
      <w:tr w:rsidR="006B1AFC" w:rsidRPr="00FC6700" w14:paraId="07827E18" w14:textId="77777777" w:rsidTr="003C4A79">
        <w:trPr>
          <w:trHeight w:val="60"/>
        </w:trPr>
        <w:tc>
          <w:tcPr>
            <w:tcW w:w="1803" w:type="dxa"/>
            <w:tcMar>
              <w:left w:w="0" w:type="dxa"/>
            </w:tcMar>
          </w:tcPr>
          <w:p w14:paraId="26939321" w14:textId="77777777" w:rsidR="006B1AFC" w:rsidRDefault="006B1AFC" w:rsidP="003C4A79">
            <w:pPr>
              <w:pStyle w:val="Marginlie"/>
              <w:rPr>
                <w:spacing w:val="0"/>
              </w:rPr>
            </w:pPr>
            <w:r>
              <w:rPr>
                <w:spacing w:val="0"/>
              </w:rPr>
              <w:t>K růstu celkových příjmů SR nejvíce přispěl vyšší výběr pojistného na sociální zabezpečení.</w:t>
            </w:r>
          </w:p>
        </w:tc>
        <w:tc>
          <w:tcPr>
            <w:tcW w:w="203" w:type="dxa"/>
            <w:tcMar>
              <w:left w:w="0" w:type="dxa"/>
            </w:tcMar>
          </w:tcPr>
          <w:p w14:paraId="0680116A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7A28BA5D" w14:textId="77777777" w:rsidR="006B1AFC" w:rsidRPr="00CD4841" w:rsidRDefault="006B1AFC" w:rsidP="003C4A79">
            <w:pPr>
              <w:spacing w:after="200"/>
              <w:rPr>
                <w:color w:val="0D0D0D" w:themeColor="text1" w:themeTint="F2"/>
                <w:spacing w:val="-3"/>
              </w:rPr>
            </w:pPr>
            <w:r w:rsidRPr="00CD4841">
              <w:rPr>
                <w:color w:val="0D0D0D" w:themeColor="text1" w:themeTint="F2"/>
                <w:spacing w:val="-3"/>
              </w:rPr>
              <w:t>Celkové příjmy SR letos v 1. pololetí meziročně posílily o 4,0 % (+40,7 mld. korun). Byť jde o nejslabší tempo za poslední pětiletí, předčilo dosavadní letošní tempo celoroční rozpočtové očekávání</w:t>
            </w:r>
            <w:r w:rsidRPr="00CD4841">
              <w:rPr>
                <w:rStyle w:val="Znakapoznpodarou"/>
                <w:color w:val="0D0D0D" w:themeColor="text1" w:themeTint="F2"/>
                <w:spacing w:val="-3"/>
              </w:rPr>
              <w:footnoteReference w:id="17"/>
            </w:r>
            <w:r w:rsidRPr="00CD4841">
              <w:rPr>
                <w:color w:val="0D0D0D" w:themeColor="text1" w:themeTint="F2"/>
                <w:spacing w:val="-3"/>
              </w:rPr>
              <w:t>. Meziroční růst příjmů byl tažen zejména vyšším výběrem pojistného na sociální zabezpečení vč. aktivní politiky zaměstnanosti (+25,6</w:t>
            </w:r>
            <w:r w:rsidRPr="00CD4841">
              <w:rPr>
                <w:spacing w:val="-3"/>
              </w:rPr>
              <w:t xml:space="preserve"> </w:t>
            </w:r>
            <w:r w:rsidRPr="00CD4841">
              <w:rPr>
                <w:color w:val="0D0D0D" w:themeColor="text1" w:themeTint="F2"/>
                <w:spacing w:val="-3"/>
              </w:rPr>
              <w:t>mld. korun), a</w:t>
            </w:r>
            <w:r>
              <w:rPr>
                <w:color w:val="0D0D0D" w:themeColor="text1" w:themeTint="F2"/>
                <w:spacing w:val="-3"/>
              </w:rPr>
              <w:t> </w:t>
            </w:r>
            <w:r w:rsidRPr="00CD4841">
              <w:rPr>
                <w:color w:val="0D0D0D" w:themeColor="text1" w:themeTint="F2"/>
                <w:spacing w:val="-3"/>
              </w:rPr>
              <w:t xml:space="preserve">to i přesto, že jeho růst zpomaloval a letošní tempo (+6,4 %) za rozpočtovým očekáváním lehce zaostávalo. Ve stále relativně vysokém tempu se odrážela </w:t>
            </w:r>
            <w:r w:rsidRPr="00CD4841">
              <w:rPr>
                <w:spacing w:val="-3"/>
              </w:rPr>
              <w:t xml:space="preserve">dobrá kondice trhu práce vyznačující se vyšší zaměstnaností v ekonomice i svižně rostoucími průměrnými výdělky. Stejně jako loni se navíc projevilo postupné, byť dočasné, zvyšování minimálního vyměřovacího základu pojistného pro osoby samostatně výdělečně </w:t>
            </w:r>
            <w:r w:rsidRPr="00CD4841">
              <w:rPr>
                <w:color w:val="0D0D0D" w:themeColor="text1" w:themeTint="F2"/>
                <w:spacing w:val="-3"/>
              </w:rPr>
              <w:t xml:space="preserve">činné. </w:t>
            </w:r>
          </w:p>
        </w:tc>
      </w:tr>
      <w:tr w:rsidR="006B1AFC" w:rsidRPr="00FC6700" w14:paraId="0E5C624A" w14:textId="77777777" w:rsidTr="003C4A79">
        <w:trPr>
          <w:trHeight w:val="60"/>
        </w:trPr>
        <w:tc>
          <w:tcPr>
            <w:tcW w:w="1803" w:type="dxa"/>
            <w:tcMar>
              <w:left w:w="0" w:type="dxa"/>
            </w:tcMar>
          </w:tcPr>
          <w:p w14:paraId="342C1F62" w14:textId="77777777" w:rsidR="006B1AFC" w:rsidRDefault="006B1AFC" w:rsidP="003C4A79">
            <w:pPr>
              <w:pStyle w:val="Marginlie"/>
              <w:rPr>
                <w:spacing w:val="0"/>
              </w:rPr>
            </w:pPr>
            <w:r>
              <w:rPr>
                <w:spacing w:val="0"/>
              </w:rPr>
              <w:t>Růst celkových daňových příjmů SR se zastavil. Projevil se vliv změny rozpočtového určení daní i vyprchání příjmů mimořádných daní uvalených během energetické krize.</w:t>
            </w:r>
          </w:p>
          <w:p w14:paraId="1BBCC314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33948CE4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64EDCA43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11755877" w14:textId="77777777" w:rsidR="006B1AFC" w:rsidRDefault="006B1AFC" w:rsidP="003C4A79">
            <w:pPr>
              <w:pStyle w:val="Marginlie"/>
              <w:rPr>
                <w:spacing w:val="0"/>
              </w:rPr>
            </w:pPr>
            <w:r>
              <w:rPr>
                <w:spacing w:val="0"/>
              </w:rPr>
              <w:t xml:space="preserve">Inkaso spotřební daně zatím zůstalo za rozpočtovým očekáváním. </w:t>
            </w:r>
          </w:p>
          <w:p w14:paraId="5DCF84D3" w14:textId="77777777" w:rsidR="006B1AFC" w:rsidRPr="00FC6700" w:rsidRDefault="006B1AFC" w:rsidP="003C4A79">
            <w:pPr>
              <w:pStyle w:val="Marginlie"/>
              <w:rPr>
                <w:spacing w:val="0"/>
              </w:rPr>
            </w:pPr>
          </w:p>
        </w:tc>
        <w:tc>
          <w:tcPr>
            <w:tcW w:w="203" w:type="dxa"/>
            <w:tcMar>
              <w:left w:w="0" w:type="dxa"/>
            </w:tcMar>
          </w:tcPr>
          <w:p w14:paraId="7D278A4F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70F1FBF9" w14:textId="77777777" w:rsidR="006B1AFC" w:rsidRPr="00054D6D" w:rsidRDefault="006B1AFC" w:rsidP="003C4A79">
            <w:pPr>
              <w:spacing w:after="200"/>
              <w:rPr>
                <w:spacing w:val="-3"/>
                <w:szCs w:val="20"/>
              </w:rPr>
            </w:pPr>
            <w:r>
              <w:rPr>
                <w:color w:val="0D0D0D" w:themeColor="text1" w:themeTint="F2"/>
                <w:spacing w:val="-2"/>
              </w:rPr>
              <w:t>Samotné daňové příjmy SR pod vlivem změny rozpočtového určení daní i faktického ukončení výběru mimořádných firemních daní (</w:t>
            </w:r>
            <w:r>
              <w:t>uvalených během energetické krize</w:t>
            </w:r>
            <w:r>
              <w:rPr>
                <w:color w:val="0D0D0D" w:themeColor="text1" w:themeTint="F2"/>
                <w:spacing w:val="-2"/>
              </w:rPr>
              <w:t xml:space="preserve">) </w:t>
            </w:r>
            <w:r>
              <w:rPr>
                <w:color w:val="0D0D0D" w:themeColor="text1" w:themeTint="F2"/>
                <w:spacing w:val="-2"/>
              </w:rPr>
              <w:br/>
              <w:t>v 1. pololetí</w:t>
            </w:r>
            <w:r w:rsidRPr="00F316C9">
              <w:rPr>
                <w:color w:val="0D0D0D" w:themeColor="text1" w:themeTint="F2"/>
                <w:spacing w:val="-2"/>
              </w:rPr>
              <w:t xml:space="preserve"> </w:t>
            </w:r>
            <w:r>
              <w:rPr>
                <w:color w:val="0D0D0D" w:themeColor="text1" w:themeTint="F2"/>
                <w:spacing w:val="-2"/>
              </w:rPr>
              <w:t>meziročně jen stagnovaly</w:t>
            </w:r>
            <w:r>
              <w:rPr>
                <w:rStyle w:val="Znakapoznpodarou"/>
                <w:color w:val="0D0D0D" w:themeColor="text1" w:themeTint="F2"/>
                <w:spacing w:val="-2"/>
              </w:rPr>
              <w:footnoteReference w:id="18"/>
            </w:r>
            <w:r>
              <w:rPr>
                <w:color w:val="0D0D0D" w:themeColor="text1" w:themeTint="F2"/>
                <w:spacing w:val="-2"/>
              </w:rPr>
              <w:t xml:space="preserve">. Ve směru růstu daňových příjmů nejvíce působila DPH, jejíž výběr se zvýšil o 3,5 % (na úrovni všech veřejných rozpočtů ale o 7,7 %, z toho ve 2. čtvrtletí dokonce o 8,8 % a v obou případech zároveň rostla mírně vyšším tempem než vloni). To souvisí s </w:t>
            </w:r>
            <w:r w:rsidRPr="00321BBF">
              <w:rPr>
                <w:color w:val="0D0D0D" w:themeColor="text1" w:themeTint="F2"/>
                <w:spacing w:val="-3"/>
              </w:rPr>
              <w:t xml:space="preserve">relativně příznivou spotřebitelskou důvěrou v ekonomiku vyúsťující ve stabilní růst soukromé spotřeby. </w:t>
            </w:r>
            <w:r w:rsidRPr="00321BBF">
              <w:rPr>
                <w:color w:val="0D0D0D" w:themeColor="text1" w:themeTint="F2"/>
                <w:spacing w:val="-3"/>
                <w:szCs w:val="20"/>
              </w:rPr>
              <w:t xml:space="preserve">Na spotřebních daních (vč. energetických </w:t>
            </w:r>
            <w:r w:rsidRPr="00FE3986">
              <w:rPr>
                <w:color w:val="0D0D0D" w:themeColor="text1" w:themeTint="F2"/>
                <w:spacing w:val="-3"/>
                <w:szCs w:val="20"/>
              </w:rPr>
              <w:t xml:space="preserve">daní) získal SR meziročně </w:t>
            </w:r>
            <w:r>
              <w:rPr>
                <w:color w:val="0D0D0D" w:themeColor="text1" w:themeTint="F2"/>
                <w:spacing w:val="-3"/>
                <w:szCs w:val="20"/>
              </w:rPr>
              <w:t xml:space="preserve">jen </w:t>
            </w:r>
            <w:r w:rsidRPr="00FE3986">
              <w:rPr>
                <w:color w:val="0D0D0D" w:themeColor="text1" w:themeTint="F2"/>
                <w:spacing w:val="-3"/>
                <w:szCs w:val="20"/>
              </w:rPr>
              <w:t xml:space="preserve">o 1,8 % více a výběr tak zatím </w:t>
            </w:r>
            <w:r>
              <w:rPr>
                <w:spacing w:val="-3"/>
                <w:szCs w:val="20"/>
              </w:rPr>
              <w:t xml:space="preserve">(jako u jediné významnější daňové položky) </w:t>
            </w:r>
            <w:r w:rsidRPr="00CA2480">
              <w:rPr>
                <w:spacing w:val="-3"/>
                <w:szCs w:val="20"/>
              </w:rPr>
              <w:t>za</w:t>
            </w:r>
            <w:r>
              <w:rPr>
                <w:spacing w:val="-3"/>
                <w:szCs w:val="20"/>
              </w:rPr>
              <w:t>ostal za</w:t>
            </w:r>
            <w:r w:rsidRPr="00CA2480">
              <w:rPr>
                <w:spacing w:val="-3"/>
                <w:szCs w:val="20"/>
              </w:rPr>
              <w:t xml:space="preserve"> rozpočtovým očekáváním</w:t>
            </w:r>
            <w:r>
              <w:rPr>
                <w:spacing w:val="-3"/>
                <w:szCs w:val="20"/>
              </w:rPr>
              <w:t>. Růst výběru daně z tabákových výrobků zůstal totiž slabý</w:t>
            </w:r>
            <w:r>
              <w:rPr>
                <w:rStyle w:val="Znakapoznpodarou"/>
                <w:spacing w:val="-3"/>
                <w:szCs w:val="20"/>
              </w:rPr>
              <w:footnoteReference w:id="19"/>
            </w:r>
            <w:r>
              <w:rPr>
                <w:spacing w:val="-3"/>
                <w:szCs w:val="20"/>
              </w:rPr>
              <w:t xml:space="preserve"> a v případě daně z lihu či piva se dokonce mírně snižoval, což korespondovalo s dlouhodobějšími trendy v tuzemské spotřebě těchto komodit. Výběr daně </w:t>
            </w:r>
            <w:r w:rsidRPr="00CA2480">
              <w:rPr>
                <w:spacing w:val="-4"/>
                <w:szCs w:val="20"/>
              </w:rPr>
              <w:t>z minerálních</w:t>
            </w:r>
            <w:r w:rsidRPr="00CA2480">
              <w:rPr>
                <w:spacing w:val="-3"/>
                <w:szCs w:val="20"/>
              </w:rPr>
              <w:t xml:space="preserve"> olejů</w:t>
            </w:r>
            <w:r>
              <w:rPr>
                <w:spacing w:val="-3"/>
                <w:szCs w:val="20"/>
              </w:rPr>
              <w:t xml:space="preserve"> vzrostl o 3,5 %, neboť se zde pozitivně projevoval růst přepravních výkonů (ve vazbě na rozvíjející se zahraniční obchod v Česku). Negativně se ovšem s mírným zpožděním začalo projevovat dočasné snížení daně u nafty</w:t>
            </w:r>
            <w:r>
              <w:rPr>
                <w:rStyle w:val="Znakapoznpodarou"/>
                <w:spacing w:val="-3"/>
                <w:szCs w:val="20"/>
              </w:rPr>
              <w:footnoteReference w:id="20"/>
            </w:r>
            <w:r>
              <w:rPr>
                <w:spacing w:val="-3"/>
                <w:szCs w:val="20"/>
              </w:rPr>
              <w:t>.</w:t>
            </w:r>
          </w:p>
        </w:tc>
      </w:tr>
      <w:tr w:rsidR="006B1AFC" w:rsidRPr="00FC6700" w14:paraId="4C302590" w14:textId="77777777" w:rsidTr="003C4A79">
        <w:trPr>
          <w:trHeight w:val="60"/>
        </w:trPr>
        <w:tc>
          <w:tcPr>
            <w:tcW w:w="1803" w:type="dxa"/>
            <w:tcMar>
              <w:left w:w="0" w:type="dxa"/>
            </w:tcMar>
          </w:tcPr>
          <w:p w14:paraId="09337AD7" w14:textId="77777777" w:rsidR="006B1AFC" w:rsidRDefault="006B1AFC" w:rsidP="003C4A79">
            <w:pPr>
              <w:pStyle w:val="Marginlie"/>
              <w:rPr>
                <w:spacing w:val="0"/>
              </w:rPr>
            </w:pPr>
            <w:r>
              <w:rPr>
                <w:spacing w:val="0"/>
              </w:rPr>
              <w:lastRenderedPageBreak/>
              <w:t>Svižný růst daně z příjmu fyzických osob i vlivem jejich příznivého postavení na trhu práce pokračoval. Inkaso posilovala také přetrvávající vysoká míra úspor domácností.</w:t>
            </w:r>
          </w:p>
          <w:p w14:paraId="16FC484C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676E5C4E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0FD80E3B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6EA6A481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0A01D61D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037FC3B9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578431A0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0570A16B" w14:textId="77777777" w:rsidR="006B1AFC" w:rsidRDefault="006B1AFC" w:rsidP="003C4A79">
            <w:pPr>
              <w:pStyle w:val="Marginlie"/>
              <w:rPr>
                <w:spacing w:val="0"/>
              </w:rPr>
            </w:pPr>
            <w:r>
              <w:rPr>
                <w:spacing w:val="0"/>
              </w:rPr>
              <w:t>Růst výběru korporátní daně lehce zrychloval. Naplno se projevil efekt zvýšení daňové sazby.</w:t>
            </w:r>
          </w:p>
          <w:p w14:paraId="4CED34A0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</w:tc>
        <w:tc>
          <w:tcPr>
            <w:tcW w:w="203" w:type="dxa"/>
            <w:tcMar>
              <w:left w:w="0" w:type="dxa"/>
            </w:tcMar>
          </w:tcPr>
          <w:p w14:paraId="4308C527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428039A4" w14:textId="77777777" w:rsidR="006B1AFC" w:rsidRPr="00290DF5" w:rsidRDefault="006B1AFC" w:rsidP="003C4A79">
            <w:pPr>
              <w:spacing w:after="180"/>
              <w:rPr>
                <w:color w:val="0D0D0D" w:themeColor="text1" w:themeTint="F2"/>
                <w:spacing w:val="-2"/>
              </w:rPr>
            </w:pPr>
            <w:r>
              <w:rPr>
                <w:spacing w:val="-3"/>
                <w:szCs w:val="20"/>
              </w:rPr>
              <w:t xml:space="preserve">V rámci přímých daní rostlo nejvíce inkaso </w:t>
            </w:r>
            <w:r w:rsidRPr="002C435A">
              <w:rPr>
                <w:color w:val="0D0D0D" w:themeColor="text1" w:themeTint="F2"/>
                <w:spacing w:val="-2"/>
              </w:rPr>
              <w:t>daně z příjmů fyzických osob (</w:t>
            </w:r>
            <w:r w:rsidRPr="00290DF5">
              <w:rPr>
                <w:color w:val="0D0D0D" w:themeColor="text1" w:themeTint="F2"/>
                <w:spacing w:val="-2"/>
              </w:rPr>
              <w:t>DPFO)</w:t>
            </w:r>
            <w:r>
              <w:rPr>
                <w:color w:val="0D0D0D" w:themeColor="text1" w:themeTint="F2"/>
                <w:spacing w:val="-2"/>
              </w:rPr>
              <w:t xml:space="preserve">, a to </w:t>
            </w:r>
            <w:r>
              <w:rPr>
                <w:color w:val="0D0D0D" w:themeColor="text1" w:themeTint="F2"/>
                <w:spacing w:val="-2"/>
              </w:rPr>
              <w:br/>
              <w:t xml:space="preserve">o 8,1 %. Největší vliv zde měl vyšší výběr </w:t>
            </w:r>
            <w:r w:rsidRPr="00290DF5">
              <w:rPr>
                <w:color w:val="0D0D0D" w:themeColor="text1" w:themeTint="F2"/>
                <w:spacing w:val="-2"/>
              </w:rPr>
              <w:t>DPFO odveden</w:t>
            </w:r>
            <w:r>
              <w:rPr>
                <w:color w:val="0D0D0D" w:themeColor="text1" w:themeTint="F2"/>
                <w:spacing w:val="-2"/>
              </w:rPr>
              <w:t>é</w:t>
            </w:r>
            <w:r w:rsidRPr="00290DF5">
              <w:rPr>
                <w:color w:val="0D0D0D" w:themeColor="text1" w:themeTint="F2"/>
                <w:spacing w:val="-2"/>
              </w:rPr>
              <w:t xml:space="preserve"> plátci (resp. ze </w:t>
            </w:r>
            <w:r w:rsidRPr="002C435A">
              <w:rPr>
                <w:color w:val="0D0D0D" w:themeColor="text1" w:themeTint="F2"/>
                <w:spacing w:val="-2"/>
              </w:rPr>
              <w:t xml:space="preserve">závislé činnosti), </w:t>
            </w:r>
            <w:r>
              <w:rPr>
                <w:color w:val="0D0D0D" w:themeColor="text1" w:themeTint="F2"/>
                <w:spacing w:val="-2"/>
              </w:rPr>
              <w:t>na níž SR získal v 1. pololetí meziročně</w:t>
            </w:r>
            <w:r w:rsidRPr="00290DF5">
              <w:rPr>
                <w:color w:val="0D0D0D" w:themeColor="text1" w:themeTint="F2"/>
                <w:spacing w:val="-2"/>
              </w:rPr>
              <w:t xml:space="preserve"> o</w:t>
            </w:r>
            <w:r>
              <w:rPr>
                <w:color w:val="0D0D0D" w:themeColor="text1" w:themeTint="F2"/>
                <w:spacing w:val="-2"/>
              </w:rPr>
              <w:t xml:space="preserve"> 6,9</w:t>
            </w:r>
            <w:r w:rsidRPr="00290DF5">
              <w:rPr>
                <w:color w:val="0D0D0D" w:themeColor="text1" w:themeTint="F2"/>
                <w:spacing w:val="-2"/>
              </w:rPr>
              <w:t xml:space="preserve"> %</w:t>
            </w:r>
            <w:r>
              <w:rPr>
                <w:color w:val="0D0D0D" w:themeColor="text1" w:themeTint="F2"/>
                <w:spacing w:val="-2"/>
              </w:rPr>
              <w:t xml:space="preserve"> více.</w:t>
            </w:r>
            <w:r w:rsidRPr="00290DF5">
              <w:rPr>
                <w:color w:val="0D0D0D" w:themeColor="text1" w:themeTint="F2"/>
                <w:spacing w:val="-2"/>
              </w:rPr>
              <w:t xml:space="preserve"> Dynamika růstu této položky na úrovni všech veřejných rozpočtů zůstává přibližně srovnatelná jako loni, což korespondovalo se stabilním nominálním růstem průměrné mzdy i</w:t>
            </w:r>
            <w:r>
              <w:rPr>
                <w:color w:val="0D0D0D" w:themeColor="text1" w:themeTint="F2"/>
                <w:spacing w:val="-2"/>
              </w:rPr>
              <w:t xml:space="preserve"> s</w:t>
            </w:r>
            <w:r w:rsidRPr="00290DF5">
              <w:rPr>
                <w:color w:val="0D0D0D" w:themeColor="text1" w:themeTint="F2"/>
                <w:spacing w:val="-2"/>
              </w:rPr>
              <w:t xml:space="preserve"> přetrvávajícím mírným posilováním </w:t>
            </w:r>
            <w:r>
              <w:rPr>
                <w:color w:val="0D0D0D" w:themeColor="text1" w:themeTint="F2"/>
                <w:spacing w:val="-2"/>
              </w:rPr>
              <w:t xml:space="preserve">počtu </w:t>
            </w:r>
            <w:r w:rsidRPr="00290DF5">
              <w:rPr>
                <w:color w:val="0D0D0D" w:themeColor="text1" w:themeTint="F2"/>
                <w:spacing w:val="-2"/>
              </w:rPr>
              <w:t>zaměstnan</w:t>
            </w:r>
            <w:r>
              <w:rPr>
                <w:color w:val="0D0D0D" w:themeColor="text1" w:themeTint="F2"/>
                <w:spacing w:val="-2"/>
              </w:rPr>
              <w:t>ců</w:t>
            </w:r>
            <w:r w:rsidRPr="00290DF5">
              <w:rPr>
                <w:color w:val="0D0D0D" w:themeColor="text1" w:themeTint="F2"/>
                <w:spacing w:val="-2"/>
              </w:rPr>
              <w:t xml:space="preserve"> v</w:t>
            </w:r>
            <w:r>
              <w:rPr>
                <w:color w:val="0D0D0D" w:themeColor="text1" w:themeTint="F2"/>
                <w:spacing w:val="-2"/>
              </w:rPr>
              <w:t> </w:t>
            </w:r>
            <w:r w:rsidRPr="00290DF5">
              <w:rPr>
                <w:color w:val="0D0D0D" w:themeColor="text1" w:themeTint="F2"/>
                <w:spacing w:val="-2"/>
              </w:rPr>
              <w:t>ekonomice</w:t>
            </w:r>
            <w:r>
              <w:rPr>
                <w:color w:val="0D0D0D" w:themeColor="text1" w:themeTint="F2"/>
                <w:spacing w:val="-2"/>
              </w:rPr>
              <w:t xml:space="preserve">. </w:t>
            </w:r>
            <w:r>
              <w:rPr>
                <w:color w:val="0D0D0D" w:themeColor="text1" w:themeTint="F2"/>
              </w:rPr>
              <w:t>V</w:t>
            </w:r>
            <w:r w:rsidRPr="00FC6700">
              <w:rPr>
                <w:color w:val="0D0D0D" w:themeColor="text1" w:themeTint="F2"/>
              </w:rPr>
              <w:t xml:space="preserve">ýběr </w:t>
            </w:r>
            <w:r w:rsidRPr="002C435A">
              <w:rPr>
                <w:color w:val="0D0D0D" w:themeColor="text1" w:themeTint="F2"/>
              </w:rPr>
              <w:t>DPFO placené poplatníky (hlavně</w:t>
            </w:r>
            <w:r w:rsidRPr="00FC6700">
              <w:rPr>
                <w:color w:val="0D0D0D" w:themeColor="text1" w:themeTint="F2"/>
              </w:rPr>
              <w:t xml:space="preserve"> ze samostatné výdělečné činnosti)</w:t>
            </w:r>
            <w:r>
              <w:rPr>
                <w:color w:val="0D0D0D" w:themeColor="text1" w:themeTint="F2"/>
              </w:rPr>
              <w:t xml:space="preserve"> po svižném loňském růstu souvisejícím s legislativními změnami</w:t>
            </w:r>
            <w:r>
              <w:rPr>
                <w:rStyle w:val="Znakapoznpodarou"/>
                <w:color w:val="0D0D0D" w:themeColor="text1" w:themeTint="F2"/>
              </w:rPr>
              <w:footnoteReference w:id="21"/>
            </w:r>
            <w:r>
              <w:rPr>
                <w:color w:val="0D0D0D" w:themeColor="text1" w:themeTint="F2"/>
              </w:rPr>
              <w:t xml:space="preserve"> letos v 1. pololetí 2026 zvolnil, i tak ale zůstal vysoký </w:t>
            </w:r>
            <w:r>
              <w:rPr>
                <w:color w:val="0D0D0D" w:themeColor="text1" w:themeTint="F2"/>
              </w:rPr>
              <w:br/>
              <w:t>(+24,8 %). V inkasu se obdobně jako loni pozitivně projevuje rostoucí počet drobných podnikatelů.</w:t>
            </w:r>
            <w:r>
              <w:rPr>
                <w:color w:val="0D0D0D" w:themeColor="text1" w:themeTint="F2"/>
                <w:spacing w:val="-2"/>
              </w:rPr>
              <w:t xml:space="preserve"> Po loňském spíše ojedinělém poklesu se opět zvýšilo </w:t>
            </w:r>
            <w:r w:rsidRPr="002C435A">
              <w:rPr>
                <w:color w:val="0D0D0D" w:themeColor="text1" w:themeTint="F2"/>
                <w:spacing w:val="-2"/>
              </w:rPr>
              <w:t>inkaso DPFO vybírané srážkou (+6</w:t>
            </w:r>
            <w:r>
              <w:rPr>
                <w:color w:val="0D0D0D" w:themeColor="text1" w:themeTint="F2"/>
                <w:spacing w:val="-2"/>
              </w:rPr>
              <w:t>,2</w:t>
            </w:r>
            <w:r>
              <w:rPr>
                <w:color w:val="0D0D0D" w:themeColor="text1" w:themeTint="F2"/>
              </w:rPr>
              <w:t> </w:t>
            </w:r>
            <w:r>
              <w:rPr>
                <w:color w:val="0D0D0D" w:themeColor="text1" w:themeTint="F2"/>
                <w:spacing w:val="-2"/>
              </w:rPr>
              <w:t xml:space="preserve">%). Při stabilních úrokových </w:t>
            </w:r>
            <w:r w:rsidRPr="00A412DA">
              <w:rPr>
                <w:color w:val="0D0D0D" w:themeColor="text1" w:themeTint="F2"/>
                <w:spacing w:val="-2"/>
              </w:rPr>
              <w:t>sazbách na vkladech se patrně projevil dopad relativně vysoké míry úspor domácností. Výběr daně z příjmů právnických osob (</w:t>
            </w:r>
            <w:r w:rsidRPr="00A412DA">
              <w:rPr>
                <w:color w:val="0D0D0D" w:themeColor="text1" w:themeTint="F2"/>
                <w:spacing w:val="-2"/>
                <w:szCs w:val="20"/>
              </w:rPr>
              <w:t>bez</w:t>
            </w:r>
            <w:r w:rsidRPr="00290DF5">
              <w:rPr>
                <w:color w:val="0D0D0D" w:themeColor="text1" w:themeTint="F2"/>
                <w:spacing w:val="-2"/>
                <w:szCs w:val="20"/>
              </w:rPr>
              <w:t xml:space="preserve"> </w:t>
            </w:r>
            <w:r w:rsidRPr="00290DF5">
              <w:rPr>
                <w:spacing w:val="-2"/>
                <w:szCs w:val="20"/>
              </w:rPr>
              <w:t>mimořádných daní</w:t>
            </w:r>
            <w:r>
              <w:rPr>
                <w:spacing w:val="-2"/>
                <w:szCs w:val="20"/>
              </w:rPr>
              <w:t>)</w:t>
            </w:r>
            <w:r>
              <w:rPr>
                <w:color w:val="0D0D0D" w:themeColor="text1" w:themeTint="F2"/>
                <w:spacing w:val="-2"/>
              </w:rPr>
              <w:t xml:space="preserve"> letos vzrostl (+4,2 </w:t>
            </w:r>
            <w:r w:rsidRPr="00290DF5">
              <w:rPr>
                <w:color w:val="0D0D0D" w:themeColor="text1" w:themeTint="F2"/>
                <w:spacing w:val="-2"/>
              </w:rPr>
              <w:t>%</w:t>
            </w:r>
            <w:r>
              <w:rPr>
                <w:color w:val="0D0D0D" w:themeColor="text1" w:themeTint="F2"/>
                <w:spacing w:val="-2"/>
              </w:rPr>
              <w:t xml:space="preserve">). </w:t>
            </w:r>
            <w:r w:rsidRPr="00290DF5">
              <w:rPr>
                <w:color w:val="0D0D0D" w:themeColor="text1" w:themeTint="F2"/>
                <w:spacing w:val="-2"/>
              </w:rPr>
              <w:t xml:space="preserve">Tempo na úrovni všech veřejných rozpočtů naznačuje, že růst výběru korporátní daně ve srovnání s rokem 2025 díky pokračujícímu </w:t>
            </w:r>
            <w:r w:rsidRPr="00BD4CC7">
              <w:rPr>
                <w:color w:val="0D0D0D" w:themeColor="text1" w:themeTint="F2"/>
                <w:spacing w:val="-2"/>
              </w:rPr>
              <w:t xml:space="preserve">hospodářskému oživení </w:t>
            </w:r>
            <w:r>
              <w:rPr>
                <w:color w:val="0D0D0D" w:themeColor="text1" w:themeTint="F2"/>
                <w:spacing w:val="-2"/>
              </w:rPr>
              <w:t xml:space="preserve">i rostoucí sazbě daně </w:t>
            </w:r>
            <w:r w:rsidRPr="00BD4CC7">
              <w:rPr>
                <w:color w:val="0D0D0D" w:themeColor="text1" w:themeTint="F2"/>
                <w:spacing w:val="-2"/>
              </w:rPr>
              <w:t>dále lehce zrychloval. Inkaso mimořádných firemních daní</w:t>
            </w:r>
            <w:r w:rsidRPr="00BD4CC7">
              <w:rPr>
                <w:rStyle w:val="Znakapoznpodarou"/>
                <w:color w:val="0D0D0D" w:themeColor="text1" w:themeTint="F2"/>
                <w:spacing w:val="-2"/>
              </w:rPr>
              <w:footnoteReference w:id="22"/>
            </w:r>
            <w:r w:rsidRPr="00BD4CC7">
              <w:rPr>
                <w:color w:val="0D0D0D" w:themeColor="text1" w:themeTint="F2"/>
                <w:spacing w:val="-2"/>
              </w:rPr>
              <w:t xml:space="preserve"> v</w:t>
            </w:r>
            <w:r>
              <w:rPr>
                <w:color w:val="0D0D0D" w:themeColor="text1" w:themeTint="F2"/>
                <w:spacing w:val="-2"/>
              </w:rPr>
              <w:t> </w:t>
            </w:r>
            <w:r w:rsidRPr="00BD4CC7">
              <w:rPr>
                <w:color w:val="0D0D0D" w:themeColor="text1" w:themeTint="F2"/>
                <w:spacing w:val="-2"/>
              </w:rPr>
              <w:t xml:space="preserve">letošním pololetí činilo </w:t>
            </w:r>
            <w:r>
              <w:rPr>
                <w:color w:val="0D0D0D" w:themeColor="text1" w:themeTint="F2"/>
                <w:spacing w:val="-2"/>
              </w:rPr>
              <w:t>jen</w:t>
            </w:r>
            <w:r w:rsidRPr="00BD4CC7">
              <w:rPr>
                <w:color w:val="0D0D0D" w:themeColor="text1" w:themeTint="F2"/>
                <w:spacing w:val="-2"/>
              </w:rPr>
              <w:t xml:space="preserve"> 0,7 mld. korun, meziročně o 21,0 mld. méně. </w:t>
            </w:r>
          </w:p>
        </w:tc>
      </w:tr>
      <w:tr w:rsidR="006B1AFC" w:rsidRPr="00FC6700" w14:paraId="1DF9CA07" w14:textId="77777777" w:rsidTr="003C4A79">
        <w:trPr>
          <w:trHeight w:val="60"/>
        </w:trPr>
        <w:tc>
          <w:tcPr>
            <w:tcW w:w="1803" w:type="dxa"/>
            <w:tcMar>
              <w:left w:w="0" w:type="dxa"/>
            </w:tcMar>
          </w:tcPr>
          <w:p w14:paraId="6E1DEF1C" w14:textId="77777777" w:rsidR="006B1AFC" w:rsidRPr="00FC6700" w:rsidRDefault="006B1AFC" w:rsidP="003C4A79">
            <w:pPr>
              <w:pStyle w:val="Marginlie"/>
              <w:rPr>
                <w:spacing w:val="0"/>
              </w:rPr>
            </w:pPr>
            <w:r w:rsidRPr="00FC6700">
              <w:rPr>
                <w:spacing w:val="0"/>
              </w:rPr>
              <w:t> </w:t>
            </w:r>
          </w:p>
        </w:tc>
        <w:tc>
          <w:tcPr>
            <w:tcW w:w="203" w:type="dxa"/>
            <w:tcMar>
              <w:left w:w="0" w:type="dxa"/>
            </w:tcMar>
          </w:tcPr>
          <w:p w14:paraId="0D6AF14C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5AB7A848" w14:textId="77777777" w:rsidR="006B1AFC" w:rsidRDefault="006B1AFC" w:rsidP="003C4A79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  <w:r w:rsidRPr="00FC6700">
              <w:rPr>
                <w:rFonts w:cs="Arial"/>
                <w:b/>
                <w:bCs/>
                <w:color w:val="000000"/>
                <w:szCs w:val="20"/>
              </w:rPr>
              <w:t>Graf č. </w:t>
            </w:r>
            <w:r>
              <w:rPr>
                <w:rFonts w:cs="Arial"/>
                <w:b/>
                <w:bCs/>
                <w:color w:val="000000"/>
                <w:szCs w:val="20"/>
              </w:rPr>
              <w:t>18</w:t>
            </w:r>
            <w:r w:rsidRPr="00FC670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Rozklad meziročního růstu</w:t>
            </w:r>
            <w:r w:rsidRPr="00FC6700">
              <w:rPr>
                <w:rFonts w:cs="Arial"/>
                <w:b/>
                <w:bCs/>
                <w:color w:val="000000"/>
                <w:szCs w:val="20"/>
              </w:rPr>
              <w:t xml:space="preserve"> celostátní</w:t>
            </w:r>
            <w:r>
              <w:rPr>
                <w:rFonts w:cs="Arial"/>
                <w:b/>
                <w:bCs/>
                <w:color w:val="000000"/>
                <w:szCs w:val="20"/>
              </w:rPr>
              <w:t>ho</w:t>
            </w:r>
            <w:r w:rsidRPr="00FC670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daňového </w:t>
            </w:r>
            <w:r w:rsidRPr="00FC6700">
              <w:rPr>
                <w:rFonts w:cs="Arial"/>
                <w:b/>
                <w:bCs/>
                <w:color w:val="000000"/>
                <w:szCs w:val="20"/>
              </w:rPr>
              <w:t>inkas</w:t>
            </w:r>
            <w:r>
              <w:rPr>
                <w:rFonts w:cs="Arial"/>
                <w:b/>
                <w:bCs/>
                <w:color w:val="000000"/>
                <w:szCs w:val="20"/>
              </w:rPr>
              <w:t>a* za 1. pololetí</w:t>
            </w:r>
          </w:p>
          <w:p w14:paraId="52BFAA6C" w14:textId="77777777" w:rsidR="006B1AFC" w:rsidRPr="00C63456" w:rsidRDefault="006B1AFC" w:rsidP="003C4A79">
            <w:pPr>
              <w:spacing w:after="20"/>
              <w:rPr>
                <w:rFonts w:cs="Arial"/>
                <w:b/>
                <w:bCs/>
                <w:color w:val="000000"/>
                <w:szCs w:val="20"/>
              </w:rPr>
            </w:pPr>
            <w:r w:rsidRPr="00FC6700">
              <w:rPr>
                <w:rFonts w:cs="Arial"/>
                <w:bCs/>
                <w:color w:val="000000"/>
                <w:szCs w:val="20"/>
              </w:rPr>
              <w:t>(</w:t>
            </w:r>
            <w:r>
              <w:rPr>
                <w:rFonts w:cs="Arial"/>
                <w:bCs/>
                <w:color w:val="000000"/>
                <w:szCs w:val="20"/>
              </w:rPr>
              <w:t xml:space="preserve">příspěvky k růstu, </w:t>
            </w:r>
            <w:r w:rsidRPr="00FC6700">
              <w:rPr>
                <w:rFonts w:cs="Arial"/>
                <w:bCs/>
                <w:color w:val="000000"/>
                <w:szCs w:val="20"/>
              </w:rPr>
              <w:t>v p. b.)</w:t>
            </w:r>
          </w:p>
        </w:tc>
      </w:tr>
      <w:tr w:rsidR="006B1AFC" w:rsidRPr="00FC6700" w14:paraId="731140E7" w14:textId="77777777" w:rsidTr="003C4A79">
        <w:tblPrEx>
          <w:tblCellMar>
            <w:left w:w="70" w:type="dxa"/>
            <w:right w:w="70" w:type="dxa"/>
          </w:tblCellMar>
        </w:tblPrEx>
        <w:trPr>
          <w:trHeight w:val="60"/>
        </w:trPr>
        <w:tc>
          <w:tcPr>
            <w:tcW w:w="1803" w:type="dxa"/>
          </w:tcPr>
          <w:p w14:paraId="12C82B63" w14:textId="77777777" w:rsidR="006B1AFC" w:rsidRPr="00FC6700" w:rsidRDefault="006B1AFC" w:rsidP="003C4A79">
            <w:pPr>
              <w:pStyle w:val="Marginlie"/>
              <w:rPr>
                <w:spacing w:val="0"/>
              </w:rPr>
            </w:pPr>
          </w:p>
        </w:tc>
        <w:tc>
          <w:tcPr>
            <w:tcW w:w="203" w:type="dxa"/>
          </w:tcPr>
          <w:p w14:paraId="24353B53" w14:textId="77777777" w:rsidR="006B1AFC" w:rsidRPr="00FC6700" w:rsidRDefault="006B1AFC" w:rsidP="003C4A79">
            <w:pPr>
              <w:pStyle w:val="Textpoznpodarou"/>
              <w:jc w:val="both"/>
            </w:pPr>
          </w:p>
          <w:p w14:paraId="2931A822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</w:tcPr>
          <w:p w14:paraId="710BF70A" w14:textId="77777777" w:rsidR="006B1AFC" w:rsidRPr="00FC6700" w:rsidRDefault="006B1AFC" w:rsidP="003C4A79">
            <w:pPr>
              <w:spacing w:before="20" w:after="20"/>
              <w:rPr>
                <w:color w:val="0D0D0D" w:themeColor="text1" w:themeTint="F2"/>
              </w:rPr>
            </w:pPr>
            <w:r>
              <w:rPr>
                <w:noProof/>
              </w:rPr>
              <w:drawing>
                <wp:inline distT="0" distB="0" distL="0" distR="0" wp14:anchorId="0A807E69" wp14:editId="7E7E2FFF">
                  <wp:extent cx="4743450" cy="3060000"/>
                  <wp:effectExtent l="0" t="0" r="0" b="7620"/>
                  <wp:docPr id="543181200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666F18-10AB-49F5-B82F-16F4FB5BF3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6B1AFC" w:rsidRPr="00FC6700" w14:paraId="7CFB9B39" w14:textId="77777777" w:rsidTr="003C4A79">
        <w:tblPrEx>
          <w:tblCellMar>
            <w:left w:w="70" w:type="dxa"/>
            <w:right w:w="70" w:type="dxa"/>
          </w:tblCellMar>
        </w:tblPrEx>
        <w:trPr>
          <w:trHeight w:val="170"/>
        </w:trPr>
        <w:tc>
          <w:tcPr>
            <w:tcW w:w="1803" w:type="dxa"/>
          </w:tcPr>
          <w:p w14:paraId="77F3CAF0" w14:textId="77777777" w:rsidR="006B1AFC" w:rsidRPr="00FC6700" w:rsidRDefault="006B1AFC" w:rsidP="003C4A79">
            <w:pPr>
              <w:pStyle w:val="Marginlie"/>
              <w:rPr>
                <w:spacing w:val="0"/>
              </w:rPr>
            </w:pPr>
          </w:p>
        </w:tc>
        <w:tc>
          <w:tcPr>
            <w:tcW w:w="203" w:type="dxa"/>
          </w:tcPr>
          <w:p w14:paraId="5EBD3E1D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</w:tcPr>
          <w:p w14:paraId="1D04D227" w14:textId="77777777" w:rsidR="006B1AFC" w:rsidRDefault="006B1AFC" w:rsidP="003C4A79">
            <w:pPr>
              <w:tabs>
                <w:tab w:val="right" w:pos="7683"/>
              </w:tabs>
              <w:spacing w:after="0" w:line="240" w:lineRule="auto"/>
              <w:ind w:left="-70" w:right="-5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*Jde o inkaso (bez pojistného na sociální zabezpečení) na úrovni všech veřejných rozpočtů ČR. V jeho výši je tak eliminován vliv změn v rozpočtovém určení daní.</w:t>
            </w:r>
          </w:p>
          <w:p w14:paraId="5CFEE00F" w14:textId="77777777" w:rsidR="006B1AFC" w:rsidRPr="00736213" w:rsidRDefault="006B1AFC" w:rsidP="003C4A79">
            <w:pPr>
              <w:tabs>
                <w:tab w:val="right" w:pos="7683"/>
              </w:tabs>
              <w:spacing w:after="0" w:line="240" w:lineRule="auto"/>
              <w:ind w:left="-70" w:right="-54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Poznámka: </w:t>
            </w:r>
            <w:r w:rsidRPr="00FC6700">
              <w:rPr>
                <w:sz w:val="14"/>
                <w:szCs w:val="14"/>
              </w:rPr>
              <w:t>Ostatní daně a poplatky obsahují zejména daň z nemovitých věcí, daň z hazardních her, dálniční poplatek, mýtné a</w:t>
            </w:r>
            <w:r>
              <w:rPr>
                <w:sz w:val="14"/>
                <w:szCs w:val="14"/>
              </w:rPr>
              <w:t xml:space="preserve"> v letech 2023 až 2025</w:t>
            </w:r>
            <w:r w:rsidRPr="00FC670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mimořádné firemní daně (</w:t>
            </w:r>
            <w:r w:rsidRPr="00FC6700">
              <w:rPr>
                <w:sz w:val="14"/>
                <w:szCs w:val="14"/>
              </w:rPr>
              <w:t>odvod z nadměrných příjmů a</w:t>
            </w:r>
            <w:r>
              <w:rPr>
                <w:sz w:val="14"/>
                <w:szCs w:val="14"/>
              </w:rPr>
              <w:t xml:space="preserve"> daň z </w:t>
            </w:r>
            <w:r w:rsidRPr="00FC6700">
              <w:rPr>
                <w:sz w:val="14"/>
                <w:szCs w:val="14"/>
              </w:rPr>
              <w:t>neočekávaných zisků</w:t>
            </w:r>
            <w:r>
              <w:rPr>
                <w:sz w:val="14"/>
                <w:szCs w:val="14"/>
              </w:rPr>
              <w:t>)</w:t>
            </w:r>
            <w:r w:rsidRPr="00FC6700">
              <w:rPr>
                <w:sz w:val="14"/>
                <w:szCs w:val="14"/>
              </w:rPr>
              <w:t>.</w:t>
            </w:r>
          </w:p>
          <w:p w14:paraId="38E67AA3" w14:textId="77777777" w:rsidR="006B1AFC" w:rsidRPr="00FC6700" w:rsidRDefault="006B1AFC" w:rsidP="003C4A79">
            <w:pPr>
              <w:spacing w:after="180" w:line="240" w:lineRule="auto"/>
              <w:ind w:left="-70" w:right="-54"/>
              <w:rPr>
                <w:rFonts w:cs="Arial"/>
                <w:b/>
                <w:bCs/>
                <w:color w:val="000000"/>
                <w:szCs w:val="20"/>
              </w:rPr>
            </w:pPr>
            <w:r w:rsidRPr="00FC6700">
              <w:rPr>
                <w:sz w:val="14"/>
                <w:szCs w:val="14"/>
              </w:rPr>
              <w:t>Zdroj: MF ČR</w:t>
            </w:r>
          </w:p>
        </w:tc>
      </w:tr>
      <w:tr w:rsidR="006B1AFC" w:rsidRPr="00FC6700" w14:paraId="2314D375" w14:textId="77777777" w:rsidTr="003C4A79">
        <w:tblPrEx>
          <w:tblCellMar>
            <w:left w:w="70" w:type="dxa"/>
            <w:right w:w="70" w:type="dxa"/>
          </w:tblCellMar>
        </w:tblPrEx>
        <w:trPr>
          <w:trHeight w:val="170"/>
        </w:trPr>
        <w:tc>
          <w:tcPr>
            <w:tcW w:w="1803" w:type="dxa"/>
          </w:tcPr>
          <w:p w14:paraId="5B7EDC02" w14:textId="77777777" w:rsidR="006B1AFC" w:rsidRDefault="006B1AFC" w:rsidP="003C4A79">
            <w:pPr>
              <w:pStyle w:val="Marginlie"/>
              <w:ind w:left="-45"/>
              <w:rPr>
                <w:spacing w:val="0"/>
              </w:rPr>
            </w:pPr>
            <w:r w:rsidRPr="003B7A8B">
              <w:rPr>
                <w:color w:val="0D0D0D" w:themeColor="text1" w:themeTint="F2"/>
                <w:spacing w:val="0"/>
                <w:szCs w:val="20"/>
              </w:rPr>
              <w:t>Nedaňové a kapitálové příjmy i přijaté transfery SR se meziročně</w:t>
            </w:r>
            <w:r>
              <w:rPr>
                <w:spacing w:val="0"/>
              </w:rPr>
              <w:t xml:space="preserve"> zvýšily </w:t>
            </w:r>
            <w:r w:rsidRPr="003B7A8B">
              <w:rPr>
                <w:spacing w:val="0"/>
              </w:rPr>
              <w:t>d</w:t>
            </w:r>
            <w:r>
              <w:rPr>
                <w:spacing w:val="0"/>
              </w:rPr>
              <w:t xml:space="preserve">íky posílení příjmů z rozpočtu EU </w:t>
            </w:r>
            <w:r>
              <w:rPr>
                <w:spacing w:val="0"/>
              </w:rPr>
              <w:br/>
              <w:t xml:space="preserve">a </w:t>
            </w:r>
            <w:r w:rsidRPr="00AB3EA7">
              <w:rPr>
                <w:spacing w:val="-4"/>
              </w:rPr>
              <w:t>finančních mechanismů.</w:t>
            </w:r>
          </w:p>
          <w:p w14:paraId="2CCB0DC6" w14:textId="77777777" w:rsidR="006B1AFC" w:rsidRPr="00FC6700" w:rsidRDefault="006B1AFC" w:rsidP="003C4A79">
            <w:pPr>
              <w:pStyle w:val="Marginlie"/>
              <w:rPr>
                <w:spacing w:val="0"/>
              </w:rPr>
            </w:pPr>
          </w:p>
        </w:tc>
        <w:tc>
          <w:tcPr>
            <w:tcW w:w="203" w:type="dxa"/>
          </w:tcPr>
          <w:p w14:paraId="04DC1EA1" w14:textId="77777777" w:rsidR="006B1AFC" w:rsidRPr="00FC6700" w:rsidRDefault="006B1AFC" w:rsidP="003C4A79">
            <w:pPr>
              <w:pStyle w:val="Textpoznpodarou"/>
            </w:pPr>
          </w:p>
        </w:tc>
        <w:tc>
          <w:tcPr>
            <w:tcW w:w="7663" w:type="dxa"/>
          </w:tcPr>
          <w:p w14:paraId="0B8FB4B9" w14:textId="77777777" w:rsidR="006B1AFC" w:rsidRDefault="006B1AFC" w:rsidP="00366728">
            <w:pPr>
              <w:tabs>
                <w:tab w:val="right" w:pos="7683"/>
              </w:tabs>
              <w:spacing w:after="0"/>
              <w:ind w:left="-70" w:right="-54"/>
              <w:rPr>
                <w:sz w:val="14"/>
                <w:szCs w:val="14"/>
              </w:rPr>
            </w:pPr>
            <w:r w:rsidRPr="00C936B5">
              <w:rPr>
                <w:color w:val="0D0D0D" w:themeColor="text1" w:themeTint="F2"/>
                <w:spacing w:val="-2"/>
                <w:szCs w:val="20"/>
              </w:rPr>
              <w:t>Nedaňové a kapitálové příjmy i přijaté transfery SR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 se v 1. pololetí meziročně zvýšily o</w:t>
            </w:r>
            <w:r>
              <w:rPr>
                <w:color w:val="0D0D0D" w:themeColor="text1" w:themeTint="F2"/>
                <w:spacing w:val="-2"/>
              </w:rPr>
              <w:t> </w:t>
            </w:r>
            <w:r>
              <w:rPr>
                <w:color w:val="0D0D0D" w:themeColor="text1" w:themeTint="F2"/>
                <w:spacing w:val="-2"/>
                <w:szCs w:val="20"/>
              </w:rPr>
              <w:t>šestinu (resp. +14,9 mld. korun). To téměř výhradně souviselo s</w:t>
            </w:r>
            <w:r w:rsidRPr="009407CE">
              <w:rPr>
                <w:color w:val="0D0D0D" w:themeColor="text1" w:themeTint="F2"/>
                <w:spacing w:val="-2"/>
                <w:szCs w:val="20"/>
              </w:rPr>
              <w:t xml:space="preserve"> příjmy prostředků z rozpočtu EU a finančních mechanismů</w:t>
            </w:r>
            <w:r>
              <w:rPr>
                <w:color w:val="0D0D0D" w:themeColor="text1" w:themeTint="F2"/>
                <w:spacing w:val="-2"/>
                <w:szCs w:val="20"/>
              </w:rPr>
              <w:t>, jež byly o více než třetinu vyšší</w:t>
            </w:r>
            <w:r w:rsidRPr="009407CE">
              <w:rPr>
                <w:color w:val="0D0D0D" w:themeColor="text1" w:themeTint="F2"/>
                <w:spacing w:val="-2"/>
                <w:szCs w:val="20"/>
              </w:rPr>
              <w:t xml:space="preserve">. </w:t>
            </w:r>
            <w:r>
              <w:rPr>
                <w:color w:val="0D0D0D" w:themeColor="text1" w:themeTint="F2"/>
                <w:spacing w:val="-2"/>
                <w:szCs w:val="20"/>
              </w:rPr>
              <w:t>Silnější</w:t>
            </w:r>
            <w:r w:rsidRPr="009407CE">
              <w:rPr>
                <w:color w:val="0D0D0D" w:themeColor="text1" w:themeTint="F2"/>
                <w:spacing w:val="-2"/>
                <w:szCs w:val="20"/>
              </w:rPr>
              <w:t xml:space="preserve"> př</w:t>
            </w:r>
            <w:r>
              <w:rPr>
                <w:color w:val="0D0D0D" w:themeColor="text1" w:themeTint="F2"/>
                <w:spacing w:val="-2"/>
                <w:szCs w:val="20"/>
              </w:rPr>
              <w:t>í</w:t>
            </w:r>
            <w:r w:rsidRPr="009407CE">
              <w:rPr>
                <w:color w:val="0D0D0D" w:themeColor="text1" w:themeTint="F2"/>
                <w:spacing w:val="-2"/>
                <w:szCs w:val="20"/>
              </w:rPr>
              <w:t>liv těchto refundací mohl souviset s vysokou investiční aktivitou státu v loňském roce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 </w:t>
            </w:r>
            <w:r>
              <w:rPr>
                <w:color w:val="0D0D0D" w:themeColor="text1" w:themeTint="F2"/>
                <w:spacing w:val="-2"/>
                <w:szCs w:val="20"/>
              </w:rPr>
              <w:br/>
              <w:t>a</w:t>
            </w:r>
            <w:r w:rsidRPr="009407CE">
              <w:rPr>
                <w:color w:val="0D0D0D" w:themeColor="text1" w:themeTint="F2"/>
                <w:spacing w:val="-2"/>
                <w:szCs w:val="20"/>
              </w:rPr>
              <w:t xml:space="preserve"> posilujícím náběhem </w:t>
            </w:r>
            <w:r w:rsidRPr="009407CE">
              <w:rPr>
                <w:color w:val="0D0D0D" w:themeColor="text1" w:themeTint="F2"/>
                <w:spacing w:val="-4"/>
                <w:szCs w:val="20"/>
              </w:rPr>
              <w:t>příjmů z </w:t>
            </w:r>
            <w:r>
              <w:rPr>
                <w:color w:val="0D0D0D" w:themeColor="text1" w:themeTint="F2"/>
                <w:spacing w:val="-4"/>
                <w:szCs w:val="20"/>
              </w:rPr>
              <w:t>programového</w:t>
            </w:r>
            <w:r w:rsidRPr="009407CE">
              <w:rPr>
                <w:color w:val="0D0D0D" w:themeColor="text1" w:themeTint="F2"/>
                <w:spacing w:val="-4"/>
                <w:szCs w:val="20"/>
              </w:rPr>
              <w:t xml:space="preserve"> období 2021–2027 </w:t>
            </w:r>
            <w:r>
              <w:rPr>
                <w:color w:val="0D0D0D" w:themeColor="text1" w:themeTint="F2"/>
                <w:spacing w:val="-4"/>
                <w:szCs w:val="20"/>
              </w:rPr>
              <w:t>i</w:t>
            </w:r>
            <w:r w:rsidRPr="009407CE">
              <w:rPr>
                <w:color w:val="0D0D0D" w:themeColor="text1" w:themeTint="F2"/>
                <w:spacing w:val="-4"/>
                <w:szCs w:val="20"/>
              </w:rPr>
              <w:t xml:space="preserve"> prostředků z Národního plánu obnovy</w:t>
            </w:r>
            <w:r>
              <w:rPr>
                <w:rStyle w:val="Znakapoznpodarou"/>
                <w:color w:val="0D0D0D" w:themeColor="text1" w:themeTint="F2"/>
                <w:spacing w:val="-4"/>
                <w:szCs w:val="20"/>
              </w:rPr>
              <w:footnoteReference w:id="23"/>
            </w:r>
            <w:r w:rsidRPr="009407CE">
              <w:rPr>
                <w:color w:val="0D0D0D" w:themeColor="text1" w:themeTint="F2"/>
                <w:spacing w:val="-4"/>
                <w:szCs w:val="20"/>
              </w:rPr>
              <w:t>. Schválený</w:t>
            </w:r>
            <w:r w:rsidRPr="009407CE">
              <w:rPr>
                <w:color w:val="0D0D0D" w:themeColor="text1" w:themeTint="F2"/>
                <w:spacing w:val="-2"/>
                <w:szCs w:val="20"/>
              </w:rPr>
              <w:t xml:space="preserve"> SR počítá letos s mírným celoročním růstem příjmů z rozpočtu EU a finančních mechanismů (+6,6 %), a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le současně </w:t>
            </w:r>
            <w:r w:rsidRPr="009407CE">
              <w:rPr>
                <w:color w:val="0D0D0D" w:themeColor="text1" w:themeTint="F2"/>
                <w:spacing w:val="-2"/>
                <w:szCs w:val="20"/>
              </w:rPr>
              <w:t>s poklesem celkových nedaňových a</w:t>
            </w:r>
            <w:r>
              <w:rPr>
                <w:color w:val="0D0D0D" w:themeColor="text1" w:themeTint="F2"/>
                <w:spacing w:val="-2"/>
              </w:rPr>
              <w:t> </w:t>
            </w:r>
            <w:r w:rsidRPr="009407CE">
              <w:rPr>
                <w:color w:val="0D0D0D" w:themeColor="text1" w:themeTint="F2"/>
                <w:spacing w:val="-2"/>
                <w:szCs w:val="20"/>
              </w:rPr>
              <w:t>kapitálových příjmů (</w:t>
            </w:r>
            <w:r w:rsidRPr="009407CE">
              <w:rPr>
                <w:spacing w:val="-2"/>
              </w:rPr>
              <w:t>–</w:t>
            </w:r>
            <w:r w:rsidRPr="009407CE">
              <w:rPr>
                <w:color w:val="0D0D0D" w:themeColor="text1" w:themeTint="F2"/>
                <w:spacing w:val="-2"/>
                <w:szCs w:val="20"/>
              </w:rPr>
              <w:t>7,3 %).</w:t>
            </w:r>
          </w:p>
        </w:tc>
      </w:tr>
      <w:tr w:rsidR="006B1AFC" w:rsidRPr="00FC6700" w14:paraId="4CFBE73B" w14:textId="77777777" w:rsidTr="003C4A79">
        <w:trPr>
          <w:trHeight w:val="170"/>
        </w:trPr>
        <w:tc>
          <w:tcPr>
            <w:tcW w:w="9669" w:type="dxa"/>
            <w:gridSpan w:val="3"/>
            <w:tcMar>
              <w:left w:w="0" w:type="dxa"/>
            </w:tcMar>
          </w:tcPr>
          <w:p w14:paraId="7100F675" w14:textId="77777777" w:rsidR="006B1AFC" w:rsidRPr="00D475F2" w:rsidRDefault="006B1AFC" w:rsidP="003C4A79">
            <w:pPr>
              <w:pStyle w:val="Nadpis3"/>
              <w:rPr>
                <w:color w:val="0D0D0D" w:themeColor="text1" w:themeTint="F2"/>
              </w:rPr>
            </w:pPr>
            <w:bookmarkStart w:id="6" w:name="_Toc239947458"/>
            <w:bookmarkStart w:id="7" w:name="_Toc240366910"/>
            <w:r w:rsidRPr="006B2C72">
              <w:rPr>
                <w:lang w:eastAsia="en-US"/>
              </w:rPr>
              <w:lastRenderedPageBreak/>
              <w:t>8.</w:t>
            </w:r>
            <w:r>
              <w:rPr>
                <w:lang w:eastAsia="en-US"/>
              </w:rPr>
              <w:t>3</w:t>
            </w:r>
            <w:r w:rsidRPr="006B2C7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Výdaje státního rozpočtu</w:t>
            </w:r>
            <w:bookmarkEnd w:id="6"/>
            <w:bookmarkEnd w:id="7"/>
          </w:p>
        </w:tc>
      </w:tr>
      <w:tr w:rsidR="006B1AFC" w:rsidRPr="00FC6700" w14:paraId="5E85C43D" w14:textId="77777777" w:rsidTr="003C4A79">
        <w:trPr>
          <w:trHeight w:val="170"/>
        </w:trPr>
        <w:tc>
          <w:tcPr>
            <w:tcW w:w="1803" w:type="dxa"/>
            <w:tcMar>
              <w:left w:w="0" w:type="dxa"/>
            </w:tcMar>
          </w:tcPr>
          <w:p w14:paraId="76E29EAB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  <w:szCs w:val="20"/>
              </w:rPr>
            </w:pPr>
            <w:r>
              <w:rPr>
                <w:color w:val="0D0D0D" w:themeColor="text1" w:themeTint="F2"/>
                <w:spacing w:val="0"/>
                <w:szCs w:val="20"/>
              </w:rPr>
              <w:t xml:space="preserve">Růst celkových výdajů zrychlil. Vedle ukončení rozpočtového provizoria k tomu přispělo </w:t>
            </w:r>
            <w:r>
              <w:rPr>
                <w:color w:val="0D0D0D" w:themeColor="text1" w:themeTint="F2"/>
                <w:spacing w:val="0"/>
                <w:szCs w:val="20"/>
              </w:rPr>
              <w:br/>
              <w:t>i relativně vyšší čerpání objemově významných sociálních dávek.</w:t>
            </w:r>
          </w:p>
          <w:p w14:paraId="6EEDF6F6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  <w:szCs w:val="20"/>
              </w:rPr>
            </w:pPr>
          </w:p>
          <w:p w14:paraId="3A282A7D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  <w:szCs w:val="20"/>
              </w:rPr>
            </w:pPr>
          </w:p>
          <w:p w14:paraId="31F2BF46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  <w:szCs w:val="20"/>
              </w:rPr>
            </w:pPr>
          </w:p>
          <w:p w14:paraId="48A0AD4E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  <w:szCs w:val="20"/>
              </w:rPr>
            </w:pPr>
          </w:p>
          <w:p w14:paraId="5725711C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  <w:szCs w:val="20"/>
              </w:rPr>
            </w:pPr>
          </w:p>
          <w:p w14:paraId="52712EF7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  <w:szCs w:val="20"/>
              </w:rPr>
            </w:pPr>
          </w:p>
          <w:p w14:paraId="5B2393DE" w14:textId="77777777" w:rsidR="006B1AFC" w:rsidRDefault="006B1AFC" w:rsidP="003C4A79">
            <w:pPr>
              <w:pStyle w:val="Marginlie"/>
              <w:rPr>
                <w:color w:val="0D0D0D" w:themeColor="text1" w:themeTint="F2"/>
                <w:spacing w:val="0"/>
                <w:szCs w:val="20"/>
              </w:rPr>
            </w:pPr>
            <w:r>
              <w:rPr>
                <w:color w:val="0D0D0D" w:themeColor="text1" w:themeTint="F2"/>
                <w:spacing w:val="0"/>
                <w:szCs w:val="20"/>
              </w:rPr>
              <w:t xml:space="preserve">Deficit systému důchodového pojištění se třetí rok v řadě významně zmírňoval. </w:t>
            </w:r>
          </w:p>
          <w:p w14:paraId="7EEC9931" w14:textId="77777777" w:rsidR="006B1AFC" w:rsidRPr="003B7A8B" w:rsidRDefault="006B1AFC" w:rsidP="003C4A79">
            <w:pPr>
              <w:pStyle w:val="Marginlie"/>
              <w:rPr>
                <w:color w:val="0D0D0D" w:themeColor="text1" w:themeTint="F2"/>
                <w:spacing w:val="0"/>
                <w:szCs w:val="20"/>
              </w:rPr>
            </w:pPr>
          </w:p>
        </w:tc>
        <w:tc>
          <w:tcPr>
            <w:tcW w:w="203" w:type="dxa"/>
            <w:tcMar>
              <w:left w:w="0" w:type="dxa"/>
            </w:tcMar>
          </w:tcPr>
          <w:p w14:paraId="55BDDC11" w14:textId="77777777" w:rsidR="006B1AFC" w:rsidRPr="003B7A8B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6FB06E56" w14:textId="77777777" w:rsidR="006B1AFC" w:rsidRPr="0021221D" w:rsidRDefault="006B1AFC" w:rsidP="003C4A79">
            <w:pPr>
              <w:spacing w:after="200"/>
              <w:rPr>
                <w:color w:val="0D0D0D" w:themeColor="text1" w:themeTint="F2"/>
              </w:rPr>
            </w:pPr>
            <w:r w:rsidRPr="00D475F2">
              <w:rPr>
                <w:color w:val="0D0D0D" w:themeColor="text1" w:themeTint="F2"/>
              </w:rPr>
              <w:t xml:space="preserve">Celkové výdaje </w:t>
            </w:r>
            <w:r>
              <w:rPr>
                <w:color w:val="0D0D0D" w:themeColor="text1" w:themeTint="F2"/>
              </w:rPr>
              <w:t>státního rozpočtu po uvolnění režimu rozpočtového provizoria letos na jaře výrazněji narostly a za celé pololetí tak byly meziročně vyšší o 6,2 % (+71,2 mld. korun) a toto tempo (nejvyšší za poslední tři roky) zatím více než dvojnásobně překonávalo celoroční rozpočtové očekávání. Na dosaženém růstu se ze dvou třetin podílely běžné výdaje, významnou roli však měly i investice. Posílení běžných výdajů (+4,3 %) bylo takřka z poloviny taženo vyšším čerpáním sociálních dávek</w:t>
            </w:r>
            <w:r>
              <w:rPr>
                <w:rStyle w:val="Znakapoznpodarou"/>
                <w:color w:val="0D0D0D" w:themeColor="text1" w:themeTint="F2"/>
              </w:rPr>
              <w:footnoteReference w:id="24"/>
            </w:r>
            <w:r>
              <w:rPr>
                <w:color w:val="0D0D0D" w:themeColor="text1" w:themeTint="F2"/>
              </w:rPr>
              <w:t>. Podílely se na něm jak výdaje na důchody (meziročně vyšší o 14,0 mld. korun), tak na ostatní dávky (+6,2 mld.). V obou případech se jejich dosavadní letošní růstové tempo pohybovalo mírně nad rozpočtovým očekáváním. Výdaje na důchody se po loňské faktické stagnaci zvýšily o 3,9 %. Při relativně nevýznamné změně počtu jejich příjemců (−0,3 %)</w:t>
            </w:r>
            <w:r>
              <w:rPr>
                <w:rStyle w:val="Znakapoznpodarou"/>
                <w:color w:val="0D0D0D" w:themeColor="text1" w:themeTint="F2"/>
              </w:rPr>
              <w:footnoteReference w:id="25"/>
            </w:r>
            <w:r>
              <w:rPr>
                <w:color w:val="0D0D0D" w:themeColor="text1" w:themeTint="F2"/>
              </w:rPr>
              <w:t xml:space="preserve"> měla na čerpání zásadní vliv řádná valorizace z ledna 2026 navyšující průměrný starobní </w:t>
            </w:r>
            <w:r w:rsidRPr="00F710D5">
              <w:rPr>
                <w:color w:val="0D0D0D" w:themeColor="text1" w:themeTint="F2"/>
              </w:rPr>
              <w:t>důchod o 3,1 %</w:t>
            </w:r>
            <w:r w:rsidRPr="00F710D5">
              <w:rPr>
                <w:rStyle w:val="Znakapoznpodarou"/>
                <w:color w:val="0D0D0D" w:themeColor="text1" w:themeTint="F2"/>
              </w:rPr>
              <w:footnoteReference w:id="26"/>
            </w:r>
            <w:r w:rsidRPr="00F710D5">
              <w:rPr>
                <w:color w:val="0D0D0D" w:themeColor="text1" w:themeTint="F2"/>
              </w:rPr>
              <w:t>. I přes stabilní relativně svižné tempo výběru pojistného na důchody byl opět zaznamenán deficit</w:t>
            </w:r>
            <w:r w:rsidRPr="00F710D5">
              <w:rPr>
                <w:rFonts w:cs="Arial"/>
                <w:color w:val="0D0D0D" w:themeColor="text1" w:themeTint="F2"/>
              </w:rPr>
              <w:t xml:space="preserve"> systému důchodového pojištění</w:t>
            </w:r>
            <w:r w:rsidRPr="00F710D5">
              <w:rPr>
                <w:rStyle w:val="Znakapoznpodarou"/>
                <w:color w:val="0D0D0D" w:themeColor="text1" w:themeTint="F2"/>
              </w:rPr>
              <w:footnoteReference w:id="27"/>
            </w:r>
            <w:r w:rsidRPr="00F710D5">
              <w:rPr>
                <w:rFonts w:cs="Arial"/>
                <w:color w:val="0D0D0D" w:themeColor="text1" w:themeTint="F2"/>
              </w:rPr>
              <w:t xml:space="preserve"> (3,2 mld. korun), který se ovšem třetím rokem v řadě zmírnil (ve stejném období loni totiž</w:t>
            </w:r>
            <w:r>
              <w:rPr>
                <w:rFonts w:cs="Arial"/>
                <w:color w:val="0D0D0D" w:themeColor="text1" w:themeTint="F2"/>
              </w:rPr>
              <w:t xml:space="preserve"> </w:t>
            </w:r>
            <w:r w:rsidRPr="00F710D5">
              <w:rPr>
                <w:rFonts w:cs="Arial"/>
                <w:color w:val="0D0D0D" w:themeColor="text1" w:themeTint="F2"/>
              </w:rPr>
              <w:t>činil</w:t>
            </w:r>
            <w:r>
              <w:rPr>
                <w:rFonts w:cs="Arial"/>
                <w:color w:val="0D0D0D" w:themeColor="text1" w:themeTint="F2"/>
              </w:rPr>
              <w:t xml:space="preserve"> </w:t>
            </w:r>
            <w:r w:rsidRPr="00F710D5">
              <w:rPr>
                <w:rFonts w:cs="Arial"/>
                <w:color w:val="0D0D0D" w:themeColor="text1" w:themeTint="F2"/>
              </w:rPr>
              <w:t>9,2</w:t>
            </w:r>
            <w:r>
              <w:rPr>
                <w:rFonts w:cs="Arial"/>
                <w:color w:val="0D0D0D" w:themeColor="text1" w:themeTint="F2"/>
              </w:rPr>
              <w:t xml:space="preserve"> </w:t>
            </w:r>
            <w:r w:rsidRPr="00F710D5">
              <w:rPr>
                <w:rFonts w:cs="Arial"/>
                <w:color w:val="0D0D0D" w:themeColor="text1" w:themeTint="F2"/>
              </w:rPr>
              <w:t>mld.</w:t>
            </w:r>
            <w:r>
              <w:rPr>
                <w:rFonts w:cs="Arial"/>
                <w:color w:val="0D0D0D" w:themeColor="text1" w:themeTint="F2"/>
              </w:rPr>
              <w:t xml:space="preserve"> </w:t>
            </w:r>
            <w:r w:rsidRPr="00F710D5">
              <w:rPr>
                <w:rFonts w:cs="Arial"/>
                <w:color w:val="0D0D0D" w:themeColor="text1" w:themeTint="F2"/>
              </w:rPr>
              <w:t>a</w:t>
            </w:r>
            <w:r>
              <w:rPr>
                <w:rFonts w:cs="Arial"/>
                <w:color w:val="0D0D0D" w:themeColor="text1" w:themeTint="F2"/>
              </w:rPr>
              <w:t xml:space="preserve"> </w:t>
            </w:r>
            <w:r w:rsidRPr="00F710D5">
              <w:rPr>
                <w:rFonts w:cs="Arial"/>
                <w:color w:val="0D0D0D" w:themeColor="text1" w:themeTint="F2"/>
              </w:rPr>
              <w:t>v</w:t>
            </w:r>
            <w:r>
              <w:rPr>
                <w:rFonts w:cs="Arial"/>
                <w:color w:val="0D0D0D" w:themeColor="text1" w:themeTint="F2"/>
              </w:rPr>
              <w:t xml:space="preserve"> </w:t>
            </w:r>
            <w:r w:rsidRPr="00F710D5">
              <w:rPr>
                <w:rFonts w:cs="Arial"/>
                <w:color w:val="0D0D0D" w:themeColor="text1" w:themeTint="F2"/>
              </w:rPr>
              <w:t>1.</w:t>
            </w:r>
            <w:r>
              <w:rPr>
                <w:rFonts w:cs="Arial"/>
                <w:color w:val="0D0D0D" w:themeColor="text1" w:themeTint="F2"/>
              </w:rPr>
              <w:t xml:space="preserve"> </w:t>
            </w:r>
            <w:r w:rsidRPr="00F710D5">
              <w:rPr>
                <w:rFonts w:cs="Arial"/>
                <w:color w:val="0D0D0D" w:themeColor="text1" w:themeTint="F2"/>
              </w:rPr>
              <w:t>pololetí 2023 dokonce 40,3 mld.). Aktuální deficit byl současně nejnižší za posledních sedm let</w:t>
            </w:r>
            <w:r w:rsidRPr="003405C2">
              <w:rPr>
                <w:rFonts w:cs="Arial"/>
                <w:color w:val="0D0D0D" w:themeColor="text1" w:themeTint="F2"/>
                <w:spacing w:val="-2"/>
              </w:rPr>
              <w:t>.</w:t>
            </w:r>
          </w:p>
        </w:tc>
      </w:tr>
      <w:tr w:rsidR="006B1AFC" w:rsidRPr="00FC6700" w14:paraId="5F68E4E4" w14:textId="77777777" w:rsidTr="003C4A79">
        <w:trPr>
          <w:trHeight w:val="170"/>
        </w:trPr>
        <w:tc>
          <w:tcPr>
            <w:tcW w:w="1803" w:type="dxa"/>
            <w:tcMar>
              <w:left w:w="0" w:type="dxa"/>
            </w:tcMar>
          </w:tcPr>
          <w:p w14:paraId="4CC640AF" w14:textId="77777777" w:rsidR="006B1AFC" w:rsidRPr="003405C2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rPr>
                <w:color w:val="0D0D0D" w:themeColor="text1" w:themeTint="F2"/>
                <w:spacing w:val="0"/>
              </w:rPr>
              <w:t xml:space="preserve">Za </w:t>
            </w:r>
            <w:r w:rsidRPr="003405C2">
              <w:rPr>
                <w:color w:val="0D0D0D" w:themeColor="text1" w:themeTint="F2"/>
                <w:spacing w:val="0"/>
              </w:rPr>
              <w:t>růst</w:t>
            </w:r>
            <w:r>
              <w:rPr>
                <w:color w:val="0D0D0D" w:themeColor="text1" w:themeTint="F2"/>
                <w:spacing w:val="0"/>
              </w:rPr>
              <w:t>em</w:t>
            </w:r>
            <w:r w:rsidRPr="003405C2">
              <w:rPr>
                <w:color w:val="0D0D0D" w:themeColor="text1" w:themeTint="F2"/>
                <w:spacing w:val="0"/>
              </w:rPr>
              <w:t xml:space="preserve"> výdajů na nedůchodové sociální dávky </w:t>
            </w:r>
            <w:r>
              <w:rPr>
                <w:color w:val="0D0D0D" w:themeColor="text1" w:themeTint="F2"/>
                <w:spacing w:val="0"/>
              </w:rPr>
              <w:t>stála</w:t>
            </w:r>
            <w:r w:rsidRPr="003405C2">
              <w:rPr>
                <w:color w:val="0D0D0D" w:themeColor="text1" w:themeTint="F2"/>
                <w:spacing w:val="0"/>
              </w:rPr>
              <w:t xml:space="preserve"> </w:t>
            </w:r>
            <w:r>
              <w:rPr>
                <w:color w:val="0D0D0D" w:themeColor="text1" w:themeTint="F2"/>
                <w:spacing w:val="0"/>
              </w:rPr>
              <w:t xml:space="preserve">hlavně </w:t>
            </w:r>
            <w:r w:rsidRPr="00865239">
              <w:rPr>
                <w:color w:val="0D0D0D" w:themeColor="text1" w:themeTint="F2"/>
              </w:rPr>
              <w:t>podpora nezaměstnaným</w:t>
            </w:r>
            <w:r w:rsidRPr="003405C2">
              <w:rPr>
                <w:color w:val="0D0D0D" w:themeColor="text1" w:themeTint="F2"/>
                <w:spacing w:val="0"/>
              </w:rPr>
              <w:t xml:space="preserve"> a vyšší čerpání dávek z nemocenského pojištění. Rostly i dávky na péči dlouhodobě nemocným.</w:t>
            </w:r>
          </w:p>
          <w:p w14:paraId="6CAC6252" w14:textId="77777777" w:rsidR="006B1AFC" w:rsidRPr="003B7A8B" w:rsidRDefault="006B1AFC" w:rsidP="003C4A79">
            <w:pPr>
              <w:pStyle w:val="Marginlie"/>
              <w:rPr>
                <w:spacing w:val="0"/>
              </w:rPr>
            </w:pPr>
          </w:p>
        </w:tc>
        <w:tc>
          <w:tcPr>
            <w:tcW w:w="203" w:type="dxa"/>
            <w:tcMar>
              <w:left w:w="0" w:type="dxa"/>
            </w:tcMar>
          </w:tcPr>
          <w:p w14:paraId="2C44E172" w14:textId="77777777" w:rsidR="006B1AFC" w:rsidRPr="003B7A8B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69899D6A" w14:textId="77777777" w:rsidR="006B1AFC" w:rsidRPr="00D326E2" w:rsidRDefault="006B1AFC" w:rsidP="00366728">
            <w:pPr>
              <w:spacing w:after="0"/>
              <w:rPr>
                <w:rFonts w:cs="Arial"/>
                <w:color w:val="0D0D0D" w:themeColor="text1" w:themeTint="F2"/>
              </w:rPr>
            </w:pPr>
            <w:r w:rsidRPr="003405C2">
              <w:rPr>
                <w:color w:val="0D0D0D" w:themeColor="text1" w:themeTint="F2"/>
                <w:szCs w:val="20"/>
              </w:rPr>
              <w:t xml:space="preserve">Meziroční růst </w:t>
            </w:r>
            <w:r w:rsidRPr="000612B5">
              <w:rPr>
                <w:color w:val="0D0D0D" w:themeColor="text1" w:themeTint="F2"/>
                <w:szCs w:val="20"/>
              </w:rPr>
              <w:t>výdajů na ostatní (nedůchodové) sociální dávky dosáhl</w:t>
            </w:r>
            <w:r w:rsidRPr="003405C2">
              <w:rPr>
                <w:color w:val="0D0D0D" w:themeColor="text1" w:themeTint="F2"/>
                <w:szCs w:val="20"/>
              </w:rPr>
              <w:t xml:space="preserve"> letos v 1. </w:t>
            </w:r>
            <w:r>
              <w:rPr>
                <w:color w:val="0D0D0D" w:themeColor="text1" w:themeTint="F2"/>
                <w:szCs w:val="20"/>
              </w:rPr>
              <w:t>pololetí</w:t>
            </w:r>
            <w:r w:rsidRPr="003405C2">
              <w:rPr>
                <w:color w:val="0D0D0D" w:themeColor="text1" w:themeTint="F2"/>
                <w:szCs w:val="20"/>
              </w:rPr>
              <w:t xml:space="preserve"> 5,</w:t>
            </w:r>
            <w:r>
              <w:rPr>
                <w:color w:val="0D0D0D" w:themeColor="text1" w:themeTint="F2"/>
                <w:szCs w:val="20"/>
              </w:rPr>
              <w:t>9</w:t>
            </w:r>
            <w:r w:rsidRPr="003405C2">
              <w:rPr>
                <w:color w:val="0D0D0D" w:themeColor="text1" w:themeTint="F2"/>
                <w:szCs w:val="20"/>
              </w:rPr>
              <w:t xml:space="preserve"> %</w:t>
            </w:r>
            <w:r>
              <w:rPr>
                <w:color w:val="0D0D0D" w:themeColor="text1" w:themeTint="F2"/>
                <w:szCs w:val="20"/>
              </w:rPr>
              <w:t xml:space="preserve"> (n</w:t>
            </w:r>
            <w:r w:rsidRPr="003405C2">
              <w:rPr>
                <w:color w:val="0D0D0D" w:themeColor="text1" w:themeTint="F2"/>
                <w:szCs w:val="20"/>
              </w:rPr>
              <w:t xml:space="preserve">a rozdíl od důchodů ovšem meziročně růst těchto dávek </w:t>
            </w:r>
            <w:r>
              <w:rPr>
                <w:color w:val="0D0D0D" w:themeColor="text1" w:themeTint="F2"/>
                <w:szCs w:val="20"/>
              </w:rPr>
              <w:t xml:space="preserve">zvolnil </w:t>
            </w:r>
            <w:r w:rsidRPr="003405C2">
              <w:rPr>
                <w:color w:val="0D0D0D" w:themeColor="text1" w:themeTint="F2"/>
                <w:szCs w:val="20"/>
              </w:rPr>
              <w:t xml:space="preserve">oproti tempu </w:t>
            </w:r>
            <w:r>
              <w:rPr>
                <w:color w:val="0D0D0D" w:themeColor="text1" w:themeTint="F2"/>
                <w:szCs w:val="20"/>
              </w:rPr>
              <w:br/>
            </w:r>
            <w:r w:rsidRPr="003405C2">
              <w:rPr>
                <w:color w:val="0D0D0D" w:themeColor="text1" w:themeTint="F2"/>
                <w:szCs w:val="20"/>
              </w:rPr>
              <w:t>z roku 2025</w:t>
            </w:r>
            <w:r>
              <w:rPr>
                <w:color w:val="0D0D0D" w:themeColor="text1" w:themeTint="F2"/>
                <w:szCs w:val="20"/>
              </w:rPr>
              <w:t>)</w:t>
            </w:r>
            <w:r w:rsidRPr="003405C2">
              <w:rPr>
                <w:color w:val="0D0D0D" w:themeColor="text1" w:themeTint="F2"/>
                <w:szCs w:val="20"/>
              </w:rPr>
              <w:t>.</w:t>
            </w:r>
            <w:r>
              <w:rPr>
                <w:color w:val="0D0D0D" w:themeColor="text1" w:themeTint="F2"/>
                <w:szCs w:val="20"/>
              </w:rPr>
              <w:t xml:space="preserve"> </w:t>
            </w:r>
            <w:r w:rsidRPr="003405C2">
              <w:rPr>
                <w:color w:val="0D0D0D" w:themeColor="text1" w:themeTint="F2"/>
                <w:szCs w:val="20"/>
              </w:rPr>
              <w:t>K letošnímu růstu přispěly z drtivé části pojistné dávky – nejvíce podpora v</w:t>
            </w:r>
            <w:r>
              <w:rPr>
                <w:color w:val="0D0D0D" w:themeColor="text1" w:themeTint="F2"/>
                <w:szCs w:val="20"/>
              </w:rPr>
              <w:t> </w:t>
            </w:r>
            <w:r w:rsidRPr="003405C2">
              <w:rPr>
                <w:color w:val="0D0D0D" w:themeColor="text1" w:themeTint="F2"/>
                <w:szCs w:val="20"/>
              </w:rPr>
              <w:t>nezaměstnanosti</w:t>
            </w:r>
            <w:r>
              <w:rPr>
                <w:color w:val="0D0D0D" w:themeColor="text1" w:themeTint="F2"/>
                <w:szCs w:val="20"/>
              </w:rPr>
              <w:t xml:space="preserve">. Tyto dávky vzrostly o 42 % </w:t>
            </w:r>
            <w:r w:rsidRPr="003405C2">
              <w:rPr>
                <w:color w:val="0D0D0D" w:themeColor="text1" w:themeTint="F2"/>
                <w:szCs w:val="20"/>
              </w:rPr>
              <w:t>(+</w:t>
            </w:r>
            <w:r>
              <w:rPr>
                <w:color w:val="0D0D0D" w:themeColor="text1" w:themeTint="F2"/>
                <w:szCs w:val="20"/>
              </w:rPr>
              <w:t>3</w:t>
            </w:r>
            <w:r w:rsidRPr="003405C2">
              <w:rPr>
                <w:color w:val="0D0D0D" w:themeColor="text1" w:themeTint="F2"/>
                <w:szCs w:val="20"/>
              </w:rPr>
              <w:t>,</w:t>
            </w:r>
            <w:r>
              <w:rPr>
                <w:color w:val="0D0D0D" w:themeColor="text1" w:themeTint="F2"/>
                <w:szCs w:val="20"/>
              </w:rPr>
              <w:t>1</w:t>
            </w:r>
            <w:r w:rsidRPr="003405C2">
              <w:rPr>
                <w:color w:val="0D0D0D" w:themeColor="text1" w:themeTint="F2"/>
                <w:szCs w:val="20"/>
              </w:rPr>
              <w:t xml:space="preserve"> mld., korun)</w:t>
            </w:r>
            <w:r>
              <w:rPr>
                <w:color w:val="0D0D0D" w:themeColor="text1" w:themeTint="F2"/>
                <w:szCs w:val="20"/>
              </w:rPr>
              <w:t xml:space="preserve"> </w:t>
            </w:r>
            <w:r w:rsidRPr="003405C2">
              <w:rPr>
                <w:color w:val="0D0D0D" w:themeColor="text1" w:themeTint="F2"/>
                <w:szCs w:val="20"/>
              </w:rPr>
              <w:t>zejména vlivem legislativní úpravy</w:t>
            </w:r>
            <w:r w:rsidRPr="003405C2">
              <w:rPr>
                <w:rStyle w:val="Znakapoznpodarou"/>
                <w:color w:val="0D0D0D" w:themeColor="text1" w:themeTint="F2"/>
                <w:szCs w:val="20"/>
              </w:rPr>
              <w:footnoteReference w:id="28"/>
            </w:r>
            <w:r w:rsidRPr="003405C2">
              <w:rPr>
                <w:color w:val="0D0D0D" w:themeColor="text1" w:themeTint="F2"/>
                <w:szCs w:val="20"/>
              </w:rPr>
              <w:t xml:space="preserve"> směřující k vyšší motivací lidí měnit nevyhovující zaměstnání. Projevil se</w:t>
            </w:r>
            <w:r w:rsidRPr="003405C2">
              <w:rPr>
                <w:color w:val="0D0D0D" w:themeColor="text1" w:themeTint="F2"/>
                <w:spacing w:val="-2"/>
                <w:szCs w:val="20"/>
              </w:rPr>
              <w:t xml:space="preserve"> </w:t>
            </w:r>
            <w:r w:rsidRPr="003405C2">
              <w:rPr>
                <w:color w:val="0D0D0D" w:themeColor="text1" w:themeTint="F2"/>
                <w:spacing w:val="-4"/>
                <w:szCs w:val="20"/>
              </w:rPr>
              <w:t xml:space="preserve">i </w:t>
            </w:r>
            <w:r w:rsidRPr="003405C2">
              <w:rPr>
                <w:color w:val="0D0D0D" w:themeColor="text1" w:themeTint="F2"/>
                <w:szCs w:val="20"/>
              </w:rPr>
              <w:t>pokračující lehký růst míry nezaměstnanosti</w:t>
            </w:r>
            <w:r>
              <w:rPr>
                <w:rStyle w:val="Znakapoznpodarou"/>
                <w:color w:val="0D0D0D" w:themeColor="text1" w:themeTint="F2"/>
                <w:szCs w:val="20"/>
              </w:rPr>
              <w:footnoteReference w:id="29"/>
            </w:r>
            <w:r>
              <w:rPr>
                <w:color w:val="0D0D0D" w:themeColor="text1" w:themeTint="F2"/>
                <w:szCs w:val="20"/>
              </w:rPr>
              <w:t>.</w:t>
            </w:r>
            <w:r w:rsidRPr="003405C2">
              <w:rPr>
                <w:color w:val="0D0D0D" w:themeColor="text1" w:themeTint="F2"/>
                <w:szCs w:val="20"/>
              </w:rPr>
              <w:t xml:space="preserve"> Mimo to pokračoval třetím ro</w:t>
            </w:r>
            <w:r>
              <w:rPr>
                <w:color w:val="0D0D0D" w:themeColor="text1" w:themeTint="F2"/>
                <w:szCs w:val="20"/>
              </w:rPr>
              <w:t>k</w:t>
            </w:r>
            <w:r w:rsidRPr="003405C2">
              <w:rPr>
                <w:color w:val="0D0D0D" w:themeColor="text1" w:themeTint="F2"/>
                <w:szCs w:val="20"/>
              </w:rPr>
              <w:t xml:space="preserve">em v řadě mírný růst výdajů na dávky </w:t>
            </w:r>
            <w:r w:rsidRPr="003405C2">
              <w:rPr>
                <w:color w:val="0D0D0D" w:themeColor="text1" w:themeTint="F2"/>
              </w:rPr>
              <w:t>nemocenského pojištění (+6,</w:t>
            </w:r>
            <w:r>
              <w:rPr>
                <w:color w:val="0D0D0D" w:themeColor="text1" w:themeTint="F2"/>
              </w:rPr>
              <w:t>7</w:t>
            </w:r>
            <w:r w:rsidRPr="003405C2">
              <w:rPr>
                <w:color w:val="0D0D0D" w:themeColor="text1" w:themeTint="F2"/>
              </w:rPr>
              <w:t xml:space="preserve"> %, </w:t>
            </w:r>
            <w:r>
              <w:rPr>
                <w:color w:val="0D0D0D" w:themeColor="text1" w:themeTint="F2"/>
              </w:rPr>
              <w:br/>
            </w:r>
            <w:r w:rsidRPr="003405C2">
              <w:rPr>
                <w:color w:val="0D0D0D" w:themeColor="text1" w:themeTint="F2"/>
              </w:rPr>
              <w:t>+</w:t>
            </w:r>
            <w:r>
              <w:rPr>
                <w:color w:val="0D0D0D" w:themeColor="text1" w:themeTint="F2"/>
              </w:rPr>
              <w:t>1</w:t>
            </w:r>
            <w:r w:rsidRPr="003405C2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>6</w:t>
            </w:r>
            <w:r w:rsidRPr="003405C2">
              <w:rPr>
                <w:color w:val="0D0D0D" w:themeColor="text1" w:themeTint="F2"/>
              </w:rPr>
              <w:t xml:space="preserve"> mld. korun). K růstu přispěly hlavně dávky nemocenské </w:t>
            </w:r>
            <w:r>
              <w:rPr>
                <w:color w:val="0D0D0D" w:themeColor="text1" w:themeTint="F2"/>
              </w:rPr>
              <w:t>(odvislé od růstu předchozích mezd žadatele)</w:t>
            </w:r>
            <w:r>
              <w:rPr>
                <w:rStyle w:val="Znakapoznpodarou"/>
                <w:color w:val="0D0D0D" w:themeColor="text1" w:themeTint="F2"/>
              </w:rPr>
              <w:footnoteReference w:id="30"/>
            </w:r>
            <w:r>
              <w:rPr>
                <w:color w:val="0D0D0D" w:themeColor="text1" w:themeTint="F2"/>
              </w:rPr>
              <w:t xml:space="preserve"> </w:t>
            </w:r>
            <w:r w:rsidRPr="003405C2">
              <w:rPr>
                <w:color w:val="0D0D0D" w:themeColor="text1" w:themeTint="F2"/>
              </w:rPr>
              <w:t xml:space="preserve">a </w:t>
            </w:r>
            <w:r>
              <w:rPr>
                <w:color w:val="0D0D0D" w:themeColor="text1" w:themeTint="F2"/>
              </w:rPr>
              <w:t>rovněž i</w:t>
            </w:r>
            <w:r w:rsidRPr="003405C2">
              <w:rPr>
                <w:color w:val="0D0D0D" w:themeColor="text1" w:themeTint="F2"/>
              </w:rPr>
              <w:t xml:space="preserve"> peněžité pomoci v mateřství, u n</w:t>
            </w:r>
            <w:r>
              <w:rPr>
                <w:color w:val="0D0D0D" w:themeColor="text1" w:themeTint="F2"/>
              </w:rPr>
              <w:t>ichž</w:t>
            </w:r>
            <w:r w:rsidRPr="003405C2">
              <w:rPr>
                <w:color w:val="0D0D0D" w:themeColor="text1" w:themeTint="F2"/>
              </w:rPr>
              <w:t xml:space="preserve"> se pokles po delší době zastavil. Příjmy z pojistného placeného zaměstnanými osobami se dále meziročně zvyšovaly (+6,1 %), zčásti stále vlivem zákonné úpravy ve vazbě na konsolidační balíček. Díky tomu se </w:t>
            </w:r>
            <w:r w:rsidRPr="00911C42">
              <w:rPr>
                <w:rFonts w:cs="Arial"/>
                <w:color w:val="0D0D0D" w:themeColor="text1" w:themeTint="F2"/>
                <w:spacing w:val="-2"/>
              </w:rPr>
              <w:t>bilance nemocenského pojištění</w:t>
            </w:r>
            <w:r w:rsidRPr="00911C42">
              <w:rPr>
                <w:rStyle w:val="Znakapoznpodarou"/>
                <w:color w:val="0D0D0D" w:themeColor="text1" w:themeTint="F2"/>
                <w:spacing w:val="-2"/>
              </w:rPr>
              <w:footnoteReference w:id="31"/>
            </w:r>
            <w:r w:rsidRPr="00911C42">
              <w:rPr>
                <w:rFonts w:cs="Arial"/>
                <w:color w:val="0D0D0D" w:themeColor="text1" w:themeTint="F2"/>
                <w:spacing w:val="-2"/>
              </w:rPr>
              <w:t xml:space="preserve"> v rámci 1. pololetí potřetí v řadě pohybovala v mírném</w:t>
            </w:r>
            <w:r w:rsidRPr="003405C2">
              <w:rPr>
                <w:rFonts w:cs="Arial"/>
                <w:color w:val="0D0D0D" w:themeColor="text1" w:themeTint="F2"/>
              </w:rPr>
              <w:t xml:space="preserve"> přebytku (+</w:t>
            </w:r>
            <w:r>
              <w:rPr>
                <w:rFonts w:cs="Arial"/>
                <w:color w:val="0D0D0D" w:themeColor="text1" w:themeTint="F2"/>
              </w:rPr>
              <w:t>5</w:t>
            </w:r>
            <w:r w:rsidRPr="003405C2">
              <w:rPr>
                <w:rFonts w:cs="Arial"/>
                <w:color w:val="0D0D0D" w:themeColor="text1" w:themeTint="F2"/>
              </w:rPr>
              <w:t>,</w:t>
            </w:r>
            <w:r>
              <w:rPr>
                <w:rFonts w:cs="Arial"/>
                <w:color w:val="0D0D0D" w:themeColor="text1" w:themeTint="F2"/>
              </w:rPr>
              <w:t>2</w:t>
            </w:r>
            <w:r w:rsidRPr="003405C2">
              <w:rPr>
                <w:rFonts w:cs="Arial"/>
                <w:color w:val="0D0D0D" w:themeColor="text1" w:themeTint="F2"/>
              </w:rPr>
              <w:t xml:space="preserve"> mld. korun). V rámci nepojistných sociálních dávek měly největší vliv rostoucí příspěvky na péči pro dlouhodobě nemocné (+6</w:t>
            </w:r>
            <w:r>
              <w:rPr>
                <w:rFonts w:cs="Arial"/>
                <w:color w:val="0D0D0D" w:themeColor="text1" w:themeTint="F2"/>
              </w:rPr>
              <w:t xml:space="preserve">,6 </w:t>
            </w:r>
            <w:r w:rsidRPr="003405C2">
              <w:rPr>
                <w:rFonts w:cs="Arial"/>
                <w:color w:val="0D0D0D" w:themeColor="text1" w:themeTint="F2"/>
              </w:rPr>
              <w:t>%, +</w:t>
            </w:r>
            <w:r>
              <w:rPr>
                <w:rFonts w:cs="Arial"/>
                <w:color w:val="0D0D0D" w:themeColor="text1" w:themeTint="F2"/>
              </w:rPr>
              <w:t>1</w:t>
            </w:r>
            <w:r w:rsidRPr="003405C2">
              <w:rPr>
                <w:rFonts w:cs="Arial"/>
                <w:color w:val="0D0D0D" w:themeColor="text1" w:themeTint="F2"/>
              </w:rPr>
              <w:t>,</w:t>
            </w:r>
            <w:r>
              <w:rPr>
                <w:rFonts w:cs="Arial"/>
                <w:color w:val="0D0D0D" w:themeColor="text1" w:themeTint="F2"/>
              </w:rPr>
              <w:t>5</w:t>
            </w:r>
            <w:r w:rsidRPr="003405C2">
              <w:rPr>
                <w:rFonts w:cs="Arial"/>
                <w:color w:val="0D0D0D" w:themeColor="text1" w:themeTint="F2"/>
              </w:rPr>
              <w:t xml:space="preserve"> mld. </w:t>
            </w:r>
            <w:r w:rsidRPr="003456B3">
              <w:rPr>
                <w:rFonts w:cs="Arial"/>
                <w:color w:val="0D0D0D" w:themeColor="text1" w:themeTint="F2"/>
                <w:spacing w:val="-6"/>
              </w:rPr>
              <w:t xml:space="preserve">korun). </w:t>
            </w:r>
            <w:r>
              <w:rPr>
                <w:rFonts w:cs="Arial"/>
                <w:color w:val="0D0D0D" w:themeColor="text1" w:themeTint="F2"/>
                <w:spacing w:val="-6"/>
              </w:rPr>
              <w:t>Rostl i objem vyplacených</w:t>
            </w:r>
            <w:r w:rsidRPr="003456B3">
              <w:rPr>
                <w:rFonts w:cs="Arial"/>
                <w:color w:val="0D0D0D" w:themeColor="text1" w:themeTint="F2"/>
                <w:spacing w:val="-6"/>
              </w:rPr>
              <w:t xml:space="preserve"> rodičovských příspěvků i dávek pěstounské péče (v</w:t>
            </w:r>
            <w:r>
              <w:rPr>
                <w:color w:val="0D0D0D" w:themeColor="text1" w:themeTint="F2"/>
              </w:rPr>
              <w:t> </w:t>
            </w:r>
            <w:r w:rsidRPr="003456B3">
              <w:rPr>
                <w:rFonts w:cs="Arial"/>
                <w:color w:val="0D0D0D" w:themeColor="text1" w:themeTint="F2"/>
                <w:spacing w:val="-6"/>
              </w:rPr>
              <w:t>úhrnu +0,4</w:t>
            </w:r>
            <w:r>
              <w:rPr>
                <w:color w:val="0D0D0D" w:themeColor="text1" w:themeTint="F2"/>
              </w:rPr>
              <w:t> </w:t>
            </w:r>
            <w:r>
              <w:rPr>
                <w:rFonts w:cs="Arial"/>
                <w:color w:val="0D0D0D" w:themeColor="text1" w:themeTint="F2"/>
              </w:rPr>
              <w:t xml:space="preserve">mld. korun). Klesla naopak </w:t>
            </w:r>
            <w:r w:rsidRPr="003405C2">
              <w:rPr>
                <w:rFonts w:cs="Arial"/>
                <w:color w:val="0D0D0D" w:themeColor="text1" w:themeTint="F2"/>
              </w:rPr>
              <w:t>výplata humanitárních dávek ukrajinským uprchlíkům</w:t>
            </w:r>
            <w:r>
              <w:rPr>
                <w:rFonts w:cs="Arial"/>
                <w:color w:val="0D0D0D" w:themeColor="text1" w:themeTint="F2"/>
              </w:rPr>
              <w:t xml:space="preserve"> (o</w:t>
            </w:r>
            <w:r>
              <w:rPr>
                <w:color w:val="0D0D0D" w:themeColor="text1" w:themeTint="F2"/>
              </w:rPr>
              <w:t> </w:t>
            </w:r>
            <w:r>
              <w:rPr>
                <w:rFonts w:cs="Arial"/>
                <w:color w:val="0D0D0D" w:themeColor="text1" w:themeTint="F2"/>
              </w:rPr>
              <w:t>22</w:t>
            </w:r>
            <w:r w:rsidRPr="003405C2">
              <w:rPr>
                <w:rFonts w:cs="Arial"/>
                <w:color w:val="0D0D0D" w:themeColor="text1" w:themeTint="F2"/>
              </w:rPr>
              <w:t> </w:t>
            </w:r>
            <w:r>
              <w:rPr>
                <w:rFonts w:cs="Arial"/>
                <w:color w:val="0D0D0D" w:themeColor="text1" w:themeTint="F2"/>
              </w:rPr>
              <w:t>%, resp. 1,0 mld. korun)</w:t>
            </w:r>
            <w:r w:rsidRPr="003405C2">
              <w:rPr>
                <w:rFonts w:cs="Arial"/>
                <w:color w:val="0D0D0D" w:themeColor="text1" w:themeTint="F2"/>
              </w:rPr>
              <w:t>, což</w:t>
            </w:r>
            <w:r w:rsidRPr="003405C2">
              <w:rPr>
                <w:rFonts w:cs="Arial"/>
                <w:color w:val="0D0D0D" w:themeColor="text1" w:themeTint="F2"/>
                <w:spacing w:val="-2"/>
              </w:rPr>
              <w:t xml:space="preserve"> souviselo s meziročním poklesem počtu jejich příjemců</w:t>
            </w:r>
            <w:r>
              <w:rPr>
                <w:rFonts w:cs="Arial"/>
                <w:color w:val="0D0D0D" w:themeColor="text1" w:themeTint="F2"/>
                <w:spacing w:val="-2"/>
              </w:rPr>
              <w:t>. Meziroční srovnání dalších dávek hmotné nouze či státní sociální podpory je aktuálně ztíženo kvůli významné změně v systému poskytování dávek</w:t>
            </w:r>
            <w:r w:rsidRPr="003405C2">
              <w:rPr>
                <w:rStyle w:val="Znakapoznpodarou"/>
                <w:color w:val="0D0D0D" w:themeColor="text1" w:themeTint="F2"/>
              </w:rPr>
              <w:footnoteReference w:id="32"/>
            </w:r>
            <w:r>
              <w:rPr>
                <w:rFonts w:cs="Arial"/>
                <w:color w:val="0D0D0D" w:themeColor="text1" w:themeTint="F2"/>
                <w:spacing w:val="-2"/>
              </w:rPr>
              <w:t>.</w:t>
            </w:r>
          </w:p>
        </w:tc>
      </w:tr>
      <w:tr w:rsidR="006B1AFC" w:rsidRPr="00FC6700" w14:paraId="15B85CC6" w14:textId="77777777" w:rsidTr="003C4A79">
        <w:trPr>
          <w:trHeight w:val="170"/>
        </w:trPr>
        <w:tc>
          <w:tcPr>
            <w:tcW w:w="1803" w:type="dxa"/>
            <w:tcMar>
              <w:left w:w="0" w:type="dxa"/>
            </w:tcMar>
          </w:tcPr>
          <w:p w14:paraId="5621E28F" w14:textId="77777777" w:rsidR="006B1AFC" w:rsidRDefault="006B1AFC" w:rsidP="003C4A79">
            <w:pPr>
              <w:pStyle w:val="Marginlie"/>
              <w:rPr>
                <w:spacing w:val="0"/>
              </w:rPr>
            </w:pPr>
            <w:r>
              <w:rPr>
                <w:spacing w:val="0"/>
              </w:rPr>
              <w:lastRenderedPageBreak/>
              <w:t xml:space="preserve">Svižný růst výdajů v oblasti veřejného zdravotního pojištění lze vysvětlit předsunutím části plateb, u odvodů ČR do rozpočtu EU </w:t>
            </w:r>
            <w:r>
              <w:rPr>
                <w:spacing w:val="0"/>
              </w:rPr>
              <w:br/>
              <w:t>mj. i růstem unijního rozpočtu.</w:t>
            </w:r>
          </w:p>
          <w:p w14:paraId="6CFD58B8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4E4183B4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426669C8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6DF4EBE1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680A08DA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6402859C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4FCC9986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772A7A13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339A2749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3BE1E314" w14:textId="77777777" w:rsidR="006B1AFC" w:rsidRDefault="006B1AFC" w:rsidP="003C4A79">
            <w:pPr>
              <w:pStyle w:val="Marginlie"/>
              <w:rPr>
                <w:spacing w:val="0"/>
              </w:rPr>
            </w:pPr>
          </w:p>
          <w:p w14:paraId="63D13BA6" w14:textId="77777777" w:rsidR="006B1AFC" w:rsidRPr="00FC6700" w:rsidRDefault="006B1AFC" w:rsidP="003C4A79">
            <w:pPr>
              <w:pStyle w:val="Marginlie"/>
              <w:rPr>
                <w:spacing w:val="0"/>
              </w:rPr>
            </w:pPr>
            <w:r>
              <w:rPr>
                <w:spacing w:val="0"/>
              </w:rPr>
              <w:t xml:space="preserve">Růst výdajů na obsluhu státního dluhu za pololetí poprvé překročil </w:t>
            </w:r>
            <w:r>
              <w:rPr>
                <w:spacing w:val="0"/>
              </w:rPr>
              <w:br/>
              <w:t xml:space="preserve">50 mld. korun. Celková výše státního dluhu rostla stabilním tempem, výhradně vlivem vnitřní zadluženosti. </w:t>
            </w:r>
          </w:p>
        </w:tc>
        <w:tc>
          <w:tcPr>
            <w:tcW w:w="203" w:type="dxa"/>
            <w:tcMar>
              <w:left w:w="0" w:type="dxa"/>
            </w:tcMar>
          </w:tcPr>
          <w:p w14:paraId="6CEA30C9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6F5E74EB" w14:textId="11AA11C2" w:rsidR="006B1AFC" w:rsidRPr="00DD3104" w:rsidRDefault="006B1AFC" w:rsidP="003C4A79">
            <w:pPr>
              <w:spacing w:after="20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K </w:t>
            </w:r>
            <w:r w:rsidRPr="007C4C3F">
              <w:rPr>
                <w:color w:val="0D0D0D" w:themeColor="text1" w:themeTint="F2"/>
              </w:rPr>
              <w:t xml:space="preserve">růstu běžných výdajů SR </w:t>
            </w:r>
            <w:r>
              <w:rPr>
                <w:color w:val="0D0D0D" w:themeColor="text1" w:themeTint="F2"/>
              </w:rPr>
              <w:t xml:space="preserve">zatím letos </w:t>
            </w:r>
            <w:r w:rsidRPr="007C4C3F">
              <w:rPr>
                <w:color w:val="0D0D0D" w:themeColor="text1" w:themeTint="F2"/>
              </w:rPr>
              <w:t>dočasně výrazně přispívaly také dotace fondům sociálního a</w:t>
            </w:r>
            <w:r w:rsidRPr="007C4C3F">
              <w:rPr>
                <w:rFonts w:cs="Arial"/>
                <w:color w:val="0D0D0D" w:themeColor="text1" w:themeTint="F2"/>
                <w:spacing w:val="-2"/>
              </w:rPr>
              <w:t> </w:t>
            </w:r>
            <w:r w:rsidRPr="007C4C3F">
              <w:rPr>
                <w:color w:val="0D0D0D" w:themeColor="text1" w:themeTint="F2"/>
              </w:rPr>
              <w:t xml:space="preserve">veřejného zdravotního pojištění. Ty se </w:t>
            </w:r>
            <w:r>
              <w:rPr>
                <w:color w:val="0D0D0D" w:themeColor="text1" w:themeTint="F2"/>
              </w:rPr>
              <w:t>v 1. pololetí meziročně</w:t>
            </w:r>
            <w:r w:rsidRPr="003405C2">
              <w:rPr>
                <w:color w:val="0D0D0D" w:themeColor="text1" w:themeTint="F2"/>
              </w:rPr>
              <w:t xml:space="preserve"> navýšily o</w:t>
            </w:r>
            <w:r>
              <w:rPr>
                <w:color w:val="0D0D0D" w:themeColor="text1" w:themeTint="F2"/>
              </w:rPr>
              <w:t> pětinu (resp. 15,5 mld. korun), z drtivé části vlivem předfinancování plateb původně určených až pro 2. pololetí. Schválený SR počítá s celoročním růstem o necelá 3 %, což odpovídá zákonné valorizaci plateb za státní pojištěnce</w:t>
            </w:r>
            <w:r w:rsidRPr="003405C2">
              <w:rPr>
                <w:rStyle w:val="Znakapoznpodarou"/>
                <w:color w:val="0D0D0D" w:themeColor="text1" w:themeTint="F2"/>
              </w:rPr>
              <w:footnoteReference w:id="33"/>
            </w:r>
            <w:r>
              <w:rPr>
                <w:color w:val="0D0D0D" w:themeColor="text1" w:themeTint="F2"/>
              </w:rPr>
              <w:t xml:space="preserve">. Dále významně a nad rámec rozpočtového očekávání rostly také </w:t>
            </w:r>
            <w:r w:rsidRPr="009E6D28">
              <w:rPr>
                <w:color w:val="0D0D0D" w:themeColor="text1" w:themeTint="F2"/>
              </w:rPr>
              <w:t xml:space="preserve">odvody vlastních zdrojů </w:t>
            </w:r>
            <w:r>
              <w:rPr>
                <w:color w:val="0D0D0D" w:themeColor="text1" w:themeTint="F2"/>
              </w:rPr>
              <w:t xml:space="preserve">ČR </w:t>
            </w:r>
            <w:r w:rsidRPr="009E6D28">
              <w:rPr>
                <w:color w:val="0D0D0D" w:themeColor="text1" w:themeTint="F2"/>
              </w:rPr>
              <w:t>do rozpočtu E</w:t>
            </w:r>
            <w:r>
              <w:rPr>
                <w:color w:val="0D0D0D" w:themeColor="text1" w:themeTint="F2"/>
              </w:rPr>
              <w:t>U</w:t>
            </w:r>
            <w:r w:rsidRPr="009E6D28">
              <w:rPr>
                <w:color w:val="0D0D0D" w:themeColor="text1" w:themeTint="F2"/>
              </w:rPr>
              <w:t> (+</w:t>
            </w:r>
            <w:r w:rsidRPr="007B0857">
              <w:rPr>
                <w:color w:val="0D0D0D" w:themeColor="text1" w:themeTint="F2"/>
              </w:rPr>
              <w:t>45,5 %, +12,9 mld. korun), což zčásti souviselo s navýšením rozpočtu U</w:t>
            </w:r>
            <w:r>
              <w:rPr>
                <w:color w:val="0D0D0D" w:themeColor="text1" w:themeTint="F2"/>
              </w:rPr>
              <w:t>nie</w:t>
            </w:r>
            <w:r w:rsidRPr="007B0857">
              <w:rPr>
                <w:color w:val="0D0D0D" w:themeColor="text1" w:themeTint="F2"/>
              </w:rPr>
              <w:t xml:space="preserve">. </w:t>
            </w:r>
            <w:r>
              <w:rPr>
                <w:color w:val="0D0D0D" w:themeColor="text1" w:themeTint="F2"/>
              </w:rPr>
              <w:t>Tempo růstu výdajů na n</w:t>
            </w:r>
            <w:r w:rsidRPr="007B0857">
              <w:rPr>
                <w:color w:val="0D0D0D" w:themeColor="text1" w:themeTint="F2"/>
              </w:rPr>
              <w:t xml:space="preserve">einvestiční nákupy </w:t>
            </w:r>
            <w:r>
              <w:rPr>
                <w:color w:val="0D0D0D" w:themeColor="text1" w:themeTint="F2"/>
              </w:rPr>
              <w:t xml:space="preserve">státu </w:t>
            </w:r>
            <w:r w:rsidRPr="007B0857">
              <w:rPr>
                <w:color w:val="0D0D0D" w:themeColor="text1" w:themeTint="F2"/>
              </w:rPr>
              <w:t>(bez výdajů kapitoly Státní dlu</w:t>
            </w:r>
            <w:r>
              <w:rPr>
                <w:color w:val="0D0D0D" w:themeColor="text1" w:themeTint="F2"/>
              </w:rPr>
              <w:t>h) zrychlilo na 8,9 %, a to přesto, že část kompenzačních plateb za služby uskutečněné loni v 1. pololetí nebyla letos vyplacena. Klíčovým faktorem se naopak ukázalo posílení nákupů v oblasti obrany</w:t>
            </w:r>
            <w:r w:rsidRPr="004D279D">
              <w:rPr>
                <w:color w:val="0D0D0D" w:themeColor="text1" w:themeTint="F2"/>
              </w:rPr>
              <w:t>. Výdaje na platy v organizačních složkách státu se</w:t>
            </w:r>
            <w:r>
              <w:rPr>
                <w:color w:val="0D0D0D" w:themeColor="text1" w:themeTint="F2"/>
              </w:rPr>
              <w:t xml:space="preserve"> zvýšily nejvíce </w:t>
            </w:r>
            <w:r w:rsidRPr="003405C2">
              <w:rPr>
                <w:color w:val="0D0D0D" w:themeColor="text1" w:themeTint="F2"/>
              </w:rPr>
              <w:t>za poslední tři roky (+</w:t>
            </w:r>
            <w:r>
              <w:rPr>
                <w:color w:val="0D0D0D" w:themeColor="text1" w:themeTint="F2"/>
              </w:rPr>
              <w:t>8,9</w:t>
            </w:r>
            <w:r w:rsidRPr="003405C2">
              <w:rPr>
                <w:color w:val="0D0D0D" w:themeColor="text1" w:themeTint="F2"/>
                <w:spacing w:val="-2"/>
              </w:rPr>
              <w:t> </w:t>
            </w:r>
            <w:r w:rsidRPr="003405C2">
              <w:rPr>
                <w:color w:val="0D0D0D" w:themeColor="text1" w:themeTint="F2"/>
              </w:rPr>
              <w:t xml:space="preserve">%). Projevilo se </w:t>
            </w:r>
            <w:r>
              <w:rPr>
                <w:color w:val="0D0D0D" w:themeColor="text1" w:themeTint="F2"/>
              </w:rPr>
              <w:t xml:space="preserve">jak posílení </w:t>
            </w:r>
            <w:r w:rsidRPr="003405C2">
              <w:rPr>
                <w:color w:val="0D0D0D" w:themeColor="text1" w:themeTint="F2"/>
              </w:rPr>
              <w:t>výdajů na platy v oblasti bezpečnosti států</w:t>
            </w:r>
            <w:r>
              <w:rPr>
                <w:color w:val="0D0D0D" w:themeColor="text1" w:themeTint="F2"/>
              </w:rPr>
              <w:t xml:space="preserve"> (již od počátku letošního roku)</w:t>
            </w:r>
            <w:r w:rsidRPr="003405C2">
              <w:rPr>
                <w:color w:val="0D0D0D" w:themeColor="text1" w:themeTint="F2"/>
              </w:rPr>
              <w:t xml:space="preserve">, </w:t>
            </w:r>
            <w:r>
              <w:rPr>
                <w:color w:val="0D0D0D" w:themeColor="text1" w:themeTint="F2"/>
              </w:rPr>
              <w:t>tak nav</w:t>
            </w:r>
            <w:r w:rsidRPr="003405C2">
              <w:rPr>
                <w:color w:val="0D0D0D" w:themeColor="text1" w:themeTint="F2"/>
              </w:rPr>
              <w:t xml:space="preserve">ýšení u dalších </w:t>
            </w:r>
            <w:r>
              <w:rPr>
                <w:color w:val="0D0D0D" w:themeColor="text1" w:themeTint="F2"/>
              </w:rPr>
              <w:t xml:space="preserve">početných </w:t>
            </w:r>
            <w:r w:rsidRPr="003405C2">
              <w:rPr>
                <w:color w:val="0D0D0D" w:themeColor="text1" w:themeTint="F2"/>
              </w:rPr>
              <w:t>skupin zaměstnanců</w:t>
            </w:r>
            <w:r>
              <w:rPr>
                <w:rStyle w:val="Znakapoznpodarou"/>
                <w:color w:val="0D0D0D" w:themeColor="text1" w:themeTint="F2"/>
              </w:rPr>
              <w:footnoteReference w:id="34"/>
            </w:r>
            <w:r>
              <w:rPr>
                <w:color w:val="0D0D0D" w:themeColor="text1" w:themeTint="F2"/>
              </w:rPr>
              <w:t>,</w:t>
            </w:r>
            <w:r w:rsidRPr="003405C2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 xml:space="preserve">realizované od 2. čtvrtletí. Významnou mandatorní položkou SR jsou i </w:t>
            </w:r>
            <w:r>
              <w:rPr>
                <w:color w:val="0D0D0D" w:themeColor="text1" w:themeTint="F2"/>
                <w:spacing w:val="-2"/>
                <w:szCs w:val="20"/>
              </w:rPr>
              <w:t>v</w:t>
            </w:r>
            <w:r w:rsidRPr="003405C2">
              <w:rPr>
                <w:color w:val="0D0D0D" w:themeColor="text1" w:themeTint="F2"/>
                <w:spacing w:val="-2"/>
                <w:szCs w:val="20"/>
              </w:rPr>
              <w:t xml:space="preserve">ýdaje na </w:t>
            </w:r>
            <w:r w:rsidRPr="00E04CFC">
              <w:rPr>
                <w:color w:val="0D0D0D" w:themeColor="text1" w:themeTint="F2"/>
                <w:spacing w:val="-2"/>
                <w:szCs w:val="20"/>
              </w:rPr>
              <w:t>obsluhu státního dluhu</w:t>
            </w:r>
            <w:r w:rsidRPr="00E04CFC">
              <w:rPr>
                <w:color w:val="0D0D0D" w:themeColor="text1" w:themeTint="F2"/>
                <w:spacing w:val="4"/>
                <w:vertAlign w:val="superscript"/>
              </w:rPr>
              <w:footnoteReference w:id="35"/>
            </w:r>
            <w:r w:rsidRPr="00E04CFC">
              <w:rPr>
                <w:color w:val="0D0D0D" w:themeColor="text1" w:themeTint="F2"/>
                <w:spacing w:val="4"/>
                <w:szCs w:val="20"/>
              </w:rPr>
              <w:t xml:space="preserve"> zahrnující </w:t>
            </w:r>
            <w:r>
              <w:rPr>
                <w:color w:val="0D0D0D" w:themeColor="text1" w:themeTint="F2"/>
                <w:spacing w:val="4"/>
                <w:szCs w:val="20"/>
              </w:rPr>
              <w:t>hlavn</w:t>
            </w:r>
            <w:r w:rsidRPr="00E04CFC">
              <w:rPr>
                <w:color w:val="0D0D0D" w:themeColor="text1" w:themeTint="F2"/>
                <w:spacing w:val="4"/>
                <w:szCs w:val="20"/>
              </w:rPr>
              <w:t>ě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úroky</w:t>
            </w:r>
            <w:r>
              <w:rPr>
                <w:color w:val="0D0D0D" w:themeColor="text1" w:themeTint="F2"/>
                <w:spacing w:val="4"/>
                <w:szCs w:val="20"/>
              </w:rPr>
              <w:t>. Ty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činily v 1.</w:t>
            </w:r>
            <w:r w:rsidR="001E5803">
              <w:rPr>
                <w:color w:val="0D0D0D" w:themeColor="text1" w:themeTint="F2"/>
                <w:spacing w:val="4"/>
                <w:szCs w:val="20"/>
              </w:rPr>
              <w:t> </w:t>
            </w:r>
            <w:r>
              <w:rPr>
                <w:color w:val="0D0D0D" w:themeColor="text1" w:themeTint="F2"/>
                <w:spacing w:val="4"/>
                <w:szCs w:val="20"/>
              </w:rPr>
              <w:t>pololet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í </w:t>
            </w:r>
            <w:r>
              <w:rPr>
                <w:color w:val="0D0D0D" w:themeColor="text1" w:themeTint="F2"/>
                <w:spacing w:val="4"/>
                <w:szCs w:val="20"/>
              </w:rPr>
              <w:t>rekordních 50,7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mld. korun a meziročně </w:t>
            </w:r>
            <w:r>
              <w:rPr>
                <w:color w:val="0D0D0D" w:themeColor="text1" w:themeTint="F2"/>
                <w:spacing w:val="4"/>
                <w:szCs w:val="20"/>
              </w:rPr>
              <w:t>posílily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</w:t>
            </w:r>
            <w:r>
              <w:rPr>
                <w:color w:val="0D0D0D" w:themeColor="text1" w:themeTint="F2"/>
                <w:spacing w:val="4"/>
                <w:szCs w:val="20"/>
              </w:rPr>
              <w:t>o 6,1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%</w:t>
            </w:r>
            <w:r>
              <w:rPr>
                <w:rStyle w:val="Znakapoznpodarou"/>
                <w:color w:val="0D0D0D" w:themeColor="text1" w:themeTint="F2"/>
                <w:spacing w:val="4"/>
                <w:szCs w:val="20"/>
              </w:rPr>
              <w:footnoteReference w:id="36"/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. </w:t>
            </w:r>
            <w:r w:rsidRPr="00FD5549">
              <w:rPr>
                <w:color w:val="0D0D0D" w:themeColor="text1" w:themeTint="F2"/>
                <w:spacing w:val="4"/>
                <w:szCs w:val="20"/>
              </w:rPr>
              <w:t>Výše státního dluhu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ČR dosáhla letos na konci </w:t>
            </w:r>
            <w:r>
              <w:rPr>
                <w:color w:val="0D0D0D" w:themeColor="text1" w:themeTint="F2"/>
                <w:spacing w:val="4"/>
                <w:szCs w:val="20"/>
              </w:rPr>
              <w:t xml:space="preserve">června 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>3 72</w:t>
            </w:r>
            <w:r>
              <w:rPr>
                <w:color w:val="0D0D0D" w:themeColor="text1" w:themeTint="F2"/>
                <w:spacing w:val="4"/>
                <w:szCs w:val="20"/>
              </w:rPr>
              <w:t>7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mld. korun a meziročně vzrostla o </w:t>
            </w:r>
            <w:r>
              <w:rPr>
                <w:color w:val="0D0D0D" w:themeColor="text1" w:themeTint="F2"/>
                <w:spacing w:val="4"/>
                <w:szCs w:val="20"/>
              </w:rPr>
              <w:t>6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>,</w:t>
            </w:r>
            <w:r>
              <w:rPr>
                <w:color w:val="0D0D0D" w:themeColor="text1" w:themeTint="F2"/>
                <w:spacing w:val="4"/>
                <w:szCs w:val="20"/>
              </w:rPr>
              <w:t>4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% (tempo </w:t>
            </w:r>
            <w:r>
              <w:rPr>
                <w:color w:val="0D0D0D" w:themeColor="text1" w:themeTint="F2"/>
                <w:spacing w:val="4"/>
                <w:szCs w:val="20"/>
              </w:rPr>
              <w:t xml:space="preserve">bylo 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>ve srovnání s</w:t>
            </w:r>
            <w:r>
              <w:rPr>
                <w:color w:val="0D0D0D" w:themeColor="text1" w:themeTint="F2"/>
                <w:spacing w:val="4"/>
                <w:szCs w:val="20"/>
              </w:rPr>
              <w:t> úhrnem za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rok</w:t>
            </w:r>
            <w:r>
              <w:rPr>
                <w:color w:val="0D0D0D" w:themeColor="text1" w:themeTint="F2"/>
                <w:spacing w:val="4"/>
                <w:szCs w:val="20"/>
              </w:rPr>
              <w:t>y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2024 i 2025 </w:t>
            </w:r>
            <w:r>
              <w:rPr>
                <w:color w:val="0D0D0D" w:themeColor="text1" w:themeTint="F2"/>
                <w:spacing w:val="4"/>
                <w:szCs w:val="20"/>
              </w:rPr>
              <w:t>jen nepatrně nižší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>)</w:t>
            </w:r>
            <w:r>
              <w:rPr>
                <w:color w:val="0D0D0D" w:themeColor="text1" w:themeTint="F2"/>
                <w:spacing w:val="4"/>
                <w:szCs w:val="20"/>
              </w:rPr>
              <w:t xml:space="preserve"> a od počátku letošního roku o 1,3 %. Meziročně se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</w:t>
            </w:r>
            <w:r>
              <w:rPr>
                <w:color w:val="0D0D0D" w:themeColor="text1" w:themeTint="F2"/>
                <w:spacing w:val="4"/>
                <w:szCs w:val="20"/>
              </w:rPr>
              <w:t>zvyšovala jen vnitřní zadluženost</w:t>
            </w:r>
            <w:r w:rsidR="001E5803">
              <w:rPr>
                <w:color w:val="0D0D0D" w:themeColor="text1" w:themeTint="F2"/>
                <w:spacing w:val="4"/>
                <w:szCs w:val="20"/>
              </w:rPr>
              <w:t xml:space="preserve"> </w:t>
            </w:r>
            <w:r>
              <w:rPr>
                <w:color w:val="0D0D0D" w:themeColor="text1" w:themeTint="F2"/>
                <w:spacing w:val="4"/>
                <w:szCs w:val="20"/>
              </w:rPr>
              <w:t>(+234</w:t>
            </w:r>
            <w:r>
              <w:rPr>
                <w:color w:val="0D0D0D" w:themeColor="text1" w:themeTint="F2"/>
              </w:rPr>
              <w:t> </w:t>
            </w:r>
            <w:r>
              <w:rPr>
                <w:color w:val="0D0D0D" w:themeColor="text1" w:themeTint="F2"/>
                <w:spacing w:val="4"/>
                <w:szCs w:val="20"/>
              </w:rPr>
              <w:t>mld. korun), vně</w:t>
            </w:r>
            <w:r w:rsidRPr="003405C2">
              <w:rPr>
                <w:color w:val="0D0D0D" w:themeColor="text1" w:themeTint="F2"/>
                <w:spacing w:val="4"/>
                <w:szCs w:val="20"/>
              </w:rPr>
              <w:t>jší dluh</w:t>
            </w:r>
            <w:r w:rsidRPr="003405C2">
              <w:rPr>
                <w:rStyle w:val="Znakapoznpodarou"/>
                <w:color w:val="0D0D0D" w:themeColor="text1" w:themeTint="F2"/>
                <w:spacing w:val="4"/>
                <w:szCs w:val="20"/>
              </w:rPr>
              <w:footnoteReference w:id="37"/>
            </w:r>
            <w:r w:rsidRPr="003405C2">
              <w:rPr>
                <w:color w:val="0D0D0D" w:themeColor="text1" w:themeTint="F2"/>
                <w:spacing w:val="4"/>
                <w:szCs w:val="20"/>
              </w:rPr>
              <w:t xml:space="preserve"> klesl zejména díky řádným splátkám úvěrů Evropské investiční bance, resp. Evropské komisi, ke kterým došlo na počátku letošního roku.</w:t>
            </w:r>
          </w:p>
        </w:tc>
      </w:tr>
      <w:tr w:rsidR="006B1AFC" w:rsidRPr="00FC6700" w14:paraId="79E8FCD0" w14:textId="77777777" w:rsidTr="003C4A79">
        <w:trPr>
          <w:trHeight w:val="170"/>
        </w:trPr>
        <w:tc>
          <w:tcPr>
            <w:tcW w:w="1803" w:type="dxa"/>
            <w:tcMar>
              <w:left w:w="0" w:type="dxa"/>
            </w:tcMar>
          </w:tcPr>
          <w:p w14:paraId="5CCBE614" w14:textId="77777777" w:rsidR="006B1AFC" w:rsidRDefault="006B1AFC" w:rsidP="003C4A79">
            <w:pPr>
              <w:pStyle w:val="Marginlie"/>
              <w:rPr>
                <w:spacing w:val="0"/>
              </w:rPr>
            </w:pPr>
            <w:r>
              <w:rPr>
                <w:spacing w:val="0"/>
              </w:rPr>
              <w:t>Rozpočtově očekávaný pokles dotací územním rozpočtům odrážel změnu financování části pracovníků v regionálním školství.</w:t>
            </w:r>
          </w:p>
        </w:tc>
        <w:tc>
          <w:tcPr>
            <w:tcW w:w="203" w:type="dxa"/>
            <w:tcMar>
              <w:left w:w="0" w:type="dxa"/>
            </w:tcMar>
          </w:tcPr>
          <w:p w14:paraId="1546786A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4B864A9B" w14:textId="77777777" w:rsidR="006B1AFC" w:rsidRPr="003D2C7D" w:rsidRDefault="006B1AFC" w:rsidP="003C4A79">
            <w:pPr>
              <w:rPr>
                <w:color w:val="0D0D0D" w:themeColor="text1" w:themeTint="F2"/>
                <w:spacing w:val="-2"/>
                <w:szCs w:val="20"/>
                <w:highlight w:val="cyan"/>
              </w:rPr>
            </w:pPr>
            <w:r>
              <w:rPr>
                <w:color w:val="0D0D0D" w:themeColor="text1" w:themeTint="F2"/>
                <w:spacing w:val="-2"/>
                <w:szCs w:val="20"/>
              </w:rPr>
              <w:t>Proti r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>ůst</w:t>
            </w:r>
            <w:r>
              <w:rPr>
                <w:color w:val="0D0D0D" w:themeColor="text1" w:themeTint="F2"/>
                <w:spacing w:val="-2"/>
                <w:szCs w:val="20"/>
              </w:rPr>
              <w:t>u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 xml:space="preserve"> běžných výdajů v 1. pololetí </w:t>
            </w:r>
            <w:r>
              <w:rPr>
                <w:color w:val="0D0D0D" w:themeColor="text1" w:themeTint="F2"/>
                <w:spacing w:val="-2"/>
                <w:szCs w:val="20"/>
              </w:rPr>
              <w:t>působilo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 xml:space="preserve"> především významn</w:t>
            </w:r>
            <w:r>
              <w:rPr>
                <w:color w:val="0D0D0D" w:themeColor="text1" w:themeTint="F2"/>
                <w:spacing w:val="-2"/>
                <w:szCs w:val="20"/>
              </w:rPr>
              <w:t>é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 xml:space="preserve"> snížení transferů územním rozpočtům (</w:t>
            </w:r>
            <w:r w:rsidRPr="009407CE">
              <w:rPr>
                <w:spacing w:val="-2"/>
              </w:rPr>
              <w:t>–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 xml:space="preserve">6,0 %, </w:t>
            </w:r>
            <w:r w:rsidRPr="009407CE">
              <w:rPr>
                <w:spacing w:val="-2"/>
              </w:rPr>
              <w:t>–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>11,2 mld. korun).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 Projevila se zde letošní 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>změn</w:t>
            </w:r>
            <w:r>
              <w:rPr>
                <w:color w:val="0D0D0D" w:themeColor="text1" w:themeTint="F2"/>
                <w:spacing w:val="-2"/>
                <w:szCs w:val="20"/>
              </w:rPr>
              <w:t>a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 xml:space="preserve"> v systému financování nepedag</w:t>
            </w:r>
            <w:r>
              <w:rPr>
                <w:color w:val="0D0D0D" w:themeColor="text1" w:themeTint="F2"/>
                <w:spacing w:val="-2"/>
                <w:szCs w:val="20"/>
              </w:rPr>
              <w:t>ogických pracovníků (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>převeden</w:t>
            </w:r>
            <w:r>
              <w:rPr>
                <w:color w:val="0D0D0D" w:themeColor="text1" w:themeTint="F2"/>
                <w:spacing w:val="-2"/>
                <w:szCs w:val="20"/>
              </w:rPr>
              <w:t>í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 xml:space="preserve"> ze státu na zřizovatele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 </w:t>
            </w:r>
            <w:r w:rsidRPr="009407CE">
              <w:rPr>
                <w:spacing w:val="-2"/>
              </w:rPr>
              <w:t>–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 nejčastěji obce či kraje</w:t>
            </w:r>
            <w:r>
              <w:rPr>
                <w:rStyle w:val="Znakapoznpodarou"/>
                <w:color w:val="0D0D0D" w:themeColor="text1" w:themeTint="F2"/>
                <w:spacing w:val="-2"/>
                <w:szCs w:val="20"/>
              </w:rPr>
              <w:footnoteReference w:id="38"/>
            </w:r>
            <w:r>
              <w:rPr>
                <w:color w:val="0D0D0D" w:themeColor="text1" w:themeTint="F2"/>
                <w:spacing w:val="-2"/>
                <w:szCs w:val="20"/>
              </w:rPr>
              <w:t>)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>.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 Proti hlubšímu poklesu dotací obcím či krajům dočasně působilo předfinancování v oblasti </w:t>
            </w:r>
            <w:r w:rsidRPr="00A0308D">
              <w:rPr>
                <w:color w:val="0D0D0D" w:themeColor="text1" w:themeTint="F2"/>
                <w:spacing w:val="-2"/>
                <w:szCs w:val="20"/>
              </w:rPr>
              <w:t>sociálních služeb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 (provedeno již na celý letošní rok). Z dalších významnějších výdajů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 xml:space="preserve"> </w:t>
            </w:r>
            <w:r>
              <w:rPr>
                <w:color w:val="0D0D0D" w:themeColor="text1" w:themeTint="F2"/>
                <w:spacing w:val="-2"/>
                <w:szCs w:val="20"/>
              </w:rPr>
              <w:t>v 1. pololetí zřetelně k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>le</w:t>
            </w:r>
            <w:r>
              <w:rPr>
                <w:color w:val="0D0D0D" w:themeColor="text1" w:themeTint="F2"/>
                <w:spacing w:val="-2"/>
                <w:szCs w:val="20"/>
              </w:rPr>
              <w:t>sly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 xml:space="preserve"> již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 j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>e</w:t>
            </w:r>
            <w:r>
              <w:rPr>
                <w:color w:val="0D0D0D" w:themeColor="text1" w:themeTint="F2"/>
                <w:spacing w:val="-2"/>
                <w:szCs w:val="20"/>
              </w:rPr>
              <w:t>n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 xml:space="preserve"> dotac</w:t>
            </w:r>
            <w:r>
              <w:rPr>
                <w:color w:val="0D0D0D" w:themeColor="text1" w:themeTint="F2"/>
                <w:spacing w:val="-2"/>
                <w:szCs w:val="20"/>
              </w:rPr>
              <w:t>e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 xml:space="preserve"> neziskovým organizacím (</w:t>
            </w:r>
            <w:r w:rsidRPr="009407CE">
              <w:rPr>
                <w:spacing w:val="-2"/>
              </w:rPr>
              <w:t>–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 xml:space="preserve">13,4 %, </w:t>
            </w:r>
            <w:r w:rsidRPr="009407CE">
              <w:rPr>
                <w:spacing w:val="-2"/>
              </w:rPr>
              <w:t>–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 xml:space="preserve">8,7 mld. korun). </w:t>
            </w:r>
            <w:r>
              <w:rPr>
                <w:color w:val="0D0D0D" w:themeColor="text1" w:themeTint="F2"/>
                <w:spacing w:val="-2"/>
                <w:szCs w:val="20"/>
              </w:rPr>
              <w:t>Šlo o jednu z mála oblastí, která byla i na počátku léta stále ovlivněna dozvuky rozpočtového provizoria (to se odrazilo v nižší po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>dpo</w:t>
            </w:r>
            <w:r>
              <w:rPr>
                <w:color w:val="0D0D0D" w:themeColor="text1" w:themeTint="F2"/>
                <w:spacing w:val="-2"/>
                <w:szCs w:val="20"/>
              </w:rPr>
              <w:t>ře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 xml:space="preserve"> výzkumu, vývoje a inovací poskytnutých 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veřejným </w:t>
            </w:r>
            <w:r w:rsidRPr="00813B24">
              <w:rPr>
                <w:color w:val="0D0D0D" w:themeColor="text1" w:themeTint="F2"/>
                <w:spacing w:val="-2"/>
                <w:szCs w:val="20"/>
              </w:rPr>
              <w:t>institucím</w:t>
            </w:r>
            <w:r>
              <w:rPr>
                <w:color w:val="0D0D0D" w:themeColor="text1" w:themeTint="F2"/>
                <w:spacing w:val="-2"/>
                <w:szCs w:val="20"/>
              </w:rPr>
              <w:t xml:space="preserve">). </w:t>
            </w:r>
          </w:p>
        </w:tc>
      </w:tr>
      <w:tr w:rsidR="006B1AFC" w:rsidRPr="00FC6700" w14:paraId="0682B754" w14:textId="77777777" w:rsidTr="003C4A79">
        <w:trPr>
          <w:trHeight w:val="170"/>
        </w:trPr>
        <w:tc>
          <w:tcPr>
            <w:tcW w:w="1803" w:type="dxa"/>
            <w:tcMar>
              <w:left w:w="0" w:type="dxa"/>
            </w:tcMar>
          </w:tcPr>
          <w:p w14:paraId="7A37B5F7" w14:textId="77777777" w:rsidR="006B1AFC" w:rsidRDefault="006B1AFC" w:rsidP="003C4A79">
            <w:pPr>
              <w:pStyle w:val="Marginlie"/>
              <w:rPr>
                <w:spacing w:val="0"/>
              </w:rPr>
            </w:pPr>
            <w:r>
              <w:rPr>
                <w:color w:val="0D0D0D" w:themeColor="text1" w:themeTint="F2"/>
                <w:spacing w:val="0"/>
              </w:rPr>
              <w:t>Ke svižnému růstu kapitálových výdajů přispěly nákupy v oblasti bezpečnosti a také dotace do dopravní infrastruktury.</w:t>
            </w:r>
          </w:p>
        </w:tc>
        <w:tc>
          <w:tcPr>
            <w:tcW w:w="203" w:type="dxa"/>
            <w:tcMar>
              <w:left w:w="0" w:type="dxa"/>
            </w:tcMar>
          </w:tcPr>
          <w:p w14:paraId="464CAF0E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06E47C57" w14:textId="77777777" w:rsidR="006B1AFC" w:rsidRPr="00A0308D" w:rsidRDefault="006B1AFC" w:rsidP="003C4A79">
            <w:pPr>
              <w:rPr>
                <w:color w:val="0D0D0D" w:themeColor="text1" w:themeTint="F2"/>
                <w:spacing w:val="-2"/>
                <w:szCs w:val="20"/>
              </w:rPr>
            </w:pPr>
            <w:r w:rsidRPr="00033683">
              <w:rPr>
                <w:color w:val="0D0D0D" w:themeColor="text1" w:themeTint="F2"/>
                <w:spacing w:val="-2"/>
              </w:rPr>
              <w:t xml:space="preserve">Kapitálové výdaje SR </w:t>
            </w:r>
            <w:r>
              <w:rPr>
                <w:color w:val="0D0D0D" w:themeColor="text1" w:themeTint="F2"/>
                <w:spacing w:val="-2"/>
              </w:rPr>
              <w:t xml:space="preserve">se </w:t>
            </w:r>
            <w:r w:rsidRPr="00033683">
              <w:rPr>
                <w:color w:val="0D0D0D" w:themeColor="text1" w:themeTint="F2"/>
                <w:spacing w:val="-2"/>
              </w:rPr>
              <w:t>v 1.</w:t>
            </w:r>
            <w:r w:rsidRPr="003405C2">
              <w:rPr>
                <w:color w:val="0D0D0D" w:themeColor="text1" w:themeTint="F2"/>
                <w:spacing w:val="-2"/>
              </w:rPr>
              <w:t xml:space="preserve"> </w:t>
            </w:r>
            <w:r>
              <w:rPr>
                <w:color w:val="0D0D0D" w:themeColor="text1" w:themeTint="F2"/>
                <w:spacing w:val="-2"/>
              </w:rPr>
              <w:t>polole</w:t>
            </w:r>
            <w:r w:rsidRPr="003405C2">
              <w:rPr>
                <w:color w:val="0D0D0D" w:themeColor="text1" w:themeTint="F2"/>
                <w:spacing w:val="-2"/>
              </w:rPr>
              <w:t xml:space="preserve">tí meziročně </w:t>
            </w:r>
            <w:r>
              <w:rPr>
                <w:color w:val="0D0D0D" w:themeColor="text1" w:themeTint="F2"/>
                <w:spacing w:val="-2"/>
              </w:rPr>
              <w:t>zvýšily</w:t>
            </w:r>
            <w:r w:rsidRPr="003405C2">
              <w:rPr>
                <w:color w:val="0D0D0D" w:themeColor="text1" w:themeTint="F2"/>
                <w:spacing w:val="-2"/>
              </w:rPr>
              <w:t xml:space="preserve"> (+</w:t>
            </w:r>
            <w:r>
              <w:rPr>
                <w:color w:val="0D0D0D" w:themeColor="text1" w:themeTint="F2"/>
                <w:spacing w:val="-2"/>
              </w:rPr>
              <w:t>32,0</w:t>
            </w:r>
            <w:r w:rsidRPr="003405C2">
              <w:rPr>
                <w:color w:val="0D0D0D" w:themeColor="text1" w:themeTint="F2"/>
                <w:spacing w:val="-2"/>
              </w:rPr>
              <w:t xml:space="preserve"> %</w:t>
            </w:r>
            <w:r>
              <w:rPr>
                <w:color w:val="0D0D0D" w:themeColor="text1" w:themeTint="F2"/>
                <w:spacing w:val="-2"/>
              </w:rPr>
              <w:t>, resp. 25,8 mld. korun</w:t>
            </w:r>
            <w:r w:rsidRPr="003405C2">
              <w:rPr>
                <w:color w:val="0D0D0D" w:themeColor="text1" w:themeTint="F2"/>
                <w:spacing w:val="-2"/>
              </w:rPr>
              <w:t>).</w:t>
            </w:r>
            <w:r>
              <w:rPr>
                <w:color w:val="0D0D0D" w:themeColor="text1" w:themeTint="F2"/>
                <w:spacing w:val="-2"/>
              </w:rPr>
              <w:t xml:space="preserve"> Realizovalo se tak již mírně přes 40 % plánovaných letošních investic</w:t>
            </w:r>
            <w:r>
              <w:rPr>
                <w:rStyle w:val="Znakapoznpodarou"/>
                <w:color w:val="0D0D0D" w:themeColor="text1" w:themeTint="F2"/>
                <w:spacing w:val="-2"/>
              </w:rPr>
              <w:footnoteReference w:id="39"/>
            </w:r>
            <w:r>
              <w:rPr>
                <w:color w:val="0D0D0D" w:themeColor="text1" w:themeTint="F2"/>
                <w:spacing w:val="-2"/>
              </w:rPr>
              <w:t xml:space="preserve">. Růst investic měl převážně plošný charakter </w:t>
            </w:r>
            <w:r w:rsidRPr="009407CE">
              <w:rPr>
                <w:spacing w:val="-2"/>
              </w:rPr>
              <w:t>–</w:t>
            </w:r>
            <w:r>
              <w:rPr>
                <w:color w:val="0D0D0D" w:themeColor="text1" w:themeTint="F2"/>
                <w:spacing w:val="-2"/>
              </w:rPr>
              <w:t xml:space="preserve"> nejvíce patrný byl v oblasti investičních nákupů (+75 %), především vlivem posílení vnitřní i vnější bezpečnosti státu a také pořízení nemovitostí. K posílení celkových investic ovšem nejvíce přispěly transfery státním fondům (+12,8 mld. korun), primárně do dopravní infrastruktury</w:t>
            </w:r>
            <w:r>
              <w:rPr>
                <w:rStyle w:val="Znakapoznpodarou"/>
                <w:color w:val="0D0D0D" w:themeColor="text1" w:themeTint="F2"/>
                <w:spacing w:val="-2"/>
              </w:rPr>
              <w:footnoteReference w:id="40"/>
            </w:r>
            <w:r>
              <w:rPr>
                <w:color w:val="0D0D0D" w:themeColor="text1" w:themeTint="F2"/>
                <w:spacing w:val="-2"/>
              </w:rPr>
              <w:t xml:space="preserve">. Vedle toho svižně vzrostly (při relativně vysoké míře plnění) i objemově méně významné investice územním samosprávám </w:t>
            </w:r>
            <w:r>
              <w:rPr>
                <w:color w:val="0D0D0D" w:themeColor="text1" w:themeTint="F2"/>
                <w:spacing w:val="-2"/>
              </w:rPr>
              <w:br/>
              <w:t xml:space="preserve">a podnikatelům. Ty souvisely s rozvojem čerpání evropských fondů. Jejich čerpání je </w:t>
            </w:r>
            <w:r>
              <w:rPr>
                <w:color w:val="0D0D0D" w:themeColor="text1" w:themeTint="F2"/>
                <w:spacing w:val="-2"/>
              </w:rPr>
              <w:lastRenderedPageBreak/>
              <w:t>naopak zatím letos pomalejší u příspěvkových organizací, zejména vysokých škol. Celkové investice se na veškerých výdajích SR v 1. pololetí podílely 8,6 %.</w:t>
            </w:r>
          </w:p>
        </w:tc>
      </w:tr>
      <w:tr w:rsidR="006B1AFC" w:rsidRPr="00FC6700" w14:paraId="6AB5989E" w14:textId="77777777" w:rsidTr="003C4A79">
        <w:trPr>
          <w:trHeight w:val="170"/>
        </w:trPr>
        <w:tc>
          <w:tcPr>
            <w:tcW w:w="1803" w:type="dxa"/>
            <w:tcMar>
              <w:left w:w="0" w:type="dxa"/>
            </w:tcMar>
          </w:tcPr>
          <w:p w14:paraId="5FBFBAF3" w14:textId="77777777" w:rsidR="006B1AFC" w:rsidRPr="00FC6700" w:rsidRDefault="006B1AFC" w:rsidP="003C4A79">
            <w:pPr>
              <w:pStyle w:val="Marginlie"/>
              <w:rPr>
                <w:spacing w:val="0"/>
              </w:rPr>
            </w:pPr>
            <w:bookmarkStart w:id="8" w:name="_Hlk238075315"/>
          </w:p>
        </w:tc>
        <w:tc>
          <w:tcPr>
            <w:tcW w:w="203" w:type="dxa"/>
            <w:tcMar>
              <w:left w:w="0" w:type="dxa"/>
            </w:tcMar>
          </w:tcPr>
          <w:p w14:paraId="5973E746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4E7C50F4" w14:textId="77777777" w:rsidR="006B1AFC" w:rsidRDefault="006B1AFC" w:rsidP="003C4A79">
            <w:pPr>
              <w:spacing w:after="0"/>
              <w:rPr>
                <w:rFonts w:cs="Arial"/>
                <w:b/>
                <w:bCs/>
              </w:rPr>
            </w:pPr>
            <w:bookmarkStart w:id="9" w:name="_Hlk238075293"/>
            <w:r w:rsidRPr="00FC6700">
              <w:rPr>
                <w:b/>
              </w:rPr>
              <w:t>Graf č. </w:t>
            </w:r>
            <w:r>
              <w:rPr>
                <w:b/>
              </w:rPr>
              <w:t xml:space="preserve">19: </w:t>
            </w:r>
            <w:r>
              <w:rPr>
                <w:rFonts w:cs="Arial"/>
                <w:b/>
                <w:bCs/>
                <w:color w:val="000000"/>
                <w:szCs w:val="20"/>
              </w:rPr>
              <w:t>Rozklad meziroční změny</w:t>
            </w:r>
            <w:r w:rsidRPr="00FC670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výdajů</w:t>
            </w:r>
            <w:r>
              <w:rPr>
                <w:rFonts w:cs="Arial"/>
                <w:bCs/>
                <w:color w:val="000000"/>
                <w:szCs w:val="20"/>
              </w:rPr>
              <w:t xml:space="preserve"> </w:t>
            </w:r>
            <w:r w:rsidRPr="00FC6700">
              <w:rPr>
                <w:rFonts w:cs="Arial"/>
                <w:b/>
                <w:bCs/>
                <w:color w:val="000000"/>
                <w:szCs w:val="20"/>
              </w:rPr>
              <w:t>státního rozpočtu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za</w:t>
            </w:r>
            <w:r>
              <w:rPr>
                <w:rFonts w:cs="Arial"/>
                <w:b/>
                <w:bCs/>
              </w:rPr>
              <w:t xml:space="preserve"> 1. pololetí </w:t>
            </w:r>
          </w:p>
          <w:p w14:paraId="123A8965" w14:textId="77777777" w:rsidR="006B1AFC" w:rsidRPr="00D37B44" w:rsidRDefault="006B1AFC" w:rsidP="003C4A79">
            <w:pPr>
              <w:spacing w:after="20"/>
              <w:rPr>
                <w:b/>
              </w:rPr>
            </w:pPr>
            <w:r w:rsidRPr="00FC6700">
              <w:rPr>
                <w:rFonts w:cs="Arial"/>
                <w:bCs/>
                <w:color w:val="000000"/>
                <w:szCs w:val="20"/>
              </w:rPr>
              <w:t>(</w:t>
            </w:r>
            <w:r>
              <w:rPr>
                <w:rFonts w:cs="Arial"/>
                <w:bCs/>
                <w:color w:val="000000"/>
                <w:szCs w:val="20"/>
              </w:rPr>
              <w:t xml:space="preserve">příspěvky k růstu, </w:t>
            </w:r>
            <w:r w:rsidRPr="00FC6700">
              <w:rPr>
                <w:rFonts w:cs="Arial"/>
                <w:bCs/>
                <w:color w:val="000000"/>
                <w:szCs w:val="20"/>
              </w:rPr>
              <w:t>v p. b</w:t>
            </w:r>
            <w:r>
              <w:rPr>
                <w:rFonts w:cs="Arial"/>
                <w:bCs/>
                <w:color w:val="000000"/>
                <w:szCs w:val="20"/>
              </w:rPr>
              <w:t>.</w:t>
            </w:r>
            <w:r w:rsidRPr="00FC6700">
              <w:rPr>
                <w:rFonts w:cs="Arial"/>
                <w:bCs/>
                <w:color w:val="000000"/>
                <w:szCs w:val="20"/>
              </w:rPr>
              <w:t>)</w:t>
            </w:r>
            <w:bookmarkEnd w:id="9"/>
          </w:p>
        </w:tc>
      </w:tr>
      <w:tr w:rsidR="006B1AFC" w:rsidRPr="00FC6700" w14:paraId="7189AF41" w14:textId="77777777" w:rsidTr="003C4A79">
        <w:tblPrEx>
          <w:tblCellMar>
            <w:left w:w="70" w:type="dxa"/>
            <w:right w:w="70" w:type="dxa"/>
          </w:tblCellMar>
        </w:tblPrEx>
        <w:trPr>
          <w:trHeight w:val="170"/>
        </w:trPr>
        <w:tc>
          <w:tcPr>
            <w:tcW w:w="1803" w:type="dxa"/>
          </w:tcPr>
          <w:p w14:paraId="53ACD6B0" w14:textId="77777777" w:rsidR="006B1AFC" w:rsidRPr="00FC6700" w:rsidRDefault="006B1AFC" w:rsidP="003C4A79">
            <w:pPr>
              <w:pStyle w:val="Marginlie"/>
              <w:rPr>
                <w:spacing w:val="0"/>
              </w:rPr>
            </w:pPr>
          </w:p>
        </w:tc>
        <w:tc>
          <w:tcPr>
            <w:tcW w:w="203" w:type="dxa"/>
          </w:tcPr>
          <w:p w14:paraId="28B5105B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</w:tcPr>
          <w:p w14:paraId="4541348C" w14:textId="77777777" w:rsidR="006B1AFC" w:rsidRPr="00FC6700" w:rsidRDefault="006B1AFC" w:rsidP="003C4A79">
            <w:pPr>
              <w:spacing w:before="20" w:after="20"/>
              <w:rPr>
                <w:color w:val="0D0D0D" w:themeColor="text1" w:themeTint="F2"/>
              </w:rPr>
            </w:pPr>
            <w:r>
              <w:rPr>
                <w:noProof/>
              </w:rPr>
              <w:drawing>
                <wp:inline distT="0" distB="0" distL="0" distR="0" wp14:anchorId="4A045022" wp14:editId="228303FE">
                  <wp:extent cx="4784090" cy="3060000"/>
                  <wp:effectExtent l="0" t="0" r="0" b="7620"/>
                  <wp:docPr id="1971710873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EC94CB-1298-4EC2-AC39-55F2294CA5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6B1AFC" w:rsidRPr="00FC6700" w14:paraId="7D109210" w14:textId="77777777" w:rsidTr="003C4A79">
        <w:trPr>
          <w:trHeight w:val="170"/>
        </w:trPr>
        <w:tc>
          <w:tcPr>
            <w:tcW w:w="1803" w:type="dxa"/>
            <w:tcMar>
              <w:left w:w="0" w:type="dxa"/>
            </w:tcMar>
          </w:tcPr>
          <w:p w14:paraId="4A154CFE" w14:textId="77777777" w:rsidR="006B1AFC" w:rsidRPr="00FC6700" w:rsidRDefault="006B1AFC" w:rsidP="003C4A79">
            <w:pPr>
              <w:pStyle w:val="Marginlie"/>
              <w:rPr>
                <w:spacing w:val="0"/>
              </w:rPr>
            </w:pPr>
          </w:p>
        </w:tc>
        <w:tc>
          <w:tcPr>
            <w:tcW w:w="203" w:type="dxa"/>
            <w:tcMar>
              <w:left w:w="0" w:type="dxa"/>
            </w:tcMar>
          </w:tcPr>
          <w:p w14:paraId="2E379A32" w14:textId="77777777" w:rsidR="006B1AFC" w:rsidRPr="00FC6700" w:rsidRDefault="006B1AFC" w:rsidP="003C4A79">
            <w:pPr>
              <w:pStyle w:val="Textpoznpodarou"/>
              <w:jc w:val="both"/>
            </w:pPr>
          </w:p>
        </w:tc>
        <w:tc>
          <w:tcPr>
            <w:tcW w:w="7663" w:type="dxa"/>
            <w:tcMar>
              <w:left w:w="0" w:type="dxa"/>
            </w:tcMar>
          </w:tcPr>
          <w:p w14:paraId="2623358D" w14:textId="77777777" w:rsidR="006B1AFC" w:rsidRPr="00FC6700" w:rsidRDefault="006B1AFC" w:rsidP="003C4A79">
            <w:pPr>
              <w:pStyle w:val="Textpoznpodarou"/>
              <w:rPr>
                <w:sz w:val="14"/>
                <w:szCs w:val="14"/>
              </w:rPr>
            </w:pPr>
            <w:r w:rsidRPr="00FC6700">
              <w:rPr>
                <w:sz w:val="14"/>
                <w:szCs w:val="14"/>
              </w:rPr>
              <w:t>* Pokrývají výdaje na platy v organizačních složkách státu. Nezahrnují například mzdové výdaje na regionální školství.</w:t>
            </w:r>
          </w:p>
          <w:p w14:paraId="2FCA1D58" w14:textId="77777777" w:rsidR="006B1AFC" w:rsidRPr="00FC6700" w:rsidRDefault="006B1AFC" w:rsidP="003C4A79">
            <w:pPr>
              <w:pStyle w:val="Textpoznpodarou"/>
              <w:rPr>
                <w:sz w:val="14"/>
                <w:szCs w:val="14"/>
              </w:rPr>
            </w:pPr>
            <w:r w:rsidRPr="00D37B44">
              <w:rPr>
                <w:sz w:val="14"/>
                <w:szCs w:val="14"/>
              </w:rPr>
              <w:t>**Obsahují i neinvestiční výdaje kapitoly Státní dluh (č. 396).</w:t>
            </w:r>
          </w:p>
          <w:p w14:paraId="77D47881" w14:textId="77777777" w:rsidR="006B1AFC" w:rsidRDefault="006B1AFC" w:rsidP="003C4A79">
            <w:pPr>
              <w:spacing w:after="0" w:line="240" w:lineRule="auto"/>
              <w:rPr>
                <w:sz w:val="14"/>
                <w:szCs w:val="14"/>
              </w:rPr>
            </w:pPr>
            <w:r w:rsidRPr="00D37B44">
              <w:rPr>
                <w:sz w:val="14"/>
                <w:szCs w:val="14"/>
              </w:rPr>
              <w:t>***Zahrnují dotace příspěvkovým organizacím, státním fondům a neziskovým org</w:t>
            </w:r>
            <w:r>
              <w:rPr>
                <w:sz w:val="14"/>
                <w:szCs w:val="14"/>
              </w:rPr>
              <w:t>anizacím.</w:t>
            </w:r>
          </w:p>
          <w:p w14:paraId="2D1FEE44" w14:textId="77777777" w:rsidR="006B1AFC" w:rsidRDefault="006B1AFC" w:rsidP="003C4A79">
            <w:pPr>
              <w:spacing w:after="0" w:line="240" w:lineRule="auto"/>
              <w:rPr>
                <w:sz w:val="14"/>
                <w:szCs w:val="14"/>
              </w:rPr>
            </w:pPr>
            <w:r w:rsidRPr="00D37B44">
              <w:rPr>
                <w:sz w:val="14"/>
                <w:szCs w:val="14"/>
              </w:rPr>
              <w:t>****</w:t>
            </w:r>
            <w:r>
              <w:rPr>
                <w:sz w:val="14"/>
                <w:szCs w:val="14"/>
              </w:rPr>
              <w:t>Soustřeďují</w:t>
            </w:r>
            <w:r w:rsidRPr="00D37B44">
              <w:rPr>
                <w:sz w:val="14"/>
                <w:szCs w:val="14"/>
              </w:rPr>
              <w:t xml:space="preserve"> zejména dávky státní sociální podpor</w:t>
            </w:r>
            <w:r>
              <w:rPr>
                <w:sz w:val="14"/>
                <w:szCs w:val="14"/>
              </w:rPr>
              <w:t>y</w:t>
            </w:r>
            <w:r w:rsidRPr="00D37B44">
              <w:rPr>
                <w:sz w:val="14"/>
                <w:szCs w:val="14"/>
              </w:rPr>
              <w:t>, nemocenského pojištění, pomoci v hmotné nouzi, dávky osobám se zdravotním postižením a příspěvek na péči dle zákona o soc. službách.</w:t>
            </w:r>
          </w:p>
          <w:p w14:paraId="3D0474DB" w14:textId="77777777" w:rsidR="006B1AFC" w:rsidRDefault="006B1AFC" w:rsidP="003C4A79">
            <w:pPr>
              <w:spacing w:after="0" w:line="240" w:lineRule="auto"/>
              <w:rPr>
                <w:sz w:val="14"/>
                <w:szCs w:val="14"/>
              </w:rPr>
            </w:pPr>
            <w:r w:rsidRPr="00D37B44">
              <w:rPr>
                <w:sz w:val="14"/>
                <w:szCs w:val="14"/>
              </w:rPr>
              <w:t>*****</w:t>
            </w:r>
            <w:r>
              <w:rPr>
                <w:sz w:val="14"/>
                <w:szCs w:val="14"/>
              </w:rPr>
              <w:t>Jde především</w:t>
            </w:r>
            <w:r w:rsidRPr="00D37B44">
              <w:rPr>
                <w:sz w:val="14"/>
                <w:szCs w:val="14"/>
              </w:rPr>
              <w:t xml:space="preserve"> o</w:t>
            </w:r>
            <w:r>
              <w:rPr>
                <w:sz w:val="14"/>
                <w:szCs w:val="14"/>
              </w:rPr>
              <w:t xml:space="preserve"> o</w:t>
            </w:r>
            <w:r w:rsidRPr="00D37B44">
              <w:rPr>
                <w:sz w:val="14"/>
                <w:szCs w:val="14"/>
              </w:rPr>
              <w:t>dvody vlastních zdrojů EU do rozpočtu EU.</w:t>
            </w:r>
          </w:p>
          <w:p w14:paraId="6F03BA57" w14:textId="77777777" w:rsidR="006B1AFC" w:rsidRPr="00FC6700" w:rsidRDefault="006B1AFC" w:rsidP="003C4A79">
            <w:pPr>
              <w:spacing w:after="200"/>
              <w:rPr>
                <w:color w:val="0D0D0D" w:themeColor="text1" w:themeTint="F2"/>
              </w:rPr>
            </w:pPr>
            <w:r w:rsidRPr="00FC6700">
              <w:rPr>
                <w:sz w:val="14"/>
                <w:szCs w:val="14"/>
              </w:rPr>
              <w:t>Zdroj: MF ČR</w:t>
            </w:r>
          </w:p>
        </w:tc>
      </w:tr>
      <w:bookmarkEnd w:id="8"/>
      <w:tr w:rsidR="009324EF" w:rsidRPr="00E856C5" w14:paraId="46DC07B0" w14:textId="77777777" w:rsidTr="003C4A79">
        <w:trPr>
          <w:trHeight w:val="170"/>
        </w:trPr>
        <w:tc>
          <w:tcPr>
            <w:tcW w:w="1803" w:type="dxa"/>
            <w:tcMar>
              <w:left w:w="0" w:type="dxa"/>
            </w:tcMar>
          </w:tcPr>
          <w:p w14:paraId="7FC076C1" w14:textId="77777777" w:rsidR="006B1AFC" w:rsidRPr="003405C2" w:rsidRDefault="006B1AFC" w:rsidP="003C4A79">
            <w:pPr>
              <w:pStyle w:val="Marginlie"/>
              <w:rPr>
                <w:color w:val="0D0D0D" w:themeColor="text1" w:themeTint="F2"/>
                <w:spacing w:val="0"/>
              </w:rPr>
            </w:pPr>
            <w:r>
              <w:t>Příjmy Česka z rozpočtu EU posílily díky vyššímu čerpání ze Strukturálních fondů a také z Nástroje na podporu oživení. Česko zůstalo ve vztahu k EU v pozici čistého příjemce.</w:t>
            </w:r>
          </w:p>
        </w:tc>
        <w:tc>
          <w:tcPr>
            <w:tcW w:w="203" w:type="dxa"/>
            <w:tcMar>
              <w:left w:w="0" w:type="dxa"/>
            </w:tcMar>
          </w:tcPr>
          <w:p w14:paraId="1598CF90" w14:textId="77777777" w:rsidR="006B1AFC" w:rsidRPr="003405C2" w:rsidRDefault="006B1AFC" w:rsidP="003C4A79">
            <w:pPr>
              <w:pStyle w:val="Textpoznpodarou"/>
              <w:jc w:val="both"/>
              <w:rPr>
                <w:color w:val="0D0D0D" w:themeColor="text1" w:themeTint="F2"/>
              </w:rPr>
            </w:pPr>
          </w:p>
        </w:tc>
        <w:tc>
          <w:tcPr>
            <w:tcW w:w="7663" w:type="dxa"/>
            <w:tcMar>
              <w:left w:w="0" w:type="dxa"/>
            </w:tcMar>
          </w:tcPr>
          <w:p w14:paraId="225F8E1F" w14:textId="77777777" w:rsidR="009324EF" w:rsidRPr="003405C2" w:rsidRDefault="006B1AFC" w:rsidP="003C4A79">
            <w:pPr>
              <w:spacing w:after="0"/>
              <w:rPr>
                <w:color w:val="0D0D0D" w:themeColor="text1" w:themeTint="F2"/>
                <w:spacing w:val="-4"/>
              </w:rPr>
            </w:pPr>
            <w:r w:rsidRPr="00AB296D">
              <w:rPr>
                <w:color w:val="0D0D0D" w:themeColor="text1" w:themeTint="F2"/>
                <w:spacing w:val="-4"/>
              </w:rPr>
              <w:t>Celkové příjmy Č</w:t>
            </w:r>
            <w:r>
              <w:rPr>
                <w:color w:val="0D0D0D" w:themeColor="text1" w:themeTint="F2"/>
                <w:spacing w:val="-4"/>
              </w:rPr>
              <w:t>eska</w:t>
            </w:r>
            <w:r w:rsidRPr="00AB296D">
              <w:rPr>
                <w:color w:val="0D0D0D" w:themeColor="text1" w:themeTint="F2"/>
                <w:spacing w:val="-4"/>
              </w:rPr>
              <w:t xml:space="preserve"> z rozpočtu EU (bez Nástroje EU na podporu oživení</w:t>
            </w:r>
            <w:r>
              <w:rPr>
                <w:rStyle w:val="Znakapoznpodarou"/>
              </w:rPr>
              <w:footnoteReference w:id="41"/>
            </w:r>
            <w:r w:rsidRPr="00AB296D">
              <w:rPr>
                <w:color w:val="0D0D0D" w:themeColor="text1" w:themeTint="F2"/>
                <w:spacing w:val="-4"/>
              </w:rPr>
              <w:t>,</w:t>
            </w:r>
            <w:r w:rsidR="009324EF" w:rsidRPr="00AB296D">
              <w:rPr>
                <w:color w:val="0D0D0D" w:themeColor="text1" w:themeTint="F2"/>
                <w:spacing w:val="-4"/>
              </w:rPr>
              <w:t xml:space="preserve"> resp. Národního plánu obnovy – NPO) se letos v 1. pololetí meziročně </w:t>
            </w:r>
            <w:r w:rsidR="009324EF">
              <w:rPr>
                <w:color w:val="0D0D0D" w:themeColor="text1" w:themeTint="F2"/>
                <w:spacing w:val="-4"/>
              </w:rPr>
              <w:t xml:space="preserve">zvýšily téměř o pětinu </w:t>
            </w:r>
            <w:r w:rsidR="009324EF" w:rsidRPr="00AB296D">
              <w:rPr>
                <w:color w:val="0D0D0D" w:themeColor="text1" w:themeTint="F2"/>
                <w:spacing w:val="-4"/>
              </w:rPr>
              <w:t xml:space="preserve">(na </w:t>
            </w:r>
            <w:r w:rsidR="009324EF">
              <w:rPr>
                <w:color w:val="0D0D0D" w:themeColor="text1" w:themeTint="F2"/>
                <w:spacing w:val="-4"/>
              </w:rPr>
              <w:t>65,7</w:t>
            </w:r>
            <w:r w:rsidR="009324EF" w:rsidRPr="00AB296D">
              <w:rPr>
                <w:color w:val="0D0D0D" w:themeColor="text1" w:themeTint="F2"/>
                <w:spacing w:val="-4"/>
              </w:rPr>
              <w:t> mld. korun)</w:t>
            </w:r>
            <w:r w:rsidR="009324EF">
              <w:rPr>
                <w:color w:val="0D0D0D" w:themeColor="text1" w:themeTint="F2"/>
                <w:spacing w:val="-4"/>
              </w:rPr>
              <w:t>, téměř výhradně díky Strukturálním fondům (+14,3 mld. korun). Naopak o</w:t>
            </w:r>
            <w:r w:rsidR="009324EF">
              <w:rPr>
                <w:color w:val="0D0D0D" w:themeColor="text1" w:themeTint="F2"/>
              </w:rPr>
              <w:t> </w:t>
            </w:r>
            <w:r w:rsidR="009324EF">
              <w:rPr>
                <w:color w:val="0D0D0D" w:themeColor="text1" w:themeTint="F2"/>
                <w:spacing w:val="-4"/>
              </w:rPr>
              <w:t xml:space="preserve">pětinu </w:t>
            </w:r>
            <w:proofErr w:type="gramStart"/>
            <w:r w:rsidR="009324EF">
              <w:rPr>
                <w:color w:val="0D0D0D" w:themeColor="text1" w:themeTint="F2"/>
                <w:spacing w:val="-4"/>
              </w:rPr>
              <w:t>méně</w:t>
            </w:r>
            <w:proofErr w:type="gramEnd"/>
            <w:r w:rsidR="009324EF">
              <w:rPr>
                <w:color w:val="0D0D0D" w:themeColor="text1" w:themeTint="F2"/>
                <w:spacing w:val="-4"/>
              </w:rPr>
              <w:t xml:space="preserve"> než loni získalo Česko z Fondu soudržnosti a řádově menší byl i pokles alokace do zemědělství (zejména u přímých plateb). Celkové odvody Česka do rozpočtu EU letos zatím dosáhly 45,8 mld. korun, a protože jejich procentní růst byl oproti příjmům více než dvojnásobný, č</w:t>
            </w:r>
            <w:r w:rsidR="009324EF" w:rsidRPr="00AB296D">
              <w:rPr>
                <w:color w:val="0D0D0D" w:themeColor="text1" w:themeTint="F2"/>
                <w:spacing w:val="-4"/>
              </w:rPr>
              <w:t>istá pozice Č</w:t>
            </w:r>
            <w:r w:rsidR="009324EF">
              <w:rPr>
                <w:color w:val="0D0D0D" w:themeColor="text1" w:themeTint="F2"/>
                <w:spacing w:val="-4"/>
              </w:rPr>
              <w:t>eska</w:t>
            </w:r>
            <w:r w:rsidR="009324EF" w:rsidRPr="00AB296D">
              <w:rPr>
                <w:color w:val="0D0D0D" w:themeColor="text1" w:themeTint="F2"/>
                <w:spacing w:val="-4"/>
              </w:rPr>
              <w:t xml:space="preserve"> vůči rozpočtu EU (bez NPO) </w:t>
            </w:r>
            <w:r w:rsidR="009324EF">
              <w:rPr>
                <w:color w:val="0D0D0D" w:themeColor="text1" w:themeTint="F2"/>
                <w:spacing w:val="-4"/>
              </w:rPr>
              <w:t>se meziročně mírně zhoršila (i tak však bylo vykázáno kladné saldo +19,9</w:t>
            </w:r>
            <w:r w:rsidR="009324EF" w:rsidRPr="00AB296D">
              <w:rPr>
                <w:color w:val="0D0D0D" w:themeColor="text1" w:themeTint="F2"/>
                <w:spacing w:val="-4"/>
              </w:rPr>
              <w:t xml:space="preserve"> mld. korun</w:t>
            </w:r>
            <w:r w:rsidR="009324EF">
              <w:rPr>
                <w:color w:val="0D0D0D" w:themeColor="text1" w:themeTint="F2"/>
                <w:spacing w:val="-4"/>
              </w:rPr>
              <w:t xml:space="preserve">). </w:t>
            </w:r>
            <w:r w:rsidR="009324EF" w:rsidRPr="00AB296D">
              <w:rPr>
                <w:color w:val="0D0D0D" w:themeColor="text1" w:themeTint="F2"/>
                <w:spacing w:val="-4"/>
              </w:rPr>
              <w:t xml:space="preserve">Pokud bychom započetli i prostředky z NPO, jež Česko získává od roku 2021, </w:t>
            </w:r>
            <w:r w:rsidR="009324EF">
              <w:rPr>
                <w:color w:val="0D0D0D" w:themeColor="text1" w:themeTint="F2"/>
                <w:spacing w:val="-4"/>
              </w:rPr>
              <w:t>činila</w:t>
            </w:r>
            <w:r w:rsidR="009324EF" w:rsidRPr="00AB296D">
              <w:rPr>
                <w:color w:val="0D0D0D" w:themeColor="text1" w:themeTint="F2"/>
                <w:spacing w:val="-4"/>
              </w:rPr>
              <w:t xml:space="preserve"> by </w:t>
            </w:r>
            <w:r w:rsidR="009324EF">
              <w:rPr>
                <w:color w:val="0D0D0D" w:themeColor="text1" w:themeTint="F2"/>
                <w:spacing w:val="-4"/>
              </w:rPr>
              <w:t xml:space="preserve">letos </w:t>
            </w:r>
            <w:r w:rsidR="009324EF" w:rsidRPr="00AB296D">
              <w:rPr>
                <w:color w:val="0D0D0D" w:themeColor="text1" w:themeTint="F2"/>
                <w:spacing w:val="-4"/>
              </w:rPr>
              <w:t xml:space="preserve">celková </w:t>
            </w:r>
            <w:r w:rsidR="009324EF">
              <w:rPr>
                <w:color w:val="0D0D0D" w:themeColor="text1" w:themeTint="F2"/>
                <w:spacing w:val="-4"/>
              </w:rPr>
              <w:t xml:space="preserve">kladná </w:t>
            </w:r>
            <w:r w:rsidR="009324EF" w:rsidRPr="00AB296D">
              <w:rPr>
                <w:color w:val="0D0D0D" w:themeColor="text1" w:themeTint="F2"/>
                <w:spacing w:val="-4"/>
              </w:rPr>
              <w:t xml:space="preserve">bilance s EU </w:t>
            </w:r>
            <w:r w:rsidR="009324EF">
              <w:rPr>
                <w:color w:val="0D0D0D" w:themeColor="text1" w:themeTint="F2"/>
                <w:spacing w:val="-4"/>
              </w:rPr>
              <w:t>38,2 mld. korun (nejvíce za poslední tři roky).</w:t>
            </w:r>
          </w:p>
        </w:tc>
      </w:tr>
    </w:tbl>
    <w:p w14:paraId="66911CC6" w14:textId="021FCF45" w:rsidR="00A50D73" w:rsidRDefault="00A50D73" w:rsidP="009324EF">
      <w:pPr>
        <w:pStyle w:val="Nadpis1"/>
      </w:pPr>
    </w:p>
    <w:sectPr w:rsidR="00A50D73" w:rsidSect="00840D5D">
      <w:headerReference w:type="even" r:id="rId14"/>
      <w:headerReference w:type="default" r:id="rId15"/>
      <w:footerReference w:type="even" r:id="rId16"/>
      <w:footerReference w:type="default" r:id="rId17"/>
      <w:pgSz w:w="11906" w:h="16838" w:code="9"/>
      <w:pgMar w:top="1134" w:right="1134" w:bottom="1418" w:left="1134" w:header="680" w:footer="680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DD821" w14:textId="77777777" w:rsidR="00FA148C" w:rsidRDefault="00FA148C" w:rsidP="00E71A58">
      <w:r>
        <w:separator/>
      </w:r>
    </w:p>
  </w:endnote>
  <w:endnote w:type="continuationSeparator" w:id="0">
    <w:p w14:paraId="7307CA57" w14:textId="77777777" w:rsidR="00FA148C" w:rsidRDefault="00FA148C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6754" w14:textId="006763FA" w:rsidR="00763B85" w:rsidRPr="00932443" w:rsidRDefault="00763B85" w:rsidP="00A418BC">
    <w:pPr>
      <w:pStyle w:val="Zpat"/>
      <w:rPr>
        <w:szCs w:val="16"/>
      </w:rPr>
    </w:pPr>
    <w:r w:rsidRPr="00932443">
      <w:rPr>
        <w:szCs w:val="16"/>
      </w:rPr>
      <w:fldChar w:fldCharType="begin"/>
    </w:r>
    <w:r w:rsidRPr="00932443">
      <w:rPr>
        <w:szCs w:val="16"/>
      </w:rPr>
      <w:instrText>PAGE   \* MERGEFORMAT</w:instrText>
    </w:r>
    <w:r w:rsidRPr="00932443">
      <w:rPr>
        <w:szCs w:val="16"/>
      </w:rPr>
      <w:fldChar w:fldCharType="separate"/>
    </w:r>
    <w:r w:rsidR="00C35666">
      <w:rPr>
        <w:szCs w:val="16"/>
      </w:rPr>
      <w:t>8</w:t>
    </w:r>
    <w:r w:rsidRPr="00932443">
      <w:rPr>
        <w:szCs w:val="16"/>
      </w:rPr>
      <w:fldChar w:fldCharType="end"/>
    </w:r>
    <w:r w:rsidRPr="00932443">
      <w:rPr>
        <w:szCs w:val="16"/>
      </w:rPr>
      <w:tab/>
    </w:r>
    <w:r w:rsidR="009203C8">
      <w:rPr>
        <w:szCs w:val="16"/>
      </w:rPr>
      <w:t>1. pololetí 2026</w:t>
    </w:r>
    <w:r w:rsidR="002B4121">
      <w:rPr>
        <w:szCs w:val="16"/>
      </w:rPr>
      <w:tab/>
      <w:t>ČSÚ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FA4F" w14:textId="6FEC4AAE" w:rsidR="00763B85" w:rsidRPr="00932443" w:rsidRDefault="002B4121" w:rsidP="00A418BC">
    <w:pPr>
      <w:pStyle w:val="Zpat"/>
      <w:rPr>
        <w:szCs w:val="16"/>
      </w:rPr>
    </w:pPr>
    <w:r>
      <w:rPr>
        <w:szCs w:val="16"/>
        <w:lang w:eastAsia="cs-CZ"/>
      </w:rPr>
      <w:t>ČSÚ</w:t>
    </w:r>
    <w:r w:rsidR="00763B85" w:rsidRPr="00932443">
      <w:rPr>
        <w:szCs w:val="16"/>
      </w:rPr>
      <w:tab/>
    </w:r>
    <w:r w:rsidR="009203C8">
      <w:rPr>
        <w:szCs w:val="16"/>
      </w:rPr>
      <w:t>1. pololetí 2026</w:t>
    </w:r>
    <w:r w:rsidR="00763B85" w:rsidRPr="00932443">
      <w:rPr>
        <w:szCs w:val="16"/>
      </w:rPr>
      <w:tab/>
    </w:r>
    <w:r w:rsidR="00763B85" w:rsidRPr="00932443">
      <w:rPr>
        <w:rStyle w:val="ZpatChar"/>
        <w:szCs w:val="16"/>
      </w:rPr>
      <w:fldChar w:fldCharType="begin"/>
    </w:r>
    <w:r w:rsidR="00763B85" w:rsidRPr="00932443">
      <w:rPr>
        <w:rStyle w:val="ZpatChar"/>
        <w:szCs w:val="16"/>
      </w:rPr>
      <w:instrText>PAGE   \* MERGEFORMAT</w:instrText>
    </w:r>
    <w:r w:rsidR="00763B85" w:rsidRPr="00932443">
      <w:rPr>
        <w:rStyle w:val="ZpatChar"/>
        <w:szCs w:val="16"/>
      </w:rPr>
      <w:fldChar w:fldCharType="separate"/>
    </w:r>
    <w:r w:rsidR="00C35666">
      <w:rPr>
        <w:rStyle w:val="ZpatChar"/>
        <w:szCs w:val="16"/>
      </w:rPr>
      <w:t>3</w:t>
    </w:r>
    <w:r w:rsidR="00763B85" w:rsidRPr="00932443">
      <w:rPr>
        <w:rStyle w:val="ZpatCha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92161" w14:textId="77777777" w:rsidR="00FA148C" w:rsidRPr="00BB2F43" w:rsidRDefault="00FA148C" w:rsidP="00BB2F43">
      <w:pPr>
        <w:pStyle w:val="Zpat"/>
      </w:pPr>
      <w:r>
        <w:separator/>
      </w:r>
    </w:p>
  </w:footnote>
  <w:footnote w:type="continuationSeparator" w:id="0">
    <w:p w14:paraId="72CF18D4" w14:textId="77777777" w:rsidR="00FA148C" w:rsidRDefault="00FA148C" w:rsidP="00E71A58">
      <w:r>
        <w:continuationSeparator/>
      </w:r>
    </w:p>
  </w:footnote>
  <w:footnote w:id="1">
    <w:p w14:paraId="45F962FE" w14:textId="77777777" w:rsidR="006B1AFC" w:rsidRPr="006A0671" w:rsidRDefault="006B1AFC" w:rsidP="009324EF">
      <w:pPr>
        <w:pStyle w:val="Textpoznpodarou"/>
        <w:rPr>
          <w:color w:val="0D0D0D" w:themeColor="text1" w:themeTint="F2"/>
          <w:sz w:val="16"/>
          <w:szCs w:val="16"/>
        </w:rPr>
      </w:pPr>
      <w:r w:rsidRPr="003405C2">
        <w:rPr>
          <w:rStyle w:val="Znakapoznpodarou"/>
          <w:color w:val="0D0D0D" w:themeColor="text1" w:themeTint="F2"/>
          <w:sz w:val="16"/>
          <w:szCs w:val="16"/>
        </w:rPr>
        <w:footnoteRef/>
      </w:r>
      <w:r w:rsidRPr="003405C2">
        <w:rPr>
          <w:color w:val="0D0D0D" w:themeColor="text1" w:themeTint="F2"/>
          <w:sz w:val="16"/>
          <w:szCs w:val="16"/>
        </w:rPr>
        <w:t xml:space="preserve"> </w:t>
      </w:r>
      <w:r w:rsidRPr="00BC5365">
        <w:rPr>
          <w:color w:val="0D0D0D" w:themeColor="text1" w:themeTint="F2"/>
          <w:sz w:val="16"/>
          <w:szCs w:val="16"/>
        </w:rPr>
        <w:t xml:space="preserve">Údaje </w:t>
      </w:r>
      <w:r w:rsidRPr="006A0671">
        <w:rPr>
          <w:color w:val="0D0D0D" w:themeColor="text1" w:themeTint="F2"/>
          <w:sz w:val="16"/>
          <w:szCs w:val="16"/>
        </w:rPr>
        <w:t xml:space="preserve">o hospodaření sektoru vládních institucí v Česku za 2. čtvrtletí 2026 zveřejní ČSÚ 1. října 2026, Eurostat za členské státy Unie potom 21. října. Širší zhodnocení tuzemského vývoje za 1. čtvrtletí 2026 nabízí publikace </w:t>
      </w:r>
      <w:hyperlink r:id="rId1" w:history="1">
        <w:r w:rsidRPr="006A0671">
          <w:rPr>
            <w:rStyle w:val="Hypertextovodkaz"/>
            <w:i/>
            <w:color w:val="0D0D0D" w:themeColor="text1" w:themeTint="F2"/>
            <w:sz w:val="16"/>
            <w:szCs w:val="16"/>
          </w:rPr>
          <w:t>Analýza sektorových účtů</w:t>
        </w:r>
      </w:hyperlink>
      <w:r w:rsidRPr="006A0671">
        <w:rPr>
          <w:color w:val="0D0D0D" w:themeColor="text1" w:themeTint="F2"/>
          <w:sz w:val="16"/>
          <w:szCs w:val="16"/>
        </w:rPr>
        <w:t>.</w:t>
      </w:r>
    </w:p>
  </w:footnote>
  <w:footnote w:id="2">
    <w:p w14:paraId="0B577CA0" w14:textId="77777777" w:rsidR="006B1AFC" w:rsidRPr="003405C2" w:rsidRDefault="006B1AFC" w:rsidP="009324EF">
      <w:pPr>
        <w:pStyle w:val="Textpoznpodarou"/>
        <w:rPr>
          <w:color w:val="0D0D0D" w:themeColor="text1" w:themeTint="F2"/>
          <w:sz w:val="16"/>
          <w:szCs w:val="16"/>
        </w:rPr>
      </w:pPr>
      <w:r w:rsidRPr="006A0671">
        <w:rPr>
          <w:rStyle w:val="Znakapoznpodarou"/>
          <w:color w:val="0D0D0D" w:themeColor="text1" w:themeTint="F2"/>
          <w:sz w:val="16"/>
          <w:szCs w:val="16"/>
        </w:rPr>
        <w:footnoteRef/>
      </w:r>
      <w:r w:rsidRPr="006A0671">
        <w:rPr>
          <w:color w:val="0D0D0D" w:themeColor="text1" w:themeTint="F2"/>
          <w:sz w:val="16"/>
          <w:szCs w:val="16"/>
        </w:rPr>
        <w:t xml:space="preserve"> Není-li uvedeno jinak, jsou údaje</w:t>
      </w:r>
      <w:r w:rsidRPr="003405C2">
        <w:rPr>
          <w:color w:val="0D0D0D" w:themeColor="text1" w:themeTint="F2"/>
          <w:sz w:val="16"/>
          <w:szCs w:val="16"/>
        </w:rPr>
        <w:t xml:space="preserve"> o hospodaření sektoru VI v ČR vyjádřeny v nominálním vyjádření a bez sezónního očištění.</w:t>
      </w:r>
    </w:p>
  </w:footnote>
  <w:footnote w:id="3">
    <w:p w14:paraId="3654AB24" w14:textId="77777777" w:rsidR="006B1AFC" w:rsidRPr="002F2349" w:rsidRDefault="006B1AFC" w:rsidP="009324EF">
      <w:pPr>
        <w:pStyle w:val="Textpoznpodarou"/>
        <w:rPr>
          <w:sz w:val="16"/>
          <w:szCs w:val="16"/>
        </w:rPr>
      </w:pPr>
      <w:r w:rsidRPr="003405C2">
        <w:rPr>
          <w:rStyle w:val="Znakapoznpodarou"/>
          <w:color w:val="0D0D0D" w:themeColor="text1" w:themeTint="F2"/>
          <w:sz w:val="16"/>
          <w:szCs w:val="16"/>
        </w:rPr>
        <w:footnoteRef/>
      </w:r>
      <w:r w:rsidRPr="003405C2">
        <w:rPr>
          <w:color w:val="0D0D0D" w:themeColor="text1" w:themeTint="F2"/>
          <w:sz w:val="16"/>
          <w:szCs w:val="16"/>
        </w:rPr>
        <w:t xml:space="preserve"> Za tímto zhoršením stál </w:t>
      </w:r>
      <w:r>
        <w:rPr>
          <w:color w:val="0D0D0D" w:themeColor="text1" w:themeTint="F2"/>
          <w:sz w:val="16"/>
          <w:szCs w:val="16"/>
        </w:rPr>
        <w:t xml:space="preserve">výhradně </w:t>
      </w:r>
      <w:proofErr w:type="spellStart"/>
      <w:r>
        <w:rPr>
          <w:color w:val="0D0D0D" w:themeColor="text1" w:themeTint="F2"/>
          <w:sz w:val="16"/>
          <w:szCs w:val="16"/>
        </w:rPr>
        <w:t>subsektor</w:t>
      </w:r>
      <w:proofErr w:type="spellEnd"/>
      <w:r>
        <w:rPr>
          <w:color w:val="0D0D0D" w:themeColor="text1" w:themeTint="F2"/>
          <w:sz w:val="16"/>
          <w:szCs w:val="16"/>
        </w:rPr>
        <w:t xml:space="preserve"> </w:t>
      </w:r>
      <w:r w:rsidRPr="003405C2">
        <w:rPr>
          <w:color w:val="0D0D0D" w:themeColor="text1" w:themeTint="F2"/>
          <w:sz w:val="16"/>
          <w:szCs w:val="16"/>
        </w:rPr>
        <w:t>místní</w:t>
      </w:r>
      <w:r>
        <w:rPr>
          <w:color w:val="0D0D0D" w:themeColor="text1" w:themeTint="F2"/>
          <w:sz w:val="16"/>
          <w:szCs w:val="16"/>
        </w:rPr>
        <w:t>ch</w:t>
      </w:r>
      <w:r w:rsidRPr="003405C2">
        <w:rPr>
          <w:color w:val="0D0D0D" w:themeColor="text1" w:themeTint="F2"/>
          <w:sz w:val="16"/>
          <w:szCs w:val="16"/>
        </w:rPr>
        <w:t xml:space="preserve"> vládní</w:t>
      </w:r>
      <w:r>
        <w:rPr>
          <w:color w:val="0D0D0D" w:themeColor="text1" w:themeTint="F2"/>
          <w:sz w:val="16"/>
          <w:szCs w:val="16"/>
        </w:rPr>
        <w:t xml:space="preserve">ch </w:t>
      </w:r>
      <w:r w:rsidRPr="003405C2">
        <w:rPr>
          <w:color w:val="0D0D0D" w:themeColor="text1" w:themeTint="F2"/>
          <w:sz w:val="16"/>
          <w:szCs w:val="16"/>
        </w:rPr>
        <w:t>instituc</w:t>
      </w:r>
      <w:r>
        <w:rPr>
          <w:color w:val="0D0D0D" w:themeColor="text1" w:themeTint="F2"/>
          <w:sz w:val="16"/>
          <w:szCs w:val="16"/>
        </w:rPr>
        <w:t>í</w:t>
      </w:r>
      <w:r w:rsidRPr="003405C2">
        <w:rPr>
          <w:color w:val="0D0D0D" w:themeColor="text1" w:themeTint="F2"/>
          <w:sz w:val="16"/>
          <w:szCs w:val="16"/>
        </w:rPr>
        <w:t>, je</w:t>
      </w:r>
      <w:r>
        <w:rPr>
          <w:color w:val="0D0D0D" w:themeColor="text1" w:themeTint="F2"/>
          <w:sz w:val="16"/>
          <w:szCs w:val="16"/>
        </w:rPr>
        <w:t>ho</w:t>
      </w:r>
      <w:r w:rsidRPr="003405C2">
        <w:rPr>
          <w:color w:val="0D0D0D" w:themeColor="text1" w:themeTint="F2"/>
          <w:sz w:val="16"/>
          <w:szCs w:val="16"/>
        </w:rPr>
        <w:t xml:space="preserve">ž přebytek hospodaření </w:t>
      </w:r>
      <w:r>
        <w:rPr>
          <w:color w:val="0D0D0D" w:themeColor="text1" w:themeTint="F2"/>
          <w:sz w:val="16"/>
          <w:szCs w:val="16"/>
        </w:rPr>
        <w:t xml:space="preserve">se </w:t>
      </w:r>
      <w:r w:rsidRPr="003405C2">
        <w:rPr>
          <w:color w:val="0D0D0D" w:themeColor="text1" w:themeTint="F2"/>
          <w:sz w:val="16"/>
          <w:szCs w:val="16"/>
        </w:rPr>
        <w:t xml:space="preserve">zejména </w:t>
      </w:r>
      <w:r>
        <w:rPr>
          <w:color w:val="0D0D0D" w:themeColor="text1" w:themeTint="F2"/>
          <w:sz w:val="16"/>
          <w:szCs w:val="16"/>
        </w:rPr>
        <w:t>vlivem poklesu dotací do regionálního školství</w:t>
      </w:r>
      <w:r w:rsidRPr="003405C2">
        <w:rPr>
          <w:color w:val="0D0D0D" w:themeColor="text1" w:themeTint="F2"/>
          <w:sz w:val="16"/>
          <w:szCs w:val="16"/>
        </w:rPr>
        <w:t xml:space="preserve"> </w:t>
      </w:r>
      <w:r>
        <w:rPr>
          <w:color w:val="0D0D0D" w:themeColor="text1" w:themeTint="F2"/>
          <w:sz w:val="16"/>
          <w:szCs w:val="16"/>
        </w:rPr>
        <w:t>meziročně snížil</w:t>
      </w:r>
      <w:r w:rsidRPr="003405C2">
        <w:rPr>
          <w:color w:val="0D0D0D" w:themeColor="text1" w:themeTint="F2"/>
          <w:sz w:val="16"/>
          <w:szCs w:val="16"/>
        </w:rPr>
        <w:t xml:space="preserve"> o </w:t>
      </w:r>
      <w:r>
        <w:rPr>
          <w:color w:val="0D0D0D" w:themeColor="text1" w:themeTint="F2"/>
          <w:sz w:val="16"/>
          <w:szCs w:val="16"/>
        </w:rPr>
        <w:t>bezmála dvě třetiny, a to</w:t>
      </w:r>
      <w:r w:rsidRPr="003405C2">
        <w:rPr>
          <w:color w:val="0D0D0D" w:themeColor="text1" w:themeTint="F2"/>
          <w:sz w:val="16"/>
          <w:szCs w:val="16"/>
        </w:rPr>
        <w:t xml:space="preserve"> na </w:t>
      </w:r>
      <w:r>
        <w:rPr>
          <w:color w:val="0D0D0D" w:themeColor="text1" w:themeTint="F2"/>
          <w:sz w:val="16"/>
          <w:szCs w:val="16"/>
        </w:rPr>
        <w:t>12</w:t>
      </w:r>
      <w:r w:rsidRPr="003405C2">
        <w:rPr>
          <w:color w:val="0D0D0D" w:themeColor="text1" w:themeTint="F2"/>
          <w:sz w:val="16"/>
          <w:szCs w:val="16"/>
        </w:rPr>
        <w:t xml:space="preserve"> mld. korun (</w:t>
      </w:r>
      <w:r>
        <w:rPr>
          <w:color w:val="0D0D0D" w:themeColor="text1" w:themeTint="F2"/>
          <w:sz w:val="16"/>
          <w:szCs w:val="16"/>
        </w:rPr>
        <w:t xml:space="preserve">celkové příjmy tohoto </w:t>
      </w:r>
      <w:proofErr w:type="spellStart"/>
      <w:r>
        <w:rPr>
          <w:color w:val="0D0D0D" w:themeColor="text1" w:themeTint="F2"/>
          <w:sz w:val="16"/>
          <w:szCs w:val="16"/>
        </w:rPr>
        <w:t>subsektoru</w:t>
      </w:r>
      <w:proofErr w:type="spellEnd"/>
      <w:r>
        <w:rPr>
          <w:color w:val="0D0D0D" w:themeColor="text1" w:themeTint="F2"/>
          <w:sz w:val="16"/>
          <w:szCs w:val="16"/>
        </w:rPr>
        <w:t xml:space="preserve"> současně klesly, v rámci 1. čtvrtletí poprvé po 14 letech</w:t>
      </w:r>
      <w:r w:rsidRPr="003405C2">
        <w:rPr>
          <w:color w:val="0D0D0D" w:themeColor="text1" w:themeTint="F2"/>
          <w:sz w:val="16"/>
          <w:szCs w:val="16"/>
        </w:rPr>
        <w:t>). Naopak schodek ústředních vládních institucí, který v posledních letech tradičně dominantně přispíval ke zhoršení salda hospodaření sektoru VI, se meziročně zmírnil o</w:t>
      </w:r>
      <w:r>
        <w:rPr>
          <w:color w:val="0D0D0D" w:themeColor="text1" w:themeTint="F2"/>
          <w:sz w:val="16"/>
          <w:szCs w:val="16"/>
        </w:rPr>
        <w:t xml:space="preserve"> šestinu </w:t>
      </w:r>
      <w:r w:rsidRPr="006B20B5">
        <w:rPr>
          <w:spacing w:val="-2"/>
          <w:sz w:val="16"/>
          <w:szCs w:val="16"/>
        </w:rPr>
        <w:t>–</w:t>
      </w:r>
      <w:r>
        <w:rPr>
          <w:color w:val="0D0D0D" w:themeColor="text1" w:themeTint="F2"/>
          <w:sz w:val="16"/>
          <w:szCs w:val="16"/>
        </w:rPr>
        <w:t xml:space="preserve"> tedy</w:t>
      </w:r>
      <w:r w:rsidRPr="003405C2">
        <w:rPr>
          <w:color w:val="0D0D0D" w:themeColor="text1" w:themeTint="F2"/>
          <w:sz w:val="16"/>
          <w:szCs w:val="16"/>
        </w:rPr>
        <w:t xml:space="preserve"> na </w:t>
      </w:r>
      <w:r>
        <w:rPr>
          <w:color w:val="0D0D0D" w:themeColor="text1" w:themeTint="F2"/>
          <w:sz w:val="16"/>
          <w:szCs w:val="16"/>
        </w:rPr>
        <w:t>83</w:t>
      </w:r>
      <w:r w:rsidRPr="003405C2">
        <w:rPr>
          <w:color w:val="0D0D0D" w:themeColor="text1" w:themeTint="F2"/>
          <w:sz w:val="16"/>
          <w:szCs w:val="16"/>
        </w:rPr>
        <w:t xml:space="preserve"> mld. (nejlepší výsledek za poslední</w:t>
      </w:r>
      <w:r>
        <w:rPr>
          <w:color w:val="0D0D0D" w:themeColor="text1" w:themeTint="F2"/>
          <w:sz w:val="16"/>
          <w:szCs w:val="16"/>
        </w:rPr>
        <w:t xml:space="preserve"> čtyři roky</w:t>
      </w:r>
      <w:r w:rsidRPr="003405C2">
        <w:rPr>
          <w:color w:val="0D0D0D" w:themeColor="text1" w:themeTint="F2"/>
          <w:sz w:val="16"/>
          <w:szCs w:val="16"/>
        </w:rPr>
        <w:t xml:space="preserve">). </w:t>
      </w:r>
      <w:r>
        <w:rPr>
          <w:color w:val="0D0D0D" w:themeColor="text1" w:themeTint="F2"/>
          <w:sz w:val="16"/>
          <w:szCs w:val="16"/>
        </w:rPr>
        <w:t>Velmi mírný d</w:t>
      </w:r>
      <w:r w:rsidRPr="003405C2">
        <w:rPr>
          <w:color w:val="0D0D0D" w:themeColor="text1" w:themeTint="F2"/>
          <w:sz w:val="16"/>
          <w:szCs w:val="16"/>
        </w:rPr>
        <w:t xml:space="preserve">eficit zdravotních pojišťoven </w:t>
      </w:r>
      <w:r>
        <w:rPr>
          <w:color w:val="0D0D0D" w:themeColor="text1" w:themeTint="F2"/>
          <w:sz w:val="16"/>
          <w:szCs w:val="16"/>
        </w:rPr>
        <w:t xml:space="preserve">se </w:t>
      </w:r>
      <w:r w:rsidRPr="003405C2">
        <w:rPr>
          <w:color w:val="0D0D0D" w:themeColor="text1" w:themeTint="F2"/>
          <w:sz w:val="16"/>
          <w:szCs w:val="16"/>
        </w:rPr>
        <w:t xml:space="preserve">meziročně </w:t>
      </w:r>
      <w:r>
        <w:rPr>
          <w:color w:val="0D0D0D" w:themeColor="text1" w:themeTint="F2"/>
          <w:sz w:val="16"/>
          <w:szCs w:val="16"/>
        </w:rPr>
        <w:t>podstatně nezměnil.</w:t>
      </w:r>
    </w:p>
  </w:footnote>
  <w:footnote w:id="4">
    <w:p w14:paraId="69365393" w14:textId="77777777" w:rsidR="006B1AFC" w:rsidRPr="008C0A29" w:rsidRDefault="006B1AFC" w:rsidP="009324EF">
      <w:pPr>
        <w:pStyle w:val="Textpoznpodarou"/>
        <w:rPr>
          <w:sz w:val="16"/>
          <w:szCs w:val="16"/>
        </w:rPr>
      </w:pPr>
      <w:r w:rsidRPr="008C0A29">
        <w:rPr>
          <w:rStyle w:val="Znakapoznpodarou"/>
          <w:sz w:val="16"/>
          <w:szCs w:val="16"/>
        </w:rPr>
        <w:footnoteRef/>
      </w:r>
      <w:r w:rsidRPr="008C0A29">
        <w:rPr>
          <w:sz w:val="16"/>
          <w:szCs w:val="16"/>
        </w:rPr>
        <w:t xml:space="preserve"> Ty tvoří v posledních letech více než pětinu veškerých výdajů vládních institucí. </w:t>
      </w:r>
      <w:r>
        <w:rPr>
          <w:sz w:val="16"/>
          <w:szCs w:val="16"/>
        </w:rPr>
        <w:t>Mírně nadpoloviční objem vyplacených náhrad připadá stabilně na zaměstnance místních vládních institucí (52 až 53 %).</w:t>
      </w:r>
    </w:p>
  </w:footnote>
  <w:footnote w:id="5">
    <w:p w14:paraId="643123E3" w14:textId="77777777" w:rsidR="006B1AFC" w:rsidRPr="00AC3B32" w:rsidRDefault="006B1AFC" w:rsidP="009324EF">
      <w:pPr>
        <w:pStyle w:val="Textpoznpodarou"/>
        <w:rPr>
          <w:sz w:val="16"/>
          <w:szCs w:val="16"/>
        </w:rPr>
      </w:pPr>
      <w:r w:rsidRPr="00AC3B32">
        <w:rPr>
          <w:rStyle w:val="Znakapoznpodarou"/>
          <w:sz w:val="16"/>
          <w:szCs w:val="16"/>
        </w:rPr>
        <w:footnoteRef/>
      </w:r>
      <w:r w:rsidRPr="00AC3B32">
        <w:rPr>
          <w:sz w:val="16"/>
          <w:szCs w:val="16"/>
        </w:rPr>
        <w:t xml:space="preserve"> Ty zahrnují např. dotace poskytnuté na pokrytí provozních a běžných ztrát podnikatelských subjektů, finanční podpory určené na útlum těžby nebo uzavírání nadbytečných výrobních kapacit a dále </w:t>
      </w:r>
      <w:r>
        <w:rPr>
          <w:sz w:val="16"/>
          <w:szCs w:val="16"/>
        </w:rPr>
        <w:t>i</w:t>
      </w:r>
      <w:r w:rsidRPr="00AC3B32">
        <w:rPr>
          <w:sz w:val="16"/>
          <w:szCs w:val="16"/>
        </w:rPr>
        <w:t xml:space="preserve"> příspěvky a podpory podnikům, které zaměstnávají osoby se změněnou pracovní schopností.</w:t>
      </w:r>
      <w:r>
        <w:rPr>
          <w:sz w:val="16"/>
          <w:szCs w:val="16"/>
        </w:rPr>
        <w:t xml:space="preserve"> Nepatří sem naopak dotace na produkty, jejichž vyplacený objem v 1. čtvrtletí nadále svižně rostl (+10 %).</w:t>
      </w:r>
    </w:p>
  </w:footnote>
  <w:footnote w:id="6">
    <w:p w14:paraId="4C3AB479" w14:textId="77777777" w:rsidR="006B1AFC" w:rsidRPr="00F0024E" w:rsidRDefault="006B1AFC" w:rsidP="009324EF">
      <w:pPr>
        <w:pStyle w:val="Textpoznpodarou"/>
        <w:rPr>
          <w:sz w:val="16"/>
          <w:szCs w:val="16"/>
        </w:rPr>
      </w:pPr>
      <w:r w:rsidRPr="003405C2">
        <w:rPr>
          <w:rStyle w:val="Znakapoznpodarou"/>
          <w:color w:val="0D0D0D" w:themeColor="text1" w:themeTint="F2"/>
          <w:sz w:val="16"/>
          <w:szCs w:val="16"/>
        </w:rPr>
        <w:footnoteRef/>
      </w:r>
      <w:r w:rsidRPr="003405C2">
        <w:rPr>
          <w:color w:val="0D0D0D" w:themeColor="text1" w:themeTint="F2"/>
          <w:sz w:val="16"/>
          <w:szCs w:val="16"/>
        </w:rPr>
        <w:t xml:space="preserve"> Všechny níže uvedené údaje o příjmech, výdajích a saldu jsou vyjádřeny po očištění o sezónnost i pracovní dny.</w:t>
      </w:r>
    </w:p>
  </w:footnote>
  <w:footnote w:id="7">
    <w:p w14:paraId="032A6D36" w14:textId="77777777" w:rsidR="006B1AFC" w:rsidRPr="002F2349" w:rsidRDefault="006B1AFC" w:rsidP="009324EF">
      <w:pPr>
        <w:pStyle w:val="Textpoznpodarou"/>
        <w:rPr>
          <w:sz w:val="16"/>
          <w:szCs w:val="16"/>
        </w:rPr>
      </w:pPr>
      <w:r w:rsidRPr="002F2349">
        <w:rPr>
          <w:rStyle w:val="Znakapoznpodarou"/>
          <w:sz w:val="16"/>
          <w:szCs w:val="16"/>
        </w:rPr>
        <w:footnoteRef/>
      </w:r>
      <w:r w:rsidRPr="002F2349">
        <w:rPr>
          <w:sz w:val="16"/>
          <w:szCs w:val="16"/>
        </w:rPr>
        <w:t xml:space="preserve"> Jde o zahájení tzv. procesu řízení o nadměrném schodku kvůli porušení rozpočtových pravidel. Tato standardní procedura byla po dočasném přerušení v letech 2020 až 2023 (v důsledku pandemie covid</w:t>
      </w:r>
      <w:r>
        <w:rPr>
          <w:sz w:val="16"/>
          <w:szCs w:val="16"/>
        </w:rPr>
        <w:t>u</w:t>
      </w:r>
      <w:r w:rsidRPr="002F2349">
        <w:rPr>
          <w:sz w:val="16"/>
          <w:szCs w:val="16"/>
        </w:rPr>
        <w:t xml:space="preserve">-19) obnovena. </w:t>
      </w:r>
      <w:r>
        <w:rPr>
          <w:sz w:val="16"/>
          <w:szCs w:val="16"/>
        </w:rPr>
        <w:t xml:space="preserve">Aktuálně tomuto procesu čelí Rumunsko, Maďarsko, Slovensko, Polsko, Rakousko, Itálie, Francie, </w:t>
      </w:r>
      <w:r w:rsidRPr="002F2349">
        <w:rPr>
          <w:sz w:val="16"/>
          <w:szCs w:val="16"/>
        </w:rPr>
        <w:t>Belgi</w:t>
      </w:r>
      <w:r>
        <w:rPr>
          <w:sz w:val="16"/>
          <w:szCs w:val="16"/>
        </w:rPr>
        <w:t>e a v letošním roce nově</w:t>
      </w:r>
      <w:r w:rsidRPr="002F2349">
        <w:rPr>
          <w:sz w:val="16"/>
          <w:szCs w:val="16"/>
        </w:rPr>
        <w:t> </w:t>
      </w:r>
      <w:r>
        <w:rPr>
          <w:sz w:val="16"/>
          <w:szCs w:val="16"/>
        </w:rPr>
        <w:t xml:space="preserve">také </w:t>
      </w:r>
      <w:r w:rsidRPr="002F2349">
        <w:rPr>
          <w:sz w:val="16"/>
          <w:szCs w:val="16"/>
        </w:rPr>
        <w:t>Finsk</w:t>
      </w:r>
      <w:r>
        <w:rPr>
          <w:sz w:val="16"/>
          <w:szCs w:val="16"/>
        </w:rPr>
        <w:t>o s Bulharskem</w:t>
      </w:r>
      <w:r w:rsidRPr="002F2349">
        <w:rPr>
          <w:sz w:val="16"/>
          <w:szCs w:val="16"/>
        </w:rPr>
        <w:t>.</w:t>
      </w:r>
    </w:p>
  </w:footnote>
  <w:footnote w:id="8">
    <w:p w14:paraId="0DAC6FA3" w14:textId="77777777" w:rsidR="006B1AFC" w:rsidRPr="005D3101" w:rsidRDefault="006B1AFC" w:rsidP="009324EF">
      <w:pPr>
        <w:pStyle w:val="Textpoznpodarou"/>
        <w:rPr>
          <w:sz w:val="16"/>
          <w:szCs w:val="16"/>
        </w:rPr>
      </w:pPr>
      <w:r w:rsidRPr="005D3101">
        <w:rPr>
          <w:rStyle w:val="Znakapoznpodarou"/>
          <w:sz w:val="16"/>
          <w:szCs w:val="16"/>
        </w:rPr>
        <w:footnoteRef/>
      </w:r>
      <w:r w:rsidRPr="005D3101">
        <w:rPr>
          <w:sz w:val="16"/>
          <w:szCs w:val="16"/>
        </w:rPr>
        <w:t xml:space="preserve"> Samotná nominální výše dluhu v EU činila </w:t>
      </w:r>
      <w:r>
        <w:rPr>
          <w:sz w:val="16"/>
          <w:szCs w:val="16"/>
        </w:rPr>
        <w:t xml:space="preserve">letos na konci 1. čtvrtletí </w:t>
      </w:r>
      <w:r w:rsidRPr="005D3101">
        <w:rPr>
          <w:sz w:val="16"/>
          <w:szCs w:val="16"/>
        </w:rPr>
        <w:t xml:space="preserve">15,705 bilionů eur, mezikvartálně </w:t>
      </w:r>
      <w:r>
        <w:rPr>
          <w:sz w:val="16"/>
          <w:szCs w:val="16"/>
        </w:rPr>
        <w:t xml:space="preserve">vzrostla </w:t>
      </w:r>
      <w:r w:rsidRPr="005D3101">
        <w:rPr>
          <w:sz w:val="16"/>
          <w:szCs w:val="16"/>
        </w:rPr>
        <w:t xml:space="preserve">o 2,1 %. </w:t>
      </w:r>
    </w:p>
  </w:footnote>
  <w:footnote w:id="9">
    <w:p w14:paraId="2B436A7A" w14:textId="77777777" w:rsidR="006B1AFC" w:rsidRPr="002607D0" w:rsidRDefault="006B1AFC" w:rsidP="009324EF">
      <w:pPr>
        <w:pStyle w:val="Textpoznpodarou"/>
        <w:rPr>
          <w:sz w:val="16"/>
          <w:szCs w:val="16"/>
        </w:rPr>
      </w:pPr>
      <w:r w:rsidRPr="002607D0">
        <w:rPr>
          <w:rStyle w:val="Znakapoznpodarou"/>
          <w:sz w:val="16"/>
          <w:szCs w:val="16"/>
        </w:rPr>
        <w:footnoteRef/>
      </w:r>
      <w:r w:rsidRPr="002607D0">
        <w:rPr>
          <w:sz w:val="16"/>
          <w:szCs w:val="16"/>
        </w:rPr>
        <w:t xml:space="preserve"> Nominální dluh vládních institucí </w:t>
      </w:r>
      <w:r>
        <w:rPr>
          <w:sz w:val="16"/>
          <w:szCs w:val="16"/>
        </w:rPr>
        <w:t xml:space="preserve">v Česku </w:t>
      </w:r>
      <w:r w:rsidRPr="002607D0">
        <w:rPr>
          <w:sz w:val="16"/>
          <w:szCs w:val="16"/>
        </w:rPr>
        <w:t xml:space="preserve">meziročně stoupl o 292,6 mld. </w:t>
      </w:r>
      <w:r>
        <w:rPr>
          <w:sz w:val="16"/>
          <w:szCs w:val="16"/>
        </w:rPr>
        <w:t>korun</w:t>
      </w:r>
      <w:r w:rsidRPr="002607D0">
        <w:rPr>
          <w:sz w:val="16"/>
          <w:szCs w:val="16"/>
        </w:rPr>
        <w:t xml:space="preserve"> na 3 827,9 mld. a představoval jediný faktor</w:t>
      </w:r>
      <w:r>
        <w:rPr>
          <w:sz w:val="16"/>
          <w:szCs w:val="16"/>
        </w:rPr>
        <w:t xml:space="preserve"> </w:t>
      </w:r>
      <w:r w:rsidRPr="002607D0">
        <w:rPr>
          <w:sz w:val="16"/>
          <w:szCs w:val="16"/>
        </w:rPr>
        <w:t>přispívající (+3,3 p. b.) k meziročnímu navýšení míry zadlužení. Naopak rostoucí nominální HDP zadluženost snižoval (</w:t>
      </w:r>
      <w:r w:rsidRPr="002607D0">
        <w:rPr>
          <w:spacing w:val="-2"/>
          <w:sz w:val="16"/>
          <w:szCs w:val="16"/>
        </w:rPr>
        <w:t>–</w:t>
      </w:r>
      <w:r w:rsidRPr="002607D0">
        <w:rPr>
          <w:sz w:val="16"/>
          <w:szCs w:val="16"/>
        </w:rPr>
        <w:t xml:space="preserve">2,5 p. b.). </w:t>
      </w:r>
    </w:p>
  </w:footnote>
  <w:footnote w:id="10">
    <w:p w14:paraId="5458A5E2" w14:textId="77777777" w:rsidR="006B1AFC" w:rsidRPr="00F6255D" w:rsidRDefault="006B1AFC" w:rsidP="009324EF">
      <w:pPr>
        <w:pStyle w:val="Textpoznpodarou"/>
        <w:rPr>
          <w:sz w:val="16"/>
          <w:szCs w:val="16"/>
        </w:rPr>
      </w:pPr>
      <w:r w:rsidRPr="00F6255D">
        <w:rPr>
          <w:rStyle w:val="Znakapoznpodarou"/>
          <w:sz w:val="16"/>
          <w:szCs w:val="16"/>
        </w:rPr>
        <w:footnoteRef/>
      </w:r>
      <w:r w:rsidRPr="00F6255D">
        <w:rPr>
          <w:sz w:val="16"/>
          <w:szCs w:val="16"/>
        </w:rPr>
        <w:t xml:space="preserve"> </w:t>
      </w:r>
      <w:r w:rsidRPr="00F6255D">
        <w:rPr>
          <w:color w:val="0D0D0D" w:themeColor="text1" w:themeTint="F2"/>
          <w:spacing w:val="-4"/>
          <w:sz w:val="16"/>
          <w:szCs w:val="16"/>
        </w:rPr>
        <w:t>Tento nelichotivý primát drží již od 2. čtvrtletí 2008, kdy v pozici nejzadluženějšího státu EU (v současném vymezení) předčilo Itálii.</w:t>
      </w:r>
    </w:p>
  </w:footnote>
  <w:footnote w:id="11">
    <w:p w14:paraId="67E0A797" w14:textId="77777777" w:rsidR="006B1AFC" w:rsidRPr="00CC32B6" w:rsidRDefault="006B1AFC" w:rsidP="009324EF">
      <w:pPr>
        <w:pStyle w:val="Textpoznpodarou"/>
        <w:rPr>
          <w:sz w:val="16"/>
          <w:szCs w:val="16"/>
        </w:rPr>
      </w:pPr>
      <w:r w:rsidRPr="00CC32B6">
        <w:rPr>
          <w:rStyle w:val="Znakapoznpodarou"/>
          <w:sz w:val="16"/>
          <w:szCs w:val="16"/>
        </w:rPr>
        <w:footnoteRef/>
      </w:r>
      <w:r w:rsidRPr="00CC32B6">
        <w:rPr>
          <w:sz w:val="16"/>
          <w:szCs w:val="16"/>
        </w:rPr>
        <w:t xml:space="preserve"> Jeho zadluženost byla i tak nejvyšší v dostupné řadě od roku 2000. Stejně na tom byly i </w:t>
      </w:r>
      <w:r>
        <w:rPr>
          <w:sz w:val="16"/>
          <w:szCs w:val="16"/>
        </w:rPr>
        <w:t>Finsko, Polsko, Rumunsko a Lucembursko.</w:t>
      </w:r>
    </w:p>
  </w:footnote>
  <w:footnote w:id="12">
    <w:p w14:paraId="308A398D" w14:textId="77777777" w:rsidR="006B1AFC" w:rsidRPr="00773501" w:rsidRDefault="006B1AFC" w:rsidP="009324EF">
      <w:pPr>
        <w:pStyle w:val="Textpoznpodarou"/>
        <w:jc w:val="both"/>
        <w:rPr>
          <w:sz w:val="16"/>
          <w:szCs w:val="16"/>
        </w:rPr>
      </w:pPr>
      <w:r w:rsidRPr="00773501">
        <w:rPr>
          <w:rStyle w:val="Znakapoznpodarou"/>
          <w:spacing w:val="-2"/>
          <w:sz w:val="16"/>
          <w:szCs w:val="16"/>
        </w:rPr>
        <w:footnoteRef/>
      </w:r>
      <w:r w:rsidRPr="00773501">
        <w:rPr>
          <w:spacing w:val="-2"/>
          <w:sz w:val="16"/>
          <w:szCs w:val="16"/>
        </w:rPr>
        <w:t xml:space="preserve"> </w:t>
      </w:r>
      <w:r w:rsidRPr="00773501">
        <w:rPr>
          <w:color w:val="0D0D0D" w:themeColor="text1" w:themeTint="F2"/>
          <w:sz w:val="16"/>
          <w:szCs w:val="16"/>
        </w:rPr>
        <w:t xml:space="preserve">Není-li uvedeno jinak, vycházejí všechny údaje týkající se státního rozpočtu </w:t>
      </w:r>
      <w:r w:rsidRPr="00773501">
        <w:rPr>
          <w:rFonts w:cs="Arial"/>
          <w:color w:val="0D0D0D" w:themeColor="text1" w:themeTint="F2"/>
          <w:sz w:val="16"/>
          <w:szCs w:val="16"/>
        </w:rPr>
        <w:t>z dat Ministerstva financí (MF) ČR o pokladním plnění.</w:t>
      </w:r>
    </w:p>
  </w:footnote>
  <w:footnote w:id="13">
    <w:p w14:paraId="41CEAD11" w14:textId="77777777" w:rsidR="006B1AFC" w:rsidRDefault="006B1AFC" w:rsidP="009324EF">
      <w:pPr>
        <w:pStyle w:val="Textpoznpodarou"/>
      </w:pPr>
      <w:r w:rsidRPr="00773501">
        <w:rPr>
          <w:rStyle w:val="Znakapoznpodarou"/>
          <w:sz w:val="16"/>
          <w:szCs w:val="16"/>
        </w:rPr>
        <w:footnoteRef/>
      </w:r>
      <w:r w:rsidRPr="00773501">
        <w:rPr>
          <w:sz w:val="16"/>
          <w:szCs w:val="16"/>
        </w:rPr>
        <w:t xml:space="preserve"> </w:t>
      </w:r>
      <w:r w:rsidRPr="00CC32B6">
        <w:rPr>
          <w:spacing w:val="-4"/>
          <w:sz w:val="16"/>
          <w:szCs w:val="16"/>
        </w:rPr>
        <w:t>Jde o prostředky na programy</w:t>
      </w:r>
      <w:r w:rsidRPr="00CC32B6">
        <w:rPr>
          <w:rFonts w:cs="Arial"/>
          <w:spacing w:val="-4"/>
          <w:sz w:val="16"/>
          <w:szCs w:val="16"/>
        </w:rPr>
        <w:t xml:space="preserve"> z rozpočtu EU a Finančních mechanismů</w:t>
      </w:r>
      <w:r>
        <w:rPr>
          <w:rFonts w:cs="Arial"/>
          <w:spacing w:val="-4"/>
          <w:sz w:val="16"/>
          <w:szCs w:val="16"/>
        </w:rPr>
        <w:t xml:space="preserve"> </w:t>
      </w:r>
      <w:r w:rsidRPr="00CC32B6">
        <w:rPr>
          <w:rFonts w:cs="Arial"/>
          <w:spacing w:val="-4"/>
          <w:sz w:val="16"/>
          <w:szCs w:val="16"/>
        </w:rPr>
        <w:t>předfinancované ze SR a poté proplacené z</w:t>
      </w:r>
      <w:r>
        <w:rPr>
          <w:spacing w:val="-4"/>
          <w:sz w:val="16"/>
          <w:szCs w:val="16"/>
        </w:rPr>
        <w:t> </w:t>
      </w:r>
      <w:r>
        <w:rPr>
          <w:rFonts w:cs="Arial"/>
          <w:spacing w:val="-4"/>
          <w:sz w:val="16"/>
          <w:szCs w:val="16"/>
        </w:rPr>
        <w:t>uvedených zdrojů.</w:t>
      </w:r>
    </w:p>
  </w:footnote>
  <w:footnote w:id="14">
    <w:p w14:paraId="30D22CA9" w14:textId="77777777" w:rsidR="006B1AFC" w:rsidRPr="00773501" w:rsidRDefault="006B1AFC" w:rsidP="009324EF">
      <w:pPr>
        <w:pStyle w:val="Textpoznpodarou"/>
        <w:rPr>
          <w:sz w:val="16"/>
          <w:szCs w:val="16"/>
        </w:rPr>
      </w:pPr>
      <w:r w:rsidRPr="00773501">
        <w:rPr>
          <w:rStyle w:val="Znakapoznpodarou"/>
          <w:sz w:val="16"/>
          <w:szCs w:val="16"/>
        </w:rPr>
        <w:footnoteRef/>
      </w:r>
      <w:r w:rsidRPr="00773501">
        <w:rPr>
          <w:sz w:val="16"/>
          <w:szCs w:val="16"/>
        </w:rPr>
        <w:t xml:space="preserve"> V 1. pololetí </w:t>
      </w:r>
      <w:r>
        <w:rPr>
          <w:sz w:val="16"/>
          <w:szCs w:val="16"/>
        </w:rPr>
        <w:t xml:space="preserve">2026 </w:t>
      </w:r>
      <w:r w:rsidRPr="00773501">
        <w:rPr>
          <w:sz w:val="16"/>
          <w:szCs w:val="16"/>
        </w:rPr>
        <w:t>dosáhl takto očištěn</w:t>
      </w:r>
      <w:r>
        <w:rPr>
          <w:sz w:val="16"/>
          <w:szCs w:val="16"/>
        </w:rPr>
        <w:t>ý</w:t>
      </w:r>
      <w:r w:rsidRPr="00773501">
        <w:rPr>
          <w:sz w:val="16"/>
          <w:szCs w:val="16"/>
        </w:rPr>
        <w:t xml:space="preserve"> schodek SR 203,6 mld. korun, o rok dříve </w:t>
      </w:r>
      <w:r>
        <w:rPr>
          <w:sz w:val="16"/>
          <w:szCs w:val="16"/>
        </w:rPr>
        <w:t xml:space="preserve">„pouze“ </w:t>
      </w:r>
      <w:r w:rsidRPr="00773501">
        <w:rPr>
          <w:sz w:val="16"/>
          <w:szCs w:val="16"/>
        </w:rPr>
        <w:t>150,8 mld.</w:t>
      </w:r>
    </w:p>
  </w:footnote>
  <w:footnote w:id="15">
    <w:p w14:paraId="0A080DD0" w14:textId="77777777" w:rsidR="006B1AFC" w:rsidRPr="00FC6700" w:rsidRDefault="006B1AFC" w:rsidP="009324EF">
      <w:pPr>
        <w:pStyle w:val="Textpoznpodarou"/>
        <w:rPr>
          <w:sz w:val="16"/>
          <w:szCs w:val="16"/>
        </w:rPr>
      </w:pPr>
      <w:r w:rsidRPr="00FC6700">
        <w:rPr>
          <w:rStyle w:val="Znakapoznpodarou"/>
          <w:sz w:val="16"/>
          <w:szCs w:val="16"/>
        </w:rPr>
        <w:footnoteRef/>
      </w:r>
      <w:r w:rsidRPr="00FC6700">
        <w:rPr>
          <w:sz w:val="16"/>
          <w:szCs w:val="16"/>
        </w:rPr>
        <w:t xml:space="preserve"> Od ledna 202</w:t>
      </w:r>
      <w:r>
        <w:rPr>
          <w:sz w:val="16"/>
          <w:szCs w:val="16"/>
        </w:rPr>
        <w:t>6</w:t>
      </w:r>
      <w:r w:rsidRPr="00FC6700">
        <w:rPr>
          <w:sz w:val="16"/>
          <w:szCs w:val="16"/>
        </w:rPr>
        <w:t xml:space="preserve"> </w:t>
      </w:r>
      <w:r>
        <w:rPr>
          <w:sz w:val="16"/>
          <w:szCs w:val="16"/>
        </w:rPr>
        <w:t>došlo ke s</w:t>
      </w:r>
      <w:r w:rsidRPr="002E413D">
        <w:rPr>
          <w:sz w:val="16"/>
          <w:szCs w:val="16"/>
        </w:rPr>
        <w:t xml:space="preserve">nížení podílu </w:t>
      </w:r>
      <w:r>
        <w:rPr>
          <w:sz w:val="16"/>
          <w:szCs w:val="16"/>
        </w:rPr>
        <w:t>státu</w:t>
      </w:r>
      <w:r w:rsidRPr="002E413D">
        <w:rPr>
          <w:sz w:val="16"/>
          <w:szCs w:val="16"/>
        </w:rPr>
        <w:t xml:space="preserve"> na výnosech </w:t>
      </w:r>
      <w:r>
        <w:rPr>
          <w:sz w:val="16"/>
          <w:szCs w:val="16"/>
        </w:rPr>
        <w:t>DPH</w:t>
      </w:r>
      <w:r w:rsidRPr="002E413D">
        <w:rPr>
          <w:sz w:val="16"/>
          <w:szCs w:val="16"/>
        </w:rPr>
        <w:t xml:space="preserve"> a z příjmů právnických a fyzických osob o 2,55 p</w:t>
      </w:r>
      <w:r>
        <w:rPr>
          <w:sz w:val="16"/>
          <w:szCs w:val="16"/>
        </w:rPr>
        <w:t>. b.</w:t>
      </w:r>
      <w:r w:rsidRPr="002E413D">
        <w:rPr>
          <w:sz w:val="16"/>
          <w:szCs w:val="16"/>
        </w:rPr>
        <w:t xml:space="preserve"> ve prospěch obcí a krajů</w:t>
      </w:r>
      <w:r>
        <w:rPr>
          <w:sz w:val="16"/>
          <w:szCs w:val="16"/>
        </w:rPr>
        <w:t>, což</w:t>
      </w:r>
      <w:r w:rsidRPr="002E413D">
        <w:rPr>
          <w:sz w:val="16"/>
          <w:szCs w:val="16"/>
        </w:rPr>
        <w:t xml:space="preserve"> mělo na konci </w:t>
      </w:r>
      <w:r>
        <w:rPr>
          <w:sz w:val="16"/>
          <w:szCs w:val="16"/>
        </w:rPr>
        <w:t xml:space="preserve">června na SR negativní </w:t>
      </w:r>
      <w:r w:rsidRPr="002E413D">
        <w:rPr>
          <w:sz w:val="16"/>
          <w:szCs w:val="16"/>
        </w:rPr>
        <w:t xml:space="preserve">dopad ve výši </w:t>
      </w:r>
      <w:r>
        <w:rPr>
          <w:sz w:val="16"/>
          <w:szCs w:val="16"/>
        </w:rPr>
        <w:t>16</w:t>
      </w:r>
      <w:r w:rsidRPr="002E413D">
        <w:rPr>
          <w:sz w:val="16"/>
          <w:szCs w:val="16"/>
        </w:rPr>
        <w:t xml:space="preserve">,7 mld. </w:t>
      </w:r>
      <w:r>
        <w:rPr>
          <w:sz w:val="16"/>
          <w:szCs w:val="16"/>
        </w:rPr>
        <w:t>korun. V předchozích dvou letech naopak ze změny rozpočtového určení daní profitoval SR (např. za celý rok 2025 dle odhadu MF 13,3 mld. korun).</w:t>
      </w:r>
    </w:p>
  </w:footnote>
  <w:footnote w:id="16">
    <w:p w14:paraId="7206A3CD" w14:textId="77777777" w:rsidR="006B1AFC" w:rsidRPr="00824A5B" w:rsidRDefault="006B1AFC" w:rsidP="009324EF">
      <w:pPr>
        <w:pStyle w:val="Textpoznpodarou"/>
        <w:rPr>
          <w:sz w:val="16"/>
          <w:szCs w:val="16"/>
        </w:rPr>
      </w:pPr>
      <w:r w:rsidRPr="00824A5B">
        <w:rPr>
          <w:rStyle w:val="Znakapoznpodarou"/>
          <w:sz w:val="16"/>
          <w:szCs w:val="16"/>
        </w:rPr>
        <w:footnoteRef/>
      </w:r>
      <w:r w:rsidRPr="00824A5B">
        <w:rPr>
          <w:sz w:val="16"/>
          <w:szCs w:val="16"/>
        </w:rPr>
        <w:t xml:space="preserve"> Rozpočtové provizorium bylo </w:t>
      </w:r>
      <w:r>
        <w:rPr>
          <w:sz w:val="16"/>
          <w:szCs w:val="16"/>
        </w:rPr>
        <w:t>letos ukončeno 20. března, a to naby</w:t>
      </w:r>
      <w:r w:rsidRPr="00824A5B">
        <w:rPr>
          <w:sz w:val="16"/>
          <w:szCs w:val="16"/>
        </w:rPr>
        <w:t>tím účinnosti zákona o státním rozpočtu ČR na rok 202</w:t>
      </w:r>
      <w:r>
        <w:rPr>
          <w:sz w:val="16"/>
          <w:szCs w:val="16"/>
        </w:rPr>
        <w:t>6</w:t>
      </w:r>
      <w:r w:rsidRPr="00824A5B">
        <w:rPr>
          <w:sz w:val="16"/>
          <w:szCs w:val="16"/>
        </w:rPr>
        <w:t>.</w:t>
      </w:r>
      <w:r>
        <w:rPr>
          <w:sz w:val="16"/>
          <w:szCs w:val="16"/>
        </w:rPr>
        <w:t xml:space="preserve"> V režimu rozpočtového provizoria hospodařil v minulosti tuzemský státní rozpočet rovněž na počátku let 1999, 2000 a 2022.</w:t>
      </w:r>
    </w:p>
  </w:footnote>
  <w:footnote w:id="17">
    <w:p w14:paraId="03C6D501" w14:textId="77777777" w:rsidR="006B1AFC" w:rsidRPr="00FC6700" w:rsidRDefault="006B1AFC" w:rsidP="009324EF">
      <w:pPr>
        <w:pStyle w:val="Textpoznpodarou"/>
        <w:rPr>
          <w:sz w:val="16"/>
          <w:szCs w:val="16"/>
        </w:rPr>
      </w:pPr>
      <w:r w:rsidRPr="00FC6700">
        <w:rPr>
          <w:rStyle w:val="Znakapoznpodarou"/>
          <w:sz w:val="16"/>
          <w:szCs w:val="16"/>
        </w:rPr>
        <w:footnoteRef/>
      </w:r>
      <w:r w:rsidRPr="00FC6700">
        <w:rPr>
          <w:sz w:val="16"/>
          <w:szCs w:val="16"/>
        </w:rPr>
        <w:t xml:space="preserve"> Zákon o státním rozpočtu na rok 202</w:t>
      </w:r>
      <w:r>
        <w:rPr>
          <w:sz w:val="16"/>
          <w:szCs w:val="16"/>
        </w:rPr>
        <w:t>6</w:t>
      </w:r>
      <w:r w:rsidRPr="00FC6700">
        <w:rPr>
          <w:sz w:val="16"/>
          <w:szCs w:val="16"/>
        </w:rPr>
        <w:t xml:space="preserve"> (vycházející z makroekonomické predikce MF z </w:t>
      </w:r>
      <w:r>
        <w:rPr>
          <w:sz w:val="16"/>
          <w:szCs w:val="16"/>
        </w:rPr>
        <w:t>ledna</w:t>
      </w:r>
      <w:r w:rsidRPr="00FC6700">
        <w:rPr>
          <w:sz w:val="16"/>
          <w:szCs w:val="16"/>
        </w:rPr>
        <w:t xml:space="preserve"> 202</w:t>
      </w:r>
      <w:r>
        <w:rPr>
          <w:sz w:val="16"/>
          <w:szCs w:val="16"/>
        </w:rPr>
        <w:t>6</w:t>
      </w:r>
      <w:r w:rsidRPr="00FC6700">
        <w:rPr>
          <w:sz w:val="16"/>
          <w:szCs w:val="16"/>
        </w:rPr>
        <w:t>) počít</w:t>
      </w:r>
      <w:r>
        <w:rPr>
          <w:sz w:val="16"/>
          <w:szCs w:val="16"/>
        </w:rPr>
        <w:t>al pro letošní rok</w:t>
      </w:r>
      <w:r w:rsidRPr="00FC6700">
        <w:rPr>
          <w:sz w:val="16"/>
          <w:szCs w:val="16"/>
        </w:rPr>
        <w:t xml:space="preserve"> </w:t>
      </w:r>
      <w:r>
        <w:rPr>
          <w:sz w:val="16"/>
          <w:szCs w:val="16"/>
        </w:rPr>
        <w:t>oproti loňské skutečnosti s růstem celkových příjmů o 1,8 % a výdajů o 2,4 %. Rozpočtový</w:t>
      </w:r>
      <w:r w:rsidRPr="00FC6700">
        <w:rPr>
          <w:sz w:val="16"/>
          <w:szCs w:val="16"/>
        </w:rPr>
        <w:t xml:space="preserve"> schod</w:t>
      </w:r>
      <w:r>
        <w:rPr>
          <w:sz w:val="16"/>
          <w:szCs w:val="16"/>
        </w:rPr>
        <w:t>ek</w:t>
      </w:r>
      <w:r w:rsidRPr="00FC6700">
        <w:rPr>
          <w:sz w:val="16"/>
          <w:szCs w:val="16"/>
        </w:rPr>
        <w:t xml:space="preserve"> </w:t>
      </w:r>
      <w:r>
        <w:rPr>
          <w:sz w:val="16"/>
          <w:szCs w:val="16"/>
        </w:rPr>
        <w:t>by měl činit 310</w:t>
      </w:r>
      <w:r w:rsidRPr="00FC6700">
        <w:rPr>
          <w:sz w:val="16"/>
          <w:szCs w:val="16"/>
        </w:rPr>
        <w:t xml:space="preserve"> mld. korun, což je </w:t>
      </w:r>
      <w:r>
        <w:rPr>
          <w:sz w:val="16"/>
          <w:szCs w:val="16"/>
        </w:rPr>
        <w:br/>
      </w:r>
      <w:r w:rsidRPr="00FC6700">
        <w:rPr>
          <w:sz w:val="16"/>
          <w:szCs w:val="16"/>
        </w:rPr>
        <w:t xml:space="preserve">o </w:t>
      </w:r>
      <w:r>
        <w:rPr>
          <w:sz w:val="16"/>
          <w:szCs w:val="16"/>
        </w:rPr>
        <w:t>19,3</w:t>
      </w:r>
      <w:r w:rsidRPr="00FC6700">
        <w:rPr>
          <w:sz w:val="16"/>
          <w:szCs w:val="16"/>
        </w:rPr>
        <w:t xml:space="preserve"> mld. </w:t>
      </w:r>
      <w:r>
        <w:rPr>
          <w:sz w:val="16"/>
          <w:szCs w:val="16"/>
        </w:rPr>
        <w:t>vyš</w:t>
      </w:r>
      <w:r w:rsidRPr="00FC6700">
        <w:rPr>
          <w:sz w:val="16"/>
          <w:szCs w:val="16"/>
        </w:rPr>
        <w:t>ší deficit než skutečně dosažený v roce 202</w:t>
      </w:r>
      <w:r>
        <w:rPr>
          <w:sz w:val="16"/>
          <w:szCs w:val="16"/>
        </w:rPr>
        <w:t>5</w:t>
      </w:r>
      <w:r w:rsidRPr="00FC6700">
        <w:rPr>
          <w:sz w:val="16"/>
          <w:szCs w:val="16"/>
        </w:rPr>
        <w:t>.</w:t>
      </w:r>
    </w:p>
  </w:footnote>
  <w:footnote w:id="18">
    <w:p w14:paraId="7DE63FA2" w14:textId="77777777" w:rsidR="006B1AFC" w:rsidRPr="003049F7" w:rsidRDefault="006B1AFC" w:rsidP="009324EF">
      <w:pPr>
        <w:pStyle w:val="Textpoznpodarou"/>
        <w:rPr>
          <w:sz w:val="16"/>
          <w:szCs w:val="16"/>
        </w:rPr>
      </w:pPr>
      <w:r w:rsidRPr="003049F7">
        <w:rPr>
          <w:rStyle w:val="Znakapoznpodarou"/>
          <w:sz w:val="16"/>
          <w:szCs w:val="16"/>
        </w:rPr>
        <w:footnoteRef/>
      </w:r>
      <w:r w:rsidRPr="003049F7">
        <w:rPr>
          <w:sz w:val="16"/>
          <w:szCs w:val="16"/>
        </w:rPr>
        <w:t xml:space="preserve"> </w:t>
      </w:r>
      <w:r w:rsidRPr="003049F7">
        <w:rPr>
          <w:color w:val="0D0D0D" w:themeColor="text1" w:themeTint="F2"/>
          <w:spacing w:val="-2"/>
          <w:sz w:val="16"/>
          <w:szCs w:val="16"/>
        </w:rPr>
        <w:t xml:space="preserve">Celostátní daňové inkaso (zohledňující příjmy na úrovni všech veřejných rozpočtů) ale vzrostlo o 5,0 % (po odečtení výše uvedených mimořádných firemních daní dokonce o 8,1 %) a rostlo tak mírně vyšším </w:t>
      </w:r>
      <w:r w:rsidRPr="003049F7">
        <w:rPr>
          <w:color w:val="0D0D0D" w:themeColor="text1" w:themeTint="F2"/>
          <w:spacing w:val="-4"/>
          <w:sz w:val="16"/>
          <w:szCs w:val="16"/>
        </w:rPr>
        <w:t>tempem než v úhrnu za loňský rok</w:t>
      </w:r>
      <w:r w:rsidRPr="003049F7">
        <w:rPr>
          <w:spacing w:val="-4"/>
          <w:sz w:val="16"/>
          <w:szCs w:val="16"/>
        </w:rPr>
        <w:t>.</w:t>
      </w:r>
    </w:p>
  </w:footnote>
  <w:footnote w:id="19">
    <w:p w14:paraId="05241381" w14:textId="77777777" w:rsidR="006B1AFC" w:rsidRPr="00536BF0" w:rsidRDefault="006B1AFC" w:rsidP="009324EF">
      <w:pPr>
        <w:pStyle w:val="Textpoznpodarou"/>
        <w:rPr>
          <w:sz w:val="16"/>
          <w:szCs w:val="16"/>
        </w:rPr>
      </w:pPr>
      <w:r w:rsidRPr="00536BF0">
        <w:rPr>
          <w:rStyle w:val="Znakapoznpodarou"/>
          <w:sz w:val="16"/>
          <w:szCs w:val="16"/>
        </w:rPr>
        <w:footnoteRef/>
      </w:r>
      <w:r w:rsidRPr="00536BF0">
        <w:rPr>
          <w:sz w:val="16"/>
          <w:szCs w:val="16"/>
        </w:rPr>
        <w:t xml:space="preserve"> Intenzita předzásobení prodejců tabákovými výrobky nebyla na počátku letošního roku zdaleka tak silná jako v předešlých dvou letech. </w:t>
      </w:r>
      <w:r>
        <w:rPr>
          <w:sz w:val="16"/>
          <w:szCs w:val="16"/>
        </w:rPr>
        <w:t xml:space="preserve">Vliv měly dále patrně i dlouhodobější změny ve struktuře spotřeby (přesun k alternativním, dosud relativně méně zdaněným tabákovým produktům) a patrně i přetrvávající vyšší obliba přeshraničních nákupů (zejména v Polsku). </w:t>
      </w:r>
    </w:p>
  </w:footnote>
  <w:footnote w:id="20">
    <w:p w14:paraId="540CF3D5" w14:textId="77777777" w:rsidR="006B1AFC" w:rsidRPr="00CE4510" w:rsidRDefault="006B1AFC" w:rsidP="009324EF">
      <w:pPr>
        <w:pStyle w:val="Textpoznpodarou"/>
        <w:rPr>
          <w:sz w:val="16"/>
          <w:szCs w:val="16"/>
        </w:rPr>
      </w:pPr>
      <w:r w:rsidRPr="00CE4510">
        <w:rPr>
          <w:rStyle w:val="Znakapoznpodarou"/>
          <w:sz w:val="16"/>
          <w:szCs w:val="16"/>
        </w:rPr>
        <w:footnoteRef/>
      </w:r>
      <w:r w:rsidRPr="00CE4510">
        <w:rPr>
          <w:sz w:val="16"/>
          <w:szCs w:val="16"/>
        </w:rPr>
        <w:t xml:space="preserve"> </w:t>
      </w:r>
      <w:r w:rsidRPr="00CD4841">
        <w:rPr>
          <w:spacing w:val="-6"/>
          <w:sz w:val="16"/>
          <w:szCs w:val="16"/>
        </w:rPr>
        <w:t>Z toho ve 2. čtvrtletí 2026 celkové inkaso daně z minerálních olejů meziročně vzrostlo pouze o 1,5 % (v samotném červnu již dokonce klesalo).</w:t>
      </w:r>
    </w:p>
  </w:footnote>
  <w:footnote w:id="21">
    <w:p w14:paraId="0FF32685" w14:textId="77777777" w:rsidR="006B1AFC" w:rsidRPr="002A1132" w:rsidRDefault="006B1AFC" w:rsidP="009324EF">
      <w:pPr>
        <w:pStyle w:val="Textpoznpodarou"/>
        <w:rPr>
          <w:sz w:val="16"/>
          <w:szCs w:val="16"/>
        </w:rPr>
      </w:pPr>
      <w:r w:rsidRPr="002A1132">
        <w:rPr>
          <w:rStyle w:val="Znakapoznpodarou"/>
          <w:sz w:val="16"/>
          <w:szCs w:val="16"/>
        </w:rPr>
        <w:footnoteRef/>
      </w:r>
      <w:r w:rsidRPr="002A1132">
        <w:rPr>
          <w:sz w:val="16"/>
          <w:szCs w:val="16"/>
        </w:rPr>
        <w:t xml:space="preserve"> Šlo především o </w:t>
      </w:r>
      <w:r w:rsidRPr="002A1132">
        <w:rPr>
          <w:color w:val="0D0D0D" w:themeColor="text1" w:themeTint="F2"/>
          <w:sz w:val="16"/>
          <w:szCs w:val="16"/>
        </w:rPr>
        <w:t>snížení hranice příjmů pro druhou, vyšší daňovou sazbu, zrušení či omezení některých daňových slev.</w:t>
      </w:r>
    </w:p>
  </w:footnote>
  <w:footnote w:id="22">
    <w:p w14:paraId="7E19849E" w14:textId="77777777" w:rsidR="006B1AFC" w:rsidRPr="005C53E9" w:rsidRDefault="006B1AFC" w:rsidP="009324EF">
      <w:pPr>
        <w:pStyle w:val="Textpoznpodarou"/>
        <w:rPr>
          <w:sz w:val="16"/>
          <w:szCs w:val="16"/>
        </w:rPr>
      </w:pPr>
      <w:r w:rsidRPr="005C53E9">
        <w:rPr>
          <w:rStyle w:val="Znakapoznpodarou"/>
          <w:sz w:val="16"/>
          <w:szCs w:val="16"/>
        </w:rPr>
        <w:footnoteRef/>
      </w:r>
      <w:r w:rsidRPr="005C53E9">
        <w:rPr>
          <w:sz w:val="16"/>
          <w:szCs w:val="16"/>
        </w:rPr>
        <w:t xml:space="preserve"> </w:t>
      </w:r>
      <w:r w:rsidRPr="005C53E9">
        <w:rPr>
          <w:spacing w:val="-2"/>
          <w:sz w:val="16"/>
          <w:szCs w:val="16"/>
        </w:rPr>
        <w:t>Jde o daně z nadměrných příjmů a neočekávaných zisků. Jejich pozitivní vliv na příjmy SR kulminoval v roce 2023. Letos již je zcela zanedbatelný (nepočítá se již s dalšími zálohami těchto daní, pouze v druhé polovině tohoto roku proběhne vyrovnání daně za rok 2025).</w:t>
      </w:r>
    </w:p>
  </w:footnote>
  <w:footnote w:id="23">
    <w:p w14:paraId="3401AC77" w14:textId="77777777" w:rsidR="006B1AFC" w:rsidRPr="00E3744F" w:rsidRDefault="006B1AFC" w:rsidP="009324EF">
      <w:pPr>
        <w:pStyle w:val="Textpoznpodarou"/>
        <w:rPr>
          <w:sz w:val="16"/>
          <w:szCs w:val="16"/>
        </w:rPr>
      </w:pPr>
      <w:r w:rsidRPr="00E3744F">
        <w:rPr>
          <w:rStyle w:val="Znakapoznpodarou"/>
          <w:sz w:val="16"/>
          <w:szCs w:val="16"/>
        </w:rPr>
        <w:footnoteRef/>
      </w:r>
      <w:r w:rsidRPr="00E3744F">
        <w:rPr>
          <w:sz w:val="16"/>
          <w:szCs w:val="16"/>
        </w:rPr>
        <w:t xml:space="preserve"> Ten se projevil zejména dubnovou platbou </w:t>
      </w:r>
      <w:r>
        <w:rPr>
          <w:sz w:val="16"/>
          <w:szCs w:val="16"/>
        </w:rPr>
        <w:t>(</w:t>
      </w:r>
      <w:r w:rsidRPr="00E3744F">
        <w:rPr>
          <w:sz w:val="16"/>
          <w:szCs w:val="16"/>
        </w:rPr>
        <w:t>ve výši 17,0 mld korun</w:t>
      </w:r>
      <w:r>
        <w:rPr>
          <w:sz w:val="16"/>
          <w:szCs w:val="16"/>
        </w:rPr>
        <w:t>) získanou z N</w:t>
      </w:r>
      <w:r w:rsidRPr="00E3744F">
        <w:rPr>
          <w:sz w:val="16"/>
          <w:szCs w:val="16"/>
        </w:rPr>
        <w:t>ástroje pro oživení a odolnost, který vznikl na podporu ekonomik po pandemii covidu-19</w:t>
      </w:r>
      <w:r>
        <w:rPr>
          <w:sz w:val="16"/>
          <w:szCs w:val="16"/>
        </w:rPr>
        <w:t>.</w:t>
      </w:r>
    </w:p>
  </w:footnote>
  <w:footnote w:id="24">
    <w:p w14:paraId="3F422FDE" w14:textId="77777777" w:rsidR="006B1AFC" w:rsidRPr="008A33C1" w:rsidRDefault="006B1AFC" w:rsidP="009324EF">
      <w:pPr>
        <w:pStyle w:val="Textpoznpodarou"/>
        <w:rPr>
          <w:sz w:val="16"/>
          <w:szCs w:val="16"/>
        </w:rPr>
      </w:pPr>
      <w:r w:rsidRPr="008A33C1">
        <w:rPr>
          <w:rStyle w:val="Znakapoznpodarou"/>
          <w:sz w:val="16"/>
          <w:szCs w:val="16"/>
        </w:rPr>
        <w:footnoteRef/>
      </w:r>
      <w:r w:rsidRPr="008A33C1">
        <w:rPr>
          <w:sz w:val="16"/>
          <w:szCs w:val="16"/>
        </w:rPr>
        <w:t xml:space="preserve"> Tato tradičně váhově významná položka v 1. pololetí 2026 tvořila 39,0 % všech výdajů SR. Šlo o srovnatelný podíl jako v předchozích dvou letech a ten se současně významně neodlišoval od dlouhodobého průměru.</w:t>
      </w:r>
    </w:p>
  </w:footnote>
  <w:footnote w:id="25">
    <w:p w14:paraId="69331AEF" w14:textId="77777777" w:rsidR="006B1AFC" w:rsidRPr="00857E9B" w:rsidRDefault="006B1AFC" w:rsidP="009324EF">
      <w:pPr>
        <w:pStyle w:val="Textpoznpodarou"/>
        <w:rPr>
          <w:sz w:val="16"/>
          <w:szCs w:val="16"/>
        </w:rPr>
      </w:pPr>
      <w:r w:rsidRPr="00857E9B">
        <w:rPr>
          <w:rStyle w:val="Znakapoznpodarou"/>
          <w:sz w:val="16"/>
          <w:szCs w:val="16"/>
        </w:rPr>
        <w:footnoteRef/>
      </w:r>
      <w:r w:rsidRPr="00857E9B">
        <w:rPr>
          <w:sz w:val="16"/>
          <w:szCs w:val="16"/>
        </w:rPr>
        <w:t xml:space="preserve"> Z váhově významnějších kategorií </w:t>
      </w:r>
      <w:r>
        <w:rPr>
          <w:sz w:val="16"/>
          <w:szCs w:val="16"/>
        </w:rPr>
        <w:t>se zvýšil</w:t>
      </w:r>
      <w:r w:rsidRPr="00857E9B">
        <w:rPr>
          <w:sz w:val="16"/>
          <w:szCs w:val="16"/>
        </w:rPr>
        <w:t xml:space="preserve"> pouze počet invalidních důchodců (+0,9 %, zejména v nižších stupních invalidity). </w:t>
      </w:r>
      <w:r>
        <w:rPr>
          <w:sz w:val="16"/>
          <w:szCs w:val="16"/>
        </w:rPr>
        <w:t xml:space="preserve">Poměrně nízký zůstal růst trvale krácených starobních důchodů (+0,8 %, </w:t>
      </w:r>
      <w:r w:rsidRPr="003405C2">
        <w:rPr>
          <w:rFonts w:cs="Verdana"/>
          <w:color w:val="0D0D0D" w:themeColor="text1" w:themeTint="F2"/>
          <w:spacing w:val="-2"/>
          <w:sz w:val="16"/>
          <w:szCs w:val="16"/>
        </w:rPr>
        <w:t xml:space="preserve">na celkovém počtu starobních důchodců 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 xml:space="preserve">se ale tyto osoby </w:t>
      </w:r>
      <w:r w:rsidRPr="003405C2">
        <w:rPr>
          <w:rFonts w:cs="Verdana"/>
          <w:color w:val="0D0D0D" w:themeColor="text1" w:themeTint="F2"/>
          <w:spacing w:val="-2"/>
          <w:sz w:val="16"/>
          <w:szCs w:val="16"/>
        </w:rPr>
        <w:t>podílel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>y</w:t>
      </w:r>
      <w:r w:rsidRPr="003405C2">
        <w:rPr>
          <w:rFonts w:cs="Verdana"/>
          <w:color w:val="0D0D0D" w:themeColor="text1" w:themeTint="F2"/>
          <w:spacing w:val="-2"/>
          <w:sz w:val="16"/>
          <w:szCs w:val="16"/>
        </w:rPr>
        <w:t xml:space="preserve"> 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>celou</w:t>
      </w:r>
      <w:r w:rsidRPr="003405C2">
        <w:rPr>
          <w:rFonts w:cs="Verdana"/>
          <w:color w:val="0D0D0D" w:themeColor="text1" w:themeTint="F2"/>
          <w:spacing w:val="-2"/>
          <w:sz w:val="16"/>
          <w:szCs w:val="16"/>
        </w:rPr>
        <w:t xml:space="preserve"> třetin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 xml:space="preserve">ou). To bylo způsobeno schválenými </w:t>
      </w:r>
      <w:r w:rsidRPr="00857E9B">
        <w:rPr>
          <w:rFonts w:cs="Verdana"/>
          <w:color w:val="0D0D0D" w:themeColor="text1" w:themeTint="F2"/>
          <w:spacing w:val="-2"/>
          <w:sz w:val="16"/>
          <w:szCs w:val="16"/>
        </w:rPr>
        <w:t>zpřísněnými pravidly pro odchod do předčasného důchodu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 xml:space="preserve"> (o</w:t>
      </w:r>
      <w:r w:rsidRPr="003405C2">
        <w:rPr>
          <w:rFonts w:cs="Verdana"/>
          <w:color w:val="0D0D0D" w:themeColor="text1" w:themeTint="F2"/>
          <w:spacing w:val="-2"/>
          <w:sz w:val="16"/>
          <w:szCs w:val="16"/>
        </w:rPr>
        <w:t>d října 2024 se potřebná doba pojištění zvýšila z 35 na 40 let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>)</w:t>
      </w:r>
      <w:r w:rsidRPr="003405C2">
        <w:rPr>
          <w:rFonts w:cs="Verdana"/>
          <w:color w:val="0D0D0D" w:themeColor="text1" w:themeTint="F2"/>
          <w:spacing w:val="-2"/>
          <w:sz w:val="16"/>
          <w:szCs w:val="16"/>
        </w:rPr>
        <w:t xml:space="preserve">. Již dříve 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 xml:space="preserve">navíc </w:t>
      </w:r>
      <w:r w:rsidRPr="003405C2">
        <w:rPr>
          <w:rFonts w:cs="Verdana"/>
          <w:color w:val="0D0D0D" w:themeColor="text1" w:themeTint="F2"/>
          <w:spacing w:val="-2"/>
          <w:sz w:val="16"/>
          <w:szCs w:val="16"/>
        </w:rPr>
        <w:t>došlo k dalším zpřísněním: maximální doba předčasnosti se zkrátila z 5 let na 3 roky, zrušila se valorizace procentní výměry předčasného důchodu až do doby dosažení důchodového věku a výrazně vzrostlo krácení výše důchodu pro předčasnost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>. Nicméně o</w:t>
      </w:r>
      <w:r w:rsidRPr="00857E9B">
        <w:rPr>
          <w:rFonts w:cs="Verdana"/>
          <w:color w:val="0D0D0D" w:themeColor="text1" w:themeTint="F2"/>
          <w:spacing w:val="-2"/>
          <w:sz w:val="16"/>
          <w:szCs w:val="16"/>
        </w:rPr>
        <w:t>d roku 2026 pak na n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>ě</w:t>
      </w:r>
      <w:r w:rsidRPr="00857E9B">
        <w:rPr>
          <w:rFonts w:cs="Verdana"/>
          <w:color w:val="0D0D0D" w:themeColor="text1" w:themeTint="F2"/>
          <w:spacing w:val="-2"/>
          <w:sz w:val="16"/>
          <w:szCs w:val="16"/>
        </w:rPr>
        <w:t xml:space="preserve"> navázalo mírnější (poloviční) krácení pro ty, kdo dosáhli 45 a více let pojištěn</w:t>
      </w:r>
      <w:r>
        <w:rPr>
          <w:rFonts w:cs="Verdana"/>
          <w:color w:val="0D0D0D" w:themeColor="text1" w:themeTint="F2"/>
          <w:spacing w:val="-2"/>
          <w:sz w:val="16"/>
          <w:szCs w:val="16"/>
        </w:rPr>
        <w:t>í. To patrně vedlo k aktuálnímu nárůstu nových žádostí o předčasné důchody.</w:t>
      </w:r>
    </w:p>
  </w:footnote>
  <w:footnote w:id="26">
    <w:p w14:paraId="689D2102" w14:textId="77777777" w:rsidR="006B1AFC" w:rsidRDefault="006B1AFC" w:rsidP="009324EF">
      <w:pPr>
        <w:pStyle w:val="Textpoznpodarou"/>
      </w:pPr>
      <w:r w:rsidRPr="00857E9B">
        <w:rPr>
          <w:rStyle w:val="Znakapoznpodarou"/>
          <w:sz w:val="16"/>
          <w:szCs w:val="16"/>
        </w:rPr>
        <w:footnoteRef/>
      </w:r>
      <w:r w:rsidRPr="00857E9B">
        <w:rPr>
          <w:sz w:val="16"/>
          <w:szCs w:val="16"/>
        </w:rPr>
        <w:t xml:space="preserve"> </w:t>
      </w:r>
      <w:r w:rsidRPr="00857E9B">
        <w:rPr>
          <w:color w:val="0D0D0D" w:themeColor="text1" w:themeTint="F2"/>
          <w:spacing w:val="-2"/>
          <w:sz w:val="16"/>
          <w:szCs w:val="16"/>
        </w:rPr>
        <w:t>Průměrný měsíční</w:t>
      </w:r>
      <w:r w:rsidRPr="003405C2">
        <w:rPr>
          <w:color w:val="0D0D0D" w:themeColor="text1" w:themeTint="F2"/>
          <w:spacing w:val="-2"/>
          <w:sz w:val="16"/>
          <w:szCs w:val="16"/>
        </w:rPr>
        <w:t xml:space="preserve"> starobní důchod (bez souběhu s ostatními důchody) byl v </w:t>
      </w:r>
      <w:r>
        <w:rPr>
          <w:color w:val="0D0D0D" w:themeColor="text1" w:themeTint="F2"/>
          <w:spacing w:val="-2"/>
          <w:sz w:val="16"/>
          <w:szCs w:val="16"/>
        </w:rPr>
        <w:t>červnu</w:t>
      </w:r>
      <w:r w:rsidRPr="003405C2">
        <w:rPr>
          <w:color w:val="0D0D0D" w:themeColor="text1" w:themeTint="F2"/>
          <w:spacing w:val="-2"/>
          <w:sz w:val="16"/>
          <w:szCs w:val="16"/>
        </w:rPr>
        <w:t xml:space="preserve"> 202</w:t>
      </w:r>
      <w:r>
        <w:rPr>
          <w:color w:val="0D0D0D" w:themeColor="text1" w:themeTint="F2"/>
          <w:spacing w:val="-2"/>
          <w:sz w:val="16"/>
          <w:szCs w:val="16"/>
        </w:rPr>
        <w:t>6</w:t>
      </w:r>
      <w:r w:rsidRPr="003405C2">
        <w:rPr>
          <w:color w:val="0D0D0D" w:themeColor="text1" w:themeTint="F2"/>
          <w:spacing w:val="-2"/>
          <w:sz w:val="16"/>
          <w:szCs w:val="16"/>
        </w:rPr>
        <w:t xml:space="preserve"> meziročně vyšší o 3,5 % a činil 21,8 tis. korun</w:t>
      </w:r>
      <w:r w:rsidRPr="003405C2">
        <w:rPr>
          <w:color w:val="0D0D0D" w:themeColor="text1" w:themeTint="F2"/>
          <w:sz w:val="16"/>
          <w:szCs w:val="16"/>
        </w:rPr>
        <w:t xml:space="preserve"> (u mužů 23,1 tis. korun, u žen 20,6 tis. korun).</w:t>
      </w:r>
    </w:p>
  </w:footnote>
  <w:footnote w:id="27">
    <w:p w14:paraId="6F082FED" w14:textId="77777777" w:rsidR="006B1AFC" w:rsidRPr="00FC6700" w:rsidRDefault="006B1AFC" w:rsidP="009324EF">
      <w:pPr>
        <w:spacing w:after="0" w:line="240" w:lineRule="auto"/>
      </w:pPr>
      <w:r w:rsidRPr="003405C2">
        <w:rPr>
          <w:rStyle w:val="Znakapoznpodarou"/>
          <w:rFonts w:eastAsia="Calibri"/>
          <w:color w:val="0D0D0D" w:themeColor="text1" w:themeTint="F2"/>
          <w:sz w:val="16"/>
          <w:szCs w:val="16"/>
        </w:rPr>
        <w:footnoteRef/>
      </w:r>
      <w:r w:rsidRPr="003405C2">
        <w:rPr>
          <w:rStyle w:val="Znakapoznpodarou"/>
          <w:rFonts w:eastAsia="Calibri"/>
          <w:color w:val="0D0D0D" w:themeColor="text1" w:themeTint="F2"/>
          <w:sz w:val="16"/>
          <w:szCs w:val="16"/>
        </w:rPr>
        <w:t xml:space="preserve"> </w:t>
      </w:r>
      <w:r w:rsidRPr="003405C2">
        <w:rPr>
          <w:rFonts w:eastAsia="Calibri"/>
          <w:color w:val="0D0D0D" w:themeColor="text1" w:themeTint="F2"/>
          <w:sz w:val="16"/>
          <w:szCs w:val="16"/>
        </w:rPr>
        <w:t>Jde o rozdíl mezi příjmy z pojistného na důchodové pojištění a výdaji na tyto dávky (vč. výdajů na jejich správu</w:t>
      </w:r>
      <w:r>
        <w:rPr>
          <w:rFonts w:eastAsia="Calibri"/>
          <w:color w:val="0D0D0D" w:themeColor="text1" w:themeTint="F2"/>
          <w:sz w:val="16"/>
          <w:szCs w:val="16"/>
        </w:rPr>
        <w:t>, který v 1. pololetí činil 3,5 mld. korun</w:t>
      </w:r>
      <w:r w:rsidRPr="003405C2">
        <w:rPr>
          <w:rFonts w:eastAsia="Calibri"/>
          <w:color w:val="0D0D0D" w:themeColor="text1" w:themeTint="F2"/>
          <w:sz w:val="16"/>
          <w:szCs w:val="16"/>
        </w:rPr>
        <w:t xml:space="preserve">) 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dle </w:t>
      </w:r>
      <w:r>
        <w:rPr>
          <w:rFonts w:cs="Arial"/>
          <w:color w:val="0D0D0D" w:themeColor="text1" w:themeTint="F2"/>
          <w:sz w:val="16"/>
          <w:szCs w:val="16"/>
        </w:rPr>
        <w:t xml:space="preserve">předběžné 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účetní bilance </w:t>
      </w:r>
      <w:r w:rsidRPr="00FC6700">
        <w:rPr>
          <w:rFonts w:cs="Arial"/>
          <w:color w:val="000000" w:themeColor="text1"/>
          <w:sz w:val="16"/>
          <w:szCs w:val="16"/>
        </w:rPr>
        <w:t>MF.</w:t>
      </w:r>
    </w:p>
  </w:footnote>
  <w:footnote w:id="28">
    <w:p w14:paraId="28238E03" w14:textId="77777777" w:rsidR="006B1AFC" w:rsidRPr="007004A2" w:rsidRDefault="006B1AFC" w:rsidP="009324EF">
      <w:pPr>
        <w:pStyle w:val="Textpoznpodarou"/>
        <w:rPr>
          <w:sz w:val="16"/>
          <w:szCs w:val="16"/>
        </w:rPr>
      </w:pPr>
      <w:r w:rsidRPr="007004A2">
        <w:rPr>
          <w:rStyle w:val="Znakapoznpodarou"/>
          <w:sz w:val="16"/>
          <w:szCs w:val="16"/>
        </w:rPr>
        <w:footnoteRef/>
      </w:r>
      <w:r w:rsidRPr="007004A2">
        <w:rPr>
          <w:sz w:val="16"/>
          <w:szCs w:val="16"/>
        </w:rPr>
        <w:t xml:space="preserve"> Od ledna 2026 došlo k navýšení procentní sazby rozhodné pro výpočet podpory vyplácené v prvních měsících nezaměstnanosti.</w:t>
      </w:r>
      <w:r>
        <w:rPr>
          <w:sz w:val="16"/>
          <w:szCs w:val="16"/>
        </w:rPr>
        <w:t xml:space="preserve"> Zároveň se rozšířil i okruh osob majících nárok na podporu (ve vazbě na důvody ukončení posledního pracovního poměru).</w:t>
      </w:r>
    </w:p>
  </w:footnote>
  <w:footnote w:id="29">
    <w:p w14:paraId="770BC6C1" w14:textId="77777777" w:rsidR="006B1AFC" w:rsidRPr="009A42DC" w:rsidRDefault="006B1AFC" w:rsidP="009324EF">
      <w:pPr>
        <w:pStyle w:val="Textpoznpodarou"/>
        <w:rPr>
          <w:sz w:val="16"/>
          <w:szCs w:val="16"/>
        </w:rPr>
      </w:pPr>
      <w:r w:rsidRPr="009A42DC">
        <w:rPr>
          <w:rStyle w:val="Znakapoznpodarou"/>
          <w:sz w:val="16"/>
          <w:szCs w:val="16"/>
        </w:rPr>
        <w:footnoteRef/>
      </w:r>
      <w:r w:rsidRPr="009A42DC">
        <w:rPr>
          <w:sz w:val="16"/>
          <w:szCs w:val="16"/>
        </w:rPr>
        <w:t xml:space="preserve"> </w:t>
      </w:r>
      <w:r w:rsidRPr="009A42DC">
        <w:rPr>
          <w:color w:val="0D0D0D" w:themeColor="text1" w:themeTint="F2"/>
          <w:sz w:val="16"/>
          <w:szCs w:val="16"/>
        </w:rPr>
        <w:t>Počet uchazečů o práci s nárokem na podporu byl tak na konci letošního června meziročně vyšší o 14 tis. (dosahoval 97 tis</w:t>
      </w:r>
      <w:r>
        <w:rPr>
          <w:color w:val="0D0D0D" w:themeColor="text1" w:themeTint="F2"/>
          <w:sz w:val="16"/>
          <w:szCs w:val="16"/>
        </w:rPr>
        <w:t>. osob, resp.</w:t>
      </w:r>
      <w:r w:rsidRPr="009A42DC">
        <w:rPr>
          <w:color w:val="0D0D0D" w:themeColor="text1" w:themeTint="F2"/>
          <w:sz w:val="16"/>
          <w:szCs w:val="16"/>
        </w:rPr>
        <w:t xml:space="preserve"> </w:t>
      </w:r>
      <w:r>
        <w:rPr>
          <w:color w:val="0D0D0D" w:themeColor="text1" w:themeTint="F2"/>
          <w:sz w:val="16"/>
          <w:szCs w:val="16"/>
        </w:rPr>
        <w:t>27</w:t>
      </w:r>
      <w:r w:rsidRPr="009A42DC">
        <w:rPr>
          <w:color w:val="0D0D0D" w:themeColor="text1" w:themeTint="F2"/>
          <w:sz w:val="16"/>
          <w:szCs w:val="16"/>
        </w:rPr>
        <w:t xml:space="preserve"> % všech registrovaných uchazečů</w:t>
      </w:r>
      <w:r>
        <w:rPr>
          <w:color w:val="0D0D0D" w:themeColor="text1" w:themeTint="F2"/>
          <w:sz w:val="16"/>
          <w:szCs w:val="16"/>
        </w:rPr>
        <w:t xml:space="preserve"> a tento podíl se meziročně významně nezměnil</w:t>
      </w:r>
      <w:r w:rsidRPr="009A42DC">
        <w:rPr>
          <w:color w:val="0D0D0D" w:themeColor="text1" w:themeTint="F2"/>
          <w:sz w:val="16"/>
          <w:szCs w:val="16"/>
        </w:rPr>
        <w:t>).</w:t>
      </w:r>
    </w:p>
  </w:footnote>
  <w:footnote w:id="30">
    <w:p w14:paraId="19D4C6C3" w14:textId="77777777" w:rsidR="006B1AFC" w:rsidRPr="00491114" w:rsidRDefault="006B1AFC" w:rsidP="009324EF">
      <w:pPr>
        <w:pStyle w:val="Textpoznpodarou"/>
        <w:rPr>
          <w:sz w:val="16"/>
          <w:szCs w:val="16"/>
        </w:rPr>
      </w:pPr>
      <w:r w:rsidRPr="00491114">
        <w:rPr>
          <w:rStyle w:val="Znakapoznpodarou"/>
          <w:sz w:val="16"/>
          <w:szCs w:val="16"/>
        </w:rPr>
        <w:footnoteRef/>
      </w:r>
      <w:r w:rsidRPr="00491114">
        <w:rPr>
          <w:sz w:val="16"/>
          <w:szCs w:val="16"/>
        </w:rPr>
        <w:t xml:space="preserve"> Celková nemocnost se naopak snížila. Dle údajů ČSSZ klesl v 1. pololetí 2026 počet prostonaných dnů (z důvodů dočasné pracovní neschopnosti) meziročně o 5,3 % </w:t>
      </w:r>
    </w:p>
  </w:footnote>
  <w:footnote w:id="31">
    <w:p w14:paraId="12D9E901" w14:textId="77777777" w:rsidR="006B1AFC" w:rsidRPr="003405C2" w:rsidRDefault="006B1AFC" w:rsidP="009324EF">
      <w:pPr>
        <w:pStyle w:val="Textpoznpodarou"/>
        <w:rPr>
          <w:color w:val="0D0D0D" w:themeColor="text1" w:themeTint="F2"/>
          <w:sz w:val="16"/>
          <w:szCs w:val="16"/>
        </w:rPr>
      </w:pPr>
      <w:r w:rsidRPr="003405C2">
        <w:rPr>
          <w:rStyle w:val="Znakapoznpodarou"/>
          <w:color w:val="0D0D0D" w:themeColor="text1" w:themeTint="F2"/>
          <w:sz w:val="16"/>
          <w:szCs w:val="16"/>
        </w:rPr>
        <w:footnoteRef/>
      </w:r>
      <w:r w:rsidRPr="003405C2">
        <w:rPr>
          <w:color w:val="0D0D0D" w:themeColor="text1" w:themeTint="F2"/>
          <w:sz w:val="16"/>
          <w:szCs w:val="16"/>
        </w:rPr>
        <w:t xml:space="preserve"> To vyjadřuje r</w:t>
      </w:r>
      <w:r w:rsidRPr="003405C2">
        <w:rPr>
          <w:rFonts w:cs="Arial"/>
          <w:color w:val="0D0D0D" w:themeColor="text1" w:themeTint="F2"/>
          <w:sz w:val="16"/>
          <w:szCs w:val="16"/>
        </w:rPr>
        <w:t>ozdíl mezi příjmy z pojistného na nemocenské pojištění</w:t>
      </w:r>
      <w:r w:rsidRPr="003405C2">
        <w:rPr>
          <w:rFonts w:ascii="Segoe UI" w:eastAsia="Times New Roman" w:hAnsi="Segoe UI" w:cs="Segoe UI"/>
          <w:b/>
          <w:bCs/>
          <w:color w:val="0D0D0D" w:themeColor="text1" w:themeTint="F2"/>
          <w:sz w:val="16"/>
          <w:szCs w:val="16"/>
        </w:rPr>
        <w:t xml:space="preserve"> </w:t>
      </w:r>
      <w:r w:rsidRPr="003405C2">
        <w:rPr>
          <w:rFonts w:cs="Arial"/>
          <w:color w:val="0D0D0D" w:themeColor="text1" w:themeTint="F2"/>
          <w:sz w:val="16"/>
          <w:szCs w:val="16"/>
        </w:rPr>
        <w:t>a výdaji na dávky z tohoto pojištění dle účetní bilance ČSSZ.</w:t>
      </w:r>
    </w:p>
  </w:footnote>
  <w:footnote w:id="32">
    <w:p w14:paraId="4CCC8DC0" w14:textId="77777777" w:rsidR="006B1AFC" w:rsidRPr="003405C2" w:rsidRDefault="006B1AFC" w:rsidP="009324EF">
      <w:pPr>
        <w:pStyle w:val="Textpoznpodarou"/>
        <w:rPr>
          <w:color w:val="0D0D0D" w:themeColor="text1" w:themeTint="F2"/>
          <w:sz w:val="16"/>
          <w:szCs w:val="16"/>
        </w:rPr>
      </w:pPr>
      <w:r w:rsidRPr="003405C2">
        <w:rPr>
          <w:rStyle w:val="Znakapoznpodarou"/>
          <w:color w:val="0D0D0D" w:themeColor="text1" w:themeTint="F2"/>
          <w:sz w:val="16"/>
          <w:szCs w:val="16"/>
        </w:rPr>
        <w:footnoteRef/>
      </w:r>
      <w:r w:rsidRPr="003405C2">
        <w:rPr>
          <w:color w:val="0D0D0D" w:themeColor="text1" w:themeTint="F2"/>
          <w:sz w:val="16"/>
          <w:szCs w:val="16"/>
        </w:rPr>
        <w:t xml:space="preserve"> </w:t>
      </w:r>
      <w:r w:rsidRPr="003405C2">
        <w:rPr>
          <w:rFonts w:cs="Arial"/>
          <w:color w:val="0D0D0D" w:themeColor="text1" w:themeTint="F2"/>
          <w:sz w:val="16"/>
          <w:szCs w:val="16"/>
        </w:rPr>
        <w:t>U nové dávky státní sociální pomoci (</w:t>
      </w:r>
      <w:r>
        <w:rPr>
          <w:rFonts w:cs="Arial"/>
          <w:color w:val="0D0D0D" w:themeColor="text1" w:themeTint="F2"/>
          <w:sz w:val="16"/>
          <w:szCs w:val="16"/>
        </w:rPr>
        <w:t xml:space="preserve">tzv. </w:t>
      </w:r>
      <w:proofErr w:type="spellStart"/>
      <w:r>
        <w:rPr>
          <w:rFonts w:cs="Arial"/>
          <w:color w:val="0D0D0D" w:themeColor="text1" w:themeTint="F2"/>
          <w:sz w:val="16"/>
          <w:szCs w:val="16"/>
        </w:rPr>
        <w:t>superdávky</w:t>
      </w:r>
      <w:proofErr w:type="spellEnd"/>
      <w:r>
        <w:rPr>
          <w:rFonts w:cs="Arial"/>
          <w:color w:val="0D0D0D" w:themeColor="text1" w:themeTint="F2"/>
          <w:sz w:val="16"/>
          <w:szCs w:val="16"/>
        </w:rPr>
        <w:t xml:space="preserve">, </w:t>
      </w:r>
      <w:r w:rsidRPr="003405C2">
        <w:rPr>
          <w:rFonts w:cs="Arial"/>
          <w:color w:val="0D0D0D" w:themeColor="text1" w:themeTint="F2"/>
          <w:sz w:val="16"/>
          <w:szCs w:val="16"/>
        </w:rPr>
        <w:t>od 1. října 2025 nahrazující příspěvek na bydlení, přídavek na dítě, příspěvek na živobytí a doplatek na bydlení) probíh</w:t>
      </w:r>
      <w:r>
        <w:rPr>
          <w:rFonts w:cs="Arial"/>
          <w:color w:val="0D0D0D" w:themeColor="text1" w:themeTint="F2"/>
          <w:sz w:val="16"/>
          <w:szCs w:val="16"/>
        </w:rPr>
        <w:t>alo v 1. pololetí 2026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přechodné období (pobírali j</w:t>
      </w:r>
      <w:r>
        <w:rPr>
          <w:rFonts w:cs="Arial"/>
          <w:color w:val="0D0D0D" w:themeColor="text1" w:themeTint="F2"/>
          <w:sz w:val="16"/>
          <w:szCs w:val="16"/>
        </w:rPr>
        <w:t>i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</w:t>
      </w:r>
      <w:r>
        <w:rPr>
          <w:rFonts w:cs="Arial"/>
          <w:color w:val="0D0D0D" w:themeColor="text1" w:themeTint="F2"/>
          <w:sz w:val="16"/>
          <w:szCs w:val="16"/>
        </w:rPr>
        <w:t xml:space="preserve">v zásadě </w:t>
      </w:r>
      <w:r w:rsidRPr="003405C2">
        <w:rPr>
          <w:rFonts w:cs="Arial"/>
          <w:color w:val="0D0D0D" w:themeColor="text1" w:themeTint="F2"/>
          <w:sz w:val="16"/>
          <w:szCs w:val="16"/>
        </w:rPr>
        <w:t>pouze noví žadatelé, letos v </w:t>
      </w:r>
      <w:r>
        <w:rPr>
          <w:rFonts w:cs="Arial"/>
          <w:color w:val="0D0D0D" w:themeColor="text1" w:themeTint="F2"/>
          <w:sz w:val="16"/>
          <w:szCs w:val="16"/>
        </w:rPr>
        <w:t>červnu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šlo o </w:t>
      </w:r>
      <w:r>
        <w:rPr>
          <w:rFonts w:cs="Arial"/>
          <w:color w:val="0D0D0D" w:themeColor="text1" w:themeTint="F2"/>
          <w:sz w:val="16"/>
          <w:szCs w:val="16"/>
        </w:rPr>
        <w:t>50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tis. osob) a objem její výplaty činil </w:t>
      </w:r>
      <w:r>
        <w:rPr>
          <w:rFonts w:cs="Arial"/>
          <w:color w:val="0D0D0D" w:themeColor="text1" w:themeTint="F2"/>
          <w:sz w:val="16"/>
          <w:szCs w:val="16"/>
        </w:rPr>
        <w:t>1</w:t>
      </w:r>
      <w:r w:rsidRPr="003405C2">
        <w:rPr>
          <w:rFonts w:cs="Arial"/>
          <w:color w:val="0D0D0D" w:themeColor="text1" w:themeTint="F2"/>
          <w:sz w:val="16"/>
          <w:szCs w:val="16"/>
        </w:rPr>
        <w:t>,</w:t>
      </w:r>
      <w:r>
        <w:rPr>
          <w:rFonts w:cs="Arial"/>
          <w:color w:val="0D0D0D" w:themeColor="text1" w:themeTint="F2"/>
          <w:sz w:val="16"/>
          <w:szCs w:val="16"/>
        </w:rPr>
        <w:t>5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mld. korun. Nahrazené dávky </w:t>
      </w:r>
      <w:r>
        <w:rPr>
          <w:rFonts w:cs="Arial"/>
          <w:color w:val="0D0D0D" w:themeColor="text1" w:themeTint="F2"/>
          <w:sz w:val="16"/>
          <w:szCs w:val="16"/>
        </w:rPr>
        <w:t xml:space="preserve">zhruba </w:t>
      </w:r>
      <w:r w:rsidRPr="003405C2">
        <w:rPr>
          <w:rFonts w:cs="Arial"/>
          <w:color w:val="0D0D0D" w:themeColor="text1" w:themeTint="F2"/>
          <w:sz w:val="16"/>
          <w:szCs w:val="16"/>
        </w:rPr>
        <w:t>o stejnou výši klesly. Stávajícím příjemcům těchto dávek (v </w:t>
      </w:r>
      <w:r>
        <w:rPr>
          <w:rFonts w:cs="Arial"/>
          <w:color w:val="0D0D0D" w:themeColor="text1" w:themeTint="F2"/>
          <w:sz w:val="16"/>
          <w:szCs w:val="16"/>
        </w:rPr>
        <w:t>červnu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</w:t>
      </w:r>
      <w:r>
        <w:rPr>
          <w:rFonts w:cs="Arial"/>
          <w:color w:val="0D0D0D" w:themeColor="text1" w:themeTint="F2"/>
          <w:sz w:val="16"/>
          <w:szCs w:val="16"/>
        </w:rPr>
        <w:t>jich bylo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</w:t>
      </w:r>
      <w:r>
        <w:rPr>
          <w:rFonts w:cs="Arial"/>
          <w:color w:val="0D0D0D" w:themeColor="text1" w:themeTint="F2"/>
          <w:sz w:val="16"/>
          <w:szCs w:val="16"/>
        </w:rPr>
        <w:t>ještě celkově vyplaceno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5</w:t>
      </w:r>
      <w:r>
        <w:rPr>
          <w:rFonts w:cs="Arial"/>
          <w:color w:val="0D0D0D" w:themeColor="text1" w:themeTint="F2"/>
          <w:sz w:val="16"/>
          <w:szCs w:val="16"/>
        </w:rPr>
        <w:t>58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tis</w:t>
      </w:r>
      <w:r>
        <w:rPr>
          <w:rFonts w:cs="Arial"/>
          <w:color w:val="0D0D0D" w:themeColor="text1" w:themeTint="F2"/>
          <w:sz w:val="16"/>
          <w:szCs w:val="16"/>
        </w:rPr>
        <w:t>.,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část </w:t>
      </w:r>
      <w:r>
        <w:rPr>
          <w:rFonts w:cs="Arial"/>
          <w:color w:val="0D0D0D" w:themeColor="text1" w:themeTint="F2"/>
          <w:sz w:val="16"/>
          <w:szCs w:val="16"/>
        </w:rPr>
        <w:t>příjemců pobírala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více dávek současně) bylo </w:t>
      </w:r>
      <w:r>
        <w:rPr>
          <w:rFonts w:cs="Arial"/>
          <w:color w:val="0D0D0D" w:themeColor="text1" w:themeTint="F2"/>
          <w:sz w:val="16"/>
          <w:szCs w:val="16"/>
        </w:rPr>
        <w:br/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v 1. </w:t>
      </w:r>
      <w:r>
        <w:rPr>
          <w:rFonts w:cs="Arial"/>
          <w:color w:val="0D0D0D" w:themeColor="text1" w:themeTint="F2"/>
          <w:sz w:val="16"/>
          <w:szCs w:val="16"/>
        </w:rPr>
        <w:t>pololetí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celkově v</w:t>
      </w:r>
      <w:r>
        <w:rPr>
          <w:rFonts w:cs="Arial"/>
          <w:color w:val="0D0D0D" w:themeColor="text1" w:themeTint="F2"/>
          <w:sz w:val="16"/>
          <w:szCs w:val="16"/>
        </w:rPr>
        <w:t>ydáno</w:t>
      </w:r>
      <w:r w:rsidRPr="003405C2">
        <w:rPr>
          <w:rFonts w:cs="Arial"/>
          <w:color w:val="0D0D0D" w:themeColor="text1" w:themeTint="F2"/>
          <w:sz w:val="16"/>
          <w:szCs w:val="16"/>
        </w:rPr>
        <w:t xml:space="preserve"> </w:t>
      </w:r>
      <w:r>
        <w:rPr>
          <w:rFonts w:cs="Arial"/>
          <w:color w:val="0D0D0D" w:themeColor="text1" w:themeTint="F2"/>
          <w:spacing w:val="-4"/>
          <w:sz w:val="16"/>
          <w:szCs w:val="16"/>
        </w:rPr>
        <w:t>15,3</w:t>
      </w:r>
      <w:r w:rsidRPr="003405C2">
        <w:rPr>
          <w:rFonts w:cs="Arial"/>
          <w:color w:val="0D0D0D" w:themeColor="text1" w:themeTint="F2"/>
          <w:spacing w:val="-4"/>
          <w:sz w:val="16"/>
          <w:szCs w:val="16"/>
        </w:rPr>
        <w:t xml:space="preserve"> mld. korun.</w:t>
      </w:r>
      <w:r>
        <w:rPr>
          <w:rFonts w:cs="Arial"/>
          <w:color w:val="0D0D0D" w:themeColor="text1" w:themeTint="F2"/>
          <w:spacing w:val="-4"/>
          <w:sz w:val="16"/>
          <w:szCs w:val="16"/>
        </w:rPr>
        <w:t xml:space="preserve"> Současně meziročně pětinásobně narostl objem vyplacených dávek mimořádné okamžité pomoci (na rekordních 0,5 mld. korun). To souviselo především s dočasnou podporou osob v hmotné nouzi, které se i po přechodu na novou </w:t>
      </w:r>
      <w:proofErr w:type="spellStart"/>
      <w:r>
        <w:rPr>
          <w:rFonts w:cs="Arial"/>
          <w:color w:val="0D0D0D" w:themeColor="text1" w:themeTint="F2"/>
          <w:spacing w:val="-4"/>
          <w:sz w:val="16"/>
          <w:szCs w:val="16"/>
        </w:rPr>
        <w:t>superdávku</w:t>
      </w:r>
      <w:proofErr w:type="spellEnd"/>
      <w:r>
        <w:rPr>
          <w:rFonts w:cs="Arial"/>
          <w:color w:val="0D0D0D" w:themeColor="text1" w:themeTint="F2"/>
          <w:spacing w:val="-4"/>
          <w:sz w:val="16"/>
          <w:szCs w:val="16"/>
        </w:rPr>
        <w:t xml:space="preserve"> nacházely v </w:t>
      </w:r>
      <w:r w:rsidRPr="00865239">
        <w:rPr>
          <w:rFonts w:cs="Arial"/>
          <w:color w:val="0D0D0D" w:themeColor="text1" w:themeTint="F2"/>
          <w:spacing w:val="-4"/>
          <w:sz w:val="16"/>
          <w:szCs w:val="16"/>
        </w:rPr>
        <w:t>nepříznivé finanční situac</w:t>
      </w:r>
      <w:r>
        <w:rPr>
          <w:rFonts w:cs="Arial"/>
          <w:color w:val="0D0D0D" w:themeColor="text1" w:themeTint="F2"/>
          <w:spacing w:val="-4"/>
          <w:sz w:val="16"/>
          <w:szCs w:val="16"/>
        </w:rPr>
        <w:t xml:space="preserve">i. </w:t>
      </w:r>
    </w:p>
  </w:footnote>
  <w:footnote w:id="33">
    <w:p w14:paraId="5E66D60A" w14:textId="77777777" w:rsidR="006B1AFC" w:rsidRPr="003405C2" w:rsidRDefault="006B1AFC" w:rsidP="009324EF">
      <w:pPr>
        <w:pStyle w:val="Textpoznpodarou"/>
        <w:rPr>
          <w:color w:val="0D0D0D" w:themeColor="text1" w:themeTint="F2"/>
          <w:sz w:val="16"/>
          <w:szCs w:val="16"/>
        </w:rPr>
      </w:pPr>
      <w:r w:rsidRPr="003405C2">
        <w:rPr>
          <w:rStyle w:val="Znakapoznpodarou"/>
          <w:color w:val="0D0D0D" w:themeColor="text1" w:themeTint="F2"/>
          <w:sz w:val="16"/>
          <w:szCs w:val="16"/>
        </w:rPr>
        <w:footnoteRef/>
      </w:r>
      <w:r w:rsidRPr="003405C2">
        <w:rPr>
          <w:color w:val="0D0D0D" w:themeColor="text1" w:themeTint="F2"/>
          <w:sz w:val="16"/>
          <w:szCs w:val="16"/>
        </w:rPr>
        <w:t xml:space="preserve"> </w:t>
      </w:r>
      <w:r>
        <w:rPr>
          <w:color w:val="0D0D0D" w:themeColor="text1" w:themeTint="F2"/>
          <w:sz w:val="16"/>
          <w:szCs w:val="16"/>
        </w:rPr>
        <w:t xml:space="preserve">Jde o </w:t>
      </w:r>
      <w:r w:rsidRPr="003405C2">
        <w:rPr>
          <w:color w:val="0D0D0D" w:themeColor="text1" w:themeTint="F2"/>
          <w:sz w:val="16"/>
          <w:szCs w:val="16"/>
        </w:rPr>
        <w:t>posílení měsíční platby veřejného zdravotního pojištění za tzv. státní pojištěnce (ta byla od 1. ledna 2026 valorizačním mechanismem navýšena z 2 127 korun na 2 188 korun, tj. o 2,9 %).</w:t>
      </w:r>
    </w:p>
  </w:footnote>
  <w:footnote w:id="34">
    <w:p w14:paraId="2A2E2EED" w14:textId="77777777" w:rsidR="006B1AFC" w:rsidRPr="004D279D" w:rsidRDefault="006B1AFC" w:rsidP="009324EF">
      <w:pPr>
        <w:pStyle w:val="Textpoznpodarou"/>
        <w:rPr>
          <w:sz w:val="16"/>
          <w:szCs w:val="16"/>
        </w:rPr>
      </w:pPr>
      <w:r w:rsidRPr="004D279D">
        <w:rPr>
          <w:rStyle w:val="Znakapoznpodarou"/>
          <w:sz w:val="16"/>
          <w:szCs w:val="16"/>
        </w:rPr>
        <w:footnoteRef/>
      </w:r>
      <w:r w:rsidRPr="004D279D">
        <w:rPr>
          <w:sz w:val="16"/>
          <w:szCs w:val="16"/>
        </w:rPr>
        <w:t xml:space="preserve"> Šlo zejména o úředníky a státní zaměstnance ve služebním poměru, nepedagogické pracovníky</w:t>
      </w:r>
      <w:r>
        <w:rPr>
          <w:sz w:val="16"/>
          <w:szCs w:val="16"/>
        </w:rPr>
        <w:t>,</w:t>
      </w:r>
      <w:r w:rsidRPr="004D279D">
        <w:rPr>
          <w:sz w:val="16"/>
          <w:szCs w:val="16"/>
        </w:rPr>
        <w:t xml:space="preserve"> zaměstnance v kultuře či údržbáře </w:t>
      </w:r>
      <w:r>
        <w:rPr>
          <w:sz w:val="16"/>
          <w:szCs w:val="16"/>
        </w:rPr>
        <w:br/>
      </w:r>
      <w:r w:rsidRPr="004D279D">
        <w:rPr>
          <w:sz w:val="16"/>
          <w:szCs w:val="16"/>
        </w:rPr>
        <w:t>a dále také zdravotnické nelékařské a sociální pracovníky.</w:t>
      </w:r>
    </w:p>
  </w:footnote>
  <w:footnote w:id="35">
    <w:p w14:paraId="48CB0626" w14:textId="77777777" w:rsidR="006B1AFC" w:rsidRPr="003405C2" w:rsidRDefault="006B1AFC" w:rsidP="009324EF">
      <w:pPr>
        <w:pStyle w:val="Textpoznpodarou"/>
        <w:rPr>
          <w:color w:val="0D0D0D" w:themeColor="text1" w:themeTint="F2"/>
          <w:sz w:val="16"/>
          <w:szCs w:val="16"/>
        </w:rPr>
      </w:pPr>
      <w:r w:rsidRPr="003405C2">
        <w:rPr>
          <w:rStyle w:val="Znakapoznpodarou"/>
          <w:color w:val="0D0D0D" w:themeColor="text1" w:themeTint="F2"/>
          <w:sz w:val="16"/>
          <w:szCs w:val="16"/>
        </w:rPr>
        <w:footnoteRef/>
      </w:r>
      <w:r w:rsidRPr="003405C2">
        <w:rPr>
          <w:color w:val="0D0D0D" w:themeColor="text1" w:themeTint="F2"/>
          <w:sz w:val="16"/>
          <w:szCs w:val="16"/>
        </w:rPr>
        <w:t xml:space="preserve"> Čisté výdaje odpovídají saldu rozpočtové kapitoly Státní dluh (č. 396).</w:t>
      </w:r>
    </w:p>
  </w:footnote>
  <w:footnote w:id="36">
    <w:p w14:paraId="2FB7C7A8" w14:textId="77777777" w:rsidR="006B1AFC" w:rsidRPr="00E04CFC" w:rsidRDefault="006B1AFC" w:rsidP="009324EF">
      <w:pPr>
        <w:pStyle w:val="Textpoznpodarou"/>
        <w:rPr>
          <w:sz w:val="16"/>
          <w:szCs w:val="16"/>
        </w:rPr>
      </w:pPr>
      <w:r w:rsidRPr="00E04CFC">
        <w:rPr>
          <w:rStyle w:val="Znakapoznpodarou"/>
          <w:sz w:val="16"/>
          <w:szCs w:val="16"/>
        </w:rPr>
        <w:footnoteRef/>
      </w:r>
      <w:r w:rsidRPr="00E04CFC">
        <w:rPr>
          <w:sz w:val="16"/>
          <w:szCs w:val="16"/>
        </w:rPr>
        <w:t xml:space="preserve"> </w:t>
      </w:r>
      <w:r w:rsidRPr="00E04CFC">
        <w:rPr>
          <w:color w:val="0D0D0D" w:themeColor="text1" w:themeTint="F2"/>
          <w:spacing w:val="4"/>
          <w:sz w:val="16"/>
          <w:szCs w:val="16"/>
        </w:rPr>
        <w:t xml:space="preserve">V celoročním pohledu by měl </w:t>
      </w:r>
      <w:r>
        <w:rPr>
          <w:color w:val="0D0D0D" w:themeColor="text1" w:themeTint="F2"/>
          <w:spacing w:val="4"/>
          <w:sz w:val="16"/>
          <w:szCs w:val="16"/>
        </w:rPr>
        <w:t xml:space="preserve">letos </w:t>
      </w:r>
      <w:r w:rsidRPr="00E04CFC">
        <w:rPr>
          <w:color w:val="0D0D0D" w:themeColor="text1" w:themeTint="F2"/>
          <w:spacing w:val="4"/>
          <w:sz w:val="16"/>
          <w:szCs w:val="16"/>
        </w:rPr>
        <w:t xml:space="preserve">dle schváleného SR jejich objem dosáhnout 110 mld., </w:t>
      </w:r>
      <w:r>
        <w:rPr>
          <w:color w:val="0D0D0D" w:themeColor="text1" w:themeTint="F2"/>
          <w:spacing w:val="4"/>
          <w:sz w:val="16"/>
          <w:szCs w:val="16"/>
        </w:rPr>
        <w:t xml:space="preserve">a to </w:t>
      </w:r>
      <w:r w:rsidRPr="00E04CFC">
        <w:rPr>
          <w:color w:val="0D0D0D" w:themeColor="text1" w:themeTint="F2"/>
          <w:spacing w:val="4"/>
          <w:sz w:val="16"/>
          <w:szCs w:val="16"/>
        </w:rPr>
        <w:t>při meziročním růstu o 12</w:t>
      </w:r>
      <w:r>
        <w:rPr>
          <w:color w:val="0D0D0D" w:themeColor="text1" w:themeTint="F2"/>
          <w:spacing w:val="4"/>
          <w:sz w:val="16"/>
          <w:szCs w:val="16"/>
        </w:rPr>
        <w:t>,1</w:t>
      </w:r>
      <w:r w:rsidRPr="00E04CFC">
        <w:rPr>
          <w:color w:val="0D0D0D" w:themeColor="text1" w:themeTint="F2"/>
          <w:spacing w:val="4"/>
          <w:sz w:val="16"/>
          <w:szCs w:val="16"/>
        </w:rPr>
        <w:t xml:space="preserve"> %</w:t>
      </w:r>
      <w:r>
        <w:rPr>
          <w:color w:val="0D0D0D" w:themeColor="text1" w:themeTint="F2"/>
          <w:spacing w:val="4"/>
          <w:sz w:val="16"/>
          <w:szCs w:val="16"/>
        </w:rPr>
        <w:t>.</w:t>
      </w:r>
    </w:p>
  </w:footnote>
  <w:footnote w:id="37">
    <w:p w14:paraId="3873486E" w14:textId="77777777" w:rsidR="006B1AFC" w:rsidRPr="003405C2" w:rsidRDefault="006B1AFC" w:rsidP="009324EF">
      <w:pPr>
        <w:pStyle w:val="Textpoznpodarou"/>
        <w:rPr>
          <w:color w:val="0D0D0D" w:themeColor="text1" w:themeTint="F2"/>
          <w:spacing w:val="-3"/>
          <w:sz w:val="16"/>
          <w:szCs w:val="16"/>
        </w:rPr>
      </w:pPr>
      <w:r w:rsidRPr="003405C2">
        <w:rPr>
          <w:rStyle w:val="Znakapoznpodarou"/>
          <w:color w:val="0D0D0D" w:themeColor="text1" w:themeTint="F2"/>
          <w:spacing w:val="-3"/>
          <w:sz w:val="16"/>
          <w:szCs w:val="16"/>
        </w:rPr>
        <w:footnoteRef/>
      </w:r>
      <w:r w:rsidRPr="003405C2">
        <w:rPr>
          <w:color w:val="0D0D0D" w:themeColor="text1" w:themeTint="F2"/>
          <w:spacing w:val="-3"/>
          <w:sz w:val="16"/>
          <w:szCs w:val="16"/>
        </w:rPr>
        <w:t xml:space="preserve"> Vnější dluh činil letos na konci 1. </w:t>
      </w:r>
      <w:r>
        <w:rPr>
          <w:color w:val="0D0D0D" w:themeColor="text1" w:themeTint="F2"/>
          <w:spacing w:val="-3"/>
          <w:sz w:val="16"/>
          <w:szCs w:val="16"/>
        </w:rPr>
        <w:t>pololetí</w:t>
      </w:r>
      <w:r w:rsidRPr="003405C2">
        <w:rPr>
          <w:color w:val="0D0D0D" w:themeColor="text1" w:themeTint="F2"/>
          <w:spacing w:val="-3"/>
          <w:sz w:val="16"/>
          <w:szCs w:val="16"/>
        </w:rPr>
        <w:t xml:space="preserve"> 17</w:t>
      </w:r>
      <w:r>
        <w:rPr>
          <w:color w:val="0D0D0D" w:themeColor="text1" w:themeTint="F2"/>
          <w:spacing w:val="-3"/>
          <w:sz w:val="16"/>
          <w:szCs w:val="16"/>
        </w:rPr>
        <w:t>3</w:t>
      </w:r>
      <w:r w:rsidRPr="003405C2">
        <w:rPr>
          <w:color w:val="0D0D0D" w:themeColor="text1" w:themeTint="F2"/>
          <w:spacing w:val="-3"/>
          <w:sz w:val="16"/>
          <w:szCs w:val="16"/>
        </w:rPr>
        <w:t xml:space="preserve"> mld. korun a na celkovém státním dluhu se tak podílel 4,</w:t>
      </w:r>
      <w:r>
        <w:rPr>
          <w:color w:val="0D0D0D" w:themeColor="text1" w:themeTint="F2"/>
          <w:spacing w:val="-3"/>
          <w:sz w:val="16"/>
          <w:szCs w:val="16"/>
        </w:rPr>
        <w:t>6</w:t>
      </w:r>
      <w:r w:rsidRPr="003405C2">
        <w:rPr>
          <w:color w:val="0D0D0D" w:themeColor="text1" w:themeTint="F2"/>
          <w:spacing w:val="-3"/>
          <w:sz w:val="16"/>
          <w:szCs w:val="16"/>
        </w:rPr>
        <w:t xml:space="preserve"> %, což </w:t>
      </w:r>
      <w:r>
        <w:rPr>
          <w:color w:val="0D0D0D" w:themeColor="text1" w:themeTint="F2"/>
          <w:spacing w:val="-3"/>
          <w:sz w:val="16"/>
          <w:szCs w:val="16"/>
        </w:rPr>
        <w:t>bylo</w:t>
      </w:r>
      <w:r w:rsidRPr="003405C2">
        <w:rPr>
          <w:color w:val="0D0D0D" w:themeColor="text1" w:themeTint="F2"/>
          <w:spacing w:val="-3"/>
          <w:sz w:val="16"/>
          <w:szCs w:val="16"/>
        </w:rPr>
        <w:t xml:space="preserve"> nejméně po roce 2004.</w:t>
      </w:r>
    </w:p>
  </w:footnote>
  <w:footnote w:id="38">
    <w:p w14:paraId="39AE79FB" w14:textId="77777777" w:rsidR="006B1AFC" w:rsidRPr="00A0308D" w:rsidRDefault="006B1AFC" w:rsidP="009324EF">
      <w:pPr>
        <w:pStyle w:val="Textpoznpodarou"/>
        <w:rPr>
          <w:sz w:val="16"/>
          <w:szCs w:val="16"/>
        </w:rPr>
      </w:pPr>
      <w:r w:rsidRPr="00A0308D">
        <w:rPr>
          <w:rStyle w:val="Znakapoznpodarou"/>
          <w:sz w:val="16"/>
          <w:szCs w:val="16"/>
        </w:rPr>
        <w:footnoteRef/>
      </w:r>
      <w:r w:rsidRPr="00A0308D">
        <w:rPr>
          <w:sz w:val="16"/>
          <w:szCs w:val="16"/>
        </w:rPr>
        <w:t xml:space="preserve"> </w:t>
      </w:r>
      <w:r w:rsidRPr="00CD4841">
        <w:rPr>
          <w:spacing w:val="-2"/>
          <w:sz w:val="16"/>
          <w:szCs w:val="16"/>
        </w:rPr>
        <w:t>Tato změna v dotační podpoře byla současně územním rozpočtům kompenzována změnou rozpočtového určení daně (od ledna 2026).</w:t>
      </w:r>
    </w:p>
  </w:footnote>
  <w:footnote w:id="39">
    <w:p w14:paraId="758A59BD" w14:textId="77777777" w:rsidR="006B1AFC" w:rsidRPr="00033683" w:rsidRDefault="006B1AFC" w:rsidP="009324EF">
      <w:pPr>
        <w:pStyle w:val="Textpoznpodarou"/>
        <w:rPr>
          <w:sz w:val="16"/>
          <w:szCs w:val="16"/>
        </w:rPr>
      </w:pPr>
      <w:r w:rsidRPr="00033683">
        <w:rPr>
          <w:rStyle w:val="Znakapoznpodarou"/>
          <w:sz w:val="16"/>
          <w:szCs w:val="16"/>
        </w:rPr>
        <w:footnoteRef/>
      </w:r>
      <w:r w:rsidRPr="00033683">
        <w:rPr>
          <w:sz w:val="16"/>
          <w:szCs w:val="16"/>
        </w:rPr>
        <w:t xml:space="preserve"> Toto pololetní rozpočtové plnění patří v kontextu poslední dekády k lehce nadprůměrným.</w:t>
      </w:r>
      <w:r>
        <w:rPr>
          <w:sz w:val="16"/>
          <w:szCs w:val="16"/>
        </w:rPr>
        <w:t xml:space="preserve"> Plynulost dosavadního letošního čerpání </w:t>
      </w:r>
      <w:r w:rsidRPr="00F35D68">
        <w:rPr>
          <w:spacing w:val="-4"/>
          <w:sz w:val="16"/>
          <w:szCs w:val="16"/>
        </w:rPr>
        <w:t xml:space="preserve">investic byla </w:t>
      </w:r>
      <w:r>
        <w:rPr>
          <w:spacing w:val="-4"/>
          <w:sz w:val="16"/>
          <w:szCs w:val="16"/>
        </w:rPr>
        <w:t xml:space="preserve">významně </w:t>
      </w:r>
      <w:r w:rsidRPr="00F35D68">
        <w:rPr>
          <w:spacing w:val="-4"/>
          <w:sz w:val="16"/>
          <w:szCs w:val="16"/>
        </w:rPr>
        <w:t>narušena na počátku roku (dopad rozpočtového provizoria). Přesto i za 1. čtvrtletí tyto výdaje meziročně rostly (+8,7 %).</w:t>
      </w:r>
    </w:p>
  </w:footnote>
  <w:footnote w:id="40">
    <w:p w14:paraId="57A19368" w14:textId="77777777" w:rsidR="006B1AFC" w:rsidRPr="00EA5A14" w:rsidRDefault="006B1AFC" w:rsidP="009324EF">
      <w:pPr>
        <w:pStyle w:val="Textpoznpodarou"/>
        <w:rPr>
          <w:sz w:val="16"/>
          <w:szCs w:val="16"/>
        </w:rPr>
      </w:pPr>
      <w:r w:rsidRPr="00EA5A14">
        <w:rPr>
          <w:rStyle w:val="Znakapoznpodarou"/>
          <w:sz w:val="16"/>
          <w:szCs w:val="16"/>
        </w:rPr>
        <w:footnoteRef/>
      </w:r>
      <w:r w:rsidRPr="00EA5A14">
        <w:rPr>
          <w:sz w:val="16"/>
          <w:szCs w:val="16"/>
        </w:rPr>
        <w:t xml:space="preserve"> Ty dosáhly 42,1 mld. korun</w:t>
      </w:r>
      <w:r>
        <w:rPr>
          <w:sz w:val="16"/>
          <w:szCs w:val="16"/>
        </w:rPr>
        <w:t xml:space="preserve">, a to </w:t>
      </w:r>
      <w:r w:rsidRPr="00EA5A14">
        <w:rPr>
          <w:sz w:val="16"/>
          <w:szCs w:val="16"/>
        </w:rPr>
        <w:t>při meziročním růstu o 28,6 %</w:t>
      </w:r>
      <w:r>
        <w:rPr>
          <w:sz w:val="16"/>
          <w:szCs w:val="16"/>
        </w:rPr>
        <w:t>.</w:t>
      </w:r>
    </w:p>
  </w:footnote>
  <w:footnote w:id="41">
    <w:p w14:paraId="6CA0DE69" w14:textId="77777777" w:rsidR="006B1AFC" w:rsidRDefault="006B1AFC" w:rsidP="009324EF">
      <w:pPr>
        <w:pStyle w:val="Textpoznpodarou"/>
      </w:pPr>
      <w:r w:rsidRPr="004E0DF3">
        <w:rPr>
          <w:rStyle w:val="Znakapoznpodarou"/>
          <w:sz w:val="16"/>
          <w:szCs w:val="16"/>
        </w:rPr>
        <w:footnoteRef/>
      </w:r>
      <w:r w:rsidRPr="004E0DF3">
        <w:rPr>
          <w:sz w:val="16"/>
          <w:szCs w:val="16"/>
        </w:rPr>
        <w:t xml:space="preserve"> </w:t>
      </w:r>
      <w:r w:rsidRPr="004E0DF3">
        <w:rPr>
          <w:spacing w:val="-2"/>
          <w:sz w:val="16"/>
          <w:szCs w:val="16"/>
        </w:rPr>
        <w:t>Tent</w:t>
      </w:r>
      <w:r>
        <w:rPr>
          <w:spacing w:val="-2"/>
          <w:sz w:val="16"/>
          <w:szCs w:val="16"/>
        </w:rPr>
        <w:t>o nástroj vznikl kvůli potřebě</w:t>
      </w:r>
      <w:r w:rsidRPr="004E0DF3">
        <w:rPr>
          <w:spacing w:val="-2"/>
          <w:sz w:val="16"/>
          <w:szCs w:val="16"/>
        </w:rPr>
        <w:t xml:space="preserve"> řešit hosp</w:t>
      </w:r>
      <w:r>
        <w:rPr>
          <w:spacing w:val="-2"/>
          <w:sz w:val="16"/>
          <w:szCs w:val="16"/>
        </w:rPr>
        <w:t>odářské a sociální dopady pandemie</w:t>
      </w:r>
      <w:r w:rsidRPr="004E0DF3">
        <w:rPr>
          <w:spacing w:val="-2"/>
          <w:sz w:val="16"/>
          <w:szCs w:val="16"/>
        </w:rPr>
        <w:t xml:space="preserve"> covid</w:t>
      </w:r>
      <w:r>
        <w:rPr>
          <w:spacing w:val="-2"/>
          <w:sz w:val="16"/>
          <w:szCs w:val="16"/>
        </w:rPr>
        <w:t>u</w:t>
      </w:r>
      <w:r w:rsidRPr="004E0DF3">
        <w:rPr>
          <w:spacing w:val="-2"/>
          <w:sz w:val="16"/>
          <w:szCs w:val="16"/>
        </w:rPr>
        <w:t xml:space="preserve">-19. </w:t>
      </w:r>
      <w:r>
        <w:rPr>
          <w:spacing w:val="-2"/>
          <w:sz w:val="16"/>
          <w:szCs w:val="16"/>
        </w:rPr>
        <w:t>Cílí</w:t>
      </w:r>
      <w:r w:rsidRPr="004E0DF3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 xml:space="preserve">zejména </w:t>
      </w:r>
      <w:r w:rsidRPr="004E0DF3">
        <w:rPr>
          <w:spacing w:val="-2"/>
          <w:sz w:val="16"/>
          <w:szCs w:val="16"/>
        </w:rPr>
        <w:t>na obnovu trhu práce, sociální ochranu a systémy zdravotní péče, oživení potenciálu pro udržitelný růst a zaměstnanost, transformaci na zelenou a digitální ekonomiku, výzkum a inovace, podporu zemědělství a rozvoje venkova.</w:t>
      </w:r>
      <w:r>
        <w:rPr>
          <w:spacing w:val="-2"/>
          <w:sz w:val="16"/>
          <w:szCs w:val="16"/>
        </w:rPr>
        <w:t xml:space="preserve"> Výdaje </w:t>
      </w:r>
      <w:r w:rsidRPr="00604AD0">
        <w:rPr>
          <w:spacing w:val="-2"/>
          <w:sz w:val="16"/>
          <w:szCs w:val="16"/>
        </w:rPr>
        <w:t xml:space="preserve">mají podobu grantů a půjček členským státům poskytovaných z Nástroje pro oživení a odolnosti a šesti dalších výdajových programů EU na období </w:t>
      </w:r>
      <w:r>
        <w:rPr>
          <w:spacing w:val="-2"/>
          <w:sz w:val="16"/>
          <w:szCs w:val="16"/>
        </w:rPr>
        <w:t xml:space="preserve">let </w:t>
      </w:r>
      <w:r w:rsidRPr="00604AD0">
        <w:rPr>
          <w:spacing w:val="-2"/>
          <w:sz w:val="16"/>
          <w:szCs w:val="16"/>
        </w:rPr>
        <w:t>2021 až 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9EBB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A682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C5946"/>
    <w:multiLevelType w:val="hybridMultilevel"/>
    <w:tmpl w:val="4C1C2D78"/>
    <w:lvl w:ilvl="0" w:tplc="B01A5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95764B"/>
    <w:multiLevelType w:val="hybridMultilevel"/>
    <w:tmpl w:val="84788BC8"/>
    <w:lvl w:ilvl="0" w:tplc="1B96A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55121"/>
    <w:multiLevelType w:val="hybridMultilevel"/>
    <w:tmpl w:val="338E27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361065"/>
    <w:multiLevelType w:val="hybridMultilevel"/>
    <w:tmpl w:val="991072C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E145AAD"/>
    <w:multiLevelType w:val="hybridMultilevel"/>
    <w:tmpl w:val="963044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35353"/>
    <w:multiLevelType w:val="multilevel"/>
    <w:tmpl w:val="1C0E9EAE"/>
    <w:name w:val="Analyz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E462C8E"/>
    <w:multiLevelType w:val="hybridMultilevel"/>
    <w:tmpl w:val="84B46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64F20"/>
    <w:multiLevelType w:val="hybridMultilevel"/>
    <w:tmpl w:val="ADE25A6C"/>
    <w:lvl w:ilvl="0" w:tplc="04050001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52333"/>
    <w:multiLevelType w:val="multilevel"/>
    <w:tmpl w:val="D0ACF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8DA62F8"/>
    <w:multiLevelType w:val="hybridMultilevel"/>
    <w:tmpl w:val="419C8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7A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2420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D106E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11355C0"/>
    <w:multiLevelType w:val="multilevel"/>
    <w:tmpl w:val="697E8B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39914012"/>
    <w:multiLevelType w:val="multilevel"/>
    <w:tmpl w:val="F380FB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C1667"/>
    <w:multiLevelType w:val="hybridMultilevel"/>
    <w:tmpl w:val="735E7570"/>
    <w:lvl w:ilvl="0" w:tplc="5588AF8E">
      <w:start w:val="1"/>
      <w:numFmt w:val="decimal"/>
      <w:lvlText w:val="%1."/>
      <w:lvlJc w:val="left"/>
      <w:pPr>
        <w:ind w:left="4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20" w:hanging="360"/>
      </w:pPr>
    </w:lvl>
    <w:lvl w:ilvl="2" w:tplc="0405001B" w:tentative="1">
      <w:start w:val="1"/>
      <w:numFmt w:val="lowerRoman"/>
      <w:lvlText w:val="%3."/>
      <w:lvlJc w:val="right"/>
      <w:pPr>
        <w:ind w:left="6240" w:hanging="180"/>
      </w:pPr>
    </w:lvl>
    <w:lvl w:ilvl="3" w:tplc="0405000F" w:tentative="1">
      <w:start w:val="1"/>
      <w:numFmt w:val="decimal"/>
      <w:lvlText w:val="%4."/>
      <w:lvlJc w:val="left"/>
      <w:pPr>
        <w:ind w:left="6960" w:hanging="360"/>
      </w:pPr>
    </w:lvl>
    <w:lvl w:ilvl="4" w:tplc="04050019" w:tentative="1">
      <w:start w:val="1"/>
      <w:numFmt w:val="lowerLetter"/>
      <w:lvlText w:val="%5."/>
      <w:lvlJc w:val="left"/>
      <w:pPr>
        <w:ind w:left="7680" w:hanging="360"/>
      </w:pPr>
    </w:lvl>
    <w:lvl w:ilvl="5" w:tplc="0405001B" w:tentative="1">
      <w:start w:val="1"/>
      <w:numFmt w:val="lowerRoman"/>
      <w:lvlText w:val="%6."/>
      <w:lvlJc w:val="right"/>
      <w:pPr>
        <w:ind w:left="8400" w:hanging="180"/>
      </w:pPr>
    </w:lvl>
    <w:lvl w:ilvl="6" w:tplc="0405000F" w:tentative="1">
      <w:start w:val="1"/>
      <w:numFmt w:val="decimal"/>
      <w:lvlText w:val="%7."/>
      <w:lvlJc w:val="left"/>
      <w:pPr>
        <w:ind w:left="9120" w:hanging="360"/>
      </w:pPr>
    </w:lvl>
    <w:lvl w:ilvl="7" w:tplc="04050019" w:tentative="1">
      <w:start w:val="1"/>
      <w:numFmt w:val="lowerLetter"/>
      <w:lvlText w:val="%8."/>
      <w:lvlJc w:val="left"/>
      <w:pPr>
        <w:ind w:left="9840" w:hanging="360"/>
      </w:pPr>
    </w:lvl>
    <w:lvl w:ilvl="8" w:tplc="0405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27" w15:restartNumberingAfterBreak="0">
    <w:nsid w:val="3D4D0562"/>
    <w:multiLevelType w:val="hybridMultilevel"/>
    <w:tmpl w:val="E8A8F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B1D16"/>
    <w:multiLevelType w:val="hybridMultilevel"/>
    <w:tmpl w:val="CA440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558D6"/>
    <w:multiLevelType w:val="hybridMultilevel"/>
    <w:tmpl w:val="1B90B8E0"/>
    <w:lvl w:ilvl="0" w:tplc="4B66ED1E">
      <w:start w:val="1"/>
      <w:numFmt w:val="decimal"/>
      <w:lvlText w:val="%1."/>
      <w:lvlJc w:val="left"/>
      <w:pPr>
        <w:ind w:left="4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25" w:hanging="360"/>
      </w:pPr>
    </w:lvl>
    <w:lvl w:ilvl="2" w:tplc="0405001B" w:tentative="1">
      <w:start w:val="1"/>
      <w:numFmt w:val="lowerRoman"/>
      <w:lvlText w:val="%3."/>
      <w:lvlJc w:val="right"/>
      <w:pPr>
        <w:ind w:left="6345" w:hanging="180"/>
      </w:pPr>
    </w:lvl>
    <w:lvl w:ilvl="3" w:tplc="0405000F" w:tentative="1">
      <w:start w:val="1"/>
      <w:numFmt w:val="decimal"/>
      <w:lvlText w:val="%4."/>
      <w:lvlJc w:val="left"/>
      <w:pPr>
        <w:ind w:left="7065" w:hanging="360"/>
      </w:pPr>
    </w:lvl>
    <w:lvl w:ilvl="4" w:tplc="04050019" w:tentative="1">
      <w:start w:val="1"/>
      <w:numFmt w:val="lowerLetter"/>
      <w:lvlText w:val="%5."/>
      <w:lvlJc w:val="left"/>
      <w:pPr>
        <w:ind w:left="7785" w:hanging="360"/>
      </w:pPr>
    </w:lvl>
    <w:lvl w:ilvl="5" w:tplc="0405001B" w:tentative="1">
      <w:start w:val="1"/>
      <w:numFmt w:val="lowerRoman"/>
      <w:lvlText w:val="%6."/>
      <w:lvlJc w:val="right"/>
      <w:pPr>
        <w:ind w:left="8505" w:hanging="180"/>
      </w:pPr>
    </w:lvl>
    <w:lvl w:ilvl="6" w:tplc="0405000F" w:tentative="1">
      <w:start w:val="1"/>
      <w:numFmt w:val="decimal"/>
      <w:lvlText w:val="%7."/>
      <w:lvlJc w:val="left"/>
      <w:pPr>
        <w:ind w:left="9225" w:hanging="360"/>
      </w:pPr>
    </w:lvl>
    <w:lvl w:ilvl="7" w:tplc="04050019" w:tentative="1">
      <w:start w:val="1"/>
      <w:numFmt w:val="lowerLetter"/>
      <w:lvlText w:val="%8."/>
      <w:lvlJc w:val="left"/>
      <w:pPr>
        <w:ind w:left="9945" w:hanging="360"/>
      </w:pPr>
    </w:lvl>
    <w:lvl w:ilvl="8" w:tplc="0405001B" w:tentative="1">
      <w:start w:val="1"/>
      <w:numFmt w:val="lowerRoman"/>
      <w:lvlText w:val="%9."/>
      <w:lvlJc w:val="right"/>
      <w:pPr>
        <w:ind w:left="10665" w:hanging="180"/>
      </w:pPr>
    </w:lvl>
  </w:abstractNum>
  <w:abstractNum w:abstractNumId="30" w15:restartNumberingAfterBreak="0">
    <w:nsid w:val="479678F7"/>
    <w:multiLevelType w:val="hybridMultilevel"/>
    <w:tmpl w:val="A4DE7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5051A8"/>
    <w:multiLevelType w:val="hybridMultilevel"/>
    <w:tmpl w:val="DEACE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A4287"/>
    <w:multiLevelType w:val="multilevel"/>
    <w:tmpl w:val="1C0E9EAE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90F3B"/>
    <w:multiLevelType w:val="hybridMultilevel"/>
    <w:tmpl w:val="D64CB604"/>
    <w:lvl w:ilvl="0" w:tplc="67AC8A1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655F88"/>
    <w:multiLevelType w:val="hybridMultilevel"/>
    <w:tmpl w:val="70283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67A6"/>
    <w:multiLevelType w:val="hybridMultilevel"/>
    <w:tmpl w:val="50E0F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CB210F"/>
    <w:multiLevelType w:val="multilevel"/>
    <w:tmpl w:val="D64CB60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D405E1"/>
    <w:multiLevelType w:val="multilevel"/>
    <w:tmpl w:val="5FCA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EF3AA7"/>
    <w:multiLevelType w:val="multilevel"/>
    <w:tmpl w:val="9092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B048D2"/>
    <w:multiLevelType w:val="hybridMultilevel"/>
    <w:tmpl w:val="D2A0F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235D04"/>
    <w:multiLevelType w:val="hybridMultilevel"/>
    <w:tmpl w:val="26840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747AF"/>
    <w:multiLevelType w:val="hybridMultilevel"/>
    <w:tmpl w:val="76204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51B2D"/>
    <w:multiLevelType w:val="hybridMultilevel"/>
    <w:tmpl w:val="4C1C2D78"/>
    <w:lvl w:ilvl="0" w:tplc="B01A5632">
      <w:start w:val="1"/>
      <w:numFmt w:val="bullet"/>
      <w:pStyle w:val="Normal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A7946"/>
    <w:multiLevelType w:val="multilevel"/>
    <w:tmpl w:val="6F3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8E301A"/>
    <w:multiLevelType w:val="hybridMultilevel"/>
    <w:tmpl w:val="1A92D7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0647203">
    <w:abstractNumId w:val="31"/>
  </w:num>
  <w:num w:numId="2" w16cid:durableId="2108306025">
    <w:abstractNumId w:val="8"/>
  </w:num>
  <w:num w:numId="3" w16cid:durableId="1851791032">
    <w:abstractNumId w:val="3"/>
  </w:num>
  <w:num w:numId="4" w16cid:durableId="1418281433">
    <w:abstractNumId w:val="2"/>
  </w:num>
  <w:num w:numId="5" w16cid:durableId="1057360773">
    <w:abstractNumId w:val="1"/>
  </w:num>
  <w:num w:numId="6" w16cid:durableId="917859753">
    <w:abstractNumId w:val="0"/>
  </w:num>
  <w:num w:numId="7" w16cid:durableId="1884097028">
    <w:abstractNumId w:val="9"/>
  </w:num>
  <w:num w:numId="8" w16cid:durableId="824902319">
    <w:abstractNumId w:val="7"/>
  </w:num>
  <w:num w:numId="9" w16cid:durableId="1803766138">
    <w:abstractNumId w:val="6"/>
  </w:num>
  <w:num w:numId="10" w16cid:durableId="566259340">
    <w:abstractNumId w:val="5"/>
  </w:num>
  <w:num w:numId="11" w16cid:durableId="52774508">
    <w:abstractNumId w:val="4"/>
  </w:num>
  <w:num w:numId="12" w16cid:durableId="1533685237">
    <w:abstractNumId w:val="18"/>
  </w:num>
  <w:num w:numId="13" w16cid:durableId="195428688">
    <w:abstractNumId w:val="34"/>
  </w:num>
  <w:num w:numId="14" w16cid:durableId="1684941278">
    <w:abstractNumId w:val="15"/>
  </w:num>
  <w:num w:numId="15" w16cid:durableId="1238784906">
    <w:abstractNumId w:val="24"/>
  </w:num>
  <w:num w:numId="16" w16cid:durableId="2045134713">
    <w:abstractNumId w:val="19"/>
  </w:num>
  <w:num w:numId="17" w16cid:durableId="1458451516">
    <w:abstractNumId w:val="35"/>
  </w:num>
  <w:num w:numId="18" w16cid:durableId="849877926">
    <w:abstractNumId w:val="25"/>
  </w:num>
  <w:num w:numId="19" w16cid:durableId="1118066606">
    <w:abstractNumId w:val="38"/>
  </w:num>
  <w:num w:numId="20" w16cid:durableId="508564300">
    <w:abstractNumId w:val="44"/>
  </w:num>
  <w:num w:numId="21" w16cid:durableId="316148911">
    <w:abstractNumId w:val="33"/>
  </w:num>
  <w:num w:numId="22" w16cid:durableId="360010707">
    <w:abstractNumId w:val="23"/>
  </w:num>
  <w:num w:numId="23" w16cid:durableId="999309269">
    <w:abstractNumId w:val="21"/>
  </w:num>
  <w:num w:numId="24" w16cid:durableId="1194266313">
    <w:abstractNumId w:val="22"/>
  </w:num>
  <w:num w:numId="25" w16cid:durableId="1815366340">
    <w:abstractNumId w:val="41"/>
  </w:num>
  <w:num w:numId="26" w16cid:durableId="1577863405">
    <w:abstractNumId w:val="43"/>
  </w:num>
  <w:num w:numId="27" w16cid:durableId="1207061094">
    <w:abstractNumId w:val="13"/>
  </w:num>
  <w:num w:numId="28" w16cid:durableId="1693920833">
    <w:abstractNumId w:val="27"/>
  </w:num>
  <w:num w:numId="29" w16cid:durableId="1876775477">
    <w:abstractNumId w:val="26"/>
  </w:num>
  <w:num w:numId="30" w16cid:durableId="179972127">
    <w:abstractNumId w:val="10"/>
  </w:num>
  <w:num w:numId="31" w16cid:durableId="970136012">
    <w:abstractNumId w:val="28"/>
  </w:num>
  <w:num w:numId="32" w16cid:durableId="1617836376">
    <w:abstractNumId w:val="12"/>
  </w:num>
  <w:num w:numId="33" w16cid:durableId="357007340">
    <w:abstractNumId w:val="46"/>
  </w:num>
  <w:num w:numId="34" w16cid:durableId="2131776467">
    <w:abstractNumId w:val="11"/>
  </w:num>
  <w:num w:numId="35" w16cid:durableId="1776095800">
    <w:abstractNumId w:val="37"/>
  </w:num>
  <w:num w:numId="36" w16cid:durableId="862209000">
    <w:abstractNumId w:val="30"/>
  </w:num>
  <w:num w:numId="37" w16cid:durableId="322010878">
    <w:abstractNumId w:val="29"/>
  </w:num>
  <w:num w:numId="38" w16cid:durableId="1458373311">
    <w:abstractNumId w:val="39"/>
  </w:num>
  <w:num w:numId="39" w16cid:durableId="288441997">
    <w:abstractNumId w:val="45"/>
  </w:num>
  <w:num w:numId="40" w16cid:durableId="952595072">
    <w:abstractNumId w:val="40"/>
  </w:num>
  <w:num w:numId="41" w16cid:durableId="1427652868">
    <w:abstractNumId w:val="32"/>
  </w:num>
  <w:num w:numId="42" w16cid:durableId="1024401835">
    <w:abstractNumId w:val="20"/>
  </w:num>
  <w:num w:numId="43" w16cid:durableId="428089243">
    <w:abstractNumId w:val="14"/>
  </w:num>
  <w:num w:numId="44" w16cid:durableId="82647767">
    <w:abstractNumId w:val="36"/>
  </w:num>
  <w:num w:numId="45" w16cid:durableId="215163427">
    <w:abstractNumId w:val="16"/>
  </w:num>
  <w:num w:numId="46" w16cid:durableId="1639922006">
    <w:abstractNumId w:val="44"/>
    <w:lvlOverride w:ilvl="0">
      <w:startOverride w:val="1"/>
    </w:lvlOverride>
  </w:num>
  <w:num w:numId="47" w16cid:durableId="1509101590">
    <w:abstractNumId w:val="17"/>
  </w:num>
  <w:num w:numId="48" w16cid:durableId="14816520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43"/>
    <w:rsid w:val="0000209D"/>
    <w:rsid w:val="00004D5A"/>
    <w:rsid w:val="000056D5"/>
    <w:rsid w:val="00006ABD"/>
    <w:rsid w:val="0000767A"/>
    <w:rsid w:val="00010256"/>
    <w:rsid w:val="00010702"/>
    <w:rsid w:val="00011912"/>
    <w:rsid w:val="00015E7C"/>
    <w:rsid w:val="0002195D"/>
    <w:rsid w:val="000234D6"/>
    <w:rsid w:val="00023D29"/>
    <w:rsid w:val="00026389"/>
    <w:rsid w:val="00031AE0"/>
    <w:rsid w:val="000322EF"/>
    <w:rsid w:val="00033FCD"/>
    <w:rsid w:val="00036F4B"/>
    <w:rsid w:val="00040D10"/>
    <w:rsid w:val="00041CEC"/>
    <w:rsid w:val="0004694F"/>
    <w:rsid w:val="000522E4"/>
    <w:rsid w:val="000610E1"/>
    <w:rsid w:val="00062EC5"/>
    <w:rsid w:val="00062F22"/>
    <w:rsid w:val="000712B3"/>
    <w:rsid w:val="0008263E"/>
    <w:rsid w:val="00082C19"/>
    <w:rsid w:val="00085395"/>
    <w:rsid w:val="00087634"/>
    <w:rsid w:val="00087F2B"/>
    <w:rsid w:val="00092231"/>
    <w:rsid w:val="00095135"/>
    <w:rsid w:val="000974D1"/>
    <w:rsid w:val="0009799E"/>
    <w:rsid w:val="000A1183"/>
    <w:rsid w:val="000A256D"/>
    <w:rsid w:val="000A3A2C"/>
    <w:rsid w:val="000A57D4"/>
    <w:rsid w:val="000B7FD1"/>
    <w:rsid w:val="000C3408"/>
    <w:rsid w:val="000C6AFD"/>
    <w:rsid w:val="000D3ACB"/>
    <w:rsid w:val="000D5637"/>
    <w:rsid w:val="000E6FBD"/>
    <w:rsid w:val="00100F5C"/>
    <w:rsid w:val="00101CDA"/>
    <w:rsid w:val="00104C4C"/>
    <w:rsid w:val="001062D9"/>
    <w:rsid w:val="00117623"/>
    <w:rsid w:val="0012192F"/>
    <w:rsid w:val="00125D69"/>
    <w:rsid w:val="0013332E"/>
    <w:rsid w:val="001405FA"/>
    <w:rsid w:val="001425C3"/>
    <w:rsid w:val="001476BD"/>
    <w:rsid w:val="001612F4"/>
    <w:rsid w:val="0016256B"/>
    <w:rsid w:val="00163793"/>
    <w:rsid w:val="001706D6"/>
    <w:rsid w:val="001714F2"/>
    <w:rsid w:val="00175B9F"/>
    <w:rsid w:val="00181BBC"/>
    <w:rsid w:val="00184B08"/>
    <w:rsid w:val="00185010"/>
    <w:rsid w:val="0019143B"/>
    <w:rsid w:val="001A0487"/>
    <w:rsid w:val="001A552F"/>
    <w:rsid w:val="001B2CA9"/>
    <w:rsid w:val="001B3110"/>
    <w:rsid w:val="001B4729"/>
    <w:rsid w:val="001B6310"/>
    <w:rsid w:val="001B6C09"/>
    <w:rsid w:val="001C05CD"/>
    <w:rsid w:val="001D48D4"/>
    <w:rsid w:val="001D68B2"/>
    <w:rsid w:val="001E504C"/>
    <w:rsid w:val="001E5803"/>
    <w:rsid w:val="001E6062"/>
    <w:rsid w:val="001F4597"/>
    <w:rsid w:val="00203DA4"/>
    <w:rsid w:val="002118B9"/>
    <w:rsid w:val="00214CF7"/>
    <w:rsid w:val="00217C5B"/>
    <w:rsid w:val="0022139E"/>
    <w:rsid w:val="00222729"/>
    <w:rsid w:val="002252E0"/>
    <w:rsid w:val="002255F6"/>
    <w:rsid w:val="00227850"/>
    <w:rsid w:val="00227A53"/>
    <w:rsid w:val="00230C6E"/>
    <w:rsid w:val="00236443"/>
    <w:rsid w:val="00241B06"/>
    <w:rsid w:val="002436BA"/>
    <w:rsid w:val="00244A15"/>
    <w:rsid w:val="00247319"/>
    <w:rsid w:val="0024799E"/>
    <w:rsid w:val="00253C0F"/>
    <w:rsid w:val="002558C1"/>
    <w:rsid w:val="00271465"/>
    <w:rsid w:val="00285412"/>
    <w:rsid w:val="00291640"/>
    <w:rsid w:val="002A16D4"/>
    <w:rsid w:val="002A230C"/>
    <w:rsid w:val="002A2B09"/>
    <w:rsid w:val="002B2299"/>
    <w:rsid w:val="002B4121"/>
    <w:rsid w:val="002B4845"/>
    <w:rsid w:val="002C43BD"/>
    <w:rsid w:val="002D0E59"/>
    <w:rsid w:val="002E02A1"/>
    <w:rsid w:val="002E42AC"/>
    <w:rsid w:val="002E4E4C"/>
    <w:rsid w:val="00302ADD"/>
    <w:rsid w:val="00304771"/>
    <w:rsid w:val="003052D4"/>
    <w:rsid w:val="00306C5B"/>
    <w:rsid w:val="003166B7"/>
    <w:rsid w:val="003209D6"/>
    <w:rsid w:val="00321924"/>
    <w:rsid w:val="0032656E"/>
    <w:rsid w:val="00332190"/>
    <w:rsid w:val="0034335E"/>
    <w:rsid w:val="00344668"/>
    <w:rsid w:val="003462D9"/>
    <w:rsid w:val="0036073B"/>
    <w:rsid w:val="00360C86"/>
    <w:rsid w:val="00360FBC"/>
    <w:rsid w:val="00362E90"/>
    <w:rsid w:val="00364FA0"/>
    <w:rsid w:val="003657F3"/>
    <w:rsid w:val="00366728"/>
    <w:rsid w:val="003818DC"/>
    <w:rsid w:val="00384327"/>
    <w:rsid w:val="00385D98"/>
    <w:rsid w:val="003A2B4D"/>
    <w:rsid w:val="003A2D12"/>
    <w:rsid w:val="003A478C"/>
    <w:rsid w:val="003A5525"/>
    <w:rsid w:val="003A6B38"/>
    <w:rsid w:val="003B2D3D"/>
    <w:rsid w:val="003B461F"/>
    <w:rsid w:val="003B5A32"/>
    <w:rsid w:val="003C3490"/>
    <w:rsid w:val="003C7E62"/>
    <w:rsid w:val="003D6920"/>
    <w:rsid w:val="003E4C91"/>
    <w:rsid w:val="003F313C"/>
    <w:rsid w:val="003F37FC"/>
    <w:rsid w:val="003F4B2C"/>
    <w:rsid w:val="003F551C"/>
    <w:rsid w:val="003F72ED"/>
    <w:rsid w:val="003F7D23"/>
    <w:rsid w:val="00407C13"/>
    <w:rsid w:val="0041041D"/>
    <w:rsid w:val="00410638"/>
    <w:rsid w:val="0041501E"/>
    <w:rsid w:val="004150B9"/>
    <w:rsid w:val="004159C3"/>
    <w:rsid w:val="00432A58"/>
    <w:rsid w:val="00434617"/>
    <w:rsid w:val="00440900"/>
    <w:rsid w:val="00441BF6"/>
    <w:rsid w:val="004441A0"/>
    <w:rsid w:val="004455BA"/>
    <w:rsid w:val="0045078A"/>
    <w:rsid w:val="0045086D"/>
    <w:rsid w:val="00451504"/>
    <w:rsid w:val="00460FB3"/>
    <w:rsid w:val="00476240"/>
    <w:rsid w:val="00476439"/>
    <w:rsid w:val="0047735C"/>
    <w:rsid w:val="004776BC"/>
    <w:rsid w:val="0048139F"/>
    <w:rsid w:val="00481E40"/>
    <w:rsid w:val="00484ECE"/>
    <w:rsid w:val="004915CB"/>
    <w:rsid w:val="004924DC"/>
    <w:rsid w:val="004A03CF"/>
    <w:rsid w:val="004A14E4"/>
    <w:rsid w:val="004A3212"/>
    <w:rsid w:val="004A4A88"/>
    <w:rsid w:val="004A5494"/>
    <w:rsid w:val="004A61C5"/>
    <w:rsid w:val="004A77DF"/>
    <w:rsid w:val="004B1417"/>
    <w:rsid w:val="004B55B7"/>
    <w:rsid w:val="004B6468"/>
    <w:rsid w:val="004B7125"/>
    <w:rsid w:val="004C384C"/>
    <w:rsid w:val="004C3867"/>
    <w:rsid w:val="004C4CD0"/>
    <w:rsid w:val="004C70DC"/>
    <w:rsid w:val="004D0211"/>
    <w:rsid w:val="004D0794"/>
    <w:rsid w:val="004F06F5"/>
    <w:rsid w:val="004F33A0"/>
    <w:rsid w:val="0050689D"/>
    <w:rsid w:val="005108C0"/>
    <w:rsid w:val="00511873"/>
    <w:rsid w:val="00512A2F"/>
    <w:rsid w:val="00513B7E"/>
    <w:rsid w:val="00515C74"/>
    <w:rsid w:val="0052007E"/>
    <w:rsid w:val="0052337A"/>
    <w:rsid w:val="00525137"/>
    <w:rsid w:val="005251DD"/>
    <w:rsid w:val="00532CE7"/>
    <w:rsid w:val="0053324C"/>
    <w:rsid w:val="00534A28"/>
    <w:rsid w:val="00541508"/>
    <w:rsid w:val="00543498"/>
    <w:rsid w:val="0055599F"/>
    <w:rsid w:val="00556D68"/>
    <w:rsid w:val="00563EB8"/>
    <w:rsid w:val="005647BF"/>
    <w:rsid w:val="00564AF1"/>
    <w:rsid w:val="00572FB1"/>
    <w:rsid w:val="0057364B"/>
    <w:rsid w:val="00574773"/>
    <w:rsid w:val="00583FFD"/>
    <w:rsid w:val="005911BE"/>
    <w:rsid w:val="00593152"/>
    <w:rsid w:val="005A10F2"/>
    <w:rsid w:val="005A21E0"/>
    <w:rsid w:val="005A28FF"/>
    <w:rsid w:val="005A3DF8"/>
    <w:rsid w:val="005A5549"/>
    <w:rsid w:val="005B121D"/>
    <w:rsid w:val="005B6459"/>
    <w:rsid w:val="005C06ED"/>
    <w:rsid w:val="005C2609"/>
    <w:rsid w:val="005D5802"/>
    <w:rsid w:val="005D7119"/>
    <w:rsid w:val="005D7890"/>
    <w:rsid w:val="005E7C78"/>
    <w:rsid w:val="005F18C5"/>
    <w:rsid w:val="005F3EB1"/>
    <w:rsid w:val="005F46D8"/>
    <w:rsid w:val="005F5469"/>
    <w:rsid w:val="00604307"/>
    <w:rsid w:val="0060487F"/>
    <w:rsid w:val="00604EAD"/>
    <w:rsid w:val="006104FB"/>
    <w:rsid w:val="00612A2F"/>
    <w:rsid w:val="00616E05"/>
    <w:rsid w:val="00624093"/>
    <w:rsid w:val="006350D5"/>
    <w:rsid w:val="00635B43"/>
    <w:rsid w:val="006404A7"/>
    <w:rsid w:val="006451E4"/>
    <w:rsid w:val="00645B33"/>
    <w:rsid w:val="00650942"/>
    <w:rsid w:val="006516CB"/>
    <w:rsid w:val="00656FC8"/>
    <w:rsid w:val="00657E87"/>
    <w:rsid w:val="00664803"/>
    <w:rsid w:val="00665BA4"/>
    <w:rsid w:val="00667AF2"/>
    <w:rsid w:val="006710C9"/>
    <w:rsid w:val="006741AC"/>
    <w:rsid w:val="00674D89"/>
    <w:rsid w:val="00675E37"/>
    <w:rsid w:val="0068174E"/>
    <w:rsid w:val="00681DCE"/>
    <w:rsid w:val="0068260E"/>
    <w:rsid w:val="00683398"/>
    <w:rsid w:val="00695BEF"/>
    <w:rsid w:val="006977F6"/>
    <w:rsid w:val="00697A13"/>
    <w:rsid w:val="006A109C"/>
    <w:rsid w:val="006B0F92"/>
    <w:rsid w:val="006B1AFC"/>
    <w:rsid w:val="006B344A"/>
    <w:rsid w:val="006B78D8"/>
    <w:rsid w:val="006C113F"/>
    <w:rsid w:val="006C123E"/>
    <w:rsid w:val="006C1752"/>
    <w:rsid w:val="006C56D4"/>
    <w:rsid w:val="006C6924"/>
    <w:rsid w:val="006C7CA6"/>
    <w:rsid w:val="006D3E8A"/>
    <w:rsid w:val="006D61F6"/>
    <w:rsid w:val="006E279A"/>
    <w:rsid w:val="006E313B"/>
    <w:rsid w:val="006E7227"/>
    <w:rsid w:val="006F438E"/>
    <w:rsid w:val="006F5416"/>
    <w:rsid w:val="00705242"/>
    <w:rsid w:val="00706AD4"/>
    <w:rsid w:val="00707150"/>
    <w:rsid w:val="007140BE"/>
    <w:rsid w:val="007211F5"/>
    <w:rsid w:val="00723946"/>
    <w:rsid w:val="007240E2"/>
    <w:rsid w:val="00725BB5"/>
    <w:rsid w:val="00730AE8"/>
    <w:rsid w:val="00730F1B"/>
    <w:rsid w:val="00741493"/>
    <w:rsid w:val="0075027A"/>
    <w:rsid w:val="00752180"/>
    <w:rsid w:val="00753CAB"/>
    <w:rsid w:val="00755202"/>
    <w:rsid w:val="00755D3A"/>
    <w:rsid w:val="007578D3"/>
    <w:rsid w:val="007609C6"/>
    <w:rsid w:val="00760EA4"/>
    <w:rsid w:val="00761600"/>
    <w:rsid w:val="0076175D"/>
    <w:rsid w:val="00763B85"/>
    <w:rsid w:val="0076521E"/>
    <w:rsid w:val="007661E9"/>
    <w:rsid w:val="00776169"/>
    <w:rsid w:val="00776527"/>
    <w:rsid w:val="00780EF1"/>
    <w:rsid w:val="00790764"/>
    <w:rsid w:val="0079453C"/>
    <w:rsid w:val="00794677"/>
    <w:rsid w:val="00797445"/>
    <w:rsid w:val="007A516D"/>
    <w:rsid w:val="007B6689"/>
    <w:rsid w:val="007C6BBD"/>
    <w:rsid w:val="007C7443"/>
    <w:rsid w:val="007D2975"/>
    <w:rsid w:val="007D40DF"/>
    <w:rsid w:val="007E29B4"/>
    <w:rsid w:val="007E435A"/>
    <w:rsid w:val="007E7E61"/>
    <w:rsid w:val="007F0845"/>
    <w:rsid w:val="007F708D"/>
    <w:rsid w:val="00801E13"/>
    <w:rsid w:val="00807C82"/>
    <w:rsid w:val="00814B15"/>
    <w:rsid w:val="00816905"/>
    <w:rsid w:val="008207EF"/>
    <w:rsid w:val="00821777"/>
    <w:rsid w:val="00821FF6"/>
    <w:rsid w:val="00822574"/>
    <w:rsid w:val="00825C4D"/>
    <w:rsid w:val="0083143E"/>
    <w:rsid w:val="00831CDE"/>
    <w:rsid w:val="00834304"/>
    <w:rsid w:val="00834FAA"/>
    <w:rsid w:val="00836086"/>
    <w:rsid w:val="00840D5D"/>
    <w:rsid w:val="00846121"/>
    <w:rsid w:val="0084708F"/>
    <w:rsid w:val="008477C8"/>
    <w:rsid w:val="0085114D"/>
    <w:rsid w:val="00852217"/>
    <w:rsid w:val="00855408"/>
    <w:rsid w:val="00856D65"/>
    <w:rsid w:val="00861B41"/>
    <w:rsid w:val="00861BE3"/>
    <w:rsid w:val="00863434"/>
    <w:rsid w:val="00865E4C"/>
    <w:rsid w:val="008701E4"/>
    <w:rsid w:val="00871069"/>
    <w:rsid w:val="00875A32"/>
    <w:rsid w:val="00876086"/>
    <w:rsid w:val="008825B0"/>
    <w:rsid w:val="00884AD6"/>
    <w:rsid w:val="008873D4"/>
    <w:rsid w:val="0089126C"/>
    <w:rsid w:val="0089296D"/>
    <w:rsid w:val="00893E85"/>
    <w:rsid w:val="00894031"/>
    <w:rsid w:val="00895508"/>
    <w:rsid w:val="0089685F"/>
    <w:rsid w:val="008B167B"/>
    <w:rsid w:val="008B7C02"/>
    <w:rsid w:val="008B7D2B"/>
    <w:rsid w:val="008C0049"/>
    <w:rsid w:val="008C0E88"/>
    <w:rsid w:val="008C53CB"/>
    <w:rsid w:val="008D17C7"/>
    <w:rsid w:val="008D1E6A"/>
    <w:rsid w:val="008D2A16"/>
    <w:rsid w:val="008E2C57"/>
    <w:rsid w:val="008E31FF"/>
    <w:rsid w:val="008E6F06"/>
    <w:rsid w:val="008E7FC9"/>
    <w:rsid w:val="008F029B"/>
    <w:rsid w:val="008F3FC9"/>
    <w:rsid w:val="008F585B"/>
    <w:rsid w:val="009003A8"/>
    <w:rsid w:val="00902500"/>
    <w:rsid w:val="00902EFF"/>
    <w:rsid w:val="00906401"/>
    <w:rsid w:val="0091155E"/>
    <w:rsid w:val="00912634"/>
    <w:rsid w:val="00912A92"/>
    <w:rsid w:val="0091728D"/>
    <w:rsid w:val="009203C8"/>
    <w:rsid w:val="0092180B"/>
    <w:rsid w:val="00921F14"/>
    <w:rsid w:val="009231A3"/>
    <w:rsid w:val="00924AC8"/>
    <w:rsid w:val="0092597A"/>
    <w:rsid w:val="00930FB1"/>
    <w:rsid w:val="0093139F"/>
    <w:rsid w:val="00932443"/>
    <w:rsid w:val="009324EF"/>
    <w:rsid w:val="00933121"/>
    <w:rsid w:val="00937AE2"/>
    <w:rsid w:val="0094427A"/>
    <w:rsid w:val="00945245"/>
    <w:rsid w:val="0095759C"/>
    <w:rsid w:val="00966405"/>
    <w:rsid w:val="009721DB"/>
    <w:rsid w:val="00974923"/>
    <w:rsid w:val="00975148"/>
    <w:rsid w:val="00980D3D"/>
    <w:rsid w:val="00987A30"/>
    <w:rsid w:val="00992CF3"/>
    <w:rsid w:val="00994868"/>
    <w:rsid w:val="009968D6"/>
    <w:rsid w:val="009A1CAB"/>
    <w:rsid w:val="009A60D1"/>
    <w:rsid w:val="009B1F0B"/>
    <w:rsid w:val="009B6FD3"/>
    <w:rsid w:val="009C1750"/>
    <w:rsid w:val="009C2E29"/>
    <w:rsid w:val="009C554B"/>
    <w:rsid w:val="009C719E"/>
    <w:rsid w:val="009C7A10"/>
    <w:rsid w:val="009D3ACD"/>
    <w:rsid w:val="009E5273"/>
    <w:rsid w:val="009E5DDB"/>
    <w:rsid w:val="009F4CA7"/>
    <w:rsid w:val="00A0439C"/>
    <w:rsid w:val="00A10D66"/>
    <w:rsid w:val="00A14114"/>
    <w:rsid w:val="00A16413"/>
    <w:rsid w:val="00A16E1D"/>
    <w:rsid w:val="00A171A3"/>
    <w:rsid w:val="00A17D5B"/>
    <w:rsid w:val="00A23E43"/>
    <w:rsid w:val="00A25216"/>
    <w:rsid w:val="00A30F65"/>
    <w:rsid w:val="00A33A89"/>
    <w:rsid w:val="00A40EAC"/>
    <w:rsid w:val="00A418BC"/>
    <w:rsid w:val="00A46DE0"/>
    <w:rsid w:val="00A50D73"/>
    <w:rsid w:val="00A52CAD"/>
    <w:rsid w:val="00A53FC7"/>
    <w:rsid w:val="00A62CE1"/>
    <w:rsid w:val="00A6741E"/>
    <w:rsid w:val="00A75E40"/>
    <w:rsid w:val="00A77D1D"/>
    <w:rsid w:val="00A84A6A"/>
    <w:rsid w:val="00A857C0"/>
    <w:rsid w:val="00A90FED"/>
    <w:rsid w:val="00AA2996"/>
    <w:rsid w:val="00AA52BF"/>
    <w:rsid w:val="00AA559A"/>
    <w:rsid w:val="00AB2AF1"/>
    <w:rsid w:val="00AC224B"/>
    <w:rsid w:val="00AC45BD"/>
    <w:rsid w:val="00AD0D0E"/>
    <w:rsid w:val="00AD1119"/>
    <w:rsid w:val="00AD168E"/>
    <w:rsid w:val="00AD306C"/>
    <w:rsid w:val="00AD68C4"/>
    <w:rsid w:val="00AE09B3"/>
    <w:rsid w:val="00AE1A83"/>
    <w:rsid w:val="00AF6128"/>
    <w:rsid w:val="00B00913"/>
    <w:rsid w:val="00B01593"/>
    <w:rsid w:val="00B023F2"/>
    <w:rsid w:val="00B04705"/>
    <w:rsid w:val="00B10A4D"/>
    <w:rsid w:val="00B14BC1"/>
    <w:rsid w:val="00B17E71"/>
    <w:rsid w:val="00B17FDE"/>
    <w:rsid w:val="00B2379C"/>
    <w:rsid w:val="00B2687D"/>
    <w:rsid w:val="00B32DDB"/>
    <w:rsid w:val="00B34528"/>
    <w:rsid w:val="00B34CC9"/>
    <w:rsid w:val="00B402FC"/>
    <w:rsid w:val="00B439DA"/>
    <w:rsid w:val="00B46604"/>
    <w:rsid w:val="00B530CD"/>
    <w:rsid w:val="00B536DD"/>
    <w:rsid w:val="00B55F5E"/>
    <w:rsid w:val="00B5752E"/>
    <w:rsid w:val="00B63A11"/>
    <w:rsid w:val="00B63B6A"/>
    <w:rsid w:val="00B64C24"/>
    <w:rsid w:val="00B6608F"/>
    <w:rsid w:val="00B679FB"/>
    <w:rsid w:val="00B76D1E"/>
    <w:rsid w:val="00B80EC6"/>
    <w:rsid w:val="00B84CF6"/>
    <w:rsid w:val="00B92D1D"/>
    <w:rsid w:val="00B938C5"/>
    <w:rsid w:val="00B95940"/>
    <w:rsid w:val="00BA6C2B"/>
    <w:rsid w:val="00BB028B"/>
    <w:rsid w:val="00BB099E"/>
    <w:rsid w:val="00BB2F43"/>
    <w:rsid w:val="00BB46F3"/>
    <w:rsid w:val="00BB4CB1"/>
    <w:rsid w:val="00BB4F98"/>
    <w:rsid w:val="00BC5C12"/>
    <w:rsid w:val="00BC7154"/>
    <w:rsid w:val="00BC731E"/>
    <w:rsid w:val="00BD366B"/>
    <w:rsid w:val="00BD6D50"/>
    <w:rsid w:val="00BE18B9"/>
    <w:rsid w:val="00BE2495"/>
    <w:rsid w:val="00BF1578"/>
    <w:rsid w:val="00C21F94"/>
    <w:rsid w:val="00C27913"/>
    <w:rsid w:val="00C27D07"/>
    <w:rsid w:val="00C33B68"/>
    <w:rsid w:val="00C35666"/>
    <w:rsid w:val="00C36A79"/>
    <w:rsid w:val="00C401D2"/>
    <w:rsid w:val="00C405D4"/>
    <w:rsid w:val="00C446A2"/>
    <w:rsid w:val="00C4513B"/>
    <w:rsid w:val="00C5390B"/>
    <w:rsid w:val="00C54697"/>
    <w:rsid w:val="00C73885"/>
    <w:rsid w:val="00C747B1"/>
    <w:rsid w:val="00C82191"/>
    <w:rsid w:val="00C83134"/>
    <w:rsid w:val="00C85545"/>
    <w:rsid w:val="00C90CF4"/>
    <w:rsid w:val="00C92EB6"/>
    <w:rsid w:val="00C93389"/>
    <w:rsid w:val="00CA0914"/>
    <w:rsid w:val="00CA6AB4"/>
    <w:rsid w:val="00CB4930"/>
    <w:rsid w:val="00CC2E7D"/>
    <w:rsid w:val="00CD10A5"/>
    <w:rsid w:val="00CD2076"/>
    <w:rsid w:val="00CD29B5"/>
    <w:rsid w:val="00CD5BA3"/>
    <w:rsid w:val="00CD6331"/>
    <w:rsid w:val="00CE670B"/>
    <w:rsid w:val="00CF4908"/>
    <w:rsid w:val="00CF51EC"/>
    <w:rsid w:val="00CF73AE"/>
    <w:rsid w:val="00D040DD"/>
    <w:rsid w:val="00D075BE"/>
    <w:rsid w:val="00D13986"/>
    <w:rsid w:val="00D21D83"/>
    <w:rsid w:val="00D235B7"/>
    <w:rsid w:val="00D25F28"/>
    <w:rsid w:val="00D26071"/>
    <w:rsid w:val="00D27973"/>
    <w:rsid w:val="00D35E1A"/>
    <w:rsid w:val="00D50F46"/>
    <w:rsid w:val="00D57677"/>
    <w:rsid w:val="00D66223"/>
    <w:rsid w:val="00D71625"/>
    <w:rsid w:val="00D76A18"/>
    <w:rsid w:val="00D8084C"/>
    <w:rsid w:val="00D915EA"/>
    <w:rsid w:val="00D94D95"/>
    <w:rsid w:val="00DA7C0C"/>
    <w:rsid w:val="00DB08A9"/>
    <w:rsid w:val="00DB2EC8"/>
    <w:rsid w:val="00DC5B3B"/>
    <w:rsid w:val="00DD129F"/>
    <w:rsid w:val="00DD1A46"/>
    <w:rsid w:val="00DE02BD"/>
    <w:rsid w:val="00DE0F3B"/>
    <w:rsid w:val="00DF42FF"/>
    <w:rsid w:val="00E01C0E"/>
    <w:rsid w:val="00E03F9A"/>
    <w:rsid w:val="00E04694"/>
    <w:rsid w:val="00E12B1E"/>
    <w:rsid w:val="00E17262"/>
    <w:rsid w:val="00E253A2"/>
    <w:rsid w:val="00E3309D"/>
    <w:rsid w:val="00E47EBA"/>
    <w:rsid w:val="00E50156"/>
    <w:rsid w:val="00E51643"/>
    <w:rsid w:val="00E53470"/>
    <w:rsid w:val="00E539F6"/>
    <w:rsid w:val="00E6519D"/>
    <w:rsid w:val="00E67696"/>
    <w:rsid w:val="00E71A58"/>
    <w:rsid w:val="00E72A7A"/>
    <w:rsid w:val="00E75C94"/>
    <w:rsid w:val="00E76A3F"/>
    <w:rsid w:val="00E93820"/>
    <w:rsid w:val="00E94A86"/>
    <w:rsid w:val="00E96143"/>
    <w:rsid w:val="00E963D6"/>
    <w:rsid w:val="00EA0987"/>
    <w:rsid w:val="00EA0C68"/>
    <w:rsid w:val="00EA32BC"/>
    <w:rsid w:val="00EB4511"/>
    <w:rsid w:val="00EB4A3B"/>
    <w:rsid w:val="00EC03D7"/>
    <w:rsid w:val="00ED62C6"/>
    <w:rsid w:val="00ED64C1"/>
    <w:rsid w:val="00EE3446"/>
    <w:rsid w:val="00EE3E78"/>
    <w:rsid w:val="00EE4B1B"/>
    <w:rsid w:val="00EE7F19"/>
    <w:rsid w:val="00EF150D"/>
    <w:rsid w:val="00EF1F5A"/>
    <w:rsid w:val="00EF47BF"/>
    <w:rsid w:val="00F04811"/>
    <w:rsid w:val="00F0488C"/>
    <w:rsid w:val="00F10F11"/>
    <w:rsid w:val="00F15AAA"/>
    <w:rsid w:val="00F15BEF"/>
    <w:rsid w:val="00F24407"/>
    <w:rsid w:val="00F24931"/>
    <w:rsid w:val="00F24FAA"/>
    <w:rsid w:val="00F3364D"/>
    <w:rsid w:val="00F3443C"/>
    <w:rsid w:val="00F437CC"/>
    <w:rsid w:val="00F44537"/>
    <w:rsid w:val="00F44B6A"/>
    <w:rsid w:val="00F47067"/>
    <w:rsid w:val="00F525EB"/>
    <w:rsid w:val="00F63DDE"/>
    <w:rsid w:val="00F63FB7"/>
    <w:rsid w:val="00F6421B"/>
    <w:rsid w:val="00F649D2"/>
    <w:rsid w:val="00F6602B"/>
    <w:rsid w:val="00F73A0C"/>
    <w:rsid w:val="00F756DB"/>
    <w:rsid w:val="00F84E7D"/>
    <w:rsid w:val="00F85066"/>
    <w:rsid w:val="00F87A4D"/>
    <w:rsid w:val="00F9785E"/>
    <w:rsid w:val="00FA148C"/>
    <w:rsid w:val="00FA5D4D"/>
    <w:rsid w:val="00FB0EE2"/>
    <w:rsid w:val="00FB542E"/>
    <w:rsid w:val="00FC0E5F"/>
    <w:rsid w:val="00FC1A95"/>
    <w:rsid w:val="00FC56DE"/>
    <w:rsid w:val="00FC684B"/>
    <w:rsid w:val="00FD3265"/>
    <w:rsid w:val="00FE2F78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16D78745"/>
  <w15:docId w15:val="{FC3C9807-8A20-484D-A937-0CB633FC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4FA0"/>
    <w:pPr>
      <w:spacing w:after="240" w:line="276" w:lineRule="auto"/>
      <w:jc w:val="both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A0987"/>
    <w:pPr>
      <w:keepNext/>
      <w:keepLines/>
      <w:spacing w:after="100" w:line="276" w:lineRule="auto"/>
      <w:contextualSpacing/>
      <w:outlineLvl w:val="0"/>
    </w:pPr>
    <w:rPr>
      <w:rFonts w:ascii="Arial" w:eastAsia="MS Gothic" w:hAnsi="Arial"/>
      <w:b/>
      <w:bCs/>
      <w:color w:val="86BF5E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EA0987"/>
    <w:pPr>
      <w:keepNext/>
      <w:keepLines/>
      <w:spacing w:line="276" w:lineRule="auto"/>
      <w:outlineLvl w:val="1"/>
    </w:pPr>
    <w:rPr>
      <w:rFonts w:ascii="Arial" w:eastAsia="MS Gothic" w:hAnsi="Arial"/>
      <w:b/>
      <w:bCs/>
      <w:color w:val="86BF5E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EA0987"/>
    <w:pPr>
      <w:keepNext/>
      <w:keepLines/>
      <w:spacing w:line="276" w:lineRule="auto"/>
      <w:outlineLvl w:val="2"/>
    </w:pPr>
    <w:rPr>
      <w:rFonts w:ascii="Arial" w:eastAsia="MS Gothic" w:hAnsi="Arial"/>
      <w:b/>
      <w:bCs/>
      <w:color w:val="86BF5E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41041D"/>
    <w:pPr>
      <w:keepNext/>
      <w:keepLines/>
      <w:spacing w:line="276" w:lineRule="auto"/>
      <w:outlineLvl w:val="3"/>
    </w:pPr>
    <w:rPr>
      <w:rFonts w:ascii="Arial" w:eastAsia="MS Gothic" w:hAnsi="Arial"/>
      <w:b/>
      <w:bCs/>
      <w:iCs/>
      <w:color w:val="86BF5E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7A516D"/>
    <w:pPr>
      <w:keepNext/>
      <w:keepLines/>
      <w:numPr>
        <w:ilvl w:val="4"/>
        <w:numId w:val="1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516D"/>
    <w:pPr>
      <w:keepNext/>
      <w:keepLines/>
      <w:numPr>
        <w:ilvl w:val="5"/>
        <w:numId w:val="1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516D"/>
    <w:pPr>
      <w:keepNext/>
      <w:keepLines/>
      <w:numPr>
        <w:ilvl w:val="6"/>
        <w:numId w:val="1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516D"/>
    <w:pPr>
      <w:keepNext/>
      <w:keepLines/>
      <w:numPr>
        <w:ilvl w:val="7"/>
        <w:numId w:val="1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516D"/>
    <w:pPr>
      <w:numPr>
        <w:ilvl w:val="8"/>
        <w:numId w:val="14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EA0987"/>
    <w:rPr>
      <w:rFonts w:ascii="Arial" w:eastAsia="MS Gothic" w:hAnsi="Arial"/>
      <w:b/>
      <w:bCs/>
      <w:color w:val="86BF5E"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EA0987"/>
    <w:rPr>
      <w:rFonts w:ascii="Arial" w:eastAsia="MS Gothic" w:hAnsi="Arial"/>
      <w:b/>
      <w:bCs/>
      <w:color w:val="86BF5E"/>
      <w:sz w:val="28"/>
      <w:szCs w:val="26"/>
      <w:lang w:eastAsia="cs-CZ"/>
    </w:rPr>
  </w:style>
  <w:style w:type="character" w:customStyle="1" w:styleId="Nadpis3Char">
    <w:name w:val="Nadpis 3 Char"/>
    <w:link w:val="Nadpis3"/>
    <w:uiPriority w:val="9"/>
    <w:rsid w:val="00EA0987"/>
    <w:rPr>
      <w:rFonts w:ascii="Arial" w:eastAsia="MS Gothic" w:hAnsi="Arial"/>
      <w:b/>
      <w:bCs/>
      <w:color w:val="86BF5E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41041D"/>
    <w:rPr>
      <w:rFonts w:ascii="Arial" w:eastAsia="MS Gothic" w:hAnsi="Arial"/>
      <w:b/>
      <w:bCs/>
      <w:iCs/>
      <w:color w:val="86BF5E"/>
      <w:szCs w:val="24"/>
      <w:lang w:eastAsia="cs-CZ"/>
    </w:rPr>
  </w:style>
  <w:style w:type="character" w:customStyle="1" w:styleId="Nadpis9Char">
    <w:name w:val="Nadpis 9 Char"/>
    <w:link w:val="Nadpis9"/>
    <w:uiPriority w:val="9"/>
    <w:semiHidden/>
    <w:rsid w:val="007A516D"/>
    <w:rPr>
      <w:rFonts w:ascii="Cambria" w:eastAsia="Times New Roman" w:hAnsi="Cambria"/>
      <w:sz w:val="22"/>
      <w:szCs w:val="22"/>
      <w:lang w:eastAsia="cs-CZ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0A57D4"/>
    <w:pPr>
      <w:spacing w:after="80" w:line="288" w:lineRule="auto"/>
    </w:pPr>
    <w:rPr>
      <w:rFonts w:ascii="Arial" w:eastAsia="Times New Roman" w:hAnsi="Arial"/>
      <w:b/>
      <w:color w:val="86BF5E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A-Box1">
    <w:name w:val="A-Box 1"/>
    <w:next w:val="Normln"/>
    <w:qFormat/>
    <w:rsid w:val="00EA0987"/>
    <w:pPr>
      <w:shd w:val="clear" w:color="auto" w:fill="F0F6E9"/>
      <w:spacing w:before="240" w:after="240" w:line="276" w:lineRule="auto"/>
      <w:contextualSpacing/>
      <w:jc w:val="both"/>
    </w:pPr>
    <w:rPr>
      <w:rFonts w:ascii="Arial" w:hAnsi="Arial" w:cs="Arial"/>
      <w:lang w:eastAsia="cs-CZ"/>
    </w:rPr>
  </w:style>
  <w:style w:type="paragraph" w:customStyle="1" w:styleId="A-Box2">
    <w:name w:val="A-Box 2"/>
    <w:next w:val="Normln"/>
    <w:qFormat/>
    <w:rsid w:val="00EA0987"/>
    <w:pPr>
      <w:spacing w:before="240" w:after="240" w:line="276" w:lineRule="auto"/>
      <w:contextualSpacing/>
      <w:jc w:val="both"/>
    </w:pPr>
    <w:rPr>
      <w:rFonts w:ascii="Arial" w:hAnsi="Arial" w:cs="Arial"/>
      <w:color w:val="86BF5E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0A57D4"/>
    <w:pPr>
      <w:spacing w:after="40"/>
      <w:contextualSpacing/>
    </w:pPr>
    <w:rPr>
      <w:b/>
      <w:caps/>
      <w:sz w:val="24"/>
    </w:rPr>
  </w:style>
  <w:style w:type="paragraph" w:customStyle="1" w:styleId="TLKontakty">
    <w:name w:val="TL Kontakty"/>
    <w:qFormat/>
    <w:rsid w:val="000A57D4"/>
    <w:pPr>
      <w:spacing w:after="160" w:line="259" w:lineRule="auto"/>
      <w:contextualSpacing/>
    </w:pPr>
    <w:rPr>
      <w:rFonts w:ascii="Arial" w:eastAsia="Times New Roman" w:hAnsi="Arial"/>
      <w:b/>
      <w:color w:val="86BF5E"/>
      <w:lang w:eastAsia="cs-CZ"/>
    </w:rPr>
  </w:style>
  <w:style w:type="paragraph" w:styleId="Nzev">
    <w:name w:val="Title"/>
    <w:link w:val="NzevChar"/>
    <w:uiPriority w:val="10"/>
    <w:qFormat/>
    <w:rsid w:val="001E6062"/>
    <w:pPr>
      <w:spacing w:line="288" w:lineRule="auto"/>
    </w:pPr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1E6062"/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paragraph" w:styleId="Podnadpis">
    <w:name w:val="Subtitle"/>
    <w:link w:val="PodnadpisChar"/>
    <w:uiPriority w:val="11"/>
    <w:qFormat/>
    <w:rsid w:val="001E6062"/>
    <w:pPr>
      <w:spacing w:line="288" w:lineRule="auto"/>
    </w:pPr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1E6062"/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7A516D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516D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516D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516D"/>
    <w:rPr>
      <w:rFonts w:asciiTheme="majorHAnsi" w:eastAsiaTheme="majorEastAsia" w:hAnsiTheme="majorHAnsi" w:cstheme="majorBidi"/>
      <w:color w:val="404040" w:themeColor="text1" w:themeTint="BF"/>
      <w:lang w:eastAsia="cs-CZ"/>
    </w:rPr>
  </w:style>
  <w:style w:type="paragraph" w:styleId="Textpoznpodarou">
    <w:name w:val="footnote text"/>
    <w:aliases w:val="Text pozn. pod čarou_martin_ang"/>
    <w:basedOn w:val="Normln"/>
    <w:link w:val="TextpoznpodarouChar"/>
    <w:qFormat/>
    <w:rsid w:val="008E7FC9"/>
    <w:pPr>
      <w:spacing w:after="0" w:line="240" w:lineRule="auto"/>
      <w:jc w:val="left"/>
    </w:pPr>
    <w:rPr>
      <w:rFonts w:eastAsia="Calibri"/>
      <w:szCs w:val="20"/>
    </w:rPr>
  </w:style>
  <w:style w:type="character" w:customStyle="1" w:styleId="TextpoznpodarouChar">
    <w:name w:val="Text pozn. pod čarou Char"/>
    <w:aliases w:val="Text pozn. pod čarou_martin_ang Char"/>
    <w:basedOn w:val="Standardnpsmoodstavce"/>
    <w:link w:val="Textpoznpodarou"/>
    <w:qFormat/>
    <w:rsid w:val="008E7FC9"/>
    <w:rPr>
      <w:rFonts w:ascii="Arial" w:hAnsi="Arial"/>
      <w:lang w:eastAsia="cs-CZ"/>
    </w:rPr>
  </w:style>
  <w:style w:type="paragraph" w:styleId="Bezmezer">
    <w:name w:val="No Spacing"/>
    <w:uiPriority w:val="1"/>
    <w:qFormat/>
    <w:rsid w:val="00AD68C4"/>
    <w:pPr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Marginlie">
    <w:name w:val="Marginálie"/>
    <w:basedOn w:val="Normln"/>
    <w:qFormat/>
    <w:rsid w:val="0089296D"/>
    <w:pPr>
      <w:spacing w:after="0"/>
      <w:jc w:val="left"/>
    </w:pPr>
    <w:rPr>
      <w:spacing w:val="-2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6B0F92"/>
    <w:pPr>
      <w:ind w:left="720"/>
      <w:contextualSpacing/>
    </w:pPr>
  </w:style>
  <w:style w:type="paragraph" w:customStyle="1" w:styleId="Normalodrka">
    <w:name w:val="Normal odrážka"/>
    <w:qFormat/>
    <w:rsid w:val="006B0F92"/>
    <w:pPr>
      <w:numPr>
        <w:numId w:val="20"/>
      </w:numPr>
      <w:spacing w:after="240" w:line="276" w:lineRule="auto"/>
      <w:ind w:left="357" w:hanging="357"/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EA0987"/>
    <w:pPr>
      <w:shd w:val="clear" w:color="auto" w:fill="F0F6E9"/>
      <w:spacing w:before="240" w:after="240" w:line="276" w:lineRule="auto"/>
      <w:ind w:left="709"/>
      <w:contextualSpacing/>
      <w:jc w:val="both"/>
    </w:pPr>
    <w:rPr>
      <w:rFonts w:ascii="Arial" w:hAnsi="Arial" w:cs="Arial"/>
      <w:lang w:eastAsia="cs-CZ"/>
    </w:rPr>
  </w:style>
  <w:style w:type="paragraph" w:customStyle="1" w:styleId="Box2">
    <w:name w:val="Box 2"/>
    <w:next w:val="Normln"/>
    <w:qFormat/>
    <w:rsid w:val="00EA0987"/>
    <w:pPr>
      <w:spacing w:before="240" w:after="240" w:line="276" w:lineRule="auto"/>
      <w:ind w:left="709"/>
      <w:contextualSpacing/>
      <w:jc w:val="both"/>
    </w:pPr>
    <w:rPr>
      <w:rFonts w:ascii="Arial" w:hAnsi="Arial" w:cs="Arial"/>
      <w:b/>
      <w:color w:val="86BF5E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1E6062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32"/>
    <w:qFormat/>
    <w:rsid w:val="001E6062"/>
    <w:rPr>
      <w:b/>
      <w:bCs/>
      <w:smallCaps/>
      <w:color w:val="000000" w:themeColor="text1"/>
      <w:spacing w:val="5"/>
    </w:rPr>
  </w:style>
  <w:style w:type="character" w:styleId="Znakapoznpodarou">
    <w:name w:val="footnote reference"/>
    <w:basedOn w:val="Standardnpsmoodstavce"/>
    <w:rsid w:val="009324EF"/>
    <w:rPr>
      <w:rFonts w:cs="Times New Roman"/>
      <w:vertAlign w:val="superscript"/>
    </w:rPr>
  </w:style>
  <w:style w:type="paragraph" w:customStyle="1" w:styleId="Nadpis11">
    <w:name w:val="Nadpis 11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paragraph" w:customStyle="1" w:styleId="Textpoznpodarou1">
    <w:name w:val="Text pozn. pod čarou1"/>
    <w:basedOn w:val="Normln"/>
    <w:qFormat/>
    <w:rsid w:val="009324EF"/>
    <w:pPr>
      <w:spacing w:after="0" w:line="240" w:lineRule="auto"/>
      <w:jc w:val="left"/>
    </w:pPr>
    <w:rPr>
      <w:rFonts w:eastAsia="Calibri"/>
      <w:szCs w:val="20"/>
    </w:rPr>
  </w:style>
  <w:style w:type="character" w:styleId="Zdraznn">
    <w:name w:val="Emphasis"/>
    <w:basedOn w:val="Standardnpsmoodstavce"/>
    <w:uiPriority w:val="20"/>
    <w:qFormat/>
    <w:rsid w:val="009324EF"/>
    <w:rPr>
      <w:i/>
      <w:iCs/>
    </w:rPr>
  </w:style>
  <w:style w:type="character" w:customStyle="1" w:styleId="normaltextrun">
    <w:name w:val="normaltextrun"/>
    <w:basedOn w:val="Standardnpsmoodstavce"/>
    <w:rsid w:val="009324EF"/>
  </w:style>
  <w:style w:type="paragraph" w:customStyle="1" w:styleId="paragraph">
    <w:name w:val="paragraph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eop">
    <w:name w:val="eop"/>
    <w:basedOn w:val="Standardnpsmoodstavce"/>
    <w:rsid w:val="009324EF"/>
  </w:style>
  <w:style w:type="table" w:styleId="Mkatabulky">
    <w:name w:val="Table Grid"/>
    <w:basedOn w:val="Normlntabulka"/>
    <w:uiPriority w:val="59"/>
    <w:rsid w:val="009324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9324EF"/>
    <w:p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9324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24E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24EF"/>
    <w:rPr>
      <w:rFonts w:ascii="Arial" w:eastAsia="Times New Roman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24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24EF"/>
    <w:rPr>
      <w:rFonts w:ascii="Arial" w:eastAsia="Times New Roman" w:hAnsi="Arial"/>
      <w:b/>
      <w:bCs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9324EF"/>
    <w:pPr>
      <w:spacing w:after="0" w:line="288" w:lineRule="auto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324EF"/>
    <w:rPr>
      <w:rFonts w:ascii="Tahoma" w:hAnsi="Tahoma" w:cs="Tahoma"/>
      <w:sz w:val="16"/>
      <w:szCs w:val="16"/>
      <w:lang w:eastAsia="cs-CZ"/>
    </w:rPr>
  </w:style>
  <w:style w:type="paragraph" w:customStyle="1" w:styleId="Nadpis12">
    <w:name w:val="Nadpis 12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character" w:customStyle="1" w:styleId="spelle">
    <w:name w:val="spelle"/>
    <w:basedOn w:val="Standardnpsmoodstavce"/>
    <w:rsid w:val="009324EF"/>
  </w:style>
  <w:style w:type="paragraph" w:styleId="Revize">
    <w:name w:val="Revision"/>
    <w:hidden/>
    <w:uiPriority w:val="99"/>
    <w:semiHidden/>
    <w:rsid w:val="009324EF"/>
    <w:rPr>
      <w:rFonts w:ascii="Arial" w:eastAsia="Times New Roman" w:hAnsi="Arial"/>
      <w:szCs w:val="24"/>
      <w:lang w:eastAsia="cs-CZ"/>
    </w:rPr>
  </w:style>
  <w:style w:type="character" w:customStyle="1" w:styleId="odkaz-style-wrapper">
    <w:name w:val="odkaz-style-wrapper"/>
    <w:basedOn w:val="Standardnpsmoodstavce"/>
    <w:rsid w:val="009324EF"/>
  </w:style>
  <w:style w:type="character" w:customStyle="1" w:styleId="tabulka">
    <w:name w:val="tabulka"/>
    <w:basedOn w:val="Standardnpsmoodstavce"/>
    <w:rsid w:val="009324EF"/>
  </w:style>
  <w:style w:type="paragraph" w:customStyle="1" w:styleId="Default">
    <w:name w:val="Default"/>
    <w:rsid w:val="009324E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32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324EF"/>
    <w:rPr>
      <w:rFonts w:ascii="Courier New" w:eastAsia="Times New Roman" w:hAnsi="Courier New" w:cs="Courier New"/>
      <w:lang w:eastAsia="cs-CZ"/>
    </w:rPr>
  </w:style>
  <w:style w:type="paragraph" w:customStyle="1" w:styleId="cay">
    <w:name w:val="c_ay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cew">
    <w:name w:val="c_ew"/>
    <w:basedOn w:val="Standardnpsmoodstavce"/>
    <w:rsid w:val="009324EF"/>
  </w:style>
  <w:style w:type="character" w:styleId="Sledovanodkaz">
    <w:name w:val="FollowedHyperlink"/>
    <w:basedOn w:val="Standardnpsmoodstavce"/>
    <w:uiPriority w:val="99"/>
    <w:semiHidden/>
    <w:unhideWhenUsed/>
    <w:rsid w:val="009324EF"/>
    <w:rPr>
      <w:color w:val="800080" w:themeColor="followedHyperlink"/>
      <w:u w:val="single"/>
    </w:rPr>
  </w:style>
  <w:style w:type="character" w:customStyle="1" w:styleId="cfu">
    <w:name w:val="c_fu"/>
    <w:basedOn w:val="Standardnpsmoodstavce"/>
    <w:rsid w:val="009324EF"/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324EF"/>
    <w:rPr>
      <w:rFonts w:ascii="Arial" w:eastAsia="Times New Roman" w:hAnsi="Arial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B2F43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B2F43"/>
    <w:rPr>
      <w:rFonts w:ascii="Arial" w:eastAsia="Times New Roman" w:hAnsi="Arial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BB2F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/produkty/analyza-ctvrtletnich-sektorovych-uctu-1-ctvrtleti-202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bojnikova31519.CZSO\Downloads\Form_c444_Publikace_regiony%20a%20zeme%20-%20analyzy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Qmakro-2026\2q-2026\Rozpo&#269;et\Grafy-st&#225;tn&#237;%20rozpo&#269;et-2q-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Qmakro-2026\2q-2026\Rozpo&#269;et\Grafy-st&#225;tn&#237;%20rozpo&#269;et-2q-202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Qmakro-2026\2q-2026\Rozpo&#269;et\Grafy-st&#225;tn&#237;%20rozpo&#269;et-2q-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655893706870088E-2"/>
          <c:y val="2.0804998806967311E-2"/>
          <c:w val="0.90468575230254245"/>
          <c:h val="0.816430055633755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'pro graf'!$A$122</c:f>
              <c:strCache>
                <c:ptCount val="1"/>
                <c:pt idx="0">
                  <c:v>EU27</c:v>
                </c:pt>
              </c:strCache>
            </c:strRef>
          </c:tx>
          <c:spPr>
            <a:solidFill>
              <a:srgbClr val="EBECED"/>
            </a:solidFill>
            <a:ln>
              <a:solidFill>
                <a:schemeClr val="bg2">
                  <a:lumMod val="75000"/>
                </a:schemeClr>
              </a:solidFill>
            </a:ln>
            <a:effectLst/>
          </c:spPr>
          <c:invertIfNegative val="0"/>
          <c:cat>
            <c:multiLvlStrRef>
              <c:f>'pro graf'!$B$120:$V$121</c:f>
              <c:multiLvlStrCache>
                <c:ptCount val="21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'pro graf'!$B$122:$V$122</c:f>
              <c:numCache>
                <c:formatCode>0.0</c:formatCode>
                <c:ptCount val="21"/>
                <c:pt idx="0">
                  <c:v>-6.2</c:v>
                </c:pt>
                <c:pt idx="1">
                  <c:v>-5.8</c:v>
                </c:pt>
                <c:pt idx="2">
                  <c:v>-3.4</c:v>
                </c:pt>
                <c:pt idx="3">
                  <c:v>-3.1</c:v>
                </c:pt>
                <c:pt idx="4">
                  <c:v>-2.2999999999999998</c:v>
                </c:pt>
                <c:pt idx="5">
                  <c:v>-2.2000000000000002</c:v>
                </c:pt>
                <c:pt idx="6">
                  <c:v>-3.6</c:v>
                </c:pt>
                <c:pt idx="7">
                  <c:v>-4.5</c:v>
                </c:pt>
                <c:pt idx="8">
                  <c:v>-3.1</c:v>
                </c:pt>
                <c:pt idx="9">
                  <c:v>-3.2</c:v>
                </c:pt>
                <c:pt idx="10">
                  <c:v>-3.4</c:v>
                </c:pt>
                <c:pt idx="11">
                  <c:v>-3.9</c:v>
                </c:pt>
                <c:pt idx="12">
                  <c:v>-3</c:v>
                </c:pt>
                <c:pt idx="13">
                  <c:v>-3.1</c:v>
                </c:pt>
                <c:pt idx="14">
                  <c:v>-3</c:v>
                </c:pt>
                <c:pt idx="15">
                  <c:v>-3.4</c:v>
                </c:pt>
                <c:pt idx="16">
                  <c:v>-2.9</c:v>
                </c:pt>
                <c:pt idx="17">
                  <c:v>-2.9</c:v>
                </c:pt>
                <c:pt idx="18">
                  <c:v>-3.2</c:v>
                </c:pt>
                <c:pt idx="19">
                  <c:v>-3.4</c:v>
                </c:pt>
                <c:pt idx="20">
                  <c:v>-3.1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79-454C-8B7B-F9D8EE4E7B7F}"/>
            </c:ext>
          </c:extLst>
        </c:ser>
        <c:ser>
          <c:idx val="1"/>
          <c:order val="1"/>
          <c:tx>
            <c:strRef>
              <c:f>'pro graf'!$A$123</c:f>
              <c:strCache>
                <c:ptCount val="1"/>
                <c:pt idx="0">
                  <c:v>Česko</c:v>
                </c:pt>
              </c:strCache>
            </c:strRef>
          </c:tx>
          <c:spPr>
            <a:solidFill>
              <a:srgbClr val="B8BBC2"/>
            </a:solidFill>
            <a:ln>
              <a:noFill/>
            </a:ln>
            <a:effectLst/>
          </c:spPr>
          <c:invertIfNegative val="0"/>
          <c:cat>
            <c:multiLvlStrRef>
              <c:f>'pro graf'!$B$120:$V$121</c:f>
              <c:multiLvlStrCache>
                <c:ptCount val="21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'pro graf'!$B$123:$V$123</c:f>
              <c:numCache>
                <c:formatCode>0.0</c:formatCode>
                <c:ptCount val="21"/>
                <c:pt idx="0">
                  <c:v>-7.4</c:v>
                </c:pt>
                <c:pt idx="1">
                  <c:v>-5.4</c:v>
                </c:pt>
                <c:pt idx="2">
                  <c:v>-3.7</c:v>
                </c:pt>
                <c:pt idx="3">
                  <c:v>-3.4</c:v>
                </c:pt>
                <c:pt idx="4">
                  <c:v>-2.2999999999999998</c:v>
                </c:pt>
                <c:pt idx="5">
                  <c:v>-2.6</c:v>
                </c:pt>
                <c:pt idx="6">
                  <c:v>-3.9</c:v>
                </c:pt>
                <c:pt idx="7">
                  <c:v>-3.3</c:v>
                </c:pt>
                <c:pt idx="8">
                  <c:v>-4.5</c:v>
                </c:pt>
                <c:pt idx="9">
                  <c:v>-3.4</c:v>
                </c:pt>
                <c:pt idx="10">
                  <c:v>-3.2</c:v>
                </c:pt>
                <c:pt idx="11">
                  <c:v>-3.9</c:v>
                </c:pt>
                <c:pt idx="12">
                  <c:v>-1.8</c:v>
                </c:pt>
                <c:pt idx="13">
                  <c:v>-2.2999999999999998</c:v>
                </c:pt>
                <c:pt idx="14">
                  <c:v>-2.4</c:v>
                </c:pt>
                <c:pt idx="15">
                  <c:v>-1.7</c:v>
                </c:pt>
                <c:pt idx="16">
                  <c:v>-2.2000000000000002</c:v>
                </c:pt>
                <c:pt idx="17">
                  <c:v>-2.1</c:v>
                </c:pt>
                <c:pt idx="18">
                  <c:v>-2.1</c:v>
                </c:pt>
                <c:pt idx="19">
                  <c:v>-2.2000000000000002</c:v>
                </c:pt>
                <c:pt idx="20">
                  <c:v>-2.2999999999999998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79-454C-8B7B-F9D8EE4E7B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1992144"/>
        <c:axId val="531997552"/>
      </c:barChart>
      <c:lineChart>
        <c:grouping val="standard"/>
        <c:varyColors val="0"/>
        <c:ser>
          <c:idx val="3"/>
          <c:order val="2"/>
          <c:tx>
            <c:strRef>
              <c:f>'pro graf'!$A$124</c:f>
              <c:strCache>
                <c:ptCount val="1"/>
                <c:pt idx="0">
                  <c:v>Německo</c:v>
                </c:pt>
              </c:strCache>
            </c:strRef>
          </c:tx>
          <c:spPr>
            <a:ln w="15875" cap="rnd">
              <a:noFill/>
              <a:prstDash val="dash"/>
              <a:round/>
            </a:ln>
            <a:effectLst/>
          </c:spPr>
          <c:marker>
            <c:symbol val="dash"/>
            <c:size val="8"/>
            <c:spPr>
              <a:solidFill>
                <a:srgbClr val="BC5B80"/>
              </a:solidFill>
              <a:ln w="9525">
                <a:noFill/>
              </a:ln>
              <a:effectLst/>
            </c:spPr>
          </c:marker>
          <c:cat>
            <c:multiLvlStrRef>
              <c:f>'pro graf'!$B$120:$V$121</c:f>
              <c:multiLvlStrCache>
                <c:ptCount val="21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'pro graf'!$B$124:$V$124</c:f>
              <c:numCache>
                <c:formatCode>0.0</c:formatCode>
                <c:ptCount val="21"/>
                <c:pt idx="0">
                  <c:v>-4.3</c:v>
                </c:pt>
                <c:pt idx="1">
                  <c:v>-4.9000000000000004</c:v>
                </c:pt>
                <c:pt idx="2">
                  <c:v>-1.9</c:v>
                </c:pt>
                <c:pt idx="3">
                  <c:v>-1.7</c:v>
                </c:pt>
                <c:pt idx="4">
                  <c:v>-0.2</c:v>
                </c:pt>
                <c:pt idx="5">
                  <c:v>-0.7</c:v>
                </c:pt>
                <c:pt idx="6">
                  <c:v>-2.5</c:v>
                </c:pt>
                <c:pt idx="7">
                  <c:v>-4.2</c:v>
                </c:pt>
                <c:pt idx="8">
                  <c:v>-2.6</c:v>
                </c:pt>
                <c:pt idx="9">
                  <c:v>-2.2000000000000002</c:v>
                </c:pt>
                <c:pt idx="10">
                  <c:v>-2.2999999999999998</c:v>
                </c:pt>
                <c:pt idx="11">
                  <c:v>-2.9</c:v>
                </c:pt>
                <c:pt idx="12">
                  <c:v>-3.1</c:v>
                </c:pt>
                <c:pt idx="13">
                  <c:v>-2.7</c:v>
                </c:pt>
                <c:pt idx="14">
                  <c:v>-2.6</c:v>
                </c:pt>
                <c:pt idx="15">
                  <c:v>-2.2999999999999998</c:v>
                </c:pt>
                <c:pt idx="16">
                  <c:v>-2.1</c:v>
                </c:pt>
                <c:pt idx="17">
                  <c:v>-2</c:v>
                </c:pt>
                <c:pt idx="18">
                  <c:v>-2.7</c:v>
                </c:pt>
                <c:pt idx="19">
                  <c:v>-4.2</c:v>
                </c:pt>
                <c:pt idx="20">
                  <c:v>-3.6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379-454C-8B7B-F9D8EE4E7B7F}"/>
            </c:ext>
          </c:extLst>
        </c:ser>
        <c:ser>
          <c:idx val="4"/>
          <c:order val="3"/>
          <c:tx>
            <c:strRef>
              <c:f>'pro graf'!$A$125</c:f>
              <c:strCache>
                <c:ptCount val="1"/>
                <c:pt idx="0">
                  <c:v>Polsko</c:v>
                </c:pt>
              </c:strCache>
            </c:strRef>
          </c:tx>
          <c:spPr>
            <a:ln w="12700" cap="rnd">
              <a:noFill/>
              <a:prstDash val="sysDot"/>
              <a:round/>
            </a:ln>
            <a:effectLst/>
          </c:spPr>
          <c:marker>
            <c:symbol val="dash"/>
            <c:size val="8"/>
            <c:spPr>
              <a:solidFill>
                <a:srgbClr val="CC9610"/>
              </a:solidFill>
              <a:ln w="6350">
                <a:noFill/>
              </a:ln>
              <a:effectLst/>
            </c:spPr>
          </c:marker>
          <c:cat>
            <c:multiLvlStrRef>
              <c:f>'pro graf'!$B$120:$V$121</c:f>
              <c:multiLvlStrCache>
                <c:ptCount val="21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'pro graf'!$B$125:$V$125</c:f>
              <c:numCache>
                <c:formatCode>0.0</c:formatCode>
                <c:ptCount val="21"/>
                <c:pt idx="0">
                  <c:v>-2.6</c:v>
                </c:pt>
                <c:pt idx="1">
                  <c:v>-1.5</c:v>
                </c:pt>
                <c:pt idx="2">
                  <c:v>-0.1</c:v>
                </c:pt>
                <c:pt idx="3">
                  <c:v>-2.4</c:v>
                </c:pt>
                <c:pt idx="4">
                  <c:v>-1.1000000000000001</c:v>
                </c:pt>
                <c:pt idx="5">
                  <c:v>-2</c:v>
                </c:pt>
                <c:pt idx="6">
                  <c:v>-2.8</c:v>
                </c:pt>
                <c:pt idx="7">
                  <c:v>-6.2</c:v>
                </c:pt>
                <c:pt idx="8">
                  <c:v>-3</c:v>
                </c:pt>
                <c:pt idx="9">
                  <c:v>-4.4000000000000004</c:v>
                </c:pt>
                <c:pt idx="10">
                  <c:v>-5.5</c:v>
                </c:pt>
                <c:pt idx="11">
                  <c:v>-5.7</c:v>
                </c:pt>
                <c:pt idx="12">
                  <c:v>-5.0999999999999996</c:v>
                </c:pt>
                <c:pt idx="13">
                  <c:v>-6</c:v>
                </c:pt>
                <c:pt idx="14">
                  <c:v>-6.7</c:v>
                </c:pt>
                <c:pt idx="15">
                  <c:v>-7.1</c:v>
                </c:pt>
                <c:pt idx="16">
                  <c:v>-6.7</c:v>
                </c:pt>
                <c:pt idx="17">
                  <c:v>-7.1</c:v>
                </c:pt>
                <c:pt idx="18">
                  <c:v>-7</c:v>
                </c:pt>
                <c:pt idx="19">
                  <c:v>-7.8</c:v>
                </c:pt>
                <c:pt idx="20">
                  <c:v>-5.9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379-454C-8B7B-F9D8EE4E7B7F}"/>
            </c:ext>
          </c:extLst>
        </c:ser>
        <c:ser>
          <c:idx val="2"/>
          <c:order val="4"/>
          <c:tx>
            <c:strRef>
              <c:f>'pro graf'!$A$126</c:f>
              <c:strCache>
                <c:ptCount val="1"/>
                <c:pt idx="0">
                  <c:v>Maďarsko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8"/>
            <c:spPr>
              <a:solidFill>
                <a:srgbClr val="00B0F0"/>
              </a:solidFill>
              <a:ln w="9525">
                <a:noFill/>
              </a:ln>
              <a:effectLst/>
            </c:spPr>
          </c:marker>
          <c:cat>
            <c:multiLvlStrRef>
              <c:f>'pro graf'!$B$120:$V$121</c:f>
              <c:multiLvlStrCache>
                <c:ptCount val="21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'pro graf'!$B$126:$V$126</c:f>
              <c:numCache>
                <c:formatCode>0.0</c:formatCode>
                <c:ptCount val="21"/>
                <c:pt idx="0">
                  <c:v>-9.4</c:v>
                </c:pt>
                <c:pt idx="1">
                  <c:v>-7.4</c:v>
                </c:pt>
                <c:pt idx="2">
                  <c:v>-6.9</c:v>
                </c:pt>
                <c:pt idx="3">
                  <c:v>-5</c:v>
                </c:pt>
                <c:pt idx="4">
                  <c:v>-3.9</c:v>
                </c:pt>
                <c:pt idx="5">
                  <c:v>-5.2</c:v>
                </c:pt>
                <c:pt idx="6">
                  <c:v>-7.3</c:v>
                </c:pt>
                <c:pt idx="7">
                  <c:v>-8.1999999999999993</c:v>
                </c:pt>
                <c:pt idx="8">
                  <c:v>-9</c:v>
                </c:pt>
                <c:pt idx="9">
                  <c:v>-7.1</c:v>
                </c:pt>
                <c:pt idx="10">
                  <c:v>-5.9</c:v>
                </c:pt>
                <c:pt idx="11">
                  <c:v>-6.1</c:v>
                </c:pt>
                <c:pt idx="12">
                  <c:v>-4.9000000000000004</c:v>
                </c:pt>
                <c:pt idx="13">
                  <c:v>-6</c:v>
                </c:pt>
                <c:pt idx="14">
                  <c:v>-5.0999999999999996</c:v>
                </c:pt>
                <c:pt idx="15">
                  <c:v>-4.5</c:v>
                </c:pt>
                <c:pt idx="16">
                  <c:v>-4.4000000000000004</c:v>
                </c:pt>
                <c:pt idx="17">
                  <c:v>-3.8</c:v>
                </c:pt>
                <c:pt idx="18">
                  <c:v>-5.3</c:v>
                </c:pt>
                <c:pt idx="19">
                  <c:v>-5.2</c:v>
                </c:pt>
                <c:pt idx="20">
                  <c:v>-6.6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379-454C-8B7B-F9D8EE4E7B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1992144"/>
        <c:axId val="531997552"/>
      </c:lineChart>
      <c:catAx>
        <c:axId val="531992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cs-CZ"/>
          </a:p>
        </c:txPr>
        <c:crossAx val="531997552"/>
        <c:crosses val="autoZero"/>
        <c:auto val="1"/>
        <c:lblAlgn val="ctr"/>
        <c:lblOffset val="0"/>
        <c:noMultiLvlLbl val="0"/>
      </c:catAx>
      <c:valAx>
        <c:axId val="531997552"/>
        <c:scaling>
          <c:orientation val="minMax"/>
          <c:max val="1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cs-CZ"/>
          </a:p>
        </c:txPr>
        <c:crossAx val="531992144"/>
        <c:crosses val="autoZero"/>
        <c:crossBetween val="between"/>
        <c:majorUnit val="1"/>
      </c:valAx>
      <c:spPr>
        <a:noFill/>
        <a:ln w="6350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7.0799761296405722E-2"/>
          <c:y val="0.93679796828801454"/>
          <c:w val="0.90607039647393917"/>
          <c:h val="5.1594164041379002E-2"/>
        </c:manualLayout>
      </c:layout>
      <c:overlay val="0"/>
      <c:spPr>
        <a:noFill/>
        <a:ln w="6350"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02481316341482E-2"/>
          <c:y val="1.7107281879620118E-2"/>
          <c:w val="0.91993550268004531"/>
          <c:h val="0.74263112441057577"/>
        </c:manualLayout>
      </c:layout>
      <c:barChart>
        <c:barDir val="col"/>
        <c:grouping val="stacked"/>
        <c:varyColors val="0"/>
        <c:ser>
          <c:idx val="1"/>
          <c:order val="1"/>
          <c:tx>
            <c:strRef>
              <c:f>'G1-nové pojetí'!$A$6</c:f>
              <c:strCache>
                <c:ptCount val="1"/>
                <c:pt idx="0">
                  <c:v>Ostatní daně a poplatky</c:v>
                </c:pt>
              </c:strCache>
            </c:strRef>
          </c:tx>
          <c:spPr>
            <a:solidFill>
              <a:srgbClr val="D7D9DB"/>
            </a:solidFill>
            <a:ln w="12700">
              <a:noFill/>
              <a:prstDash val="solid"/>
            </a:ln>
          </c:spPr>
          <c:invertIfNegative val="0"/>
          <c:cat>
            <c:strRef>
              <c:f>'G1-nové pojetí'!$B$4:$G$4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'G1-nové pojetí'!$B$6:$G$6</c:f>
              <c:numCache>
                <c:formatCode>0.0</c:formatCode>
                <c:ptCount val="6"/>
                <c:pt idx="0">
                  <c:v>-0.57557094156431787</c:v>
                </c:pt>
                <c:pt idx="1">
                  <c:v>0.78502585428938398</c:v>
                </c:pt>
                <c:pt idx="2">
                  <c:v>2.2309684611061136</c:v>
                </c:pt>
                <c:pt idx="3">
                  <c:v>2.5085325698876204</c:v>
                </c:pt>
                <c:pt idx="4">
                  <c:v>1.0188718231456477</c:v>
                </c:pt>
                <c:pt idx="5">
                  <c:v>-2.4640057124266739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A4-4FC2-82C3-86D4741175DF}"/>
            </c:ext>
          </c:extLst>
        </c:ser>
        <c:ser>
          <c:idx val="3"/>
          <c:order val="2"/>
          <c:tx>
            <c:strRef>
              <c:f>'G1-nové pojetí'!$A$7</c:f>
              <c:strCache>
                <c:ptCount val="1"/>
                <c:pt idx="0">
                  <c:v>Daně z příjmů FO, placená plátci</c:v>
                </c:pt>
              </c:strCache>
            </c:strRef>
          </c:tx>
          <c:spPr>
            <a:solidFill>
              <a:srgbClr val="9FC9D7"/>
            </a:solidFill>
            <a:ln w="19050">
              <a:noFill/>
              <a:prstDash val="sysDot"/>
            </a:ln>
          </c:spPr>
          <c:invertIfNegative val="0"/>
          <c:cat>
            <c:strRef>
              <c:f>'G1-nové pojetí'!$B$4:$G$4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'G1-nové pojetí'!$B$7:$G$7</c:f>
              <c:numCache>
                <c:formatCode>0.0</c:formatCode>
                <c:ptCount val="6"/>
                <c:pt idx="0">
                  <c:v>-6.0198084538983654</c:v>
                </c:pt>
                <c:pt idx="1">
                  <c:v>1.4133532159550959</c:v>
                </c:pt>
                <c:pt idx="2">
                  <c:v>2.7818509745347071</c:v>
                </c:pt>
                <c:pt idx="3">
                  <c:v>2.0000217898978092</c:v>
                </c:pt>
                <c:pt idx="4">
                  <c:v>1.6295716820137303</c:v>
                </c:pt>
                <c:pt idx="5">
                  <c:v>1.5726928655649646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A4-4FC2-82C3-86D4741175DF}"/>
            </c:ext>
          </c:extLst>
        </c:ser>
        <c:ser>
          <c:idx val="4"/>
          <c:order val="3"/>
          <c:tx>
            <c:strRef>
              <c:f>'G1-nové pojetí'!$A$8</c:f>
              <c:strCache>
                <c:ptCount val="1"/>
                <c:pt idx="0">
                  <c:v>Daně z příjmů fyzických osob (FO), ostatní</c:v>
                </c:pt>
              </c:strCache>
            </c:strRef>
          </c:tx>
          <c:spPr>
            <a:solidFill>
              <a:srgbClr val="009CB5"/>
            </a:solidFill>
            <a:ln w="19050">
              <a:noFill/>
            </a:ln>
          </c:spPr>
          <c:invertIfNegative val="0"/>
          <c:cat>
            <c:strRef>
              <c:f>'G1-nové pojetí'!$B$4:$G$4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'G1-nové pojetí'!$B$8:$G$8</c:f>
              <c:numCache>
                <c:formatCode>0.0</c:formatCode>
                <c:ptCount val="6"/>
                <c:pt idx="0">
                  <c:v>1.1905445188146151</c:v>
                </c:pt>
                <c:pt idx="1">
                  <c:v>1.0848278620336691</c:v>
                </c:pt>
                <c:pt idx="2">
                  <c:v>0.87429381000186324</c:v>
                </c:pt>
                <c:pt idx="3">
                  <c:v>0.56500660654026003</c:v>
                </c:pt>
                <c:pt idx="4">
                  <c:v>0.50153227402904321</c:v>
                </c:pt>
                <c:pt idx="5">
                  <c:v>0.63214709284510495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A4-4FC2-82C3-86D4741175DF}"/>
            </c:ext>
          </c:extLst>
        </c:ser>
        <c:ser>
          <c:idx val="2"/>
          <c:order val="4"/>
          <c:tx>
            <c:strRef>
              <c:f>'G1-nové pojetí'!$A$9</c:f>
              <c:strCache>
                <c:ptCount val="1"/>
                <c:pt idx="0">
                  <c:v>Daně z příjmů právnických osob</c:v>
                </c:pt>
              </c:strCache>
            </c:strRef>
          </c:tx>
          <c:spPr>
            <a:solidFill>
              <a:srgbClr val="86BF5E"/>
            </a:solidFill>
            <a:ln>
              <a:noFill/>
            </a:ln>
          </c:spPr>
          <c:invertIfNegative val="0"/>
          <c:cat>
            <c:strRef>
              <c:f>'G1-nové pojetí'!$B$4:$G$4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'G1-nové pojetí'!$B$9:$G$9</c:f>
              <c:numCache>
                <c:formatCode>0.0</c:formatCode>
                <c:ptCount val="6"/>
                <c:pt idx="0">
                  <c:v>8.0545419061014698</c:v>
                </c:pt>
                <c:pt idx="1">
                  <c:v>3.4196071209305705</c:v>
                </c:pt>
                <c:pt idx="2">
                  <c:v>5.0089986951406535</c:v>
                </c:pt>
                <c:pt idx="3">
                  <c:v>0.33728578848166757</c:v>
                </c:pt>
                <c:pt idx="4">
                  <c:v>2.0136854346303958</c:v>
                </c:pt>
                <c:pt idx="5">
                  <c:v>2.0865302263270777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CA4-4FC2-82C3-86D4741175DF}"/>
            </c:ext>
          </c:extLst>
        </c:ser>
        <c:ser>
          <c:idx val="5"/>
          <c:order val="5"/>
          <c:tx>
            <c:strRef>
              <c:f>'G1-nové pojetí'!$A$10</c:f>
              <c:strCache>
                <c:ptCount val="1"/>
                <c:pt idx="0">
                  <c:v>Spotřební daň</c:v>
                </c:pt>
              </c:strCache>
            </c:strRef>
          </c:tx>
          <c:spPr>
            <a:solidFill>
              <a:srgbClr val="CC9610"/>
            </a:solidFill>
            <a:ln>
              <a:noFill/>
            </a:ln>
          </c:spPr>
          <c:invertIfNegative val="0"/>
          <c:cat>
            <c:strRef>
              <c:f>'G1-nové pojetí'!$B$4:$G$4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'G1-nové pojetí'!$B$10:$G$10</c:f>
              <c:numCache>
                <c:formatCode>0.0</c:formatCode>
                <c:ptCount val="6"/>
                <c:pt idx="0">
                  <c:v>-1.71432256636205</c:v>
                </c:pt>
                <c:pt idx="1">
                  <c:v>2.2001267292613349</c:v>
                </c:pt>
                <c:pt idx="2">
                  <c:v>-1.0170175871507856</c:v>
                </c:pt>
                <c:pt idx="3">
                  <c:v>1.1174683098590457</c:v>
                </c:pt>
                <c:pt idx="4">
                  <c:v>0.65579664171622742</c:v>
                </c:pt>
                <c:pt idx="5">
                  <c:v>0.21402873457603214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A4-4FC2-82C3-86D4741175DF}"/>
            </c:ext>
          </c:extLst>
        </c:ser>
        <c:ser>
          <c:idx val="6"/>
          <c:order val="6"/>
          <c:tx>
            <c:strRef>
              <c:f>'G1-nové pojetí'!$A$11</c:f>
              <c:strCache>
                <c:ptCount val="1"/>
                <c:pt idx="0">
                  <c:v>DPH</c:v>
                </c:pt>
              </c:strCache>
            </c:strRef>
          </c:tx>
          <c:spPr>
            <a:solidFill>
              <a:srgbClr val="E6C483"/>
            </a:solidFill>
            <a:ln w="19050">
              <a:noFill/>
            </a:ln>
          </c:spPr>
          <c:invertIfNegative val="0"/>
          <c:cat>
            <c:strRef>
              <c:f>'G1-nové pojetí'!$B$4:$G$4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'G1-nové pojetí'!$B$11:$G$11</c:f>
              <c:numCache>
                <c:formatCode>0.0</c:formatCode>
                <c:ptCount val="6"/>
                <c:pt idx="0">
                  <c:v>3.7083912152981675</c:v>
                </c:pt>
                <c:pt idx="1">
                  <c:v>9.7528438385958296</c:v>
                </c:pt>
                <c:pt idx="2">
                  <c:v>2.6897010351263342</c:v>
                </c:pt>
                <c:pt idx="3">
                  <c:v>1.293470941428116</c:v>
                </c:pt>
                <c:pt idx="4">
                  <c:v>2.3000161390613152</c:v>
                </c:pt>
                <c:pt idx="5">
                  <c:v>2.9999614622061479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CA4-4FC2-82C3-86D4741175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overlap val="100"/>
        <c:axId val="194467712"/>
        <c:axId val="194473984"/>
      </c:barChart>
      <c:lineChart>
        <c:grouping val="standard"/>
        <c:varyColors val="0"/>
        <c:ser>
          <c:idx val="0"/>
          <c:order val="0"/>
          <c:tx>
            <c:strRef>
              <c:f>'G1-nové pojetí'!$A$5</c:f>
              <c:strCache>
                <c:ptCount val="1"/>
                <c:pt idx="0">
                  <c:v>Celk. daňové příjmy (bez pojistného na SZ)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7"/>
            <c:spPr>
              <a:solidFill>
                <a:schemeClr val="bg1"/>
              </a:solidFill>
              <a:ln>
                <a:solidFill>
                  <a:schemeClr val="tx1">
                    <a:lumMod val="95000"/>
                    <a:lumOff val="5000"/>
                  </a:schemeClr>
                </a:solidFill>
              </a:ln>
            </c:spPr>
          </c:marker>
          <c:cat>
            <c:strRef>
              <c:f>'G1-nové pojetí'!$B$4:$G$4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'G1-nové pojetí'!$B$5:$G$5</c:f>
              <c:numCache>
                <c:formatCode>0.0</c:formatCode>
                <c:ptCount val="6"/>
                <c:pt idx="0">
                  <c:v>4.6437756783895168</c:v>
                </c:pt>
                <c:pt idx="1">
                  <c:v>18.655784621065891</c:v>
                </c:pt>
                <c:pt idx="2">
                  <c:v>12.568795388758886</c:v>
                </c:pt>
                <c:pt idx="3">
                  <c:v>7.8217860060945128</c:v>
                </c:pt>
                <c:pt idx="4">
                  <c:v>8.1194739945963619</c:v>
                </c:pt>
                <c:pt idx="5">
                  <c:v>5.0413546690926552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CA4-4FC2-82C3-86D4741175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467712"/>
        <c:axId val="194473984"/>
      </c:lineChart>
      <c:catAx>
        <c:axId val="19446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6350">
            <a:solidFill>
              <a:schemeClr val="tx1"/>
            </a:solidFill>
          </a:ln>
        </c:spPr>
        <c:txPr>
          <a:bodyPr rot="0"/>
          <a:lstStyle/>
          <a:p>
            <a:pPr>
              <a:defRPr sz="800" b="0" i="0"/>
            </a:pPr>
            <a:endParaRPr lang="cs-CZ"/>
          </a:p>
        </c:txPr>
        <c:crossAx val="194473984"/>
        <c:crosses val="autoZero"/>
        <c:auto val="1"/>
        <c:lblAlgn val="ctr"/>
        <c:lblOffset val="0"/>
        <c:noMultiLvlLbl val="0"/>
      </c:catAx>
      <c:valAx>
        <c:axId val="194473984"/>
        <c:scaling>
          <c:orientation val="minMax"/>
          <c:max val="20"/>
          <c:min val="-16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6350">
            <a:solidFill>
              <a:schemeClr val="tx1"/>
            </a:solidFill>
          </a:ln>
        </c:spPr>
        <c:txPr>
          <a:bodyPr/>
          <a:lstStyle/>
          <a:p>
            <a:pPr>
              <a:defRPr sz="800" b="0" i="0"/>
            </a:pPr>
            <a:endParaRPr lang="cs-CZ"/>
          </a:p>
        </c:txPr>
        <c:crossAx val="194467712"/>
        <c:crosses val="autoZero"/>
        <c:crossBetween val="between"/>
        <c:majorUnit val="4"/>
      </c:valAx>
      <c:spPr>
        <a:ln w="6350"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5.2655978243683392E-2"/>
          <c:y val="0.84960531302347275"/>
          <c:w val="0.91766878537773144"/>
          <c:h val="0.13935951242809624"/>
        </c:manualLayout>
      </c:layout>
      <c:overlay val="0"/>
      <c:spPr>
        <a:ln w="6350">
          <a:solidFill>
            <a:schemeClr val="tx1"/>
          </a:solidFill>
        </a:ln>
      </c:spPr>
      <c:txPr>
        <a:bodyPr/>
        <a:lstStyle/>
        <a:p>
          <a:pPr>
            <a:defRPr sz="800" b="0" i="0"/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1" i="1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152891877126683E-2"/>
          <c:y val="1.7107287133586922E-2"/>
          <c:w val="0.90355778536659226"/>
          <c:h val="0.70074025392673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'G-2-nový -přísp'!$M$172</c:f>
              <c:strCache>
                <c:ptCount val="1"/>
                <c:pt idx="0">
                  <c:v>Platy a související výdaje*</c:v>
                </c:pt>
              </c:strCache>
            </c:strRef>
          </c:tx>
          <c:spPr>
            <a:solidFill>
              <a:srgbClr val="E6C483"/>
            </a:solidFill>
            <a:ln w="19050">
              <a:noFill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-přísp'!$N$172:$S$172</c:f>
              <c:numCache>
                <c:formatCode>#\ ##0.0</c:formatCode>
                <c:ptCount val="6"/>
                <c:pt idx="0">
                  <c:v>7.4095727894276944E-2</c:v>
                </c:pt>
                <c:pt idx="1">
                  <c:v>1.8894292552087692E-2</c:v>
                </c:pt>
                <c:pt idx="2">
                  <c:v>0.64116253722028793</c:v>
                </c:pt>
                <c:pt idx="3">
                  <c:v>5.0573170896554387E-2</c:v>
                </c:pt>
                <c:pt idx="4">
                  <c:v>0.3584799087795888</c:v>
                </c:pt>
                <c:pt idx="5">
                  <c:v>0.55067281266322765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C3-4E21-9B31-AAB327639D61}"/>
            </c:ext>
          </c:extLst>
        </c:ser>
        <c:ser>
          <c:idx val="1"/>
          <c:order val="1"/>
          <c:tx>
            <c:strRef>
              <c:f>'G-2-nový -přísp'!$M$173</c:f>
              <c:strCache>
                <c:ptCount val="1"/>
                <c:pt idx="0">
                  <c:v>Neinvestiční nákupy a souvis. výdaje**</c:v>
                </c:pt>
              </c:strCache>
            </c:strRef>
          </c:tx>
          <c:spPr>
            <a:solidFill>
              <a:srgbClr val="CC9610"/>
            </a:solidFill>
            <a:ln w="12700">
              <a:noFill/>
              <a:prstDash val="solid"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-přísp'!$N$173:$S$173</c:f>
              <c:numCache>
                <c:formatCode>#\ ##0.0</c:formatCode>
                <c:ptCount val="6"/>
                <c:pt idx="0">
                  <c:v>0.28031549320184307</c:v>
                </c:pt>
                <c:pt idx="1">
                  <c:v>1.1875633018489464</c:v>
                </c:pt>
                <c:pt idx="2">
                  <c:v>0.92670507095350174</c:v>
                </c:pt>
                <c:pt idx="3">
                  <c:v>0.95454238820623494</c:v>
                </c:pt>
                <c:pt idx="4">
                  <c:v>0.58551867096455679</c:v>
                </c:pt>
                <c:pt idx="5">
                  <c:v>0.56313145931096054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C3-4E21-9B31-AAB327639D61}"/>
            </c:ext>
          </c:extLst>
        </c:ser>
        <c:ser>
          <c:idx val="3"/>
          <c:order val="2"/>
          <c:tx>
            <c:strRef>
              <c:f>'G-2-nový -přísp'!$M$174</c:f>
              <c:strCache>
                <c:ptCount val="1"/>
                <c:pt idx="0">
                  <c:v>Neinvestiční transfery podnikatelům</c:v>
                </c:pt>
              </c:strCache>
            </c:strRef>
          </c:tx>
          <c:spPr>
            <a:solidFill>
              <a:srgbClr val="9FC9D7"/>
            </a:solidFill>
            <a:ln w="19050">
              <a:noFill/>
              <a:prstDash val="sysDot"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-přísp'!$N$174:$S$174</c:f>
              <c:numCache>
                <c:formatCode>#\ ##0.0</c:formatCode>
                <c:ptCount val="6"/>
                <c:pt idx="0">
                  <c:v>3.6148852456816498</c:v>
                </c:pt>
                <c:pt idx="1">
                  <c:v>-5.229086691640541</c:v>
                </c:pt>
                <c:pt idx="2">
                  <c:v>4.506646725506867</c:v>
                </c:pt>
                <c:pt idx="3">
                  <c:v>-3.2892058284050982</c:v>
                </c:pt>
                <c:pt idx="4">
                  <c:v>-0.58554343379710094</c:v>
                </c:pt>
                <c:pt idx="5">
                  <c:v>9.9216404794933363E-2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C3-4E21-9B31-AAB327639D61}"/>
            </c:ext>
          </c:extLst>
        </c:ser>
        <c:ser>
          <c:idx val="4"/>
          <c:order val="3"/>
          <c:tx>
            <c:strRef>
              <c:f>'G-2-nový -přísp'!$M$175</c:f>
              <c:strCache>
                <c:ptCount val="1"/>
                <c:pt idx="0">
                  <c:v>Neinvestiční transfery ostatní***</c:v>
                </c:pt>
              </c:strCache>
            </c:strRef>
          </c:tx>
          <c:spPr>
            <a:solidFill>
              <a:srgbClr val="009CB5"/>
            </a:solidFill>
            <a:ln w="19050">
              <a:noFill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-přísp'!$N$175:$S$175</c:f>
              <c:numCache>
                <c:formatCode>#\ ##0.0</c:formatCode>
                <c:ptCount val="6"/>
                <c:pt idx="0">
                  <c:v>-4.3539378280694298E-2</c:v>
                </c:pt>
                <c:pt idx="1">
                  <c:v>-0.87186193126853773</c:v>
                </c:pt>
                <c:pt idx="2">
                  <c:v>0.55420230173723817</c:v>
                </c:pt>
                <c:pt idx="3">
                  <c:v>1.6022844707240993</c:v>
                </c:pt>
                <c:pt idx="4">
                  <c:v>-0.3554151902175936</c:v>
                </c:pt>
                <c:pt idx="5">
                  <c:v>-0.66405139830011495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C3-4E21-9B31-AAB327639D61}"/>
            </c:ext>
          </c:extLst>
        </c:ser>
        <c:ser>
          <c:idx val="2"/>
          <c:order val="4"/>
          <c:tx>
            <c:strRef>
              <c:f>'G-2-nový -přísp'!$M$176</c:f>
              <c:strCache>
                <c:ptCount val="1"/>
                <c:pt idx="0">
                  <c:v>Neinv. transfery fondům soc.a veř.zdrav.poj.</c:v>
                </c:pt>
              </c:strCache>
            </c:strRef>
          </c:tx>
          <c:spPr>
            <a:solidFill>
              <a:srgbClr val="D8A7B7"/>
            </a:solidFill>
            <a:ln>
              <a:noFill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-přísp'!$N$176:$S$176</c:f>
              <c:numCache>
                <c:formatCode>#\ ##0.0</c:formatCode>
                <c:ptCount val="6"/>
                <c:pt idx="0">
                  <c:v>2.5031090203322646</c:v>
                </c:pt>
                <c:pt idx="1">
                  <c:v>0.84093665212436786</c:v>
                </c:pt>
                <c:pt idx="2">
                  <c:v>-0.23463679627763118</c:v>
                </c:pt>
                <c:pt idx="3">
                  <c:v>0.58885485363367707</c:v>
                </c:pt>
                <c:pt idx="4">
                  <c:v>9.1191190558826865E-2</c:v>
                </c:pt>
                <c:pt idx="5">
                  <c:v>1.3326543822411687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6C3-4E21-9B31-AAB327639D61}"/>
            </c:ext>
          </c:extLst>
        </c:ser>
        <c:ser>
          <c:idx val="5"/>
          <c:order val="5"/>
          <c:tx>
            <c:strRef>
              <c:f>'G-2-nový -přísp'!$M$177</c:f>
              <c:strCache>
                <c:ptCount val="1"/>
                <c:pt idx="0">
                  <c:v>Neinv. transfery územním rozpočtům</c:v>
                </c:pt>
              </c:strCache>
            </c:strRef>
          </c:tx>
          <c:spPr>
            <a:solidFill>
              <a:srgbClr val="BC5B80"/>
            </a:solidFill>
            <a:ln>
              <a:noFill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-přísp'!$N$177:$S$177</c:f>
              <c:numCache>
                <c:formatCode>#\ ##0.0</c:formatCode>
                <c:ptCount val="6"/>
                <c:pt idx="0">
                  <c:v>2.1037058739173262</c:v>
                </c:pt>
                <c:pt idx="1">
                  <c:v>-1.1344676610275661E-2</c:v>
                </c:pt>
                <c:pt idx="2">
                  <c:v>2.614137006574635</c:v>
                </c:pt>
                <c:pt idx="3">
                  <c:v>-0.58965642163444709</c:v>
                </c:pt>
                <c:pt idx="4">
                  <c:v>1.1992892156283173</c:v>
                </c:pt>
                <c:pt idx="5">
                  <c:v>-0.96650420340559917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6C3-4E21-9B31-AAB327639D61}"/>
            </c:ext>
          </c:extLst>
        </c:ser>
        <c:ser>
          <c:idx val="6"/>
          <c:order val="6"/>
          <c:tx>
            <c:strRef>
              <c:f>'G-2-nový -přísp'!$M$178</c:f>
              <c:strCache>
                <c:ptCount val="1"/>
                <c:pt idx="0">
                  <c:v>Důchody</c:v>
                </c:pt>
              </c:strCache>
            </c:strRef>
          </c:tx>
          <c:spPr>
            <a:solidFill>
              <a:srgbClr val="C3DDAC"/>
            </a:solidFill>
            <a:ln w="19050">
              <a:noFill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-přísp'!$N$178:$S$178</c:f>
              <c:numCache>
                <c:formatCode>#\ ##0.0</c:formatCode>
                <c:ptCount val="6"/>
                <c:pt idx="0">
                  <c:v>1.5874089636109858</c:v>
                </c:pt>
                <c:pt idx="1">
                  <c:v>1.8586436047439359</c:v>
                </c:pt>
                <c:pt idx="2">
                  <c:v>5.8084204557645389</c:v>
                </c:pt>
                <c:pt idx="3">
                  <c:v>1.2848762395065934</c:v>
                </c:pt>
                <c:pt idx="4">
                  <c:v>0.11633088038591927</c:v>
                </c:pt>
                <c:pt idx="5">
                  <c:v>1.2032301754918788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C3-4E21-9B31-AAB327639D61}"/>
            </c:ext>
          </c:extLst>
        </c:ser>
        <c:ser>
          <c:idx val="7"/>
          <c:order val="7"/>
          <c:tx>
            <c:strRef>
              <c:f>'G-2-nový -přísp'!$M$179</c:f>
              <c:strCache>
                <c:ptCount val="1"/>
                <c:pt idx="0">
                  <c:v>Ostatní sociální dávky****</c:v>
                </c:pt>
              </c:strCache>
            </c:strRef>
          </c:tx>
          <c:spPr>
            <a:solidFill>
              <a:srgbClr val="86BF5E"/>
            </a:solidFill>
            <a:ln w="6350">
              <a:noFill/>
              <a:prstDash val="dash"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-přísp'!$N$179:$S$179</c:f>
              <c:numCache>
                <c:formatCode>#\ ##0.0</c:formatCode>
                <c:ptCount val="6"/>
                <c:pt idx="0">
                  <c:v>-0.19608773251686876</c:v>
                </c:pt>
                <c:pt idx="1">
                  <c:v>0.31640378214155945</c:v>
                </c:pt>
                <c:pt idx="2">
                  <c:v>0.62810938678398587</c:v>
                </c:pt>
                <c:pt idx="3">
                  <c:v>0.2275665437687617</c:v>
                </c:pt>
                <c:pt idx="4">
                  <c:v>0.72603072049179063</c:v>
                </c:pt>
                <c:pt idx="5">
                  <c:v>0.53216833616864778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6C3-4E21-9B31-AAB327639D61}"/>
            </c:ext>
          </c:extLst>
        </c:ser>
        <c:ser>
          <c:idx val="8"/>
          <c:order val="8"/>
          <c:tx>
            <c:strRef>
              <c:f>'G-2-nový -přísp'!$M$180</c:f>
              <c:strCache>
                <c:ptCount val="1"/>
                <c:pt idx="0">
                  <c:v>Ostatní běžné výdaje*****</c:v>
                </c:pt>
              </c:strCache>
            </c:strRef>
          </c:tx>
          <c:spPr>
            <a:solidFill>
              <a:srgbClr val="B8BBC0"/>
            </a:solidFill>
            <a:ln w="19050">
              <a:noFill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-přísp'!$N$180:$S$180</c:f>
              <c:numCache>
                <c:formatCode>#\ ##0.0</c:formatCode>
                <c:ptCount val="6"/>
                <c:pt idx="0">
                  <c:v>-6.9514068579071275E-2</c:v>
                </c:pt>
                <c:pt idx="1">
                  <c:v>0.23015825211366989</c:v>
                </c:pt>
                <c:pt idx="2">
                  <c:v>0.18180844366078761</c:v>
                </c:pt>
                <c:pt idx="3">
                  <c:v>-0.41361902785904742</c:v>
                </c:pt>
                <c:pt idx="4">
                  <c:v>4.234465471491383E-3</c:v>
                </c:pt>
                <c:pt idx="5">
                  <c:v>1.3165243012349284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6C3-4E21-9B31-AAB327639D61}"/>
            </c:ext>
          </c:extLst>
        </c:ser>
        <c:ser>
          <c:idx val="9"/>
          <c:order val="9"/>
          <c:tx>
            <c:strRef>
              <c:f>'G-2-nový -přísp'!$M$181</c:f>
              <c:strCache>
                <c:ptCount val="1"/>
                <c:pt idx="0">
                  <c:v>Kapitálové výdaje</c:v>
                </c:pt>
              </c:strCache>
            </c:strRef>
          </c:tx>
          <c:spPr>
            <a:solidFill>
              <a:srgbClr val="89898E"/>
            </a:solidFill>
            <a:ln w="19050">
              <a:noFill/>
              <a:prstDash val="sysDash"/>
            </a:ln>
          </c:spPr>
          <c:invertIfNegative val="0"/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-přísp'!$N$181:$S$181</c:f>
              <c:numCache>
                <c:formatCode>#\ ##0.0</c:formatCode>
                <c:ptCount val="6"/>
                <c:pt idx="0">
                  <c:v>-0.58903031132553563</c:v>
                </c:pt>
                <c:pt idx="1">
                  <c:v>0.8555103759267676</c:v>
                </c:pt>
                <c:pt idx="2">
                  <c:v>1.1378323210553873</c:v>
                </c:pt>
                <c:pt idx="3">
                  <c:v>-0.2210580199357926</c:v>
                </c:pt>
                <c:pt idx="4">
                  <c:v>0.35742461409413834</c:v>
                </c:pt>
                <c:pt idx="5">
                  <c:v>2.2173570785535355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6C3-4E21-9B31-AAB327639D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overlap val="100"/>
        <c:axId val="194467712"/>
        <c:axId val="194473984"/>
      </c:barChart>
      <c:lineChart>
        <c:grouping val="standard"/>
        <c:varyColors val="0"/>
        <c:ser>
          <c:idx val="10"/>
          <c:order val="10"/>
          <c:tx>
            <c:strRef>
              <c:f>'G-2-nový -přísp'!$M$182</c:f>
              <c:strCache>
                <c:ptCount val="1"/>
                <c:pt idx="0">
                  <c:v>Výdaje celkem</c:v>
                </c:pt>
              </c:strCache>
            </c:strRef>
          </c:tx>
          <c:spPr>
            <a:ln w="22225">
              <a:noFill/>
            </a:ln>
          </c:spPr>
          <c:marker>
            <c:symbol val="circle"/>
            <c:size val="7"/>
            <c:spPr>
              <a:solidFill>
                <a:schemeClr val="bg1"/>
              </a:solidFill>
              <a:ln>
                <a:solidFill>
                  <a:schemeClr val="tx1">
                    <a:lumMod val="95000"/>
                    <a:lumOff val="5000"/>
                  </a:schemeClr>
                </a:solidFill>
              </a:ln>
            </c:spPr>
          </c:marker>
          <c:cat>
            <c:strRef>
              <c:f>'G-2-nový -přísp'!$N$171:$S$171</c:f>
              <c:strCache>
                <c:ptCount val="6"/>
                <c:pt idx="0">
                  <c:v>2021
1. pol.</c:v>
                </c:pt>
                <c:pt idx="1">
                  <c:v>2022
1. pol.</c:v>
                </c:pt>
                <c:pt idx="2">
                  <c:v>2023
1. pol.</c:v>
                </c:pt>
                <c:pt idx="3">
                  <c:v>2024
1. pol.</c:v>
                </c:pt>
                <c:pt idx="4">
                  <c:v>2025
1. pol.</c:v>
                </c:pt>
                <c:pt idx="5">
                  <c:v>2026
1. pol.</c:v>
                </c:pt>
              </c:strCache>
            </c:strRef>
          </c:cat>
          <c:val>
            <c:numRef>
              <c:f>'G-2-nový -přísp'!$N$182:$S$182</c:f>
              <c:numCache>
                <c:formatCode>#\ ##0.0</c:formatCode>
                <c:ptCount val="6"/>
                <c:pt idx="0">
                  <c:v>9.2653488339361871</c:v>
                </c:pt>
                <c:pt idx="1">
                  <c:v>-0.80418303806801816</c:v>
                </c:pt>
                <c:pt idx="2">
                  <c:v>16.764387452979605</c:v>
                </c:pt>
                <c:pt idx="3">
                  <c:v>0.19515836890151661</c:v>
                </c:pt>
                <c:pt idx="4">
                  <c:v>2.4975410423599556</c:v>
                </c:pt>
                <c:pt idx="5">
                  <c:v>6.1843993487535727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C6C3-4E21-9B31-AAB327639D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467712"/>
        <c:axId val="194473984"/>
      </c:lineChart>
      <c:catAx>
        <c:axId val="19446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6350">
            <a:solidFill>
              <a:schemeClr val="tx1"/>
            </a:solidFill>
          </a:ln>
        </c:spPr>
        <c:txPr>
          <a:bodyPr rot="0"/>
          <a:lstStyle/>
          <a:p>
            <a:pPr>
              <a:defRPr sz="800" b="0" i="0"/>
            </a:pPr>
            <a:endParaRPr lang="cs-CZ"/>
          </a:p>
        </c:txPr>
        <c:crossAx val="194473984"/>
        <c:crosses val="autoZero"/>
        <c:auto val="1"/>
        <c:lblAlgn val="ctr"/>
        <c:lblOffset val="0"/>
        <c:noMultiLvlLbl val="0"/>
      </c:catAx>
      <c:valAx>
        <c:axId val="194473984"/>
        <c:scaling>
          <c:orientation val="minMax"/>
          <c:max val="18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6350">
            <a:solidFill>
              <a:schemeClr val="tx1"/>
            </a:solidFill>
          </a:ln>
        </c:spPr>
        <c:txPr>
          <a:bodyPr/>
          <a:lstStyle/>
          <a:p>
            <a:pPr>
              <a:defRPr sz="800" b="0" i="0"/>
            </a:pPr>
            <a:endParaRPr lang="cs-CZ"/>
          </a:p>
        </c:txPr>
        <c:crossAx val="194467712"/>
        <c:crosses val="autoZero"/>
        <c:crossBetween val="between"/>
        <c:majorUnit val="2"/>
      </c:valAx>
      <c:spPr>
        <a:noFill/>
        <a:ln w="6350">
          <a:solidFill>
            <a:schemeClr val="tx1">
              <a:lumMod val="95000"/>
              <a:lumOff val="5000"/>
            </a:schemeClr>
          </a:solidFill>
        </a:ln>
      </c:spPr>
    </c:plotArea>
    <c:legend>
      <c:legendPos val="b"/>
      <c:layout>
        <c:manualLayout>
          <c:xMode val="edge"/>
          <c:yMode val="edge"/>
          <c:x val="6.4373448788802023E-2"/>
          <c:y val="0.81611607390919227"/>
          <c:w val="0.90374561875551174"/>
          <c:h val="0.17314990047165649"/>
        </c:manualLayout>
      </c:layout>
      <c:overlay val="0"/>
      <c:spPr>
        <a:ln w="6350">
          <a:solidFill>
            <a:schemeClr val="tx1"/>
          </a:solidFill>
        </a:ln>
      </c:spPr>
      <c:txPr>
        <a:bodyPr/>
        <a:lstStyle/>
        <a:p>
          <a:pPr>
            <a:defRPr sz="800" b="0" i="0"/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1" i="1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storieverze xmlns="8675fb2b-b414-4bad-b4c4-d9349268b5a1" xsi:nil="true"/>
    <Verzeform xmlns="8675fb2b-b414-4bad-b4c4-d9349268b5a1">v1.2</Verzeform>
    <Forma xmlns="8675fb2b-b414-4bad-b4c4-d9349268b5a1">
      <Value>Elektronická</Value>
    </Forma>
    <Vazbanaproces xmlns="8675fb2b-b414-4bad-b4c4-d9349268b5a1">179. Vnější komunikace
</Vazbanaproces>
    <Gestor xmlns="8675fb2b-b414-4bad-b4c4-d9349268b5a1">
      <UserInfo>
        <DisplayName>Novotný Michal</DisplayName>
        <AccountId>24</AccountId>
        <AccountType/>
      </UserInfo>
    </Gestor>
    <Form_c xmlns="8675fb2b-b414-4bad-b4c4-d9349268b5a1">444</Form_c>
    <NazevForm xmlns="8675fb2b-b414-4bad-b4c4-d9349268b5a1">Publikace CZ barevná - regiony a země - analýzy</NazevForm>
    <UcinnostOdForm xmlns="8675fb2b-b414-4bad-b4c4-d9349268b5a1">2026-09-06T22:00:00+00:00</UcinnostOdForm>
    <PredpisForm xmlns="8675fb2b-b414-4bad-b4c4-d9349268b5a1">Manuál značky a jednotného vizuálního stylu Českého statistického úřadu</PredpisForm>
    <UstanoveniForm xmlns="8675fb2b-b414-4bad-b4c4-d9349268b5a1" xsi:nil="true"/>
    <PoznForm xmlns="8675fb2b-b414-4bad-b4c4-d9349268b5a1" xsi:nil="true"/>
    <Oznaceni xmlns="8675fb2b-b414-4bad-b4c4-d9349268b5a1">Form_c444</Oznaceni>
    <UcinnostDoForm xmlns="8675fb2b-b414-4bad-b4c4-d9349268b5a1" xsi:nil="true"/>
    <Platnost xmlns="8675fb2b-b414-4bad-b4c4-d9349268b5a1">true</Platnost>
    <Odkaz xmlns="8675fb2b-b414-4bad-b4c4-d9349268b5a1">
      <Url xsi:nil="true"/>
      <Description xsi:nil="true"/>
    </Odkaz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ProcDomena xmlns="406a38fe-c53c-4047-b0f8-c641386931ae">
      <Value>P4 Komunikace a propagace</Value>
    </ProcDomena>
    <DomenaForm xmlns="8675fb2b-b414-4bad-b4c4-d9349268b5a1" xsi:nil="true"/>
    <SiteKnihDok xmlns="406a38fe-c53c-4047-b0f8-c641386931ae">Vnitřní předpisy</SiteKnihDo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40" ma:contentTypeDescription="Vytvoří nový dokument" ma:contentTypeScope="" ma:versionID="110421115ddc15f999b8bb81d2de1ec1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8ff216229c3f5ed4e0b6e8627bc574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iteKnihDok" minOccurs="0"/>
                <xsd:element ref="ns3:ProcDome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_old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KnihDok" ma:index="37" nillable="true" ma:displayName="SiteKnihDok" ma:default="Vnitřní předpisy" ma:description="Seznam knihoven v Site Knihovna dokumentů ČSÚ" ma:format="Dropdown" ma:internalName="SiteKnihDok">
      <xsd:simpleType>
        <xsd:restriction base="dms:Choice">
          <xsd:enumeration value="Vnitřní předpisy"/>
          <xsd:enumeration value="Formuláře"/>
          <xsd:enumeration value="Návody a manuály"/>
          <xsd:enumeration value="Zápisy a reporty"/>
        </xsd:restriction>
      </xsd:simpleType>
    </xsd:element>
    <xsd:element name="ProcDomena" ma:index="38" nillable="true" ma:displayName="Procesní doména" ma:default="P1 Bezpečnost" ma:internalName="ProcDomen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 Koordinace a správa metodiky"/>
                    <xsd:enumeration value="H2 Posouzení požadavků"/>
                    <xsd:enumeration value="H3 Specifikace úlohy"/>
                    <xsd:enumeration value="H4 Příprava zpracování"/>
                    <xsd:enumeration value="H5 Sběr dat"/>
                    <xsd:enumeration value="H6 Statistické zpracování"/>
                    <xsd:enumeration value="H7 Analýza a tvorba výstupů"/>
                    <xsd:enumeration value="H8 Diseminace"/>
                    <xsd:enumeration value="H9 Evaluace"/>
                    <xsd:enumeration value="H10 Zpracování voleb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A6635-18E5-4C5D-A03B-290B098117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7681AD-41B0-431A-9D34-CF6700A12FAC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3.xml><?xml version="1.0" encoding="utf-8"?>
<ds:datastoreItem xmlns:ds="http://schemas.openxmlformats.org/officeDocument/2006/customXml" ds:itemID="{4520BFF4-F202-41B8-B99D-38B5B9511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A8A1E1-1E99-4B4F-B9B5-70567730AA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Form_c444_Publikace_regiony a zeme - analyzy.dotx</Template>
  <TotalTime>89</TotalTime>
  <Pages>7</Pages>
  <Words>3171</Words>
  <Characters>18711</Characters>
  <Application>Microsoft Office Word</Application>
  <DocSecurity>0</DocSecurity>
  <Lines>155</Lines>
  <Paragraphs>43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Company>CSU</Company>
  <LinksUpToDate>false</LinksUpToDate>
  <CharactersWithSpaces>21839</CharactersWithSpaces>
  <SharedDoc>false</SharedDoc>
  <HLinks>
    <vt:vector size="18" baseType="variant">
      <vt:variant>
        <vt:i4>7602181</vt:i4>
      </vt:variant>
      <vt:variant>
        <vt:i4>11092</vt:i4>
      </vt:variant>
      <vt:variant>
        <vt:i4>1025</vt:i4>
      </vt:variant>
      <vt:variant>
        <vt:i4>1</vt:i4>
      </vt:variant>
      <vt:variant>
        <vt:lpwstr>msoFAAF</vt:lpwstr>
      </vt:variant>
      <vt:variant>
        <vt:lpwstr/>
      </vt:variant>
      <vt:variant>
        <vt:i4>7995509</vt:i4>
      </vt:variant>
      <vt:variant>
        <vt:i4>-1</vt:i4>
      </vt:variant>
      <vt:variant>
        <vt:i4>2058</vt:i4>
      </vt:variant>
      <vt:variant>
        <vt:i4>1</vt:i4>
      </vt:variant>
      <vt:variant>
        <vt:lpwstr>CSU RGB CZ logo-02</vt:lpwstr>
      </vt:variant>
      <vt:variant>
        <vt:lpwstr/>
      </vt:variant>
      <vt:variant>
        <vt:i4>7929973</vt:i4>
      </vt:variant>
      <vt:variant>
        <vt:i4>-1</vt:i4>
      </vt:variant>
      <vt:variant>
        <vt:i4>2059</vt:i4>
      </vt:variant>
      <vt:variant>
        <vt:i4>1</vt:i4>
      </vt:variant>
      <vt:variant>
        <vt:lpwstr>CSU RGB CZ logo-01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Publikace CZ barevná - regiony a země - analýzy</dc:title>
  <dc:subject/>
  <dc:creator>Zábojníková Karolína</dc:creator>
  <cp:keywords/>
  <cp:lastModifiedBy>Zábojníková Karolína</cp:lastModifiedBy>
  <cp:revision>46</cp:revision>
  <cp:lastPrinted>2014-07-17T14:07:00Z</cp:lastPrinted>
  <dcterms:created xsi:type="dcterms:W3CDTF">2026-09-14T09:32:00Z</dcterms:created>
  <dcterms:modified xsi:type="dcterms:W3CDTF">2026-09-15T10:28:00Z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Názevformuláře">
    <vt:lpwstr>Publikace CZ barevné - vícetematické analýzy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Manuál ke zveřejňování produktů ČSÚ
</vt:lpwstr>
  </property>
  <property fmtid="{D5CDD505-2E9C-101B-9397-08002B2CF9AE}" pid="6" name="Ustanovení">
    <vt:lpwstr>část první čl. 2, odst. 3b,c; část pátá; příloha 1
</vt:lpwstr>
  </property>
  <property fmtid="{D5CDD505-2E9C-101B-9397-08002B2CF9AE}" pid="7" name="Účinnostod">
    <vt:filetime>2018-04-17T07:00:00Z</vt:filetime>
  </property>
  <property fmtid="{D5CDD505-2E9C-101B-9397-08002B2CF9AE}" pid="8" name="Označení">
    <vt:lpwstr>Form_c444</vt:lpwstr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