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230D2" w14:textId="77777777" w:rsidR="00010A2C" w:rsidRPr="009110F7" w:rsidRDefault="00010A2C" w:rsidP="00010A2C">
      <w:pPr>
        <w:pStyle w:val="Nadpis1"/>
      </w:pPr>
      <w:bookmarkStart w:id="0" w:name="_Toc90395910"/>
      <w:bookmarkStart w:id="1" w:name="_Toc98245441"/>
      <w:bookmarkStart w:id="2" w:name="_Toc58605374"/>
      <w:bookmarkStart w:id="3" w:name="_Toc66719930"/>
      <w:bookmarkStart w:id="4" w:name="_Toc532558287"/>
      <w:bookmarkStart w:id="5" w:name="_Toc58605375"/>
      <w:r w:rsidRPr="0077605B">
        <w:t>2</w:t>
      </w:r>
      <w:r>
        <w:t>. </w:t>
      </w:r>
      <w:r w:rsidRPr="0077605B">
        <w:t>Souhrnná výkonnost</w:t>
      </w:r>
      <w:bookmarkEnd w:id="0"/>
      <w:bookmarkEnd w:id="1"/>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010A2C" w:rsidRPr="009110F7" w14:paraId="1A74DB39" w14:textId="77777777" w:rsidTr="00913237">
        <w:trPr>
          <w:trHeight w:val="145"/>
        </w:trPr>
        <w:tc>
          <w:tcPr>
            <w:tcW w:w="1806" w:type="dxa"/>
            <w:shd w:val="clear" w:color="auto" w:fill="auto"/>
            <w:tcMar>
              <w:left w:w="0" w:type="dxa"/>
            </w:tcMar>
          </w:tcPr>
          <w:p w14:paraId="2A77C6ED" w14:textId="77777777" w:rsidR="00010A2C" w:rsidRDefault="00010A2C" w:rsidP="00913237">
            <w:pPr>
              <w:pStyle w:val="Marginlie"/>
            </w:pPr>
            <w:r>
              <w:t>Hrubý domácí produkt loni vzrostl, ale za úrovní roku 2019 stále reálně zaostával.</w:t>
            </w:r>
          </w:p>
        </w:tc>
        <w:tc>
          <w:tcPr>
            <w:tcW w:w="223" w:type="dxa"/>
            <w:shd w:val="clear" w:color="auto" w:fill="auto"/>
            <w:tcMar>
              <w:left w:w="0" w:type="dxa"/>
            </w:tcMar>
          </w:tcPr>
          <w:p w14:paraId="50173562" w14:textId="77777777" w:rsidR="00010A2C" w:rsidRDefault="00010A2C" w:rsidP="00913237">
            <w:pPr>
              <w:pStyle w:val="Textpoznpodarou"/>
              <w:jc w:val="both"/>
              <w:rPr>
                <w:spacing w:val="-4"/>
              </w:rPr>
            </w:pPr>
          </w:p>
        </w:tc>
        <w:tc>
          <w:tcPr>
            <w:tcW w:w="7610" w:type="dxa"/>
            <w:shd w:val="clear" w:color="auto" w:fill="auto"/>
            <w:tcMar>
              <w:left w:w="0" w:type="dxa"/>
            </w:tcMar>
          </w:tcPr>
          <w:p w14:paraId="2567CECA" w14:textId="77777777" w:rsidR="00010A2C" w:rsidRPr="00014ED0" w:rsidRDefault="00010A2C" w:rsidP="00913237">
            <w:pPr>
              <w:rPr>
                <w:spacing w:val="-2"/>
              </w:rPr>
            </w:pPr>
            <w:r>
              <w:rPr>
                <w:spacing w:val="-2"/>
              </w:rPr>
              <w:t>Hrubý domácí produkt (HDP) v roce 2021 reálně vzrostl o 3,3 %</w:t>
            </w:r>
            <w:r w:rsidRPr="00014ED0">
              <w:rPr>
                <w:rStyle w:val="Znakapoznpodarou"/>
                <w:rFonts w:cs="Arial"/>
                <w:spacing w:val="-2"/>
              </w:rPr>
              <w:footnoteReference w:id="1"/>
            </w:r>
            <w:r>
              <w:rPr>
                <w:spacing w:val="-2"/>
              </w:rPr>
              <w:t>. Po hlubokém propadu z roku 2020 se tak domácí ekonomika postupně zotavovala. Celkově ale zatím HDP vyjádřený ve stálých cenách zaostával za úrovní roku 2019. Loňský růst HDP nejvíce podpořila tvorba hrubého kapitálu, především nárůst zásob. Silně se zvyšovala také spotřeba domácností. Naopak zahraniční poptávka růst HDP výrazně brzdila, dokonce více než v roce 2020, kdy se na nějakou dobu zastavila výroba v některých podnicích zaměřených na export.</w:t>
            </w:r>
          </w:p>
        </w:tc>
      </w:tr>
      <w:tr w:rsidR="00010A2C" w:rsidRPr="009110F7" w14:paraId="68168430" w14:textId="77777777" w:rsidTr="00913237">
        <w:trPr>
          <w:trHeight w:val="145"/>
        </w:trPr>
        <w:tc>
          <w:tcPr>
            <w:tcW w:w="1806" w:type="dxa"/>
            <w:shd w:val="clear" w:color="auto" w:fill="auto"/>
            <w:tcMar>
              <w:left w:w="0" w:type="dxa"/>
            </w:tcMar>
          </w:tcPr>
          <w:p w14:paraId="100AEA42" w14:textId="77777777" w:rsidR="00010A2C" w:rsidRDefault="00010A2C" w:rsidP="00913237">
            <w:pPr>
              <w:pStyle w:val="Marginlie"/>
            </w:pPr>
            <w:r>
              <w:t>Ve 4. čtvrtletí HDP meziročně i mezičtvrtletně rostl.</w:t>
            </w:r>
          </w:p>
        </w:tc>
        <w:tc>
          <w:tcPr>
            <w:tcW w:w="223" w:type="dxa"/>
            <w:shd w:val="clear" w:color="auto" w:fill="auto"/>
            <w:tcMar>
              <w:left w:w="0" w:type="dxa"/>
            </w:tcMar>
          </w:tcPr>
          <w:p w14:paraId="0DC9A392" w14:textId="77777777" w:rsidR="00010A2C" w:rsidRDefault="00010A2C" w:rsidP="00913237">
            <w:pPr>
              <w:pStyle w:val="Textpoznpodarou"/>
              <w:jc w:val="both"/>
              <w:rPr>
                <w:spacing w:val="-4"/>
              </w:rPr>
            </w:pPr>
          </w:p>
        </w:tc>
        <w:tc>
          <w:tcPr>
            <w:tcW w:w="7610" w:type="dxa"/>
            <w:shd w:val="clear" w:color="auto" w:fill="auto"/>
            <w:tcMar>
              <w:left w:w="0" w:type="dxa"/>
            </w:tcMar>
          </w:tcPr>
          <w:p w14:paraId="0B94D75B" w14:textId="77777777" w:rsidR="00010A2C" w:rsidRDefault="00010A2C" w:rsidP="00913237">
            <w:pPr>
              <w:rPr>
                <w:spacing w:val="-2"/>
              </w:rPr>
            </w:pPr>
            <w:r>
              <w:rPr>
                <w:spacing w:val="-2"/>
              </w:rPr>
              <w:t>Meziroční dynamika HDP byla v průběhu loňského roku výrazně ovlivněna nízkou srovnávací základnou roku 2020 – nejvíce to bylo patrné ve 2. čtvrtletí. Ve 4. čtvrtletí 2021 neplatila tak přísná restriktivní opatření jako ve stejném období roku 2020</w:t>
            </w:r>
            <w:r>
              <w:rPr>
                <w:rStyle w:val="Znakapoznpodarou"/>
                <w:spacing w:val="-2"/>
              </w:rPr>
              <w:footnoteReference w:id="2"/>
            </w:r>
            <w:r>
              <w:rPr>
                <w:spacing w:val="-2"/>
              </w:rPr>
              <w:t>, oproti 3. kvartálu 2021 se ale zpřísnila. Meziroční přírůstek HDP ve 4. čtvrtletí tak dosáhl 3,6 %. Jeho růst silně podporovala domácí poptávka – spotřeba i kapitálové výdaje. Bilance zahraničního obchodu naopak působila negativně, na čemž mělo podíl i srovnání s velmi silným závěrem roku 2020, kdy významně rostl export a bilance zahraničního obchodu dosahovala rekordní úrovně. Mezičtvrtletní přírůstek HDP ve 4. čtvrtletí 2021 činil 0,9 % a zpomalil ve srovnání s dynamikou 2. i 3. kvartálu. Došlo přitom k poklesu domácí spotřeby i výdajů na tvorbu hrubého kapitálu. K růstu HDP tak přispívala pouze zahraniční poptávka. Hrubý domácí produkt vyjádřený v cenách roku 2015 ve 4. čtvrtletí 2021 nedosáhl úrovně stejného období roku 2019.</w:t>
            </w:r>
          </w:p>
        </w:tc>
      </w:tr>
      <w:tr w:rsidR="00010A2C" w:rsidRPr="009110F7" w14:paraId="6266996C" w14:textId="77777777" w:rsidTr="00913237">
        <w:trPr>
          <w:trHeight w:val="170"/>
        </w:trPr>
        <w:tc>
          <w:tcPr>
            <w:tcW w:w="1806" w:type="dxa"/>
            <w:vMerge w:val="restart"/>
            <w:shd w:val="clear" w:color="auto" w:fill="auto"/>
            <w:tcMar>
              <w:left w:w="0" w:type="dxa"/>
            </w:tcMar>
          </w:tcPr>
          <w:p w14:paraId="42DA263D" w14:textId="77777777" w:rsidR="00010A2C" w:rsidRDefault="00010A2C" w:rsidP="00913237">
            <w:pPr>
              <w:pStyle w:val="Marginlie"/>
            </w:pPr>
          </w:p>
        </w:tc>
        <w:tc>
          <w:tcPr>
            <w:tcW w:w="223" w:type="dxa"/>
            <w:vMerge w:val="restart"/>
            <w:shd w:val="clear" w:color="auto" w:fill="auto"/>
            <w:tcMar>
              <w:left w:w="0" w:type="dxa"/>
            </w:tcMar>
          </w:tcPr>
          <w:p w14:paraId="45F9D537" w14:textId="77777777" w:rsidR="00010A2C" w:rsidRDefault="00010A2C" w:rsidP="00913237">
            <w:pPr>
              <w:pStyle w:val="Textpoznpodarou"/>
              <w:jc w:val="both"/>
              <w:rPr>
                <w:spacing w:val="-4"/>
              </w:rPr>
            </w:pPr>
          </w:p>
        </w:tc>
        <w:tc>
          <w:tcPr>
            <w:tcW w:w="7610" w:type="dxa"/>
            <w:shd w:val="clear" w:color="auto" w:fill="auto"/>
            <w:tcMar>
              <w:left w:w="0" w:type="dxa"/>
            </w:tcMar>
          </w:tcPr>
          <w:p w14:paraId="1C757DC4" w14:textId="77777777" w:rsidR="00010A2C" w:rsidRPr="00D721B4" w:rsidRDefault="00010A2C" w:rsidP="00913237">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 %)</w:t>
            </w:r>
          </w:p>
        </w:tc>
      </w:tr>
      <w:tr w:rsidR="00010A2C" w:rsidRPr="009110F7" w14:paraId="15F04752" w14:textId="77777777" w:rsidTr="00913237">
        <w:tblPrEx>
          <w:tblCellMar>
            <w:left w:w="70" w:type="dxa"/>
            <w:right w:w="70" w:type="dxa"/>
          </w:tblCellMar>
        </w:tblPrEx>
        <w:trPr>
          <w:trHeight w:val="170"/>
        </w:trPr>
        <w:tc>
          <w:tcPr>
            <w:tcW w:w="1806" w:type="dxa"/>
            <w:vMerge/>
            <w:shd w:val="clear" w:color="auto" w:fill="auto"/>
          </w:tcPr>
          <w:p w14:paraId="1518C08B" w14:textId="77777777" w:rsidR="00010A2C" w:rsidRPr="009110F7" w:rsidRDefault="00010A2C" w:rsidP="00913237">
            <w:pPr>
              <w:pStyle w:val="Marginlie"/>
            </w:pPr>
          </w:p>
        </w:tc>
        <w:tc>
          <w:tcPr>
            <w:tcW w:w="223" w:type="dxa"/>
            <w:vMerge/>
            <w:shd w:val="clear" w:color="auto" w:fill="auto"/>
          </w:tcPr>
          <w:p w14:paraId="719F5515" w14:textId="77777777" w:rsidR="00010A2C" w:rsidRPr="009110F7" w:rsidRDefault="00010A2C" w:rsidP="00913237">
            <w:pPr>
              <w:pStyle w:val="Textpoznpodarou"/>
              <w:jc w:val="both"/>
              <w:rPr>
                <w:spacing w:val="-4"/>
              </w:rPr>
            </w:pPr>
          </w:p>
        </w:tc>
        <w:tc>
          <w:tcPr>
            <w:tcW w:w="7610" w:type="dxa"/>
            <w:shd w:val="clear" w:color="auto" w:fill="auto"/>
          </w:tcPr>
          <w:p w14:paraId="088FF680" w14:textId="77777777" w:rsidR="00010A2C" w:rsidRPr="009110F7" w:rsidRDefault="00010A2C" w:rsidP="00913237">
            <w:pPr>
              <w:spacing w:after="0"/>
            </w:pPr>
            <w:r>
              <w:rPr>
                <w:noProof/>
              </w:rPr>
              <w:drawing>
                <wp:inline distT="0" distB="0" distL="0" distR="0" wp14:anchorId="422FAF5A" wp14:editId="3A66D561">
                  <wp:extent cx="4737600" cy="3553200"/>
                  <wp:effectExtent l="0" t="0" r="6350" b="0"/>
                  <wp:docPr id="34" name="Graf 3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10A2C" w:rsidRPr="009110F7" w14:paraId="290891F6" w14:textId="77777777" w:rsidTr="00913237">
        <w:trPr>
          <w:trHeight w:val="170"/>
        </w:trPr>
        <w:tc>
          <w:tcPr>
            <w:tcW w:w="1806" w:type="dxa"/>
            <w:vMerge/>
            <w:shd w:val="clear" w:color="auto" w:fill="auto"/>
            <w:tcMar>
              <w:left w:w="0" w:type="dxa"/>
            </w:tcMar>
          </w:tcPr>
          <w:p w14:paraId="3DECDED2" w14:textId="77777777" w:rsidR="00010A2C" w:rsidRPr="009110F7" w:rsidRDefault="00010A2C" w:rsidP="00913237">
            <w:pPr>
              <w:pStyle w:val="Marginlie"/>
            </w:pPr>
          </w:p>
        </w:tc>
        <w:tc>
          <w:tcPr>
            <w:tcW w:w="223" w:type="dxa"/>
            <w:vMerge/>
            <w:shd w:val="clear" w:color="auto" w:fill="auto"/>
            <w:tcMar>
              <w:left w:w="0" w:type="dxa"/>
            </w:tcMar>
          </w:tcPr>
          <w:p w14:paraId="432CE373" w14:textId="77777777" w:rsidR="00010A2C" w:rsidRPr="009110F7" w:rsidRDefault="00010A2C" w:rsidP="00913237">
            <w:pPr>
              <w:pStyle w:val="Textpoznpodarou"/>
              <w:jc w:val="both"/>
              <w:rPr>
                <w:spacing w:val="-4"/>
              </w:rPr>
            </w:pPr>
          </w:p>
        </w:tc>
        <w:tc>
          <w:tcPr>
            <w:tcW w:w="7610" w:type="dxa"/>
            <w:shd w:val="clear" w:color="auto" w:fill="auto"/>
            <w:tcMar>
              <w:left w:w="0" w:type="dxa"/>
            </w:tcMar>
          </w:tcPr>
          <w:p w14:paraId="2C1E7F5B" w14:textId="77777777" w:rsidR="00010A2C" w:rsidRPr="009110F7" w:rsidRDefault="00010A2C" w:rsidP="00913237">
            <w:pPr>
              <w:spacing w:after="220"/>
              <w:rPr>
                <w:sz w:val="14"/>
                <w:szCs w:val="14"/>
              </w:rPr>
            </w:pPr>
            <w:r>
              <w:rPr>
                <w:sz w:val="14"/>
                <w:szCs w:val="14"/>
              </w:rPr>
              <w:t>Zdroj: ČSÚ, Eurostat</w:t>
            </w:r>
          </w:p>
        </w:tc>
      </w:tr>
      <w:tr w:rsidR="00010A2C" w:rsidRPr="009110F7" w14:paraId="4797E8D7" w14:textId="77777777" w:rsidTr="00913237">
        <w:trPr>
          <w:trHeight w:val="145"/>
        </w:trPr>
        <w:tc>
          <w:tcPr>
            <w:tcW w:w="1806" w:type="dxa"/>
            <w:shd w:val="clear" w:color="auto" w:fill="auto"/>
            <w:tcMar>
              <w:left w:w="0" w:type="dxa"/>
            </w:tcMar>
          </w:tcPr>
          <w:p w14:paraId="48D46448" w14:textId="77777777" w:rsidR="00010A2C" w:rsidRDefault="00010A2C" w:rsidP="00913237">
            <w:pPr>
              <w:pStyle w:val="Marginlie"/>
            </w:pPr>
            <w:r>
              <w:t xml:space="preserve">Evropským ekonomikám se dařilo zotavovat </w:t>
            </w:r>
            <w:r>
              <w:lastRenderedPageBreak/>
              <w:t>a mnohé již překonaly předkrizovou úroveň.</w:t>
            </w:r>
          </w:p>
        </w:tc>
        <w:tc>
          <w:tcPr>
            <w:tcW w:w="223" w:type="dxa"/>
            <w:shd w:val="clear" w:color="auto" w:fill="auto"/>
            <w:tcMar>
              <w:left w:w="0" w:type="dxa"/>
            </w:tcMar>
          </w:tcPr>
          <w:p w14:paraId="1717F6CD" w14:textId="77777777" w:rsidR="00010A2C" w:rsidRDefault="00010A2C" w:rsidP="00913237">
            <w:pPr>
              <w:pStyle w:val="Textpoznpodarou"/>
              <w:jc w:val="both"/>
              <w:rPr>
                <w:spacing w:val="-4"/>
              </w:rPr>
            </w:pPr>
          </w:p>
        </w:tc>
        <w:tc>
          <w:tcPr>
            <w:tcW w:w="7610" w:type="dxa"/>
            <w:shd w:val="clear" w:color="auto" w:fill="auto"/>
            <w:tcMar>
              <w:left w:w="0" w:type="dxa"/>
            </w:tcMar>
          </w:tcPr>
          <w:p w14:paraId="0D63C562" w14:textId="77777777" w:rsidR="00010A2C" w:rsidRDefault="00010A2C" w:rsidP="00913237">
            <w:r>
              <w:t>Celkový meziroční růst HDP v Evropské unii ve 4. čtvrtletí mírně zrychlil na 4,8 %</w:t>
            </w:r>
            <w:r>
              <w:rPr>
                <w:rStyle w:val="Znakapoznpodarou"/>
              </w:rPr>
              <w:footnoteReference w:id="3"/>
            </w:r>
            <w:r>
              <w:t xml:space="preserve">. Pokračovalo tak postupné zotavování evropských ekonomik a většina z nich také </w:t>
            </w:r>
            <w:r>
              <w:lastRenderedPageBreak/>
              <w:t>přesáhla úroveň stejného období roku 2019</w:t>
            </w:r>
            <w:r>
              <w:rPr>
                <w:rStyle w:val="Znakapoznpodarou"/>
              </w:rPr>
              <w:footnoteReference w:id="4"/>
            </w:r>
            <w:r>
              <w:t>. Meziročně rostl HDP ve všech ekonomikách EU a největší přírůstek podle dostupných dat vykázaly Slovinsko (10,5 %), Chorvatsko (9,9 %) a Estonsko (8,8 %). Jen mírně rostl HDP na Slovensku (1,1 %), v Německu (1,8 %) a v Rumunsku (2,7 %). Oproti 3. čtvrtletí 2021 se HDP v EU zvýšil o 0,4 %. Poměrně nízký celkový přírůstek byl ovlivněn hlavně problematickým vývojem německé ekonomiky, která mezičtvrtletně klesla o 0,3 %. Nižší byl i HDP v Rakousku (–2,2 %), Rumunsku (–0,5 %), v Lotyšsku (–0,1 %) a v Chorvatsku (–0,1 %). Naopak velmi silného mezičtvrtletního přírůstku HDP dosáhly Slovinsko (5,4 %), Španělsko (2,0 %) a Maďarsko (2,0 %).</w:t>
            </w:r>
          </w:p>
        </w:tc>
      </w:tr>
      <w:tr w:rsidR="00010A2C" w:rsidRPr="009110F7" w14:paraId="40D86DAD" w14:textId="77777777" w:rsidTr="00913237">
        <w:trPr>
          <w:trHeight w:val="145"/>
        </w:trPr>
        <w:tc>
          <w:tcPr>
            <w:tcW w:w="1806" w:type="dxa"/>
            <w:shd w:val="clear" w:color="auto" w:fill="auto"/>
            <w:tcMar>
              <w:left w:w="0" w:type="dxa"/>
            </w:tcMar>
          </w:tcPr>
          <w:p w14:paraId="29CC4857" w14:textId="77777777" w:rsidR="00010A2C" w:rsidRDefault="00010A2C" w:rsidP="00913237">
            <w:pPr>
              <w:pStyle w:val="Marginlie"/>
            </w:pPr>
            <w:r>
              <w:lastRenderedPageBreak/>
              <w:t>Mzdy a platy v loňském roce narážely na silný cenový růst, který tlumil jejich reálný růst.</w:t>
            </w:r>
          </w:p>
        </w:tc>
        <w:tc>
          <w:tcPr>
            <w:tcW w:w="223" w:type="dxa"/>
            <w:shd w:val="clear" w:color="auto" w:fill="auto"/>
            <w:tcMar>
              <w:left w:w="0" w:type="dxa"/>
            </w:tcMar>
          </w:tcPr>
          <w:p w14:paraId="1CFFE8FB" w14:textId="77777777" w:rsidR="00010A2C" w:rsidRDefault="00010A2C" w:rsidP="00913237">
            <w:pPr>
              <w:pStyle w:val="Textpoznpodarou"/>
              <w:jc w:val="both"/>
              <w:rPr>
                <w:spacing w:val="-4"/>
              </w:rPr>
            </w:pPr>
          </w:p>
        </w:tc>
        <w:tc>
          <w:tcPr>
            <w:tcW w:w="7610" w:type="dxa"/>
            <w:shd w:val="clear" w:color="auto" w:fill="auto"/>
            <w:tcMar>
              <w:left w:w="0" w:type="dxa"/>
            </w:tcMar>
          </w:tcPr>
          <w:p w14:paraId="2099A194" w14:textId="25FD4682" w:rsidR="00010A2C" w:rsidRPr="00014ED0" w:rsidRDefault="00010A2C" w:rsidP="00AC5256">
            <w:pPr>
              <w:rPr>
                <w:spacing w:val="-2"/>
              </w:rPr>
            </w:pPr>
            <w:r>
              <w:rPr>
                <w:spacing w:val="-2"/>
              </w:rPr>
              <w:t>V roce 2021 se celkový objem vyplacených mezd a platů zvýšil o 6,8 % při současném navýšení celkové zaměstnanosti o 0,1 %</w:t>
            </w:r>
            <w:r w:rsidRPr="00014ED0">
              <w:rPr>
                <w:rStyle w:val="Znakapoznpodarou"/>
                <w:spacing w:val="-2"/>
              </w:rPr>
              <w:footnoteReference w:id="5"/>
            </w:r>
            <w:r>
              <w:rPr>
                <w:spacing w:val="-2"/>
              </w:rPr>
              <w:t xml:space="preserve">. Posílení cenového růstu ale způsobilo, že reálný nárůst </w:t>
            </w:r>
            <w:r w:rsidR="00AC5256">
              <w:rPr>
                <w:spacing w:val="-2"/>
              </w:rPr>
              <w:t>objemu mezd</w:t>
            </w:r>
            <w:r>
              <w:rPr>
                <w:spacing w:val="-2"/>
              </w:rPr>
              <w:t xml:space="preserve"> loni dosáhl 3,7 %</w:t>
            </w:r>
            <w:r>
              <w:rPr>
                <w:rStyle w:val="Znakapoznpodarou"/>
                <w:spacing w:val="-2"/>
              </w:rPr>
              <w:footnoteReference w:id="6"/>
            </w:r>
            <w:r>
              <w:rPr>
                <w:spacing w:val="-2"/>
              </w:rPr>
              <w:t>. Nejvíce se zvyšoval objem mezd vyplacených v činnostech v oblasti nemovitostí (14,1 % při stagnaci zaměstnanosti) a dále v odvětvích s převahou vládního sektoru</w:t>
            </w:r>
            <w:r>
              <w:rPr>
                <w:rStyle w:val="Znakapoznpodarou"/>
                <w:spacing w:val="-2"/>
              </w:rPr>
              <w:footnoteReference w:id="7"/>
            </w:r>
            <w:r>
              <w:rPr>
                <w:spacing w:val="-2"/>
              </w:rPr>
              <w:t xml:space="preserve"> (8,9 %, růst zaměstnanosti o 2,8 %), kde se projevovalo vyplácení odměn zdravotníkům a dalším složkám podílejícím se na řešení pandemie. Nadprůměrně rostl také objem výdělků v profesních, vědeckých, technických a administrativních činnostech (7,7 %) a pokračující silný růst zaměstnanosti</w:t>
            </w:r>
            <w:r>
              <w:rPr>
                <w:rStyle w:val="Znakapoznpodarou"/>
                <w:spacing w:val="-2"/>
              </w:rPr>
              <w:footnoteReference w:id="8"/>
            </w:r>
            <w:r>
              <w:rPr>
                <w:spacing w:val="-2"/>
              </w:rPr>
              <w:t xml:space="preserve"> (3,4 %) podpořil růst mezd a platů v informačních a komunikačních činnostech (6,9 %). Mzdy a platy ve zpracovatelském průmyslu byly vyšší o 6,3 %, zatímco zaměstnanost klesla o 0,5 %. Podprůměrný byl také přírůstek v uskupení obchod, doprava, ubytování a pohostinství (5,7 % při poklesu zaměstnanosti o 1,7 %), ve stavebnictví (5,5 %), ostatních činnostech (5,4 %), zemědělství, lesnictví a rybářství (4,9 %) a peněžnictví a pojišťovnictví (2,2 %).</w:t>
            </w:r>
          </w:p>
        </w:tc>
      </w:tr>
      <w:tr w:rsidR="00010A2C" w:rsidRPr="009110F7" w14:paraId="2B117F54" w14:textId="77777777" w:rsidTr="00913237">
        <w:trPr>
          <w:trHeight w:val="145"/>
        </w:trPr>
        <w:tc>
          <w:tcPr>
            <w:tcW w:w="1806" w:type="dxa"/>
            <w:shd w:val="clear" w:color="auto" w:fill="auto"/>
            <w:tcMar>
              <w:left w:w="0" w:type="dxa"/>
            </w:tcMar>
          </w:tcPr>
          <w:p w14:paraId="49F4678E" w14:textId="77777777" w:rsidR="00010A2C" w:rsidRDefault="00010A2C" w:rsidP="00913237">
            <w:pPr>
              <w:pStyle w:val="Marginlie"/>
            </w:pPr>
            <w:r>
              <w:t>Ve 4. čtvrtletí meziročně rostly mzdy i zaměstnanost.</w:t>
            </w:r>
          </w:p>
        </w:tc>
        <w:tc>
          <w:tcPr>
            <w:tcW w:w="223" w:type="dxa"/>
            <w:shd w:val="clear" w:color="auto" w:fill="auto"/>
            <w:tcMar>
              <w:left w:w="0" w:type="dxa"/>
            </w:tcMar>
          </w:tcPr>
          <w:p w14:paraId="40358708" w14:textId="77777777" w:rsidR="00010A2C" w:rsidRDefault="00010A2C" w:rsidP="00913237">
            <w:pPr>
              <w:pStyle w:val="Textpoznpodarou"/>
              <w:jc w:val="both"/>
              <w:rPr>
                <w:spacing w:val="-4"/>
              </w:rPr>
            </w:pPr>
          </w:p>
        </w:tc>
        <w:tc>
          <w:tcPr>
            <w:tcW w:w="7610" w:type="dxa"/>
            <w:shd w:val="clear" w:color="auto" w:fill="auto"/>
            <w:tcMar>
              <w:left w:w="0" w:type="dxa"/>
            </w:tcMar>
          </w:tcPr>
          <w:p w14:paraId="608A0C94" w14:textId="57F76807" w:rsidR="00010A2C" w:rsidRDefault="00010A2C" w:rsidP="00AC5256">
            <w:pPr>
              <w:rPr>
                <w:spacing w:val="-2"/>
              </w:rPr>
            </w:pPr>
            <w:r>
              <w:rPr>
                <w:spacing w:val="-2"/>
              </w:rPr>
              <w:t>Ve 4. čtvrtletí vzrostl objem vyplacených mezd a platů meziročně o 7,6 % a celková zaměstnanost byla vyšší o 1,3 %. Reálný růst</w:t>
            </w:r>
            <w:r w:rsidR="00AC5256">
              <w:rPr>
                <w:spacing w:val="-2"/>
              </w:rPr>
              <w:t xml:space="preserve"> objemu mezd</w:t>
            </w:r>
            <w:r>
              <w:rPr>
                <w:spacing w:val="-2"/>
              </w:rPr>
              <w:t xml:space="preserve"> činil 2,8 %, což je s výjimkou období roku 2020 a loňského 1. čtvrtletí, zasažených pandemií, nejméně od 3. čtvrtletí 2014. Mezičtvrtletně se objem mezd a platů zvýšil o 1,5 % a zaměstnanost o 0,1 %. Nejsilnějšího meziročního přírůstku dosáhly mzdy a platy v činnostech v oblasti nemovitostí (21,8 %). Navýšení v ostatních činnostech (20,5 %) a v obchodě, dopravě, ubytování a pohostinství (18,2 %) ovlivnila z velké části nízká srovnávací základna 4. čtvrtletí 2020. Nadprůměrně se zvýšil i objem mezd a platů v profesních, vědeckých, technických a administrativních činnostech (9,7 %). Ve zbytku ekonomiky platové prostředky narůstaly pomaleji. V informačních a komunikačních činnostech o 6,4 %, v zemědělství, lesnictví a rybářství o 6,1 %, ve stavebnictví o 5,5 %, v peněžnictví a pojišťovnictví o 5,4 %. Ve zpracovatelském průmyslu jejich meziroční růst výrazně zpomalil na 4,6 % a pod vlivem vysoké srovnávací základny zmírnil také v odvětvích s dominancí vládního sektoru na 2,1 %</w:t>
            </w:r>
            <w:r>
              <w:rPr>
                <w:rStyle w:val="Znakapoznpodarou"/>
                <w:spacing w:val="-2"/>
              </w:rPr>
              <w:footnoteReference w:id="9"/>
            </w:r>
            <w:r>
              <w:rPr>
                <w:spacing w:val="-2"/>
              </w:rPr>
              <w:t>.</w:t>
            </w:r>
          </w:p>
        </w:tc>
      </w:tr>
      <w:tr w:rsidR="00010A2C" w:rsidRPr="009110F7" w14:paraId="25F143C5" w14:textId="77777777" w:rsidTr="00913237">
        <w:trPr>
          <w:trHeight w:val="145"/>
        </w:trPr>
        <w:tc>
          <w:tcPr>
            <w:tcW w:w="1806" w:type="dxa"/>
            <w:shd w:val="clear" w:color="auto" w:fill="auto"/>
            <w:tcMar>
              <w:left w:w="0" w:type="dxa"/>
            </w:tcMar>
          </w:tcPr>
          <w:p w14:paraId="594E9321" w14:textId="77777777" w:rsidR="00010A2C" w:rsidRDefault="00010A2C" w:rsidP="00913237">
            <w:pPr>
              <w:pStyle w:val="Marginlie"/>
            </w:pPr>
            <w:r>
              <w:t>Spotřeba loni výrazně přispívala k růstu HDP.</w:t>
            </w:r>
          </w:p>
        </w:tc>
        <w:tc>
          <w:tcPr>
            <w:tcW w:w="223" w:type="dxa"/>
            <w:shd w:val="clear" w:color="auto" w:fill="auto"/>
            <w:tcMar>
              <w:left w:w="0" w:type="dxa"/>
            </w:tcMar>
          </w:tcPr>
          <w:p w14:paraId="366F3C1F" w14:textId="77777777" w:rsidR="00010A2C" w:rsidRDefault="00010A2C" w:rsidP="00913237">
            <w:pPr>
              <w:pStyle w:val="Textpoznpodarou"/>
              <w:jc w:val="both"/>
              <w:rPr>
                <w:spacing w:val="-4"/>
              </w:rPr>
            </w:pPr>
          </w:p>
        </w:tc>
        <w:tc>
          <w:tcPr>
            <w:tcW w:w="7610" w:type="dxa"/>
            <w:shd w:val="clear" w:color="auto" w:fill="auto"/>
            <w:tcMar>
              <w:left w:w="0" w:type="dxa"/>
            </w:tcMar>
          </w:tcPr>
          <w:p w14:paraId="646230A6" w14:textId="77777777" w:rsidR="00010A2C" w:rsidRDefault="00010A2C" w:rsidP="00913237">
            <w:pPr>
              <w:rPr>
                <w:spacing w:val="-2"/>
              </w:rPr>
            </w:pPr>
            <w:r>
              <w:rPr>
                <w:spacing w:val="-2"/>
              </w:rPr>
              <w:t>Domácí spotřeba v roce 2021 vzrostla o 3,5 %. K růstu HDP přispěla 1,4 p. b.</w:t>
            </w:r>
            <w:r w:rsidRPr="00014ED0">
              <w:rPr>
                <w:rStyle w:val="Znakapoznpodarou"/>
                <w:spacing w:val="-2"/>
              </w:rPr>
              <w:footnoteReference w:id="10"/>
            </w:r>
            <w:r>
              <w:rPr>
                <w:spacing w:val="-2"/>
              </w:rPr>
              <w:t xml:space="preserve"> Zvyšovala se především spotřeba domácností (4,3 %), v případě vládních institucí byl přírůstek mírnější (1,6 %). Struktura spotřeby podle trvanlivosti</w:t>
            </w:r>
            <w:r>
              <w:rPr>
                <w:rStyle w:val="Znakapoznpodarou"/>
              </w:rPr>
              <w:footnoteReference w:id="11"/>
            </w:r>
            <w:r>
              <w:rPr>
                <w:spacing w:val="-2"/>
              </w:rPr>
              <w:t xml:space="preserve"> zčásti odrážela srovnání s rokem 2020, kdy byl po určitou dobu omezen prodej části maloobchodního sortimentu</w:t>
            </w:r>
            <w:r>
              <w:rPr>
                <w:rStyle w:val="Znakapoznpodarou"/>
                <w:spacing w:val="-2"/>
              </w:rPr>
              <w:footnoteReference w:id="12"/>
            </w:r>
            <w:r>
              <w:rPr>
                <w:spacing w:val="-2"/>
              </w:rPr>
              <w:t xml:space="preserve"> a provoz služeb. Loni se tak spotřeba statků dlouhodobé spotřeby zvýšila o 5,0 %, </w:t>
            </w:r>
            <w:r>
              <w:rPr>
                <w:spacing w:val="-2"/>
              </w:rPr>
              <w:lastRenderedPageBreak/>
              <w:t>střednědobé spotřeby o 4,8 % a služeb o 4,0 %. Spotřeba netrvanlivého zboží byla vyšší o 3,0 %.</w:t>
            </w:r>
          </w:p>
        </w:tc>
      </w:tr>
      <w:tr w:rsidR="00010A2C" w:rsidRPr="009110F7" w14:paraId="4C2C521A" w14:textId="77777777" w:rsidTr="00913237">
        <w:trPr>
          <w:trHeight w:val="145"/>
        </w:trPr>
        <w:tc>
          <w:tcPr>
            <w:tcW w:w="1806" w:type="dxa"/>
            <w:shd w:val="clear" w:color="auto" w:fill="auto"/>
            <w:tcMar>
              <w:left w:w="0" w:type="dxa"/>
            </w:tcMar>
          </w:tcPr>
          <w:p w14:paraId="33C1B2E3" w14:textId="77777777" w:rsidR="00010A2C" w:rsidRDefault="00010A2C" w:rsidP="00913237">
            <w:pPr>
              <w:pStyle w:val="Marginlie"/>
            </w:pPr>
            <w:r>
              <w:lastRenderedPageBreak/>
              <w:t>Oproti 3. čtvrtletí se spotřeba domácností snížila.</w:t>
            </w:r>
          </w:p>
        </w:tc>
        <w:tc>
          <w:tcPr>
            <w:tcW w:w="223" w:type="dxa"/>
            <w:shd w:val="clear" w:color="auto" w:fill="auto"/>
            <w:tcMar>
              <w:left w:w="0" w:type="dxa"/>
            </w:tcMar>
          </w:tcPr>
          <w:p w14:paraId="28F86B88" w14:textId="77777777" w:rsidR="00010A2C" w:rsidRDefault="00010A2C" w:rsidP="00913237">
            <w:pPr>
              <w:pStyle w:val="Textpoznpodarou"/>
              <w:jc w:val="both"/>
              <w:rPr>
                <w:spacing w:val="-4"/>
              </w:rPr>
            </w:pPr>
          </w:p>
        </w:tc>
        <w:tc>
          <w:tcPr>
            <w:tcW w:w="7610" w:type="dxa"/>
            <w:shd w:val="clear" w:color="auto" w:fill="auto"/>
            <w:tcMar>
              <w:left w:w="0" w:type="dxa"/>
            </w:tcMar>
          </w:tcPr>
          <w:p w14:paraId="5D421BAB" w14:textId="77777777" w:rsidR="00010A2C" w:rsidRDefault="00010A2C" w:rsidP="00913237">
            <w:pPr>
              <w:rPr>
                <w:spacing w:val="-2"/>
              </w:rPr>
            </w:pPr>
            <w:r>
              <w:rPr>
                <w:spacing w:val="-2"/>
              </w:rPr>
              <w:t>Ve 4. čtvrtletí 2021 spotřeba celkově meziročně vzrostla o 6,2 % a k růstu HDP přispěla 3,8 p. b. Zatímco vládní spotřeba stagnovala (0,1 %), spotřeba domácností byla meziročně vyšší o 9,3 %, což je rekordní přírůstek, na kterém se ale projevil vliv srovnání se závěrem roku 2020, kdy byl maloobchod i služby omezeny. Velmi silně tak v loňském 4. čtvrtletí meziročně vzrostla spotřeba statků střednědobé spotřeby (30,0 %). Silné přírůstky ale měla i dlouhodobá spotřeba (9,4 %) a služby (13,5 %). Spotřeba netrvanlivého zboží byla vyšší o 2,8 %. Oproti 3. čtvrtletí se spotřeba celkově propadla o 1,1 %. Snížila se spotřeba domácností (–1,8 %), ta vládní byla mírně vyšší (0,2 %). To odráželo i nejistotu a rostoucí pesimismus, který domácnosti v závěru roku vyjadřovaly v konjunkturních průzkumech, především v souvislosti s růstem cen.</w:t>
            </w:r>
          </w:p>
        </w:tc>
      </w:tr>
      <w:tr w:rsidR="00010A2C" w:rsidRPr="009110F7" w14:paraId="743D7C8C" w14:textId="77777777" w:rsidTr="00913237">
        <w:trPr>
          <w:trHeight w:val="170"/>
        </w:trPr>
        <w:tc>
          <w:tcPr>
            <w:tcW w:w="1806" w:type="dxa"/>
            <w:vMerge w:val="restart"/>
            <w:shd w:val="clear" w:color="auto" w:fill="auto"/>
            <w:tcMar>
              <w:left w:w="0" w:type="dxa"/>
            </w:tcMar>
          </w:tcPr>
          <w:p w14:paraId="5B568743" w14:textId="77777777" w:rsidR="00010A2C" w:rsidRDefault="00010A2C" w:rsidP="00913237">
            <w:pPr>
              <w:pStyle w:val="Marginlie"/>
            </w:pPr>
          </w:p>
        </w:tc>
        <w:tc>
          <w:tcPr>
            <w:tcW w:w="223" w:type="dxa"/>
            <w:vMerge w:val="restart"/>
            <w:shd w:val="clear" w:color="auto" w:fill="auto"/>
            <w:tcMar>
              <w:left w:w="0" w:type="dxa"/>
            </w:tcMar>
          </w:tcPr>
          <w:p w14:paraId="218FEAAF" w14:textId="77777777" w:rsidR="00010A2C" w:rsidRDefault="00010A2C" w:rsidP="00913237">
            <w:pPr>
              <w:pStyle w:val="Textpoznpodarou"/>
              <w:jc w:val="both"/>
              <w:rPr>
                <w:spacing w:val="-4"/>
              </w:rPr>
            </w:pPr>
          </w:p>
        </w:tc>
        <w:tc>
          <w:tcPr>
            <w:tcW w:w="7610" w:type="dxa"/>
            <w:shd w:val="clear" w:color="auto" w:fill="auto"/>
            <w:tcMar>
              <w:left w:w="0" w:type="dxa"/>
            </w:tcMar>
          </w:tcPr>
          <w:p w14:paraId="292B1125" w14:textId="77777777" w:rsidR="00010A2C" w:rsidRPr="00D721B4" w:rsidRDefault="00010A2C" w:rsidP="00913237">
            <w:pPr>
              <w:spacing w:after="0"/>
              <w:rPr>
                <w:szCs w:val="20"/>
              </w:rPr>
            </w:pPr>
            <w:r w:rsidRPr="00D721B4">
              <w:rPr>
                <w:b/>
                <w:szCs w:val="20"/>
              </w:rPr>
              <w:t>Graf č. 2</w:t>
            </w:r>
            <w:r>
              <w:rPr>
                <w:b/>
                <w:szCs w:val="20"/>
              </w:rPr>
              <w:t xml:space="preserve"> </w:t>
            </w:r>
            <w:r w:rsidRPr="00D721B4">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 %)</w:t>
            </w:r>
          </w:p>
        </w:tc>
      </w:tr>
      <w:tr w:rsidR="00010A2C" w:rsidRPr="009110F7" w14:paraId="77429A57" w14:textId="77777777" w:rsidTr="00913237">
        <w:tblPrEx>
          <w:tblCellMar>
            <w:left w:w="70" w:type="dxa"/>
            <w:right w:w="70" w:type="dxa"/>
          </w:tblCellMar>
        </w:tblPrEx>
        <w:trPr>
          <w:trHeight w:val="170"/>
        </w:trPr>
        <w:tc>
          <w:tcPr>
            <w:tcW w:w="1806" w:type="dxa"/>
            <w:vMerge/>
            <w:shd w:val="clear" w:color="auto" w:fill="auto"/>
          </w:tcPr>
          <w:p w14:paraId="75E00B54" w14:textId="77777777" w:rsidR="00010A2C" w:rsidRDefault="00010A2C" w:rsidP="00913237">
            <w:pPr>
              <w:pStyle w:val="Marginlie"/>
            </w:pPr>
          </w:p>
        </w:tc>
        <w:tc>
          <w:tcPr>
            <w:tcW w:w="223" w:type="dxa"/>
            <w:vMerge/>
            <w:shd w:val="clear" w:color="auto" w:fill="auto"/>
          </w:tcPr>
          <w:p w14:paraId="2F1F9B1D" w14:textId="77777777" w:rsidR="00010A2C" w:rsidRDefault="00010A2C" w:rsidP="00913237">
            <w:pPr>
              <w:pStyle w:val="Textpoznpodarou"/>
              <w:jc w:val="both"/>
              <w:rPr>
                <w:spacing w:val="-4"/>
              </w:rPr>
            </w:pPr>
          </w:p>
        </w:tc>
        <w:tc>
          <w:tcPr>
            <w:tcW w:w="7610" w:type="dxa"/>
            <w:shd w:val="clear" w:color="auto" w:fill="auto"/>
          </w:tcPr>
          <w:p w14:paraId="6A8E7C47" w14:textId="77777777" w:rsidR="00010A2C" w:rsidRDefault="00010A2C" w:rsidP="00913237">
            <w:pPr>
              <w:spacing w:after="0"/>
            </w:pPr>
            <w:r>
              <w:rPr>
                <w:noProof/>
              </w:rPr>
              <w:drawing>
                <wp:inline distT="0" distB="0" distL="0" distR="0" wp14:anchorId="1614C13C" wp14:editId="3545C9DA">
                  <wp:extent cx="4737600" cy="3553200"/>
                  <wp:effectExtent l="0" t="0" r="6350" b="0"/>
                  <wp:docPr id="36" name="Graf 3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10A2C" w:rsidRPr="009110F7" w14:paraId="65850752" w14:textId="77777777" w:rsidTr="00913237">
        <w:trPr>
          <w:trHeight w:val="170"/>
        </w:trPr>
        <w:tc>
          <w:tcPr>
            <w:tcW w:w="1806" w:type="dxa"/>
            <w:vMerge/>
            <w:shd w:val="clear" w:color="auto" w:fill="auto"/>
            <w:tcMar>
              <w:left w:w="0" w:type="dxa"/>
            </w:tcMar>
          </w:tcPr>
          <w:p w14:paraId="5127E0AF" w14:textId="77777777" w:rsidR="00010A2C" w:rsidRDefault="00010A2C" w:rsidP="00913237">
            <w:pPr>
              <w:pStyle w:val="Marginlie"/>
            </w:pPr>
          </w:p>
        </w:tc>
        <w:tc>
          <w:tcPr>
            <w:tcW w:w="223" w:type="dxa"/>
            <w:vMerge/>
            <w:shd w:val="clear" w:color="auto" w:fill="auto"/>
            <w:tcMar>
              <w:left w:w="0" w:type="dxa"/>
            </w:tcMar>
          </w:tcPr>
          <w:p w14:paraId="01E374C4" w14:textId="77777777" w:rsidR="00010A2C" w:rsidRDefault="00010A2C" w:rsidP="00913237">
            <w:pPr>
              <w:pStyle w:val="Textpoznpodarou"/>
              <w:jc w:val="both"/>
              <w:rPr>
                <w:spacing w:val="-4"/>
              </w:rPr>
            </w:pPr>
          </w:p>
        </w:tc>
        <w:tc>
          <w:tcPr>
            <w:tcW w:w="7610" w:type="dxa"/>
            <w:shd w:val="clear" w:color="auto" w:fill="auto"/>
            <w:tcMar>
              <w:left w:w="0" w:type="dxa"/>
            </w:tcMar>
          </w:tcPr>
          <w:p w14:paraId="0E0338DB" w14:textId="77777777" w:rsidR="00010A2C" w:rsidRDefault="00010A2C" w:rsidP="00913237">
            <w:pPr>
              <w:spacing w:after="0"/>
              <w:rPr>
                <w:sz w:val="14"/>
                <w:szCs w:val="14"/>
              </w:rPr>
            </w:pPr>
            <w:r>
              <w:rPr>
                <w:sz w:val="14"/>
                <w:szCs w:val="14"/>
              </w:rPr>
              <w:t>Zdroj: ČSÚ</w:t>
            </w:r>
          </w:p>
          <w:p w14:paraId="2CA8DF23" w14:textId="77777777" w:rsidR="00010A2C" w:rsidRDefault="00010A2C" w:rsidP="00913237">
            <w:r>
              <w:rPr>
                <w:sz w:val="14"/>
                <w:szCs w:val="14"/>
              </w:rPr>
              <w:t>* po vyloučení dovozu pro konečné užití</w:t>
            </w:r>
          </w:p>
        </w:tc>
      </w:tr>
      <w:tr w:rsidR="00010A2C" w:rsidRPr="009110F7" w14:paraId="1B32CA00" w14:textId="77777777" w:rsidTr="00913237">
        <w:trPr>
          <w:trHeight w:val="145"/>
        </w:trPr>
        <w:tc>
          <w:tcPr>
            <w:tcW w:w="1806" w:type="dxa"/>
            <w:shd w:val="clear" w:color="auto" w:fill="auto"/>
            <w:tcMar>
              <w:left w:w="0" w:type="dxa"/>
            </w:tcMar>
          </w:tcPr>
          <w:p w14:paraId="3B76CB2D" w14:textId="77777777" w:rsidR="00010A2C" w:rsidRDefault="00010A2C" w:rsidP="00913237">
            <w:pPr>
              <w:pStyle w:val="Marginlie"/>
            </w:pPr>
            <w:r>
              <w:t>Loni se silně zvyšovaly zásoby.</w:t>
            </w:r>
          </w:p>
        </w:tc>
        <w:tc>
          <w:tcPr>
            <w:tcW w:w="223" w:type="dxa"/>
            <w:shd w:val="clear" w:color="auto" w:fill="auto"/>
            <w:tcMar>
              <w:left w:w="0" w:type="dxa"/>
            </w:tcMar>
          </w:tcPr>
          <w:p w14:paraId="575D56E3" w14:textId="77777777" w:rsidR="00010A2C" w:rsidRDefault="00010A2C" w:rsidP="00913237">
            <w:pPr>
              <w:pStyle w:val="Textpoznpodarou"/>
              <w:jc w:val="both"/>
              <w:rPr>
                <w:spacing w:val="-4"/>
              </w:rPr>
            </w:pPr>
          </w:p>
        </w:tc>
        <w:tc>
          <w:tcPr>
            <w:tcW w:w="7610" w:type="dxa"/>
            <w:shd w:val="clear" w:color="auto" w:fill="auto"/>
            <w:tcMar>
              <w:left w:w="0" w:type="dxa"/>
            </w:tcMar>
          </w:tcPr>
          <w:p w14:paraId="32DB1EA1" w14:textId="77777777" w:rsidR="00010A2C" w:rsidRDefault="00010A2C" w:rsidP="00913237">
            <w:r>
              <w:t>Výdaje na tvorbu hrubého kapitálu se v roce 2021 zvýšily o 18,2 %. Z toho výdaje na fixní kapitál byly vyšší o 0,9 %. Po hlubokém propadu v roce 2020 se tak zejména podniky v nejisté situaci dál vyhýbaly posílení investiční aktivity. Naopak narůstaly zásoby</w:t>
            </w:r>
            <w:r>
              <w:rPr>
                <w:rStyle w:val="Znakapoznpodarou"/>
              </w:rPr>
              <w:footnoteReference w:id="13"/>
            </w:r>
            <w:r>
              <w:t xml:space="preserve">, především nedokončené produkce. Reálně investice loni zaostávaly za úrovní let 2018 i 2019. Vývoj výdajů na tvorbu hrubého fixního kapitálu podle věcného členění nepřímo ukazuje na pokračující útlum investiční aktivity nefinančních podniků. Po hlubokém propadu v roce 2020 loni totiž dál klesaly investice do ICT a ostatních strojů a zařízení (–0,5 %). Nižší byly také výdaje na ostatní budovy a stavby (–2,0 %). Investice do dopravních prostředků a zařízení sice vzrostly o 5,7 %, v předchozím roce se ale snížily téměř o čtvrtinu, takže loňské výdaje hluboce reálně zaostávaly za úrovní let 2016–2019. Investice do produktů duševního vlastnictví se loni zvýšily o 1,5 % a rovněž reálně zaostávaly za úrovní roku 2019. Jedinou oblastí, kde investiční aktivita </w:t>
            </w:r>
            <w:r>
              <w:lastRenderedPageBreak/>
              <w:t>již osmým rokem v řadě rostla, byly výdaje na obydlí, které se loni zvýšily o 4,1 %. Výdaje na obydlí jsou doménou sektoru domácností.</w:t>
            </w:r>
          </w:p>
        </w:tc>
      </w:tr>
      <w:tr w:rsidR="00010A2C" w:rsidRPr="009110F7" w14:paraId="2A648B51" w14:textId="77777777" w:rsidTr="00913237">
        <w:trPr>
          <w:trHeight w:val="145"/>
        </w:trPr>
        <w:tc>
          <w:tcPr>
            <w:tcW w:w="1806" w:type="dxa"/>
            <w:shd w:val="clear" w:color="auto" w:fill="auto"/>
            <w:tcMar>
              <w:left w:w="0" w:type="dxa"/>
            </w:tcMar>
          </w:tcPr>
          <w:p w14:paraId="067C2EBB" w14:textId="77777777" w:rsidR="00010A2C" w:rsidRDefault="00010A2C" w:rsidP="00913237">
            <w:pPr>
              <w:pStyle w:val="Marginlie"/>
            </w:pPr>
            <w:r>
              <w:lastRenderedPageBreak/>
              <w:t>Investice ve 4. čtvrtletí rostly.</w:t>
            </w:r>
          </w:p>
        </w:tc>
        <w:tc>
          <w:tcPr>
            <w:tcW w:w="223" w:type="dxa"/>
            <w:shd w:val="clear" w:color="auto" w:fill="auto"/>
            <w:tcMar>
              <w:left w:w="0" w:type="dxa"/>
            </w:tcMar>
          </w:tcPr>
          <w:p w14:paraId="65196F68" w14:textId="77777777" w:rsidR="00010A2C" w:rsidRDefault="00010A2C" w:rsidP="00913237">
            <w:pPr>
              <w:pStyle w:val="Textpoznpodarou"/>
              <w:jc w:val="both"/>
              <w:rPr>
                <w:spacing w:val="-4"/>
              </w:rPr>
            </w:pPr>
          </w:p>
        </w:tc>
        <w:tc>
          <w:tcPr>
            <w:tcW w:w="7610" w:type="dxa"/>
            <w:shd w:val="clear" w:color="auto" w:fill="auto"/>
            <w:tcMar>
              <w:left w:w="0" w:type="dxa"/>
            </w:tcMar>
          </w:tcPr>
          <w:p w14:paraId="1BD3E0D2" w14:textId="77777777" w:rsidR="00010A2C" w:rsidRDefault="00010A2C" w:rsidP="00913237">
            <w:r>
              <w:t>Ve 4. čtvrtletí se výdaje na tvorbu hrubého kapitálu meziročně zvýšily o 26,9 %. Z toho se ale samotné investice zvýšily o 3,5 % a zbytek lze přičíst navýšení zásob. Oproti 3. kvartálu se kapitálové výdaje snížily o 0,2 %. Samotné investice ale rostly o 0,5 %. Podle údajů o věcném členění tvorby hrubého fixního kapitálu ve 4. čtvrtletí nejvíce meziročně rostly výdaje na dopravní prostředky a zařízení (20,1 %) a obydlí (7,5 %). Jen mírně vyšší byly investice do ostatních budov a staveb (1,3 %), ICT a ostatních strojů a zařízení (0,9 %) a produktů duševního vlastnictví (0,2 %). Oproti 3. čtvrtletí 2021 se výrazně zvýšily investice do produktů duševního vlastnictví (5,6 %) a ostatních budov a staveb (3,4 %). Mírně rostly výdaje na obydlí (0,2 %) a stagnovaly investice do dopravních prostředků a zařízení. Mezičtvrtletně výrazně nižší byly výdaje na ICT a ostatní stroje a zařízení (–4,9 %).</w:t>
            </w:r>
          </w:p>
        </w:tc>
      </w:tr>
      <w:tr w:rsidR="00010A2C" w:rsidRPr="009110F7" w14:paraId="4364195F" w14:textId="77777777" w:rsidTr="00913237">
        <w:trPr>
          <w:trHeight w:val="145"/>
        </w:trPr>
        <w:tc>
          <w:tcPr>
            <w:tcW w:w="1806" w:type="dxa"/>
            <w:shd w:val="clear" w:color="auto" w:fill="auto"/>
            <w:tcMar>
              <w:left w:w="0" w:type="dxa"/>
            </w:tcMar>
          </w:tcPr>
          <w:p w14:paraId="6E4170A6" w14:textId="77777777" w:rsidR="00010A2C" w:rsidRDefault="00010A2C" w:rsidP="00913237">
            <w:pPr>
              <w:pStyle w:val="Marginlie"/>
            </w:pPr>
            <w:r>
              <w:t>Bilance zahraničního obchodu se loni rekordně zhoršila.</w:t>
            </w:r>
          </w:p>
        </w:tc>
        <w:tc>
          <w:tcPr>
            <w:tcW w:w="223" w:type="dxa"/>
            <w:shd w:val="clear" w:color="auto" w:fill="auto"/>
            <w:tcMar>
              <w:left w:w="0" w:type="dxa"/>
            </w:tcMar>
          </w:tcPr>
          <w:p w14:paraId="5F8B826B" w14:textId="77777777" w:rsidR="00010A2C" w:rsidRDefault="00010A2C" w:rsidP="00913237">
            <w:pPr>
              <w:pStyle w:val="Textpoznpodarou"/>
              <w:jc w:val="both"/>
              <w:rPr>
                <w:spacing w:val="-4"/>
              </w:rPr>
            </w:pPr>
          </w:p>
        </w:tc>
        <w:tc>
          <w:tcPr>
            <w:tcW w:w="7610" w:type="dxa"/>
            <w:shd w:val="clear" w:color="auto" w:fill="auto"/>
            <w:tcMar>
              <w:left w:w="0" w:type="dxa"/>
            </w:tcMar>
          </w:tcPr>
          <w:p w14:paraId="0617354A" w14:textId="22B171A4" w:rsidR="00010A2C" w:rsidRDefault="00010A2C" w:rsidP="00FF72DC">
            <w:r>
              <w:t>V roce 2021 reálně vzrostl vývoz zboží a služeb o 5,0 %</w:t>
            </w:r>
            <w:r w:rsidRPr="009110F7">
              <w:rPr>
                <w:rStyle w:val="Znakapoznpodarou"/>
              </w:rPr>
              <w:footnoteReference w:id="14"/>
            </w:r>
            <w:r>
              <w:t>. Z toho vývoz zboží byl vyšší o 5,1 % a služeb o 4,6 %. Za úrovní roku 2019 vývoz zboží loni reálně zaostal o 0,2 % a služeb o 13,2 %. Část domácích vývozců se ale potýkala s problémy s dodávkami některých komponent. Dovoz zboží a služeb tak loni rostl silnějším tempem než vývoz a celkově se zvýšil o 11,4 %. Import zboží se zvýšil více (12,5 %) než dovoz služeb (4,6 %). Bilance zahraničního obchodu loni celkově dosáhla přebytku 185,2 mld. korun. To je o 204,1 mld.</w:t>
            </w:r>
            <w:r>
              <w:rPr>
                <w:rStyle w:val="Znakapoznpodarou"/>
              </w:rPr>
              <w:footnoteReference w:id="15"/>
            </w:r>
            <w:r>
              <w:t xml:space="preserve"> horší výsledek než v roce 2020. I proto bilance zahraničního obchodu silně působila ve směru poklesu HDP (–</w:t>
            </w:r>
            <w:r w:rsidR="00FF72DC">
              <w:t>2,0</w:t>
            </w:r>
            <w:r>
              <w:t> p. b.). Zhoršovalo se výhradně kladné saldo obchodu se zbožím (–211,6 mld. korun). Naopak přebytek obchodu se službami se loni zlepšil o 7,5 mld. korun.</w:t>
            </w:r>
          </w:p>
        </w:tc>
      </w:tr>
      <w:tr w:rsidR="00010A2C" w:rsidRPr="009110F7" w14:paraId="7690EAE2" w14:textId="77777777" w:rsidTr="00913237">
        <w:trPr>
          <w:trHeight w:val="145"/>
        </w:trPr>
        <w:tc>
          <w:tcPr>
            <w:tcW w:w="1806" w:type="dxa"/>
            <w:shd w:val="clear" w:color="auto" w:fill="auto"/>
            <w:tcMar>
              <w:left w:w="0" w:type="dxa"/>
            </w:tcMar>
          </w:tcPr>
          <w:p w14:paraId="722E21E8" w14:textId="77777777" w:rsidR="00010A2C" w:rsidRDefault="00010A2C" w:rsidP="00913237">
            <w:pPr>
              <w:pStyle w:val="Marginlie"/>
            </w:pPr>
            <w:r>
              <w:t>Ve 4. čtvrtletí byla bilance zahraničního obchodu deficitní.</w:t>
            </w:r>
          </w:p>
        </w:tc>
        <w:tc>
          <w:tcPr>
            <w:tcW w:w="223" w:type="dxa"/>
            <w:shd w:val="clear" w:color="auto" w:fill="auto"/>
            <w:tcMar>
              <w:left w:w="0" w:type="dxa"/>
            </w:tcMar>
          </w:tcPr>
          <w:p w14:paraId="6ED7BDA9" w14:textId="77777777" w:rsidR="00010A2C" w:rsidRDefault="00010A2C" w:rsidP="00913237">
            <w:pPr>
              <w:pStyle w:val="Textpoznpodarou"/>
              <w:jc w:val="both"/>
              <w:rPr>
                <w:spacing w:val="-4"/>
              </w:rPr>
            </w:pPr>
          </w:p>
        </w:tc>
        <w:tc>
          <w:tcPr>
            <w:tcW w:w="7610" w:type="dxa"/>
            <w:shd w:val="clear" w:color="auto" w:fill="auto"/>
            <w:tcMar>
              <w:left w:w="0" w:type="dxa"/>
            </w:tcMar>
          </w:tcPr>
          <w:p w14:paraId="6593EA50" w14:textId="77777777" w:rsidR="00010A2C" w:rsidRDefault="00010A2C" w:rsidP="00913237">
            <w:r>
              <w:t>Ve 4. čtvrtletí se vývoz zboží a služeb reálně meziročně propadl o 5,7 %, přičemž vývoz zboží se snižoval (–8,9 %), zatímco u služeb silně rostl (15,3 %). Dovoz se naopak zvyšoval (4,0 %). Import zboží byl meziročně vyšší o 3,5 % a služeb o 7,6 %. Oproti 3. čtvrtletí se export reálně zvýšil o 2,2 %, rostl přitom vývoz zboží (1,2 %) i služeb (7,7 %). Na druhé straně se dovoz mezičtvrtletně snížil o 0,4 %. Bilance zahraničního obchodu ve 4. čtvrtletí dosáhla celkově přebytku 22,5 mld. korun, což je meziročně o 122,6 mld. horší výsledek. Meziroční srovnání ovlivnila kromě situace v průmyslu i vysoká srovnávací základna 4. kvartálu 2020. Saldo obchodu se zbožím meziročně spadlo o 137,1 mld. korun do deficitu –12,2 mld., zatímco přebytek obchodu se službami se zlepšil o 14,5 mld. Mezičtvrtletně se ale celkový přebytek zlepšil.</w:t>
            </w:r>
          </w:p>
        </w:tc>
      </w:tr>
      <w:tr w:rsidR="00010A2C" w:rsidRPr="009110F7" w14:paraId="7F9110A0" w14:textId="77777777" w:rsidTr="00913237">
        <w:trPr>
          <w:trHeight w:val="145"/>
        </w:trPr>
        <w:tc>
          <w:tcPr>
            <w:tcW w:w="1806" w:type="dxa"/>
            <w:shd w:val="clear" w:color="auto" w:fill="auto"/>
            <w:tcMar>
              <w:left w:w="0" w:type="dxa"/>
            </w:tcMar>
          </w:tcPr>
          <w:p w14:paraId="308FC88E" w14:textId="77777777" w:rsidR="00010A2C" w:rsidRDefault="00010A2C" w:rsidP="00913237">
            <w:pPr>
              <w:pStyle w:val="Marginlie"/>
            </w:pPr>
            <w:r>
              <w:t>V loňském roce hrubá přidaná hodnota rostla, ale reálně nepřekonala úroveň roku 2019.</w:t>
            </w:r>
          </w:p>
        </w:tc>
        <w:tc>
          <w:tcPr>
            <w:tcW w:w="223" w:type="dxa"/>
            <w:shd w:val="clear" w:color="auto" w:fill="auto"/>
            <w:tcMar>
              <w:left w:w="0" w:type="dxa"/>
            </w:tcMar>
          </w:tcPr>
          <w:p w14:paraId="170DAB28" w14:textId="77777777" w:rsidR="00010A2C" w:rsidRDefault="00010A2C" w:rsidP="00913237">
            <w:pPr>
              <w:pStyle w:val="Textpoznpodarou"/>
              <w:jc w:val="both"/>
              <w:rPr>
                <w:spacing w:val="-4"/>
              </w:rPr>
            </w:pPr>
          </w:p>
        </w:tc>
        <w:tc>
          <w:tcPr>
            <w:tcW w:w="7610" w:type="dxa"/>
            <w:shd w:val="clear" w:color="auto" w:fill="auto"/>
            <w:tcMar>
              <w:left w:w="0" w:type="dxa"/>
            </w:tcMar>
          </w:tcPr>
          <w:p w14:paraId="026BE085" w14:textId="77777777" w:rsidR="00010A2C" w:rsidRPr="00F93F2C" w:rsidRDefault="00010A2C" w:rsidP="00913237">
            <w:r>
              <w:t xml:space="preserve">Hrubá přidaná hodnota (HPH) se v roce 2021 zvýšila o 3,0 %. Ještě v 1. čtvrtletí byly některé obory výrazně zasaženy protipandemickými restrikcemi, podzimní zhoršení epidemické situace už ale nevedlo k tak přísným opatřením jako v roce 2020. Přírůstek ovšem nestačil na kompenzaci propadu z roku 2020 a reálně HPH celkově zaostávala za úrovní roku 2019. Z jednotlivých odvětví se nad úroveň roku 2019 dostaly jen zemědělství, lesnictví a rybářství, informační a komunikační činnosti, peněžnictví a pojišťovnictví a odvětví s převahou vládního sektoru. Oproti roku 2020 byla HPH nižší jen v ostatních činnostech (–1,4 %). Ty byly silně zasaženy vládními restrikcemi, protože jsou v nich zahrnuty například služby osobní péče. V ostatních odvětvích se HPH zvýšila, nejvíce v peněžnictví a pojišťovnictví (9,4 %), zpracovatelském průmyslu (4,5 %), informačních a komunikačních činnostech (4,3 %). Podprůměrným tempem se zvyšovala HPH v odvětvích s převahou vládního sektoru (2,9 %), v zemědělství, lesnictví a rybářství (2,8 %), v uskupení obchod, doprava, ubytování a pohostinství </w:t>
            </w:r>
            <w:r>
              <w:lastRenderedPageBreak/>
              <w:t>(2,5 %), v profesních, vědeckých, technických a administrativních činnostech (2,3 %), ve stavebnictví (0,9 %) a v činnostech v oblasti nemovitostí (0,5 %).</w:t>
            </w:r>
          </w:p>
        </w:tc>
      </w:tr>
      <w:tr w:rsidR="00010A2C" w:rsidRPr="009110F7" w14:paraId="11704BB0" w14:textId="77777777" w:rsidTr="00913237">
        <w:trPr>
          <w:trHeight w:val="145"/>
        </w:trPr>
        <w:tc>
          <w:tcPr>
            <w:tcW w:w="1806" w:type="dxa"/>
            <w:shd w:val="clear" w:color="auto" w:fill="auto"/>
            <w:tcMar>
              <w:left w:w="0" w:type="dxa"/>
            </w:tcMar>
          </w:tcPr>
          <w:p w14:paraId="7B37C0CF" w14:textId="77777777" w:rsidR="00010A2C" w:rsidRDefault="00010A2C" w:rsidP="00913237">
            <w:pPr>
              <w:pStyle w:val="Marginlie"/>
            </w:pPr>
            <w:r>
              <w:lastRenderedPageBreak/>
              <w:t>Ve 4. čtvrtletí meziročně i mezičtvrtletně klesla HPH ve zpracovatelském průmyslu.</w:t>
            </w:r>
          </w:p>
        </w:tc>
        <w:tc>
          <w:tcPr>
            <w:tcW w:w="223" w:type="dxa"/>
            <w:shd w:val="clear" w:color="auto" w:fill="auto"/>
            <w:tcMar>
              <w:left w:w="0" w:type="dxa"/>
            </w:tcMar>
          </w:tcPr>
          <w:p w14:paraId="24ECD1B1" w14:textId="77777777" w:rsidR="00010A2C" w:rsidRDefault="00010A2C" w:rsidP="00913237">
            <w:pPr>
              <w:pStyle w:val="Textpoznpodarou"/>
              <w:jc w:val="both"/>
              <w:rPr>
                <w:spacing w:val="-4"/>
              </w:rPr>
            </w:pPr>
          </w:p>
        </w:tc>
        <w:tc>
          <w:tcPr>
            <w:tcW w:w="7610" w:type="dxa"/>
            <w:shd w:val="clear" w:color="auto" w:fill="auto"/>
            <w:tcMar>
              <w:left w:w="0" w:type="dxa"/>
            </w:tcMar>
          </w:tcPr>
          <w:p w14:paraId="2C353CF5" w14:textId="77777777" w:rsidR="00010A2C" w:rsidRDefault="00010A2C" w:rsidP="00913237">
            <w:r>
              <w:t>Hrubá přidaná hodnota ve 4. čtvrtletí meziročně vzrostla o 2,9 %. To je poměrně mírný přírůstek, kterému napomohla nízká srovnávací základna 4. čtvrtletí roku 2020 (HPH tehdy klesla o 5,0 %). Za stejným obdobím roku 2019 tak v loňském 4. čtvrtletí HPH zaostávala. Trvající problémy s dodávkami vedly k meziročnímu poklesu HPH ve zpracovatelském průmyslu (–3,3 %). Stagnovala HPH v zemědělství, lesnictví a rybářství, ale ve zbytku ekonomiky HPH rostla. Největší meziroční přírůstek měla ve 4. čtvrtletí HPH v obchodě, dopravě, ubytování a pohostinství (10,7 %), v peněžnictví a pojišťovnictví (8,6 %), ostatních činnostech (6,5 %), stavebnictví (4,7 %), profesních, vědeckých, technických a administrativních činnostech (4,6 %) a informačních a komunikačních činnostech (3,2 %). Mírný růst měla HPH v odvětvích s převahou vládního sektoru (2,6 %) a v činnostech v oblasti nemovitostí (1,0 %). Ve srovnání se 3. čtvrtletím 2021 se HPH celkově zvýšila o 0,7 %. Ačkoli se ve 4. čtvrtletí nezaváděla „tvrdá“ restriktivní opatření, klesala mezičtvrtletně HPH v dříve zasažených ostatních činnostech (–8,0 %) a výrazně zpomalil růst v případě obchodu, dopravy, ubytování a pohostinství (0,5 %). Hrubá přidaná hodnota mezičtvrtletně klesala také ve zpracovatelském průmyslu (–1,6 %) a stavebnictví (–0,3 %). Výrazný mezičtvrtletní přírůstek měla HPH v zemědělství, lesnictví a rybářství (3,4 %), činnostech v oblasti nemovitostí (2,7 %), peněžnictví a pojišťovnictví (2,2 %) a v odvětvích s převahou vládního sektoru (1,9 %). Jen mírně rostla HPH v informačních a komunikačních činnostech (0,7 %) a profesních, vědeckých, technických a administrativních činnostech (0,5 %).</w:t>
            </w:r>
          </w:p>
        </w:tc>
      </w:tr>
      <w:tr w:rsidR="00010A2C" w:rsidRPr="009110F7" w14:paraId="6B8A5B8A" w14:textId="77777777" w:rsidTr="00913237">
        <w:trPr>
          <w:trHeight w:val="170"/>
        </w:trPr>
        <w:tc>
          <w:tcPr>
            <w:tcW w:w="1806" w:type="dxa"/>
            <w:vMerge w:val="restart"/>
            <w:shd w:val="clear" w:color="auto" w:fill="auto"/>
            <w:tcMar>
              <w:left w:w="0" w:type="dxa"/>
            </w:tcMar>
          </w:tcPr>
          <w:p w14:paraId="1C1459C2" w14:textId="77777777" w:rsidR="00010A2C" w:rsidRDefault="00010A2C" w:rsidP="00913237">
            <w:pPr>
              <w:pStyle w:val="Marginlie"/>
            </w:pPr>
          </w:p>
        </w:tc>
        <w:tc>
          <w:tcPr>
            <w:tcW w:w="223" w:type="dxa"/>
            <w:vMerge w:val="restart"/>
            <w:shd w:val="clear" w:color="auto" w:fill="auto"/>
            <w:tcMar>
              <w:left w:w="0" w:type="dxa"/>
            </w:tcMar>
          </w:tcPr>
          <w:p w14:paraId="53C43181" w14:textId="77777777" w:rsidR="00010A2C" w:rsidRDefault="00010A2C" w:rsidP="00913237">
            <w:pPr>
              <w:pStyle w:val="Textpoznpodarou"/>
              <w:jc w:val="both"/>
              <w:rPr>
                <w:spacing w:val="-4"/>
              </w:rPr>
            </w:pPr>
          </w:p>
        </w:tc>
        <w:tc>
          <w:tcPr>
            <w:tcW w:w="7610" w:type="dxa"/>
            <w:shd w:val="clear" w:color="auto" w:fill="auto"/>
            <w:tcMar>
              <w:left w:w="0" w:type="dxa"/>
            </w:tcMar>
          </w:tcPr>
          <w:p w14:paraId="28AC0D63" w14:textId="77777777" w:rsidR="00010A2C" w:rsidRPr="00D721B4" w:rsidRDefault="00010A2C" w:rsidP="00913237">
            <w:pPr>
              <w:spacing w:after="0"/>
              <w:rPr>
                <w:szCs w:val="20"/>
              </w:rPr>
            </w:pPr>
            <w:r w:rsidRPr="00D721B4">
              <w:rPr>
                <w:b/>
                <w:szCs w:val="20"/>
              </w:rPr>
              <w:t>Graf č. 3</w:t>
            </w:r>
            <w:r>
              <w:rPr>
                <w:b/>
                <w:szCs w:val="20"/>
              </w:rPr>
              <w:t xml:space="preserve"> </w:t>
            </w:r>
            <w:r w:rsidRPr="00D721B4">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 %)</w:t>
            </w:r>
          </w:p>
        </w:tc>
      </w:tr>
      <w:tr w:rsidR="00010A2C" w:rsidRPr="009110F7" w14:paraId="46504275" w14:textId="77777777" w:rsidTr="00913237">
        <w:tblPrEx>
          <w:tblCellMar>
            <w:left w:w="70" w:type="dxa"/>
            <w:right w:w="70" w:type="dxa"/>
          </w:tblCellMar>
        </w:tblPrEx>
        <w:trPr>
          <w:trHeight w:val="170"/>
        </w:trPr>
        <w:tc>
          <w:tcPr>
            <w:tcW w:w="1806" w:type="dxa"/>
            <w:vMerge/>
            <w:shd w:val="clear" w:color="auto" w:fill="auto"/>
          </w:tcPr>
          <w:p w14:paraId="35E6AF66" w14:textId="77777777" w:rsidR="00010A2C" w:rsidRPr="009110F7" w:rsidRDefault="00010A2C" w:rsidP="00913237">
            <w:pPr>
              <w:pStyle w:val="Marginlie"/>
            </w:pPr>
          </w:p>
        </w:tc>
        <w:tc>
          <w:tcPr>
            <w:tcW w:w="223" w:type="dxa"/>
            <w:vMerge/>
            <w:shd w:val="clear" w:color="auto" w:fill="auto"/>
          </w:tcPr>
          <w:p w14:paraId="6DE3B60B" w14:textId="77777777" w:rsidR="00010A2C" w:rsidRPr="009110F7" w:rsidRDefault="00010A2C" w:rsidP="00913237">
            <w:pPr>
              <w:pStyle w:val="Textpoznpodarou"/>
              <w:jc w:val="both"/>
              <w:rPr>
                <w:spacing w:val="-4"/>
              </w:rPr>
            </w:pPr>
          </w:p>
        </w:tc>
        <w:tc>
          <w:tcPr>
            <w:tcW w:w="7610" w:type="dxa"/>
            <w:shd w:val="clear" w:color="auto" w:fill="auto"/>
          </w:tcPr>
          <w:p w14:paraId="53CBA39B" w14:textId="77777777" w:rsidR="00010A2C" w:rsidRPr="009110F7" w:rsidRDefault="00010A2C" w:rsidP="00913237">
            <w:pPr>
              <w:spacing w:after="0"/>
            </w:pPr>
            <w:r>
              <w:rPr>
                <w:noProof/>
              </w:rPr>
              <w:drawing>
                <wp:inline distT="0" distB="0" distL="0" distR="0" wp14:anchorId="515D8CBB" wp14:editId="0CECC84A">
                  <wp:extent cx="4737600" cy="3486525"/>
                  <wp:effectExtent l="0" t="0" r="6350" b="0"/>
                  <wp:docPr id="37" name="Graf 3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10A2C" w:rsidRPr="009110F7" w14:paraId="5CFC5BEB" w14:textId="77777777" w:rsidTr="00913237">
        <w:trPr>
          <w:trHeight w:val="170"/>
        </w:trPr>
        <w:tc>
          <w:tcPr>
            <w:tcW w:w="1806" w:type="dxa"/>
            <w:vMerge/>
            <w:shd w:val="clear" w:color="auto" w:fill="auto"/>
            <w:tcMar>
              <w:left w:w="0" w:type="dxa"/>
            </w:tcMar>
          </w:tcPr>
          <w:p w14:paraId="1012517B" w14:textId="77777777" w:rsidR="00010A2C" w:rsidRPr="009110F7" w:rsidRDefault="00010A2C" w:rsidP="00913237">
            <w:pPr>
              <w:pStyle w:val="Marginlie"/>
            </w:pPr>
          </w:p>
        </w:tc>
        <w:tc>
          <w:tcPr>
            <w:tcW w:w="223" w:type="dxa"/>
            <w:vMerge/>
            <w:shd w:val="clear" w:color="auto" w:fill="auto"/>
            <w:tcMar>
              <w:left w:w="0" w:type="dxa"/>
            </w:tcMar>
          </w:tcPr>
          <w:p w14:paraId="29CCA065" w14:textId="77777777" w:rsidR="00010A2C" w:rsidRPr="009110F7" w:rsidRDefault="00010A2C" w:rsidP="00913237">
            <w:pPr>
              <w:pStyle w:val="Textpoznpodarou"/>
              <w:jc w:val="both"/>
              <w:rPr>
                <w:spacing w:val="-4"/>
              </w:rPr>
            </w:pPr>
          </w:p>
        </w:tc>
        <w:tc>
          <w:tcPr>
            <w:tcW w:w="7610" w:type="dxa"/>
            <w:shd w:val="clear" w:color="auto" w:fill="auto"/>
            <w:tcMar>
              <w:left w:w="0" w:type="dxa"/>
            </w:tcMar>
          </w:tcPr>
          <w:p w14:paraId="2A320BD3" w14:textId="77777777" w:rsidR="00010A2C" w:rsidRPr="009110F7" w:rsidRDefault="00010A2C" w:rsidP="00913237">
            <w:pPr>
              <w:rPr>
                <w:sz w:val="14"/>
                <w:szCs w:val="14"/>
              </w:rPr>
            </w:pPr>
            <w:r w:rsidRPr="00A85DE1">
              <w:rPr>
                <w:sz w:val="14"/>
                <w:szCs w:val="14"/>
              </w:rPr>
              <w:t>Zdroj: ČSÚ</w:t>
            </w:r>
          </w:p>
        </w:tc>
      </w:tr>
    </w:tbl>
    <w:p w14:paraId="585F1E09" w14:textId="77777777" w:rsidR="00010A2C" w:rsidRPr="00C41D54" w:rsidRDefault="00010A2C" w:rsidP="00010A2C">
      <w:pPr>
        <w:pStyle w:val="Nadpis11"/>
        <w:rPr>
          <w:b w:val="0"/>
          <w:sz w:val="2"/>
          <w:szCs w:val="2"/>
          <w:highlight w:val="yellow"/>
        </w:rPr>
      </w:pPr>
    </w:p>
    <w:p w14:paraId="54102D0A" w14:textId="77777777" w:rsidR="00010A2C" w:rsidRPr="00DA3ADF" w:rsidRDefault="00010A2C" w:rsidP="00010A2C">
      <w:pPr>
        <w:spacing w:after="0" w:line="240" w:lineRule="auto"/>
        <w:jc w:val="left"/>
        <w:rPr>
          <w:rFonts w:eastAsia="MS Gothic"/>
          <w:bCs/>
          <w:color w:val="71818C"/>
          <w:sz w:val="2"/>
          <w:szCs w:val="2"/>
          <w:highlight w:val="yellow"/>
        </w:rPr>
      </w:pPr>
    </w:p>
    <w:p w14:paraId="0B9CB672" w14:textId="77777777" w:rsidR="00010A2C" w:rsidRDefault="00010A2C" w:rsidP="00010A2C">
      <w:pPr>
        <w:spacing w:after="0" w:line="240" w:lineRule="auto"/>
        <w:jc w:val="left"/>
        <w:rPr>
          <w:b/>
          <w:sz w:val="2"/>
          <w:szCs w:val="2"/>
          <w:highlight w:val="yellow"/>
        </w:rPr>
      </w:pPr>
    </w:p>
    <w:p w14:paraId="160FF6C7" w14:textId="77777777" w:rsidR="00010A2C" w:rsidRPr="00E42054" w:rsidRDefault="00010A2C" w:rsidP="00010A2C">
      <w:pPr>
        <w:pStyle w:val="Nadpis11"/>
        <w:spacing w:after="0"/>
        <w:rPr>
          <w:b w:val="0"/>
          <w:sz w:val="2"/>
          <w:szCs w:val="2"/>
        </w:rPr>
      </w:pPr>
    </w:p>
    <w:p w14:paraId="7D7AEF14" w14:textId="77777777" w:rsidR="00010A2C" w:rsidRDefault="00010A2C" w:rsidP="00010A2C">
      <w:pPr>
        <w:spacing w:after="0" w:line="240" w:lineRule="auto"/>
        <w:jc w:val="left"/>
        <w:rPr>
          <w:b/>
          <w:sz w:val="2"/>
          <w:szCs w:val="2"/>
          <w:highlight w:val="yellow"/>
        </w:rPr>
      </w:pPr>
    </w:p>
    <w:p w14:paraId="34EAC503" w14:textId="067E7B23" w:rsidR="00010A2C" w:rsidRPr="000F45E7" w:rsidRDefault="00010A2C" w:rsidP="00010A2C">
      <w:pPr>
        <w:pStyle w:val="Nadpis11"/>
        <w:spacing w:after="0"/>
        <w:rPr>
          <w:b w:val="0"/>
          <w:sz w:val="2"/>
          <w:szCs w:val="2"/>
        </w:rPr>
      </w:pPr>
    </w:p>
    <w:p w14:paraId="2D94D803" w14:textId="77777777" w:rsidR="00010A2C" w:rsidRPr="000F45E7" w:rsidRDefault="00010A2C" w:rsidP="00010A2C">
      <w:pPr>
        <w:pStyle w:val="Nadpis11"/>
        <w:spacing w:after="0"/>
        <w:rPr>
          <w:b w:val="0"/>
          <w:sz w:val="2"/>
          <w:szCs w:val="2"/>
        </w:rPr>
      </w:pPr>
    </w:p>
    <w:p w14:paraId="040113C5" w14:textId="77777777" w:rsidR="00700E8A" w:rsidRDefault="00700E8A" w:rsidP="00700E8A">
      <w:pPr>
        <w:spacing w:after="0" w:line="240" w:lineRule="auto"/>
        <w:jc w:val="left"/>
        <w:rPr>
          <w:b/>
          <w:sz w:val="2"/>
          <w:szCs w:val="2"/>
          <w:highlight w:val="yellow"/>
        </w:rPr>
      </w:pPr>
    </w:p>
    <w:p w14:paraId="5BAB8EA3" w14:textId="0FD9E887" w:rsidR="000663F0" w:rsidRPr="00E42054" w:rsidRDefault="000663F0" w:rsidP="00AB3BA7">
      <w:pPr>
        <w:pStyle w:val="Nadpis11"/>
        <w:rPr>
          <w:b w:val="0"/>
          <w:sz w:val="2"/>
          <w:szCs w:val="2"/>
        </w:rPr>
      </w:pPr>
      <w:bookmarkStart w:id="6" w:name="_GoBack"/>
      <w:bookmarkEnd w:id="2"/>
      <w:bookmarkEnd w:id="3"/>
      <w:bookmarkEnd w:id="4"/>
      <w:bookmarkEnd w:id="5"/>
      <w:bookmarkEnd w:id="6"/>
    </w:p>
    <w:sectPr w:rsidR="000663F0" w:rsidRPr="00E42054" w:rsidSect="001619ED">
      <w:headerReference w:type="even" r:id="rId12"/>
      <w:headerReference w:type="default" r:id="rId13"/>
      <w:footerReference w:type="even" r:id="rId14"/>
      <w:footerReference w:type="default" r:id="rId15"/>
      <w:pgSz w:w="11906" w:h="16838" w:code="9"/>
      <w:pgMar w:top="1134" w:right="1134" w:bottom="1418" w:left="1134" w:header="680" w:footer="737" w:gutter="0"/>
      <w:pgNumType w:start="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05233" w16cex:dateUtc="2021-12-12T09:49:00Z"/>
  <w16cex:commentExtensible w16cex:durableId="25605965" w16cex:dateUtc="2021-12-12T10:20:00Z"/>
  <w16cex:commentExtensible w16cex:durableId="256059E5" w16cex:dateUtc="2021-12-12T10:22:00Z"/>
  <w16cex:commentExtensible w16cex:durableId="255E05D5" w16cex:dateUtc="2021-12-10T15:59:00Z"/>
  <w16cex:commentExtensible w16cex:durableId="2560964B" w16cex:dateUtc="2021-12-12T14:39:00Z"/>
  <w16cex:commentExtensible w16cex:durableId="255E068F" w16cex:dateUtc="2021-12-10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C02D9A" w16cid:durableId="25605233"/>
  <w16cid:commentId w16cid:paraId="47A2534C" w16cid:durableId="25605965"/>
  <w16cid:commentId w16cid:paraId="39626918" w16cid:durableId="256059E5"/>
  <w16cid:commentId w16cid:paraId="0F66996F" w16cid:durableId="255E05D5"/>
  <w16cid:commentId w16cid:paraId="6E18F763" w16cid:durableId="2560964B"/>
  <w16cid:commentId w16cid:paraId="3AE6BE9D" w16cid:durableId="255E06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A95F0" w14:textId="77777777" w:rsidR="000E232D" w:rsidRDefault="000E232D" w:rsidP="00E71A58">
      <w:r>
        <w:separator/>
      </w:r>
    </w:p>
  </w:endnote>
  <w:endnote w:type="continuationSeparator" w:id="0">
    <w:p w14:paraId="7C790990" w14:textId="77777777" w:rsidR="000E232D" w:rsidRDefault="000E232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48D7B654" w:rsidR="00CD7E9E" w:rsidRPr="00932443" w:rsidRDefault="00CD7E9E"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1619ED">
      <w:rPr>
        <w:szCs w:val="16"/>
      </w:rPr>
      <w:t>8</w:t>
    </w:r>
    <w:r w:rsidRPr="00932443">
      <w:rPr>
        <w:szCs w:val="16"/>
      </w:rPr>
      <w:fldChar w:fldCharType="end"/>
    </w:r>
    <w:r w:rsidRPr="00932443">
      <w:rPr>
        <w:szCs w:val="16"/>
      </w:rPr>
      <w:tab/>
    </w:r>
    <w:r>
      <w:rPr>
        <w:szCs w:val="16"/>
      </w:rPr>
      <w:t>rok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79772AEA" w:rsidR="00CD7E9E" w:rsidRPr="00932443" w:rsidRDefault="00CD7E9E" w:rsidP="00FA6CB6">
    <w:pPr>
      <w:pStyle w:val="Zpat"/>
      <w:rPr>
        <w:szCs w:val="16"/>
      </w:rPr>
    </w:pPr>
    <w:r w:rsidRPr="00FA6CB6">
      <w:rPr>
        <w:szCs w:val="16"/>
      </w:rPr>
      <w:tab/>
    </w:r>
    <w:r>
      <w:rPr>
        <w:szCs w:val="16"/>
      </w:rPr>
      <w:t>rok 2021</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1619ED">
      <w:rPr>
        <w:rStyle w:val="ZpatChar"/>
        <w:szCs w:val="16"/>
      </w:rPr>
      <w:t>9</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C8AB6" w14:textId="77777777" w:rsidR="000E232D" w:rsidRDefault="000E232D" w:rsidP="00A21B4D">
      <w:pPr>
        <w:spacing w:after="0"/>
      </w:pPr>
      <w:r>
        <w:separator/>
      </w:r>
    </w:p>
  </w:footnote>
  <w:footnote w:type="continuationSeparator" w:id="0">
    <w:p w14:paraId="717BB4AD" w14:textId="77777777" w:rsidR="000E232D" w:rsidRDefault="000E232D" w:rsidP="00E71A58">
      <w:r>
        <w:continuationSeparator/>
      </w:r>
    </w:p>
  </w:footnote>
  <w:footnote w:id="1">
    <w:p w14:paraId="72CC7700" w14:textId="77777777" w:rsidR="00CD7E9E" w:rsidRPr="000348AF" w:rsidRDefault="00CD7E9E" w:rsidP="00010A2C">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 </w:t>
      </w:r>
      <w:r>
        <w:rPr>
          <w:sz w:val="16"/>
          <w:szCs w:val="16"/>
        </w:rPr>
        <w:t>1</w:t>
      </w:r>
      <w:r w:rsidRPr="000348AF">
        <w:rPr>
          <w:sz w:val="16"/>
          <w:szCs w:val="16"/>
        </w:rPr>
        <w:t>. </w:t>
      </w:r>
      <w:r>
        <w:rPr>
          <w:sz w:val="16"/>
          <w:szCs w:val="16"/>
        </w:rPr>
        <w:t>3</w:t>
      </w:r>
      <w:r w:rsidRPr="000348AF">
        <w:rPr>
          <w:sz w:val="16"/>
          <w:szCs w:val="16"/>
        </w:rPr>
        <w:t>. 202</w:t>
      </w:r>
      <w:r>
        <w:rPr>
          <w:sz w:val="16"/>
          <w:szCs w:val="16"/>
        </w:rPr>
        <w:t>2</w:t>
      </w:r>
      <w:r w:rsidRPr="000348AF">
        <w:rPr>
          <w:sz w:val="16"/>
          <w:szCs w:val="16"/>
        </w:rPr>
        <w:t>.</w:t>
      </w:r>
    </w:p>
  </w:footnote>
  <w:footnote w:id="2">
    <w:p w14:paraId="28FE3D14" w14:textId="77777777" w:rsidR="00CD7E9E" w:rsidRPr="007B6713" w:rsidRDefault="00CD7E9E" w:rsidP="00010A2C">
      <w:pPr>
        <w:pStyle w:val="Textpoznpodarou"/>
        <w:rPr>
          <w:sz w:val="16"/>
          <w:szCs w:val="16"/>
        </w:rPr>
      </w:pPr>
      <w:r w:rsidRPr="007B6713">
        <w:rPr>
          <w:rStyle w:val="Znakapoznpodarou"/>
          <w:sz w:val="16"/>
          <w:szCs w:val="16"/>
        </w:rPr>
        <w:footnoteRef/>
      </w:r>
      <w:r w:rsidRPr="007B6713">
        <w:rPr>
          <w:sz w:val="16"/>
          <w:szCs w:val="16"/>
        </w:rPr>
        <w:t xml:space="preserve"> </w:t>
      </w:r>
      <w:r>
        <w:rPr>
          <w:sz w:val="16"/>
          <w:szCs w:val="16"/>
        </w:rPr>
        <w:t>P</w:t>
      </w:r>
      <w:r w:rsidRPr="007B6713">
        <w:rPr>
          <w:spacing w:val="-2"/>
          <w:sz w:val="16"/>
          <w:szCs w:val="16"/>
        </w:rPr>
        <w:t>rovoz v</w:t>
      </w:r>
      <w:r>
        <w:rPr>
          <w:spacing w:val="-2"/>
          <w:sz w:val="16"/>
          <w:szCs w:val="16"/>
        </w:rPr>
        <w:t> </w:t>
      </w:r>
      <w:r w:rsidRPr="007B6713">
        <w:rPr>
          <w:spacing w:val="-2"/>
          <w:sz w:val="16"/>
          <w:szCs w:val="16"/>
        </w:rPr>
        <w:t>maloobchodě</w:t>
      </w:r>
      <w:r>
        <w:rPr>
          <w:spacing w:val="-2"/>
          <w:sz w:val="16"/>
          <w:szCs w:val="16"/>
        </w:rPr>
        <w:t xml:space="preserve"> zůstal zachován. V</w:t>
      </w:r>
      <w:r w:rsidRPr="007B6713">
        <w:rPr>
          <w:spacing w:val="-2"/>
          <w:sz w:val="16"/>
          <w:szCs w:val="16"/>
        </w:rPr>
        <w:t xml:space="preserve">e službách byl </w:t>
      </w:r>
      <w:r>
        <w:rPr>
          <w:spacing w:val="-2"/>
          <w:sz w:val="16"/>
          <w:szCs w:val="16"/>
        </w:rPr>
        <w:t xml:space="preserve">nejprve </w:t>
      </w:r>
      <w:r w:rsidRPr="007B6713">
        <w:rPr>
          <w:spacing w:val="-2"/>
          <w:sz w:val="16"/>
          <w:szCs w:val="16"/>
        </w:rPr>
        <w:t xml:space="preserve">omezen vstup </w:t>
      </w:r>
      <w:r>
        <w:rPr>
          <w:spacing w:val="-2"/>
          <w:sz w:val="16"/>
          <w:szCs w:val="16"/>
        </w:rPr>
        <w:t>do provozoven osobám, které neprokážou bezinfekčnost. Následně se zákaz změnil na osoby bez ukončeného očkování.</w:t>
      </w:r>
    </w:p>
  </w:footnote>
  <w:footnote w:id="3">
    <w:p w14:paraId="3C79E854" w14:textId="77777777" w:rsidR="00CD7E9E" w:rsidRPr="001E74E3" w:rsidRDefault="00CD7E9E" w:rsidP="00010A2C">
      <w:pPr>
        <w:pStyle w:val="Textpoznpodarou"/>
        <w:rPr>
          <w:sz w:val="16"/>
          <w:szCs w:val="16"/>
        </w:rPr>
      </w:pPr>
      <w:r w:rsidRPr="001E74E3">
        <w:rPr>
          <w:rStyle w:val="Znakapoznpodarou"/>
          <w:sz w:val="16"/>
          <w:szCs w:val="16"/>
        </w:rPr>
        <w:footnoteRef/>
      </w:r>
      <w:r w:rsidRPr="001E74E3">
        <w:rPr>
          <w:sz w:val="16"/>
          <w:szCs w:val="16"/>
        </w:rPr>
        <w:t xml:space="preserve"> Data za Bulharsko, Irsko, Řecko </w:t>
      </w:r>
      <w:r>
        <w:rPr>
          <w:sz w:val="16"/>
          <w:szCs w:val="16"/>
        </w:rPr>
        <w:t xml:space="preserve">a Maltu </w:t>
      </w:r>
      <w:r w:rsidRPr="001E74E3">
        <w:rPr>
          <w:sz w:val="16"/>
          <w:szCs w:val="16"/>
        </w:rPr>
        <w:t>nebyla dostupná.</w:t>
      </w:r>
    </w:p>
  </w:footnote>
  <w:footnote w:id="4">
    <w:p w14:paraId="2BD2C3F8" w14:textId="77777777" w:rsidR="00CD7E9E" w:rsidRPr="001E74E3" w:rsidRDefault="00CD7E9E" w:rsidP="00010A2C">
      <w:pPr>
        <w:pStyle w:val="Textpoznpodarou"/>
        <w:rPr>
          <w:sz w:val="16"/>
          <w:szCs w:val="16"/>
        </w:rPr>
      </w:pPr>
      <w:r w:rsidRPr="001E74E3">
        <w:rPr>
          <w:rStyle w:val="Znakapoznpodarou"/>
          <w:sz w:val="16"/>
          <w:szCs w:val="16"/>
        </w:rPr>
        <w:footnoteRef/>
      </w:r>
      <w:r w:rsidRPr="001E74E3">
        <w:rPr>
          <w:sz w:val="16"/>
          <w:szCs w:val="16"/>
        </w:rPr>
        <w:t xml:space="preserve"> Srovnání HDP v cenách roku 2015.</w:t>
      </w:r>
    </w:p>
  </w:footnote>
  <w:footnote w:id="5">
    <w:p w14:paraId="4FB4D8AF" w14:textId="77777777" w:rsidR="00CD7E9E" w:rsidRDefault="00CD7E9E" w:rsidP="00010A2C">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r>
        <w:rPr>
          <w:sz w:val="16"/>
        </w:rPr>
        <w:t xml:space="preserve"> Objem odpracovaných hodin loni vzrostl o 2,9 %.</w:t>
      </w:r>
    </w:p>
  </w:footnote>
  <w:footnote w:id="6">
    <w:p w14:paraId="67E99860" w14:textId="77777777" w:rsidR="00CD7E9E" w:rsidRPr="005F75B1" w:rsidRDefault="00CD7E9E" w:rsidP="00010A2C">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7">
    <w:p w14:paraId="07877CCF" w14:textId="77777777" w:rsidR="00CD7E9E" w:rsidRPr="00771972" w:rsidRDefault="00CD7E9E" w:rsidP="00010A2C">
      <w:pPr>
        <w:pStyle w:val="Textpoznpodarou"/>
        <w:rPr>
          <w:sz w:val="16"/>
          <w:szCs w:val="16"/>
        </w:rPr>
      </w:pPr>
      <w:r w:rsidRPr="00771972">
        <w:rPr>
          <w:rStyle w:val="Znakapoznpodarou"/>
          <w:sz w:val="16"/>
          <w:szCs w:val="16"/>
        </w:rPr>
        <w:footnoteRef/>
      </w:r>
      <w:r w:rsidRPr="00771972">
        <w:rPr>
          <w:sz w:val="16"/>
          <w:szCs w:val="16"/>
        </w:rPr>
        <w:t xml:space="preserve"> Veřejná správa a</w:t>
      </w:r>
      <w:r>
        <w:rPr>
          <w:sz w:val="16"/>
          <w:szCs w:val="16"/>
        </w:rPr>
        <w:t> </w:t>
      </w:r>
      <w:r w:rsidRPr="00771972">
        <w:rPr>
          <w:sz w:val="16"/>
          <w:szCs w:val="16"/>
        </w:rPr>
        <w:t>obrana, vzdělávání, zdravotní a</w:t>
      </w:r>
      <w:r>
        <w:rPr>
          <w:sz w:val="16"/>
          <w:szCs w:val="16"/>
        </w:rPr>
        <w:t> </w:t>
      </w:r>
      <w:r w:rsidRPr="00771972">
        <w:rPr>
          <w:sz w:val="16"/>
          <w:szCs w:val="16"/>
        </w:rPr>
        <w:t>sociální péče.</w:t>
      </w:r>
    </w:p>
  </w:footnote>
  <w:footnote w:id="8">
    <w:p w14:paraId="73CBD42F" w14:textId="77777777" w:rsidR="00CD7E9E" w:rsidRPr="0050334B" w:rsidRDefault="00CD7E9E" w:rsidP="00010A2C">
      <w:pPr>
        <w:pStyle w:val="Textpoznpodarou"/>
        <w:rPr>
          <w:sz w:val="16"/>
          <w:szCs w:val="16"/>
        </w:rPr>
      </w:pPr>
      <w:r w:rsidRPr="0050334B">
        <w:rPr>
          <w:rStyle w:val="Znakapoznpodarou"/>
          <w:sz w:val="16"/>
          <w:szCs w:val="16"/>
        </w:rPr>
        <w:footnoteRef/>
      </w:r>
      <w:r w:rsidRPr="0050334B">
        <w:rPr>
          <w:sz w:val="16"/>
          <w:szCs w:val="16"/>
        </w:rPr>
        <w:t xml:space="preserve"> Zaměstnanost zde rostla desátým rokem </w:t>
      </w:r>
      <w:r>
        <w:rPr>
          <w:sz w:val="16"/>
          <w:szCs w:val="16"/>
        </w:rPr>
        <w:t xml:space="preserve">v řadě </w:t>
      </w:r>
      <w:r w:rsidRPr="0050334B">
        <w:rPr>
          <w:sz w:val="16"/>
          <w:szCs w:val="16"/>
        </w:rPr>
        <w:t>a</w:t>
      </w:r>
      <w:r>
        <w:rPr>
          <w:sz w:val="16"/>
          <w:szCs w:val="16"/>
        </w:rPr>
        <w:t> </w:t>
      </w:r>
      <w:r w:rsidRPr="0050334B">
        <w:rPr>
          <w:sz w:val="16"/>
          <w:szCs w:val="16"/>
        </w:rPr>
        <w:t>za tu dobu se zvýšila o</w:t>
      </w:r>
      <w:r>
        <w:rPr>
          <w:sz w:val="16"/>
          <w:szCs w:val="16"/>
        </w:rPr>
        <w:t> </w:t>
      </w:r>
      <w:r w:rsidRPr="0050334B">
        <w:rPr>
          <w:sz w:val="16"/>
          <w:szCs w:val="16"/>
        </w:rPr>
        <w:t>více než 40</w:t>
      </w:r>
      <w:r>
        <w:rPr>
          <w:sz w:val="16"/>
          <w:szCs w:val="16"/>
        </w:rPr>
        <w:t> % (více než 50 tisíc osob)</w:t>
      </w:r>
      <w:r w:rsidRPr="0050334B">
        <w:rPr>
          <w:sz w:val="16"/>
          <w:szCs w:val="16"/>
        </w:rPr>
        <w:t>.</w:t>
      </w:r>
    </w:p>
  </w:footnote>
  <w:footnote w:id="9">
    <w:p w14:paraId="6D97F7BF" w14:textId="77777777" w:rsidR="00CD7E9E" w:rsidRPr="003764DF" w:rsidRDefault="00CD7E9E" w:rsidP="00010A2C">
      <w:pPr>
        <w:pStyle w:val="Textpoznpodarou"/>
        <w:rPr>
          <w:sz w:val="16"/>
          <w:szCs w:val="16"/>
        </w:rPr>
      </w:pPr>
      <w:r w:rsidRPr="003764DF">
        <w:rPr>
          <w:rStyle w:val="Znakapoznpodarou"/>
          <w:sz w:val="16"/>
          <w:szCs w:val="16"/>
        </w:rPr>
        <w:footnoteRef/>
      </w:r>
      <w:r w:rsidRPr="003764DF">
        <w:rPr>
          <w:sz w:val="16"/>
          <w:szCs w:val="16"/>
        </w:rPr>
        <w:t xml:space="preserve"> Projevila se zejména vysoká základna </w:t>
      </w:r>
      <w:r>
        <w:rPr>
          <w:sz w:val="16"/>
          <w:szCs w:val="16"/>
        </w:rPr>
        <w:t>4</w:t>
      </w:r>
      <w:r w:rsidRPr="003764DF">
        <w:rPr>
          <w:sz w:val="16"/>
          <w:szCs w:val="16"/>
        </w:rPr>
        <w:t>.</w:t>
      </w:r>
      <w:r>
        <w:rPr>
          <w:sz w:val="16"/>
          <w:szCs w:val="16"/>
        </w:rPr>
        <w:t> čtvrtlet</w:t>
      </w:r>
      <w:r w:rsidRPr="003764DF">
        <w:rPr>
          <w:sz w:val="16"/>
          <w:szCs w:val="16"/>
        </w:rPr>
        <w:t>í</w:t>
      </w:r>
      <w:r>
        <w:rPr>
          <w:sz w:val="16"/>
          <w:szCs w:val="16"/>
        </w:rPr>
        <w:t xml:space="preserve"> 2020</w:t>
      </w:r>
      <w:r w:rsidRPr="003764DF">
        <w:rPr>
          <w:sz w:val="16"/>
          <w:szCs w:val="16"/>
        </w:rPr>
        <w:t>, kdy byly vypláceny mimořádné odměny zdravotníkům.</w:t>
      </w:r>
    </w:p>
  </w:footnote>
  <w:footnote w:id="10">
    <w:p w14:paraId="7A085125" w14:textId="77777777" w:rsidR="00CD7E9E" w:rsidRPr="009C6EA8" w:rsidRDefault="00CD7E9E" w:rsidP="00010A2C">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11">
    <w:p w14:paraId="2C1DF4E6" w14:textId="77777777" w:rsidR="00CD7E9E" w:rsidRPr="00954992" w:rsidRDefault="00CD7E9E" w:rsidP="00010A2C">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w:t>
      </w:r>
      <w:r>
        <w:rPr>
          <w:sz w:val="16"/>
          <w:szCs w:val="16"/>
        </w:rPr>
        <w:t>.</w:t>
      </w:r>
    </w:p>
  </w:footnote>
  <w:footnote w:id="12">
    <w:p w14:paraId="1448EA28" w14:textId="77777777" w:rsidR="00CD7E9E" w:rsidRPr="00AA3676" w:rsidRDefault="00CD7E9E" w:rsidP="00010A2C">
      <w:pPr>
        <w:pStyle w:val="Textpoznpodarou"/>
        <w:rPr>
          <w:sz w:val="16"/>
          <w:szCs w:val="16"/>
        </w:rPr>
      </w:pPr>
      <w:r w:rsidRPr="00AA3676">
        <w:rPr>
          <w:rStyle w:val="Znakapoznpodarou"/>
          <w:sz w:val="16"/>
          <w:szCs w:val="16"/>
        </w:rPr>
        <w:footnoteRef/>
      </w:r>
      <w:r w:rsidRPr="00AA3676">
        <w:rPr>
          <w:sz w:val="16"/>
          <w:szCs w:val="16"/>
        </w:rPr>
        <w:t xml:space="preserve"> </w:t>
      </w:r>
      <w:r>
        <w:rPr>
          <w:sz w:val="16"/>
          <w:szCs w:val="16"/>
        </w:rPr>
        <w:t>V</w:t>
      </w:r>
      <w:r w:rsidRPr="00AA3676">
        <w:rPr>
          <w:spacing w:val="-2"/>
          <w:sz w:val="16"/>
          <w:szCs w:val="16"/>
        </w:rPr>
        <w:t>elká část omezeného maloobchodu</w:t>
      </w:r>
      <w:r>
        <w:rPr>
          <w:spacing w:val="-2"/>
          <w:sz w:val="16"/>
          <w:szCs w:val="16"/>
        </w:rPr>
        <w:t xml:space="preserve"> spadá do kategorie zboží střednědobé spotřeby </w:t>
      </w:r>
      <w:r w:rsidRPr="00AA3676">
        <w:rPr>
          <w:spacing w:val="-2"/>
          <w:sz w:val="16"/>
          <w:szCs w:val="16"/>
        </w:rPr>
        <w:t>– oděvy, rekreační a</w:t>
      </w:r>
      <w:r>
        <w:rPr>
          <w:spacing w:val="-2"/>
          <w:sz w:val="16"/>
          <w:szCs w:val="16"/>
        </w:rPr>
        <w:t> </w:t>
      </w:r>
      <w:r w:rsidRPr="00AA3676">
        <w:rPr>
          <w:spacing w:val="-2"/>
          <w:sz w:val="16"/>
          <w:szCs w:val="16"/>
        </w:rPr>
        <w:t>sportovní potřeby a</w:t>
      </w:r>
      <w:r>
        <w:rPr>
          <w:spacing w:val="-2"/>
          <w:sz w:val="16"/>
          <w:szCs w:val="16"/>
        </w:rPr>
        <w:t> </w:t>
      </w:r>
      <w:r w:rsidRPr="00AA3676">
        <w:rPr>
          <w:spacing w:val="-2"/>
          <w:sz w:val="16"/>
          <w:szCs w:val="16"/>
        </w:rPr>
        <w:t>pod</w:t>
      </w:r>
      <w:r>
        <w:rPr>
          <w:spacing w:val="-2"/>
          <w:sz w:val="16"/>
          <w:szCs w:val="16"/>
        </w:rPr>
        <w:t>obně</w:t>
      </w:r>
      <w:r w:rsidRPr="00AA3676">
        <w:rPr>
          <w:spacing w:val="-2"/>
          <w:sz w:val="16"/>
          <w:szCs w:val="16"/>
        </w:rPr>
        <w:t>.</w:t>
      </w:r>
    </w:p>
  </w:footnote>
  <w:footnote w:id="13">
    <w:p w14:paraId="4C4BC8C3" w14:textId="267DA092" w:rsidR="00CD7E9E" w:rsidRPr="004831F6" w:rsidRDefault="00CD7E9E" w:rsidP="00010A2C">
      <w:pPr>
        <w:pStyle w:val="Textpoznpodarou"/>
        <w:rPr>
          <w:sz w:val="16"/>
          <w:szCs w:val="16"/>
        </w:rPr>
      </w:pPr>
      <w:r w:rsidRPr="004831F6">
        <w:rPr>
          <w:rStyle w:val="Znakapoznpodarou"/>
          <w:sz w:val="16"/>
          <w:szCs w:val="16"/>
        </w:rPr>
        <w:footnoteRef/>
      </w:r>
      <w:r w:rsidRPr="004831F6">
        <w:rPr>
          <w:sz w:val="16"/>
          <w:szCs w:val="16"/>
        </w:rPr>
        <w:t xml:space="preserve"> Změna zásob</w:t>
      </w:r>
      <w:r>
        <w:rPr>
          <w:sz w:val="16"/>
          <w:szCs w:val="16"/>
        </w:rPr>
        <w:t xml:space="preserve"> (v běžných cenách a sezónně očištěná)</w:t>
      </w:r>
      <w:r w:rsidRPr="004831F6">
        <w:rPr>
          <w:sz w:val="16"/>
          <w:szCs w:val="16"/>
        </w:rPr>
        <w:t xml:space="preserve"> dosáhla v</w:t>
      </w:r>
      <w:r>
        <w:rPr>
          <w:sz w:val="16"/>
          <w:szCs w:val="16"/>
        </w:rPr>
        <w:t> roce 2021 +275,1 mld. korun</w:t>
      </w:r>
      <w:r w:rsidRPr="004831F6">
        <w:rPr>
          <w:sz w:val="16"/>
          <w:szCs w:val="16"/>
        </w:rPr>
        <w:t>.</w:t>
      </w:r>
      <w:r>
        <w:rPr>
          <w:sz w:val="16"/>
          <w:szCs w:val="16"/>
        </w:rPr>
        <w:t xml:space="preserve"> V samotném 4. čtvrtletí</w:t>
      </w:r>
      <w:r w:rsidRPr="004831F6">
        <w:rPr>
          <w:sz w:val="16"/>
          <w:szCs w:val="16"/>
        </w:rPr>
        <w:t xml:space="preserve"> </w:t>
      </w:r>
      <w:r>
        <w:rPr>
          <w:sz w:val="16"/>
          <w:szCs w:val="16"/>
        </w:rPr>
        <w:t>vzrostly zásoby o 82,5 mld.</w:t>
      </w:r>
      <w:r w:rsidRPr="004831F6">
        <w:rPr>
          <w:sz w:val="16"/>
          <w:szCs w:val="16"/>
        </w:rPr>
        <w:t xml:space="preserve"> korun.</w:t>
      </w:r>
    </w:p>
  </w:footnote>
  <w:footnote w:id="14">
    <w:p w14:paraId="1261BE94" w14:textId="0BD2C4BC" w:rsidR="00CD7E9E" w:rsidRPr="00167B30" w:rsidRDefault="00CD7E9E" w:rsidP="00010A2C">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 Bilance zahraničního obchodu v běžných cenách a po sezónním očištění.</w:t>
      </w:r>
    </w:p>
  </w:footnote>
  <w:footnote w:id="15">
    <w:p w14:paraId="4AD8F028" w14:textId="77777777" w:rsidR="00CD7E9E" w:rsidRPr="00200302" w:rsidRDefault="00CD7E9E" w:rsidP="00010A2C">
      <w:pPr>
        <w:pStyle w:val="Textpoznpodarou"/>
        <w:rPr>
          <w:sz w:val="16"/>
          <w:szCs w:val="16"/>
        </w:rPr>
      </w:pPr>
      <w:r w:rsidRPr="00200302">
        <w:rPr>
          <w:rStyle w:val="Znakapoznpodarou"/>
          <w:sz w:val="16"/>
          <w:szCs w:val="16"/>
        </w:rPr>
        <w:footnoteRef/>
      </w:r>
      <w:r w:rsidRPr="00200302">
        <w:rPr>
          <w:sz w:val="16"/>
          <w:szCs w:val="16"/>
        </w:rPr>
        <w:t xml:space="preserve"> To je </w:t>
      </w:r>
      <w:r>
        <w:rPr>
          <w:sz w:val="16"/>
          <w:szCs w:val="16"/>
        </w:rPr>
        <w:t>největší zaznamenané zhoršení</w:t>
      </w:r>
      <w:r w:rsidRPr="0020030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CD7E9E" w:rsidRDefault="00CD7E9E" w:rsidP="00937AE2">
    <w:pPr>
      <w:pStyle w:val="Zhlav"/>
    </w:pPr>
    <w:r>
      <w:t>Vývoj ekonomiky České republiky</w:t>
    </w:r>
  </w:p>
  <w:p w14:paraId="3E881AB3" w14:textId="77777777" w:rsidR="00CD7E9E" w:rsidRPr="006F5416" w:rsidRDefault="00CD7E9E"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CD7E9E" w:rsidRDefault="00CD7E9E" w:rsidP="00937AE2">
    <w:pPr>
      <w:pStyle w:val="Zhlav"/>
    </w:pPr>
    <w:r>
      <w:t>Vývoj ekonomiky České republiky</w:t>
    </w:r>
  </w:p>
  <w:p w14:paraId="57266714" w14:textId="77777777" w:rsidR="00CD7E9E" w:rsidRPr="006F5416" w:rsidRDefault="00CD7E9E"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70A"/>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389"/>
    <w:rsid w:val="0002669F"/>
    <w:rsid w:val="000279E5"/>
    <w:rsid w:val="000305E0"/>
    <w:rsid w:val="00031AE0"/>
    <w:rsid w:val="00031BB2"/>
    <w:rsid w:val="000322EF"/>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AD4"/>
    <w:rsid w:val="00047D54"/>
    <w:rsid w:val="0005054A"/>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33F"/>
    <w:rsid w:val="00065348"/>
    <w:rsid w:val="0006551C"/>
    <w:rsid w:val="00065A75"/>
    <w:rsid w:val="000663F0"/>
    <w:rsid w:val="00066558"/>
    <w:rsid w:val="000671DB"/>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A2C"/>
    <w:rsid w:val="000A3D9E"/>
    <w:rsid w:val="000A4A54"/>
    <w:rsid w:val="000A4ED9"/>
    <w:rsid w:val="000A5DB7"/>
    <w:rsid w:val="000A6753"/>
    <w:rsid w:val="000A6D94"/>
    <w:rsid w:val="000A7377"/>
    <w:rsid w:val="000A74A4"/>
    <w:rsid w:val="000A775A"/>
    <w:rsid w:val="000A7FF4"/>
    <w:rsid w:val="000B03CC"/>
    <w:rsid w:val="000B4212"/>
    <w:rsid w:val="000B67B7"/>
    <w:rsid w:val="000C0CA6"/>
    <w:rsid w:val="000C0EA8"/>
    <w:rsid w:val="000C13A2"/>
    <w:rsid w:val="000C21E7"/>
    <w:rsid w:val="000C23EC"/>
    <w:rsid w:val="000C26A2"/>
    <w:rsid w:val="000C290E"/>
    <w:rsid w:val="000C30C3"/>
    <w:rsid w:val="000C3408"/>
    <w:rsid w:val="000C35AB"/>
    <w:rsid w:val="000C3F7B"/>
    <w:rsid w:val="000C4769"/>
    <w:rsid w:val="000C4D56"/>
    <w:rsid w:val="000C5DFA"/>
    <w:rsid w:val="000C6AFD"/>
    <w:rsid w:val="000C6C90"/>
    <w:rsid w:val="000C72B7"/>
    <w:rsid w:val="000D0A26"/>
    <w:rsid w:val="000D13CB"/>
    <w:rsid w:val="000D2196"/>
    <w:rsid w:val="000D3058"/>
    <w:rsid w:val="000D310A"/>
    <w:rsid w:val="000D3EF4"/>
    <w:rsid w:val="000D4761"/>
    <w:rsid w:val="000D4DC0"/>
    <w:rsid w:val="000D55BA"/>
    <w:rsid w:val="000D5637"/>
    <w:rsid w:val="000D5A03"/>
    <w:rsid w:val="000D5ED3"/>
    <w:rsid w:val="000D6F4E"/>
    <w:rsid w:val="000D6FDA"/>
    <w:rsid w:val="000D73BB"/>
    <w:rsid w:val="000E0E96"/>
    <w:rsid w:val="000E232D"/>
    <w:rsid w:val="000E298B"/>
    <w:rsid w:val="000E2C7D"/>
    <w:rsid w:val="000E3E56"/>
    <w:rsid w:val="000E440D"/>
    <w:rsid w:val="000E4AC5"/>
    <w:rsid w:val="000E6253"/>
    <w:rsid w:val="000E6AC4"/>
    <w:rsid w:val="000E6E4D"/>
    <w:rsid w:val="000E6FBD"/>
    <w:rsid w:val="000E6FCB"/>
    <w:rsid w:val="000F090B"/>
    <w:rsid w:val="000F3F3B"/>
    <w:rsid w:val="000F4721"/>
    <w:rsid w:val="000F47E8"/>
    <w:rsid w:val="000F70E4"/>
    <w:rsid w:val="000F76EA"/>
    <w:rsid w:val="00100A8B"/>
    <w:rsid w:val="00100F5C"/>
    <w:rsid w:val="00101CDA"/>
    <w:rsid w:val="00102037"/>
    <w:rsid w:val="00103DCB"/>
    <w:rsid w:val="00104C4C"/>
    <w:rsid w:val="00105015"/>
    <w:rsid w:val="001055D2"/>
    <w:rsid w:val="001057C2"/>
    <w:rsid w:val="00107124"/>
    <w:rsid w:val="0011038E"/>
    <w:rsid w:val="00111573"/>
    <w:rsid w:val="001125EF"/>
    <w:rsid w:val="00112CAB"/>
    <w:rsid w:val="0011440C"/>
    <w:rsid w:val="00114C33"/>
    <w:rsid w:val="00116D3F"/>
    <w:rsid w:val="00117474"/>
    <w:rsid w:val="00117623"/>
    <w:rsid w:val="00117FEA"/>
    <w:rsid w:val="001200CF"/>
    <w:rsid w:val="001208E3"/>
    <w:rsid w:val="00121609"/>
    <w:rsid w:val="0012192F"/>
    <w:rsid w:val="00122994"/>
    <w:rsid w:val="00123204"/>
    <w:rsid w:val="00124B46"/>
    <w:rsid w:val="001257BE"/>
    <w:rsid w:val="001257E0"/>
    <w:rsid w:val="00125D69"/>
    <w:rsid w:val="0012799C"/>
    <w:rsid w:val="00127BC2"/>
    <w:rsid w:val="00127E15"/>
    <w:rsid w:val="00130ADC"/>
    <w:rsid w:val="00130D9F"/>
    <w:rsid w:val="00132C4D"/>
    <w:rsid w:val="00133FC1"/>
    <w:rsid w:val="00134659"/>
    <w:rsid w:val="00135111"/>
    <w:rsid w:val="00136A6F"/>
    <w:rsid w:val="00136C1A"/>
    <w:rsid w:val="001405FA"/>
    <w:rsid w:val="00140D1A"/>
    <w:rsid w:val="00141184"/>
    <w:rsid w:val="00141315"/>
    <w:rsid w:val="00141AA0"/>
    <w:rsid w:val="001425C3"/>
    <w:rsid w:val="0014262D"/>
    <w:rsid w:val="00142B29"/>
    <w:rsid w:val="00144108"/>
    <w:rsid w:val="00144588"/>
    <w:rsid w:val="001447DD"/>
    <w:rsid w:val="00145358"/>
    <w:rsid w:val="001459BC"/>
    <w:rsid w:val="00150ECA"/>
    <w:rsid w:val="00151707"/>
    <w:rsid w:val="00152C86"/>
    <w:rsid w:val="00152F4F"/>
    <w:rsid w:val="0015329F"/>
    <w:rsid w:val="001544A1"/>
    <w:rsid w:val="001553B8"/>
    <w:rsid w:val="001554C2"/>
    <w:rsid w:val="001571C0"/>
    <w:rsid w:val="0015753D"/>
    <w:rsid w:val="00157984"/>
    <w:rsid w:val="00157CC9"/>
    <w:rsid w:val="00160C21"/>
    <w:rsid w:val="001612F4"/>
    <w:rsid w:val="00161553"/>
    <w:rsid w:val="001619ED"/>
    <w:rsid w:val="0016216F"/>
    <w:rsid w:val="0016256B"/>
    <w:rsid w:val="00162F81"/>
    <w:rsid w:val="00163793"/>
    <w:rsid w:val="00164CA1"/>
    <w:rsid w:val="00165313"/>
    <w:rsid w:val="00167485"/>
    <w:rsid w:val="001679F5"/>
    <w:rsid w:val="00167B92"/>
    <w:rsid w:val="00167CB9"/>
    <w:rsid w:val="00167DD8"/>
    <w:rsid w:val="001705AD"/>
    <w:rsid w:val="001706D6"/>
    <w:rsid w:val="001714F2"/>
    <w:rsid w:val="00171FEA"/>
    <w:rsid w:val="00173622"/>
    <w:rsid w:val="00175B9F"/>
    <w:rsid w:val="001762F4"/>
    <w:rsid w:val="001777BA"/>
    <w:rsid w:val="00181029"/>
    <w:rsid w:val="00181BBC"/>
    <w:rsid w:val="0018385F"/>
    <w:rsid w:val="00183BCF"/>
    <w:rsid w:val="00184017"/>
    <w:rsid w:val="001847BB"/>
    <w:rsid w:val="00184B08"/>
    <w:rsid w:val="00185010"/>
    <w:rsid w:val="00185C22"/>
    <w:rsid w:val="00186BA9"/>
    <w:rsid w:val="00187D50"/>
    <w:rsid w:val="0019196C"/>
    <w:rsid w:val="001926A9"/>
    <w:rsid w:val="00192F05"/>
    <w:rsid w:val="00194729"/>
    <w:rsid w:val="00194850"/>
    <w:rsid w:val="00195234"/>
    <w:rsid w:val="00196016"/>
    <w:rsid w:val="00196117"/>
    <w:rsid w:val="00197A70"/>
    <w:rsid w:val="00197C0F"/>
    <w:rsid w:val="00197D0E"/>
    <w:rsid w:val="001A0487"/>
    <w:rsid w:val="001A0675"/>
    <w:rsid w:val="001A0A37"/>
    <w:rsid w:val="001A1F68"/>
    <w:rsid w:val="001A21FA"/>
    <w:rsid w:val="001A4D7C"/>
    <w:rsid w:val="001A4EF0"/>
    <w:rsid w:val="001A552F"/>
    <w:rsid w:val="001A70B1"/>
    <w:rsid w:val="001B0738"/>
    <w:rsid w:val="001B1235"/>
    <w:rsid w:val="001B158D"/>
    <w:rsid w:val="001B2CA9"/>
    <w:rsid w:val="001B3110"/>
    <w:rsid w:val="001B3E38"/>
    <w:rsid w:val="001B40F5"/>
    <w:rsid w:val="001B4729"/>
    <w:rsid w:val="001B4F0E"/>
    <w:rsid w:val="001B5F40"/>
    <w:rsid w:val="001B6310"/>
    <w:rsid w:val="001B6C09"/>
    <w:rsid w:val="001B6E12"/>
    <w:rsid w:val="001C05CD"/>
    <w:rsid w:val="001C082B"/>
    <w:rsid w:val="001C0F17"/>
    <w:rsid w:val="001C1B24"/>
    <w:rsid w:val="001C1B66"/>
    <w:rsid w:val="001C1BB5"/>
    <w:rsid w:val="001C2732"/>
    <w:rsid w:val="001C31A2"/>
    <w:rsid w:val="001C351D"/>
    <w:rsid w:val="001C3794"/>
    <w:rsid w:val="001C4B8F"/>
    <w:rsid w:val="001C4BB8"/>
    <w:rsid w:val="001C4FD0"/>
    <w:rsid w:val="001C544D"/>
    <w:rsid w:val="001C5E46"/>
    <w:rsid w:val="001C6B3B"/>
    <w:rsid w:val="001C7A26"/>
    <w:rsid w:val="001C7E3F"/>
    <w:rsid w:val="001D0EF1"/>
    <w:rsid w:val="001D22C2"/>
    <w:rsid w:val="001D2C99"/>
    <w:rsid w:val="001D3B75"/>
    <w:rsid w:val="001D452E"/>
    <w:rsid w:val="001D54C1"/>
    <w:rsid w:val="001D556E"/>
    <w:rsid w:val="001D5DF2"/>
    <w:rsid w:val="001D6175"/>
    <w:rsid w:val="001D68B2"/>
    <w:rsid w:val="001D7EFD"/>
    <w:rsid w:val="001D7F60"/>
    <w:rsid w:val="001E085B"/>
    <w:rsid w:val="001E149B"/>
    <w:rsid w:val="001E15CB"/>
    <w:rsid w:val="001E3306"/>
    <w:rsid w:val="001E504C"/>
    <w:rsid w:val="001E56AC"/>
    <w:rsid w:val="001E5A17"/>
    <w:rsid w:val="001E74C5"/>
    <w:rsid w:val="001F1236"/>
    <w:rsid w:val="001F2F90"/>
    <w:rsid w:val="001F4597"/>
    <w:rsid w:val="001F4826"/>
    <w:rsid w:val="001F4933"/>
    <w:rsid w:val="001F59C8"/>
    <w:rsid w:val="001F6CD3"/>
    <w:rsid w:val="001F75DA"/>
    <w:rsid w:val="001F7CE0"/>
    <w:rsid w:val="00200085"/>
    <w:rsid w:val="00203332"/>
    <w:rsid w:val="00203CD5"/>
    <w:rsid w:val="00203D8F"/>
    <w:rsid w:val="00203DA4"/>
    <w:rsid w:val="00204EA6"/>
    <w:rsid w:val="00205186"/>
    <w:rsid w:val="00206516"/>
    <w:rsid w:val="002070CF"/>
    <w:rsid w:val="002071D5"/>
    <w:rsid w:val="002111E5"/>
    <w:rsid w:val="0021149E"/>
    <w:rsid w:val="002118B9"/>
    <w:rsid w:val="00213691"/>
    <w:rsid w:val="002142C0"/>
    <w:rsid w:val="00217C5B"/>
    <w:rsid w:val="00220A43"/>
    <w:rsid w:val="0022139E"/>
    <w:rsid w:val="00222729"/>
    <w:rsid w:val="0022287B"/>
    <w:rsid w:val="002228DB"/>
    <w:rsid w:val="00223185"/>
    <w:rsid w:val="00223264"/>
    <w:rsid w:val="002233D6"/>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05FE"/>
    <w:rsid w:val="0026120E"/>
    <w:rsid w:val="002617EE"/>
    <w:rsid w:val="00262582"/>
    <w:rsid w:val="0026291D"/>
    <w:rsid w:val="00262CF3"/>
    <w:rsid w:val="00264309"/>
    <w:rsid w:val="00264992"/>
    <w:rsid w:val="00264B4F"/>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E4C"/>
    <w:rsid w:val="002E4EA7"/>
    <w:rsid w:val="002E5846"/>
    <w:rsid w:val="002E792B"/>
    <w:rsid w:val="002E7AEB"/>
    <w:rsid w:val="002E7B79"/>
    <w:rsid w:val="002F1B09"/>
    <w:rsid w:val="002F1D56"/>
    <w:rsid w:val="002F1DCB"/>
    <w:rsid w:val="002F1DE4"/>
    <w:rsid w:val="002F333D"/>
    <w:rsid w:val="002F351A"/>
    <w:rsid w:val="002F46D6"/>
    <w:rsid w:val="002F498A"/>
    <w:rsid w:val="002F4AD8"/>
    <w:rsid w:val="002F5285"/>
    <w:rsid w:val="002F5820"/>
    <w:rsid w:val="002F64BB"/>
    <w:rsid w:val="002F7D9B"/>
    <w:rsid w:val="00300C31"/>
    <w:rsid w:val="003017EC"/>
    <w:rsid w:val="00302165"/>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54F89"/>
    <w:rsid w:val="0035506D"/>
    <w:rsid w:val="0036077F"/>
    <w:rsid w:val="00360C86"/>
    <w:rsid w:val="00360F7A"/>
    <w:rsid w:val="00360FBC"/>
    <w:rsid w:val="00361537"/>
    <w:rsid w:val="00361FB7"/>
    <w:rsid w:val="0036242A"/>
    <w:rsid w:val="00362C23"/>
    <w:rsid w:val="00362DCA"/>
    <w:rsid w:val="00362E90"/>
    <w:rsid w:val="00364FA0"/>
    <w:rsid w:val="003657F3"/>
    <w:rsid w:val="00365844"/>
    <w:rsid w:val="0036624C"/>
    <w:rsid w:val="00367F84"/>
    <w:rsid w:val="003712BC"/>
    <w:rsid w:val="00372164"/>
    <w:rsid w:val="003738BD"/>
    <w:rsid w:val="00374263"/>
    <w:rsid w:val="003746F0"/>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6739"/>
    <w:rsid w:val="003978B1"/>
    <w:rsid w:val="003A04F6"/>
    <w:rsid w:val="003A0837"/>
    <w:rsid w:val="003A2B4D"/>
    <w:rsid w:val="003A2D12"/>
    <w:rsid w:val="003A2EBA"/>
    <w:rsid w:val="003A45E3"/>
    <w:rsid w:val="003A46B8"/>
    <w:rsid w:val="003A478C"/>
    <w:rsid w:val="003A4A38"/>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E8"/>
    <w:rsid w:val="003C3D2C"/>
    <w:rsid w:val="003C4E13"/>
    <w:rsid w:val="003C58A5"/>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E6F84"/>
    <w:rsid w:val="003F313C"/>
    <w:rsid w:val="003F33B1"/>
    <w:rsid w:val="003F33B9"/>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23623"/>
    <w:rsid w:val="0042470E"/>
    <w:rsid w:val="00425352"/>
    <w:rsid w:val="00426C99"/>
    <w:rsid w:val="00430C96"/>
    <w:rsid w:val="0043174F"/>
    <w:rsid w:val="00431BFF"/>
    <w:rsid w:val="00432199"/>
    <w:rsid w:val="00432A58"/>
    <w:rsid w:val="004331C3"/>
    <w:rsid w:val="00433C17"/>
    <w:rsid w:val="00434617"/>
    <w:rsid w:val="00434DE9"/>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6FE5"/>
    <w:rsid w:val="00457490"/>
    <w:rsid w:val="0045786C"/>
    <w:rsid w:val="00457953"/>
    <w:rsid w:val="004604D8"/>
    <w:rsid w:val="00460656"/>
    <w:rsid w:val="00460FB3"/>
    <w:rsid w:val="00463D3C"/>
    <w:rsid w:val="00464851"/>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A0C"/>
    <w:rsid w:val="004841CC"/>
    <w:rsid w:val="00484ECE"/>
    <w:rsid w:val="00485E82"/>
    <w:rsid w:val="00486132"/>
    <w:rsid w:val="0048686D"/>
    <w:rsid w:val="00486A4D"/>
    <w:rsid w:val="004915C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40D9"/>
    <w:rsid w:val="004A49A5"/>
    <w:rsid w:val="004A4F8A"/>
    <w:rsid w:val="004A52AB"/>
    <w:rsid w:val="004A5494"/>
    <w:rsid w:val="004A5D4E"/>
    <w:rsid w:val="004A61C5"/>
    <w:rsid w:val="004A62A0"/>
    <w:rsid w:val="004A77DF"/>
    <w:rsid w:val="004B1417"/>
    <w:rsid w:val="004B305C"/>
    <w:rsid w:val="004B31B8"/>
    <w:rsid w:val="004B339A"/>
    <w:rsid w:val="004B4C83"/>
    <w:rsid w:val="004B55B7"/>
    <w:rsid w:val="004B5BFA"/>
    <w:rsid w:val="004B619E"/>
    <w:rsid w:val="004B6468"/>
    <w:rsid w:val="004B6EF8"/>
    <w:rsid w:val="004B7125"/>
    <w:rsid w:val="004B756A"/>
    <w:rsid w:val="004B7FB1"/>
    <w:rsid w:val="004C0B3F"/>
    <w:rsid w:val="004C0F87"/>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D31"/>
    <w:rsid w:val="004D2E03"/>
    <w:rsid w:val="004D3296"/>
    <w:rsid w:val="004D4056"/>
    <w:rsid w:val="004D4CB0"/>
    <w:rsid w:val="004D5B0F"/>
    <w:rsid w:val="004D7626"/>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425"/>
    <w:rsid w:val="00522A1B"/>
    <w:rsid w:val="00522E01"/>
    <w:rsid w:val="0052337A"/>
    <w:rsid w:val="00524385"/>
    <w:rsid w:val="005246BE"/>
    <w:rsid w:val="00525137"/>
    <w:rsid w:val="005251DD"/>
    <w:rsid w:val="0052762C"/>
    <w:rsid w:val="0053012B"/>
    <w:rsid w:val="005301A6"/>
    <w:rsid w:val="00530A68"/>
    <w:rsid w:val="00530AD4"/>
    <w:rsid w:val="0053129F"/>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3A3"/>
    <w:rsid w:val="005455F6"/>
    <w:rsid w:val="0054582F"/>
    <w:rsid w:val="00546FC7"/>
    <w:rsid w:val="005500F9"/>
    <w:rsid w:val="00550160"/>
    <w:rsid w:val="005519E2"/>
    <w:rsid w:val="005523A8"/>
    <w:rsid w:val="00552F2C"/>
    <w:rsid w:val="00553A25"/>
    <w:rsid w:val="005547EB"/>
    <w:rsid w:val="00554863"/>
    <w:rsid w:val="005555E0"/>
    <w:rsid w:val="0055599F"/>
    <w:rsid w:val="00556D68"/>
    <w:rsid w:val="0055707B"/>
    <w:rsid w:val="005570D6"/>
    <w:rsid w:val="00557E0E"/>
    <w:rsid w:val="00557E45"/>
    <w:rsid w:val="00560C41"/>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60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63"/>
    <w:rsid w:val="005A0948"/>
    <w:rsid w:val="005A0A03"/>
    <w:rsid w:val="005A10F2"/>
    <w:rsid w:val="005A16C0"/>
    <w:rsid w:val="005A2156"/>
    <w:rsid w:val="005A21E0"/>
    <w:rsid w:val="005A28FF"/>
    <w:rsid w:val="005A2C09"/>
    <w:rsid w:val="005A3778"/>
    <w:rsid w:val="005A37B0"/>
    <w:rsid w:val="005A3DF8"/>
    <w:rsid w:val="005A5549"/>
    <w:rsid w:val="005A566A"/>
    <w:rsid w:val="005A7ABD"/>
    <w:rsid w:val="005A7CF8"/>
    <w:rsid w:val="005B0EDA"/>
    <w:rsid w:val="005B121D"/>
    <w:rsid w:val="005B26B0"/>
    <w:rsid w:val="005B41C9"/>
    <w:rsid w:val="005B44E6"/>
    <w:rsid w:val="005B4853"/>
    <w:rsid w:val="005B6CA1"/>
    <w:rsid w:val="005B770C"/>
    <w:rsid w:val="005C06ED"/>
    <w:rsid w:val="005C0CE1"/>
    <w:rsid w:val="005C11B8"/>
    <w:rsid w:val="005C216C"/>
    <w:rsid w:val="005C2609"/>
    <w:rsid w:val="005C2B30"/>
    <w:rsid w:val="005C412B"/>
    <w:rsid w:val="005C43EC"/>
    <w:rsid w:val="005C45DD"/>
    <w:rsid w:val="005C4704"/>
    <w:rsid w:val="005C4CB1"/>
    <w:rsid w:val="005D3F06"/>
    <w:rsid w:val="005D4B73"/>
    <w:rsid w:val="005D5645"/>
    <w:rsid w:val="005D5802"/>
    <w:rsid w:val="005D5AA9"/>
    <w:rsid w:val="005D66E6"/>
    <w:rsid w:val="005D7119"/>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20D"/>
    <w:rsid w:val="006017C1"/>
    <w:rsid w:val="00601ADE"/>
    <w:rsid w:val="00601EEF"/>
    <w:rsid w:val="0060255A"/>
    <w:rsid w:val="00602998"/>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4C57"/>
    <w:rsid w:val="00634CE7"/>
    <w:rsid w:val="006350D5"/>
    <w:rsid w:val="0063642C"/>
    <w:rsid w:val="006376B3"/>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982"/>
    <w:rsid w:val="00665BA4"/>
    <w:rsid w:val="00666BF3"/>
    <w:rsid w:val="00667856"/>
    <w:rsid w:val="00667AF2"/>
    <w:rsid w:val="00670489"/>
    <w:rsid w:val="006710C9"/>
    <w:rsid w:val="00671D85"/>
    <w:rsid w:val="00672586"/>
    <w:rsid w:val="006741CD"/>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61D"/>
    <w:rsid w:val="0073333D"/>
    <w:rsid w:val="007343D9"/>
    <w:rsid w:val="00734F71"/>
    <w:rsid w:val="00735448"/>
    <w:rsid w:val="00736F07"/>
    <w:rsid w:val="007377BD"/>
    <w:rsid w:val="00737DEC"/>
    <w:rsid w:val="0074004D"/>
    <w:rsid w:val="00741493"/>
    <w:rsid w:val="007434E5"/>
    <w:rsid w:val="0074499B"/>
    <w:rsid w:val="007450BF"/>
    <w:rsid w:val="00746F45"/>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601"/>
    <w:rsid w:val="00767777"/>
    <w:rsid w:val="00770CFC"/>
    <w:rsid w:val="0077130E"/>
    <w:rsid w:val="007715EE"/>
    <w:rsid w:val="00771972"/>
    <w:rsid w:val="00772279"/>
    <w:rsid w:val="00772DAB"/>
    <w:rsid w:val="00772FF9"/>
    <w:rsid w:val="0077348B"/>
    <w:rsid w:val="007743DB"/>
    <w:rsid w:val="00774D2C"/>
    <w:rsid w:val="0077605B"/>
    <w:rsid w:val="00776169"/>
    <w:rsid w:val="00776527"/>
    <w:rsid w:val="00777040"/>
    <w:rsid w:val="00777CE6"/>
    <w:rsid w:val="00777D57"/>
    <w:rsid w:val="00780EF1"/>
    <w:rsid w:val="00781A91"/>
    <w:rsid w:val="00781AD3"/>
    <w:rsid w:val="00781F36"/>
    <w:rsid w:val="0078357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4B0"/>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B74AA"/>
    <w:rsid w:val="007C10BD"/>
    <w:rsid w:val="007C162D"/>
    <w:rsid w:val="007C1F0C"/>
    <w:rsid w:val="007C1FFB"/>
    <w:rsid w:val="007C2D94"/>
    <w:rsid w:val="007C4A6B"/>
    <w:rsid w:val="007C5F92"/>
    <w:rsid w:val="007C6227"/>
    <w:rsid w:val="007C6BBD"/>
    <w:rsid w:val="007C6D89"/>
    <w:rsid w:val="007C6F5E"/>
    <w:rsid w:val="007D0382"/>
    <w:rsid w:val="007D0F6B"/>
    <w:rsid w:val="007D14FE"/>
    <w:rsid w:val="007D1A1F"/>
    <w:rsid w:val="007D213B"/>
    <w:rsid w:val="007D2E18"/>
    <w:rsid w:val="007D40DF"/>
    <w:rsid w:val="007D42E5"/>
    <w:rsid w:val="007D4458"/>
    <w:rsid w:val="007D6AF9"/>
    <w:rsid w:val="007E0535"/>
    <w:rsid w:val="007E07F2"/>
    <w:rsid w:val="007E0D4A"/>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1FF8"/>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20A8"/>
    <w:rsid w:val="00852217"/>
    <w:rsid w:val="00853282"/>
    <w:rsid w:val="0085334C"/>
    <w:rsid w:val="00854291"/>
    <w:rsid w:val="00855408"/>
    <w:rsid w:val="00855D03"/>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ECD"/>
    <w:rsid w:val="0087347C"/>
    <w:rsid w:val="008734E7"/>
    <w:rsid w:val="0087368D"/>
    <w:rsid w:val="008740CC"/>
    <w:rsid w:val="0087442A"/>
    <w:rsid w:val="00874FE8"/>
    <w:rsid w:val="00875A32"/>
    <w:rsid w:val="00876086"/>
    <w:rsid w:val="00876651"/>
    <w:rsid w:val="00876E83"/>
    <w:rsid w:val="008772BC"/>
    <w:rsid w:val="00880A0E"/>
    <w:rsid w:val="008817FE"/>
    <w:rsid w:val="00881CD7"/>
    <w:rsid w:val="00882911"/>
    <w:rsid w:val="00882F6E"/>
    <w:rsid w:val="00883202"/>
    <w:rsid w:val="00884E02"/>
    <w:rsid w:val="0088502B"/>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43CA"/>
    <w:rsid w:val="008B5324"/>
    <w:rsid w:val="008B5C99"/>
    <w:rsid w:val="008B6106"/>
    <w:rsid w:val="008B7C02"/>
    <w:rsid w:val="008B7D2B"/>
    <w:rsid w:val="008B7EF9"/>
    <w:rsid w:val="008C0049"/>
    <w:rsid w:val="008C0314"/>
    <w:rsid w:val="008C0E88"/>
    <w:rsid w:val="008C1717"/>
    <w:rsid w:val="008C17F0"/>
    <w:rsid w:val="008C3B05"/>
    <w:rsid w:val="008C4B50"/>
    <w:rsid w:val="008C5A37"/>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E0001"/>
    <w:rsid w:val="008E039E"/>
    <w:rsid w:val="008E292B"/>
    <w:rsid w:val="008E2C57"/>
    <w:rsid w:val="008E31FF"/>
    <w:rsid w:val="008E3287"/>
    <w:rsid w:val="008E38E4"/>
    <w:rsid w:val="008E3DFA"/>
    <w:rsid w:val="008E51EB"/>
    <w:rsid w:val="008E5746"/>
    <w:rsid w:val="008E6DCB"/>
    <w:rsid w:val="008E6F06"/>
    <w:rsid w:val="008E7000"/>
    <w:rsid w:val="008E723E"/>
    <w:rsid w:val="008E7B8E"/>
    <w:rsid w:val="008E7FC9"/>
    <w:rsid w:val="008F0107"/>
    <w:rsid w:val="008F029B"/>
    <w:rsid w:val="008F0589"/>
    <w:rsid w:val="008F2A5D"/>
    <w:rsid w:val="008F2BC7"/>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476D"/>
    <w:rsid w:val="00915D07"/>
    <w:rsid w:val="009162AE"/>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50921"/>
    <w:rsid w:val="00951D68"/>
    <w:rsid w:val="00951E5B"/>
    <w:rsid w:val="00952050"/>
    <w:rsid w:val="00952315"/>
    <w:rsid w:val="009523D9"/>
    <w:rsid w:val="00952B7B"/>
    <w:rsid w:val="0095357B"/>
    <w:rsid w:val="009538B3"/>
    <w:rsid w:val="00954F39"/>
    <w:rsid w:val="009555F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1D45"/>
    <w:rsid w:val="00992BB3"/>
    <w:rsid w:val="00992CF3"/>
    <w:rsid w:val="00993194"/>
    <w:rsid w:val="0099321E"/>
    <w:rsid w:val="00994171"/>
    <w:rsid w:val="00994868"/>
    <w:rsid w:val="00994976"/>
    <w:rsid w:val="00994D28"/>
    <w:rsid w:val="00994F2C"/>
    <w:rsid w:val="00995720"/>
    <w:rsid w:val="009957CC"/>
    <w:rsid w:val="009968D6"/>
    <w:rsid w:val="00997953"/>
    <w:rsid w:val="00997D55"/>
    <w:rsid w:val="009A0BFF"/>
    <w:rsid w:val="009A10A0"/>
    <w:rsid w:val="009A1CAB"/>
    <w:rsid w:val="009A2359"/>
    <w:rsid w:val="009A24F1"/>
    <w:rsid w:val="009A27E0"/>
    <w:rsid w:val="009A4D57"/>
    <w:rsid w:val="009A51A5"/>
    <w:rsid w:val="009A5309"/>
    <w:rsid w:val="009A60D1"/>
    <w:rsid w:val="009A6225"/>
    <w:rsid w:val="009A64F5"/>
    <w:rsid w:val="009B00D2"/>
    <w:rsid w:val="009B05B3"/>
    <w:rsid w:val="009B0CAF"/>
    <w:rsid w:val="009B1324"/>
    <w:rsid w:val="009B2558"/>
    <w:rsid w:val="009B284F"/>
    <w:rsid w:val="009B3764"/>
    <w:rsid w:val="009B3840"/>
    <w:rsid w:val="009B52AC"/>
    <w:rsid w:val="009B553D"/>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1CA6"/>
    <w:rsid w:val="009F2921"/>
    <w:rsid w:val="009F42CF"/>
    <w:rsid w:val="009F4982"/>
    <w:rsid w:val="009F4CA7"/>
    <w:rsid w:val="009F4F6A"/>
    <w:rsid w:val="009F55BA"/>
    <w:rsid w:val="009F7D36"/>
    <w:rsid w:val="009F7D61"/>
    <w:rsid w:val="00A00E71"/>
    <w:rsid w:val="00A0187B"/>
    <w:rsid w:val="00A02E8B"/>
    <w:rsid w:val="00A0306F"/>
    <w:rsid w:val="00A03511"/>
    <w:rsid w:val="00A03B10"/>
    <w:rsid w:val="00A03E2E"/>
    <w:rsid w:val="00A04616"/>
    <w:rsid w:val="00A04717"/>
    <w:rsid w:val="00A05D8F"/>
    <w:rsid w:val="00A05EE4"/>
    <w:rsid w:val="00A06F99"/>
    <w:rsid w:val="00A1053B"/>
    <w:rsid w:val="00A10D66"/>
    <w:rsid w:val="00A113A4"/>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6777"/>
    <w:rsid w:val="00A2731E"/>
    <w:rsid w:val="00A309AC"/>
    <w:rsid w:val="00A30F65"/>
    <w:rsid w:val="00A3279E"/>
    <w:rsid w:val="00A33DB1"/>
    <w:rsid w:val="00A33EEB"/>
    <w:rsid w:val="00A35900"/>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1652"/>
    <w:rsid w:val="00A82BF0"/>
    <w:rsid w:val="00A82C91"/>
    <w:rsid w:val="00A83150"/>
    <w:rsid w:val="00A83398"/>
    <w:rsid w:val="00A83D6E"/>
    <w:rsid w:val="00A83FD5"/>
    <w:rsid w:val="00A8521A"/>
    <w:rsid w:val="00A857C0"/>
    <w:rsid w:val="00A85ACB"/>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417E"/>
    <w:rsid w:val="00AE56EE"/>
    <w:rsid w:val="00AE6414"/>
    <w:rsid w:val="00AE7269"/>
    <w:rsid w:val="00AE797C"/>
    <w:rsid w:val="00AE7CE7"/>
    <w:rsid w:val="00AE7FAB"/>
    <w:rsid w:val="00AF0DE4"/>
    <w:rsid w:val="00AF12A0"/>
    <w:rsid w:val="00AF1E87"/>
    <w:rsid w:val="00AF436B"/>
    <w:rsid w:val="00AF5179"/>
    <w:rsid w:val="00AF5CC2"/>
    <w:rsid w:val="00AF6776"/>
    <w:rsid w:val="00AF6F98"/>
    <w:rsid w:val="00AF7277"/>
    <w:rsid w:val="00B00550"/>
    <w:rsid w:val="00B00913"/>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3108D"/>
    <w:rsid w:val="00B32DDB"/>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100"/>
    <w:rsid w:val="00B7680F"/>
    <w:rsid w:val="00B76B48"/>
    <w:rsid w:val="00B76D1E"/>
    <w:rsid w:val="00B77543"/>
    <w:rsid w:val="00B77584"/>
    <w:rsid w:val="00B77E3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6D74"/>
    <w:rsid w:val="00B9720E"/>
    <w:rsid w:val="00B97ACC"/>
    <w:rsid w:val="00B97FE2"/>
    <w:rsid w:val="00BA0E0B"/>
    <w:rsid w:val="00BA201A"/>
    <w:rsid w:val="00BA21DF"/>
    <w:rsid w:val="00BA361D"/>
    <w:rsid w:val="00BA3787"/>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86D"/>
    <w:rsid w:val="00BE4DA9"/>
    <w:rsid w:val="00BE54BF"/>
    <w:rsid w:val="00BE557B"/>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7FC"/>
    <w:rsid w:val="00C006D6"/>
    <w:rsid w:val="00C00BD7"/>
    <w:rsid w:val="00C01410"/>
    <w:rsid w:val="00C02D23"/>
    <w:rsid w:val="00C03D4D"/>
    <w:rsid w:val="00C044F4"/>
    <w:rsid w:val="00C04B78"/>
    <w:rsid w:val="00C052AA"/>
    <w:rsid w:val="00C06EE3"/>
    <w:rsid w:val="00C07279"/>
    <w:rsid w:val="00C07749"/>
    <w:rsid w:val="00C07C67"/>
    <w:rsid w:val="00C11244"/>
    <w:rsid w:val="00C11D48"/>
    <w:rsid w:val="00C12304"/>
    <w:rsid w:val="00C12316"/>
    <w:rsid w:val="00C1246C"/>
    <w:rsid w:val="00C1493E"/>
    <w:rsid w:val="00C15DBD"/>
    <w:rsid w:val="00C161C5"/>
    <w:rsid w:val="00C172F7"/>
    <w:rsid w:val="00C2010D"/>
    <w:rsid w:val="00C20CB5"/>
    <w:rsid w:val="00C21430"/>
    <w:rsid w:val="00C216DF"/>
    <w:rsid w:val="00C21E61"/>
    <w:rsid w:val="00C21F94"/>
    <w:rsid w:val="00C224BD"/>
    <w:rsid w:val="00C234DB"/>
    <w:rsid w:val="00C23C5C"/>
    <w:rsid w:val="00C2479A"/>
    <w:rsid w:val="00C24903"/>
    <w:rsid w:val="00C2590D"/>
    <w:rsid w:val="00C25D9C"/>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A0346"/>
    <w:rsid w:val="00CA0DA1"/>
    <w:rsid w:val="00CA1BD6"/>
    <w:rsid w:val="00CA37FF"/>
    <w:rsid w:val="00CA423A"/>
    <w:rsid w:val="00CA47BC"/>
    <w:rsid w:val="00CA5EAD"/>
    <w:rsid w:val="00CA6AB4"/>
    <w:rsid w:val="00CA7255"/>
    <w:rsid w:val="00CB111E"/>
    <w:rsid w:val="00CB1BEE"/>
    <w:rsid w:val="00CB2351"/>
    <w:rsid w:val="00CB4022"/>
    <w:rsid w:val="00CB4930"/>
    <w:rsid w:val="00CB4BA9"/>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5BE8"/>
    <w:rsid w:val="00CC612B"/>
    <w:rsid w:val="00CC655F"/>
    <w:rsid w:val="00CC66F9"/>
    <w:rsid w:val="00CC6C2A"/>
    <w:rsid w:val="00CC6FE5"/>
    <w:rsid w:val="00CC7458"/>
    <w:rsid w:val="00CC76BD"/>
    <w:rsid w:val="00CC7A87"/>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7E9E"/>
    <w:rsid w:val="00CE14BE"/>
    <w:rsid w:val="00CE17A4"/>
    <w:rsid w:val="00CE1BA9"/>
    <w:rsid w:val="00CE2D8F"/>
    <w:rsid w:val="00CE3532"/>
    <w:rsid w:val="00CE3E48"/>
    <w:rsid w:val="00CE46C0"/>
    <w:rsid w:val="00CE47B8"/>
    <w:rsid w:val="00CE54FD"/>
    <w:rsid w:val="00CE5C92"/>
    <w:rsid w:val="00CE62FA"/>
    <w:rsid w:val="00CE670B"/>
    <w:rsid w:val="00CE6833"/>
    <w:rsid w:val="00CF020B"/>
    <w:rsid w:val="00CF15BF"/>
    <w:rsid w:val="00CF2E4D"/>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3F3E"/>
    <w:rsid w:val="00D14C5B"/>
    <w:rsid w:val="00D15FED"/>
    <w:rsid w:val="00D16712"/>
    <w:rsid w:val="00D214EF"/>
    <w:rsid w:val="00D215B0"/>
    <w:rsid w:val="00D21D6D"/>
    <w:rsid w:val="00D21D83"/>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3C4"/>
    <w:rsid w:val="00D5384E"/>
    <w:rsid w:val="00D544E7"/>
    <w:rsid w:val="00D5499F"/>
    <w:rsid w:val="00D5560A"/>
    <w:rsid w:val="00D56FBF"/>
    <w:rsid w:val="00D57677"/>
    <w:rsid w:val="00D5781F"/>
    <w:rsid w:val="00D60415"/>
    <w:rsid w:val="00D60E3C"/>
    <w:rsid w:val="00D60FA7"/>
    <w:rsid w:val="00D61FAB"/>
    <w:rsid w:val="00D63BE5"/>
    <w:rsid w:val="00D6475F"/>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32B8"/>
    <w:rsid w:val="00D95302"/>
    <w:rsid w:val="00D95889"/>
    <w:rsid w:val="00D95C5D"/>
    <w:rsid w:val="00D97D00"/>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0CBB"/>
    <w:rsid w:val="00DC17D0"/>
    <w:rsid w:val="00DC1E5D"/>
    <w:rsid w:val="00DC2B41"/>
    <w:rsid w:val="00DC2EA7"/>
    <w:rsid w:val="00DC3128"/>
    <w:rsid w:val="00DC435B"/>
    <w:rsid w:val="00DC4AC4"/>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3E5D"/>
    <w:rsid w:val="00DE450F"/>
    <w:rsid w:val="00DE4865"/>
    <w:rsid w:val="00DE5CA6"/>
    <w:rsid w:val="00DE5E55"/>
    <w:rsid w:val="00DE7156"/>
    <w:rsid w:val="00DE7AC8"/>
    <w:rsid w:val="00DF0830"/>
    <w:rsid w:val="00DF2C5D"/>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7BE"/>
    <w:rsid w:val="00E41CD5"/>
    <w:rsid w:val="00E42054"/>
    <w:rsid w:val="00E4372D"/>
    <w:rsid w:val="00E43A9E"/>
    <w:rsid w:val="00E44243"/>
    <w:rsid w:val="00E453F9"/>
    <w:rsid w:val="00E45D7D"/>
    <w:rsid w:val="00E4623F"/>
    <w:rsid w:val="00E4665D"/>
    <w:rsid w:val="00E47854"/>
    <w:rsid w:val="00E478E2"/>
    <w:rsid w:val="00E47EBA"/>
    <w:rsid w:val="00E50156"/>
    <w:rsid w:val="00E504EB"/>
    <w:rsid w:val="00E5076C"/>
    <w:rsid w:val="00E50D2E"/>
    <w:rsid w:val="00E50D7D"/>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2618"/>
    <w:rsid w:val="00E82A42"/>
    <w:rsid w:val="00E84E09"/>
    <w:rsid w:val="00E87CE2"/>
    <w:rsid w:val="00E90CA8"/>
    <w:rsid w:val="00E911C6"/>
    <w:rsid w:val="00E930A1"/>
    <w:rsid w:val="00E93820"/>
    <w:rsid w:val="00E94A86"/>
    <w:rsid w:val="00E951AB"/>
    <w:rsid w:val="00E953F6"/>
    <w:rsid w:val="00E96143"/>
    <w:rsid w:val="00E96833"/>
    <w:rsid w:val="00E97506"/>
    <w:rsid w:val="00E97BB5"/>
    <w:rsid w:val="00E97D5B"/>
    <w:rsid w:val="00E97F14"/>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7419"/>
    <w:rsid w:val="00EB0E32"/>
    <w:rsid w:val="00EB3E60"/>
    <w:rsid w:val="00EB4511"/>
    <w:rsid w:val="00EB48D7"/>
    <w:rsid w:val="00EB49F1"/>
    <w:rsid w:val="00EB4A8E"/>
    <w:rsid w:val="00EB4BC5"/>
    <w:rsid w:val="00EB5BF7"/>
    <w:rsid w:val="00EB5E79"/>
    <w:rsid w:val="00EB6FAC"/>
    <w:rsid w:val="00EB7BAC"/>
    <w:rsid w:val="00EB7CC9"/>
    <w:rsid w:val="00EC03D7"/>
    <w:rsid w:val="00EC13A7"/>
    <w:rsid w:val="00EC2EB6"/>
    <w:rsid w:val="00EC4FFF"/>
    <w:rsid w:val="00EC5517"/>
    <w:rsid w:val="00EC6E8C"/>
    <w:rsid w:val="00ED0EF0"/>
    <w:rsid w:val="00ED12B9"/>
    <w:rsid w:val="00ED16B8"/>
    <w:rsid w:val="00ED1959"/>
    <w:rsid w:val="00ED1A00"/>
    <w:rsid w:val="00ED1DF0"/>
    <w:rsid w:val="00ED2386"/>
    <w:rsid w:val="00ED2EA1"/>
    <w:rsid w:val="00ED3851"/>
    <w:rsid w:val="00ED3E51"/>
    <w:rsid w:val="00ED3F10"/>
    <w:rsid w:val="00ED3F9B"/>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E06"/>
    <w:rsid w:val="00EE7179"/>
    <w:rsid w:val="00EF0D90"/>
    <w:rsid w:val="00EF150D"/>
    <w:rsid w:val="00EF1F5A"/>
    <w:rsid w:val="00EF23B5"/>
    <w:rsid w:val="00EF326A"/>
    <w:rsid w:val="00EF3898"/>
    <w:rsid w:val="00EF47BF"/>
    <w:rsid w:val="00EF52F7"/>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FAA"/>
    <w:rsid w:val="00F25040"/>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615B"/>
    <w:rsid w:val="00F575D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A4D"/>
    <w:rsid w:val="00F91B66"/>
    <w:rsid w:val="00F93688"/>
    <w:rsid w:val="00F939F3"/>
    <w:rsid w:val="00F93C6E"/>
    <w:rsid w:val="00F93F2C"/>
    <w:rsid w:val="00F962AD"/>
    <w:rsid w:val="00F9644E"/>
    <w:rsid w:val="00FA0105"/>
    <w:rsid w:val="00FA05A0"/>
    <w:rsid w:val="00FA0AEF"/>
    <w:rsid w:val="00FA17CC"/>
    <w:rsid w:val="00FA1CFE"/>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40B"/>
    <w:rsid w:val="00FC56DE"/>
    <w:rsid w:val="00FC63D9"/>
    <w:rsid w:val="00FC64DE"/>
    <w:rsid w:val="00FC6785"/>
    <w:rsid w:val="00FC684B"/>
    <w:rsid w:val="00FC7D98"/>
    <w:rsid w:val="00FD1135"/>
    <w:rsid w:val="00FD3265"/>
    <w:rsid w:val="00FD3CF7"/>
    <w:rsid w:val="00FD4124"/>
    <w:rsid w:val="00FD4916"/>
    <w:rsid w:val="00FD4D12"/>
    <w:rsid w:val="00FD4F73"/>
    <w:rsid w:val="00FD595E"/>
    <w:rsid w:val="00FD7802"/>
    <w:rsid w:val="00FD7D3B"/>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1136"/>
    <w:rsid w:val="00FF3D76"/>
    <w:rsid w:val="00FF5B8C"/>
    <w:rsid w:val="00FF63E6"/>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36" Type="http://schemas.microsoft.com/office/2016/09/relationships/commentsIds" Target="commentsId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1Q4\Makroanal&#253;za%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1Q4\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1Q4\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45E-2"/>
          <c:y val="2.3046636085626952E-2"/>
          <c:w val="0.92008633063154344"/>
          <c:h val="0.74192840256671611"/>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1'!$A$21:$B$44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1'!$C$21:$C$44</c:f>
              <c:numCache>
                <c:formatCode>#\ ##0.0</c:formatCode>
                <c:ptCount val="24"/>
                <c:pt idx="0">
                  <c:v>3.3935679863989208</c:v>
                </c:pt>
                <c:pt idx="1">
                  <c:v>2.2554525211863137</c:v>
                </c:pt>
                <c:pt idx="2">
                  <c:v>1.9595698850867365</c:v>
                </c:pt>
                <c:pt idx="3">
                  <c:v>2.1706116744660449</c:v>
                </c:pt>
                <c:pt idx="4">
                  <c:v>3.5703667972288571</c:v>
                </c:pt>
                <c:pt idx="5">
                  <c:v>6.1313858438531526</c:v>
                </c:pt>
                <c:pt idx="6">
                  <c:v>5.8793571478929323</c:v>
                </c:pt>
                <c:pt idx="7">
                  <c:v>5.8948576142013849</c:v>
                </c:pt>
                <c:pt idx="8">
                  <c:v>4.8045186709861412</c:v>
                </c:pt>
                <c:pt idx="9" formatCode="General">
                  <c:v>2.6817351351516834</c:v>
                </c:pt>
                <c:pt idx="10" formatCode="General">
                  <c:v>2.7294466842677565</c:v>
                </c:pt>
                <c:pt idx="11">
                  <c:v>2.5583350179001485</c:v>
                </c:pt>
                <c:pt idx="12">
                  <c:v>2.9671766091530287</c:v>
                </c:pt>
                <c:pt idx="13" formatCode="General">
                  <c:v>3.0195090485548093</c:v>
                </c:pt>
                <c:pt idx="14" formatCode="General">
                  <c:v>2.9551051697276307</c:v>
                </c:pt>
                <c:pt idx="15" formatCode="General">
                  <c:v>2.8845218371908743</c:v>
                </c:pt>
                <c:pt idx="16" formatCode="General">
                  <c:v>-1.4789298016082597</c:v>
                </c:pt>
                <c:pt idx="17" formatCode="General">
                  <c:v>-10.941056198550214</c:v>
                </c:pt>
                <c:pt idx="18" formatCode="General">
                  <c:v>-5.4805373705362399</c:v>
                </c:pt>
                <c:pt idx="19" formatCode="General">
                  <c:v>-5.3144733686297201</c:v>
                </c:pt>
                <c:pt idx="20" formatCode="General">
                  <c:v>-2.3042313552889766</c:v>
                </c:pt>
                <c:pt idx="21" formatCode="General">
                  <c:v>8.7242439080352341</c:v>
                </c:pt>
                <c:pt idx="22" formatCode="General">
                  <c:v>3.488203641997913</c:v>
                </c:pt>
                <c:pt idx="23" formatCode="General">
                  <c:v>3.6144541768052392</c:v>
                </c:pt>
              </c:numCache>
            </c:numRef>
          </c:val>
          <c:extLst>
            <c:ext xmlns:c16="http://schemas.microsoft.com/office/drawing/2014/chart" uri="{C3380CC4-5D6E-409C-BE32-E72D297353CC}">
              <c16:uniqueId val="{00000000-1D50-4DA6-ABDB-14AE17A2387A}"/>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1'!$A$21:$B$44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1'!$D$21:$D$44</c:f>
              <c:numCache>
                <c:formatCode>#\ ##0.0</c:formatCode>
                <c:ptCount val="24"/>
                <c:pt idx="0">
                  <c:v>2.1</c:v>
                </c:pt>
                <c:pt idx="1">
                  <c:v>1.9</c:v>
                </c:pt>
                <c:pt idx="2">
                  <c:v>1.8</c:v>
                </c:pt>
                <c:pt idx="3">
                  <c:v>2.2000000000000002</c:v>
                </c:pt>
                <c:pt idx="4">
                  <c:v>2.4</c:v>
                </c:pt>
                <c:pt idx="5">
                  <c:v>2.9</c:v>
                </c:pt>
                <c:pt idx="6">
                  <c:v>3.2</c:v>
                </c:pt>
                <c:pt idx="7">
                  <c:v>3.2</c:v>
                </c:pt>
                <c:pt idx="8">
                  <c:v>2.6</c:v>
                </c:pt>
                <c:pt idx="9">
                  <c:v>2.2999999999999998</c:v>
                </c:pt>
                <c:pt idx="10">
                  <c:v>1.7</c:v>
                </c:pt>
                <c:pt idx="11">
                  <c:v>1.5</c:v>
                </c:pt>
                <c:pt idx="12">
                  <c:v>2.2000000000000002</c:v>
                </c:pt>
                <c:pt idx="13">
                  <c:v>1.8</c:v>
                </c:pt>
                <c:pt idx="14">
                  <c:v>2</c:v>
                </c:pt>
                <c:pt idx="15">
                  <c:v>1.4</c:v>
                </c:pt>
                <c:pt idx="16">
                  <c:v>-2.5</c:v>
                </c:pt>
                <c:pt idx="17">
                  <c:v>-13.7</c:v>
                </c:pt>
                <c:pt idx="18">
                  <c:v>-3.9</c:v>
                </c:pt>
                <c:pt idx="19">
                  <c:v>-4.0999999999999996</c:v>
                </c:pt>
                <c:pt idx="20">
                  <c:v>-1.1000000000000001</c:v>
                </c:pt>
                <c:pt idx="21">
                  <c:v>13.8</c:v>
                </c:pt>
                <c:pt idx="22">
                  <c:v>4.0999999999999996</c:v>
                </c:pt>
                <c:pt idx="23">
                  <c:v>4.8</c:v>
                </c:pt>
              </c:numCache>
            </c:numRef>
          </c:val>
          <c:extLst>
            <c:ext xmlns:c16="http://schemas.microsoft.com/office/drawing/2014/chart" uri="{C3380CC4-5D6E-409C-BE32-E72D297353CC}">
              <c16:uniqueId val="{00000001-1D50-4DA6-ABDB-14AE17A2387A}"/>
            </c:ext>
          </c:extLst>
        </c:ser>
        <c:dLbls>
          <c:showLegendKey val="0"/>
          <c:showVal val="0"/>
          <c:showCatName val="0"/>
          <c:showSerName val="0"/>
          <c:showPercent val="0"/>
          <c:showBubbleSize val="0"/>
        </c:dLbls>
        <c:gapWidth val="100"/>
        <c:axId val="267753344"/>
        <c:axId val="267767808"/>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1'!$A$21:$B$44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1'!$E$21:$E$44</c:f>
              <c:numCache>
                <c:formatCode>#\ ##0.0</c:formatCode>
                <c:ptCount val="24"/>
                <c:pt idx="0">
                  <c:v>0.16332296495187393</c:v>
                </c:pt>
                <c:pt idx="1">
                  <c:v>0.33620140081080763</c:v>
                </c:pt>
                <c:pt idx="2">
                  <c:v>0.80409486945227115</c:v>
                </c:pt>
                <c:pt idx="3">
                  <c:v>0.85128584892957804</c:v>
                </c:pt>
                <c:pt idx="4">
                  <c:v>1.5355778838110723</c:v>
                </c:pt>
                <c:pt idx="5">
                  <c:v>2.8172481596437962</c:v>
                </c:pt>
                <c:pt idx="6">
                  <c:v>0.56471681577477284</c:v>
                </c:pt>
                <c:pt idx="7">
                  <c:v>0.86605021849675268</c:v>
                </c:pt>
                <c:pt idx="8">
                  <c:v>0.49012395731429592</c:v>
                </c:pt>
                <c:pt idx="9">
                  <c:v>0.73471618143510398</c:v>
                </c:pt>
                <c:pt idx="10">
                  <c:v>0.61144468241420213</c:v>
                </c:pt>
                <c:pt idx="11">
                  <c:v>0.69804232504577612</c:v>
                </c:pt>
                <c:pt idx="12">
                  <c:v>0.89072077059854848</c:v>
                </c:pt>
                <c:pt idx="13" formatCode="General">
                  <c:v>0.78591398644272203</c:v>
                </c:pt>
                <c:pt idx="14" formatCode="General">
                  <c:v>0.54854623384075296</c:v>
                </c:pt>
                <c:pt idx="15" formatCode="General">
                  <c:v>0.62900637587634378</c:v>
                </c:pt>
                <c:pt idx="16" formatCode="General">
                  <c:v>-3.388171457551536</c:v>
                </c:pt>
                <c:pt idx="17" formatCode="General">
                  <c:v>-8.8937317507653688</c:v>
                </c:pt>
                <c:pt idx="18" formatCode="General">
                  <c:v>6.7135332233943217</c:v>
                </c:pt>
                <c:pt idx="19" formatCode="General">
                  <c:v>0.80580441346323539</c:v>
                </c:pt>
                <c:pt idx="20" formatCode="General">
                  <c:v>-0.31668845892609454</c:v>
                </c:pt>
                <c:pt idx="21" formatCode="General">
                  <c:v>1.3908817965672284</c:v>
                </c:pt>
                <c:pt idx="22" formatCode="General">
                  <c:v>1.5743265772535437</c:v>
                </c:pt>
                <c:pt idx="23" formatCode="General">
                  <c:v>0.92878255271963894</c:v>
                </c:pt>
              </c:numCache>
            </c:numRef>
          </c:val>
          <c:smooth val="0"/>
          <c:extLst>
            <c:ext xmlns:c16="http://schemas.microsoft.com/office/drawing/2014/chart" uri="{C3380CC4-5D6E-409C-BE32-E72D297353CC}">
              <c16:uniqueId val="{00000002-1D50-4DA6-ABDB-14AE17A2387A}"/>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1'!$A$21:$B$44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1'!$F$21:$F$44</c:f>
              <c:numCache>
                <c:formatCode>#\ ##0.0</c:formatCode>
                <c:ptCount val="24"/>
                <c:pt idx="0">
                  <c:v>0.5</c:v>
                </c:pt>
                <c:pt idx="1">
                  <c:v>0.3</c:v>
                </c:pt>
                <c:pt idx="2">
                  <c:v>0.5</c:v>
                </c:pt>
                <c:pt idx="3">
                  <c:v>0.8</c:v>
                </c:pt>
                <c:pt idx="4">
                  <c:v>0.7</c:v>
                </c:pt>
                <c:pt idx="5">
                  <c:v>0.9</c:v>
                </c:pt>
                <c:pt idx="6">
                  <c:v>0.7</c:v>
                </c:pt>
                <c:pt idx="7">
                  <c:v>0.9</c:v>
                </c:pt>
                <c:pt idx="8">
                  <c:v>0.2</c:v>
                </c:pt>
                <c:pt idx="9">
                  <c:v>0.6</c:v>
                </c:pt>
                <c:pt idx="10">
                  <c:v>0.1</c:v>
                </c:pt>
                <c:pt idx="11">
                  <c:v>0.6</c:v>
                </c:pt>
                <c:pt idx="12">
                  <c:v>0.8</c:v>
                </c:pt>
                <c:pt idx="13">
                  <c:v>0.2</c:v>
                </c:pt>
                <c:pt idx="14">
                  <c:v>0.3</c:v>
                </c:pt>
                <c:pt idx="15">
                  <c:v>0</c:v>
                </c:pt>
                <c:pt idx="16">
                  <c:v>-3.1</c:v>
                </c:pt>
                <c:pt idx="17">
                  <c:v>-11.3</c:v>
                </c:pt>
                <c:pt idx="18">
                  <c:v>11.7</c:v>
                </c:pt>
                <c:pt idx="19">
                  <c:v>-0.2</c:v>
                </c:pt>
                <c:pt idx="20">
                  <c:v>0</c:v>
                </c:pt>
                <c:pt idx="21">
                  <c:v>2.1</c:v>
                </c:pt>
                <c:pt idx="22">
                  <c:v>2.2000000000000002</c:v>
                </c:pt>
                <c:pt idx="23">
                  <c:v>0.4</c:v>
                </c:pt>
              </c:numCache>
            </c:numRef>
          </c:val>
          <c:smooth val="0"/>
          <c:extLst>
            <c:ext xmlns:c16="http://schemas.microsoft.com/office/drawing/2014/chart" uri="{C3380CC4-5D6E-409C-BE32-E72D297353CC}">
              <c16:uniqueId val="{00000003-1D50-4DA6-ABDB-14AE17A2387A}"/>
            </c:ext>
          </c:extLst>
        </c:ser>
        <c:dLbls>
          <c:showLegendKey val="0"/>
          <c:showVal val="0"/>
          <c:showCatName val="0"/>
          <c:showSerName val="0"/>
          <c:showPercent val="0"/>
          <c:showBubbleSize val="0"/>
        </c:dLbls>
        <c:marker val="1"/>
        <c:smooth val="0"/>
        <c:axId val="267753344"/>
        <c:axId val="267767808"/>
      </c:lineChart>
      <c:catAx>
        <c:axId val="26775334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67767808"/>
        <c:crosses val="autoZero"/>
        <c:auto val="1"/>
        <c:lblAlgn val="ctr"/>
        <c:lblOffset val="100"/>
        <c:noMultiLvlLbl val="0"/>
      </c:catAx>
      <c:valAx>
        <c:axId val="267767808"/>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753344"/>
        <c:crosses val="autoZero"/>
        <c:crossBetween val="between"/>
        <c:majorUnit val="3"/>
      </c:valAx>
      <c:spPr>
        <a:ln>
          <a:solidFill>
            <a:schemeClr val="tx1"/>
          </a:solidFill>
        </a:ln>
      </c:spPr>
    </c:plotArea>
    <c:legend>
      <c:legendPos val="b"/>
      <c:layout>
        <c:manualLayout>
          <c:xMode val="edge"/>
          <c:yMode val="edge"/>
          <c:x val="5.8431906450523471E-2"/>
          <c:y val="0.89437255125717996"/>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45E-2"/>
          <c:y val="2.8458510079622041E-2"/>
          <c:w val="0.93688386524822698"/>
          <c:h val="0.6497469886299676"/>
        </c:manualLayout>
      </c:layout>
      <c:barChart>
        <c:barDir val="col"/>
        <c:grouping val="stacked"/>
        <c:varyColors val="0"/>
        <c:ser>
          <c:idx val="5"/>
          <c:order val="1"/>
          <c:tx>
            <c:strRef>
              <c:f>'souhrnná výkonnost 3'!$D$5</c:f>
              <c:strCache>
                <c:ptCount val="1"/>
                <c:pt idx="0">
                  <c:v>Výdaje na konečnou spotřebu domácností (vč. nezisk. inst.)</c:v>
                </c:pt>
              </c:strCache>
            </c:strRef>
          </c:tx>
          <c:spPr>
            <a:solidFill>
              <a:srgbClr val="0071BC"/>
            </a:solidFill>
            <a:ln>
              <a:noFill/>
            </a:ln>
          </c:spPr>
          <c:invertIfNegative val="0"/>
          <c:val>
            <c:numRef>
              <c:f>'souhrnná výkonnost 3'!$D$22:$D$45</c:f>
              <c:numCache>
                <c:formatCode>#\ ##0.0</c:formatCode>
                <c:ptCount val="24"/>
                <c:pt idx="0">
                  <c:v>0.93618616091517504</c:v>
                </c:pt>
                <c:pt idx="1">
                  <c:v>0.87008623065588986</c:v>
                </c:pt>
                <c:pt idx="2">
                  <c:v>1.088831374618116</c:v>
                </c:pt>
                <c:pt idx="3">
                  <c:v>0.98663697427429853</c:v>
                </c:pt>
                <c:pt idx="4">
                  <c:v>1.1317605173808631</c:v>
                </c:pt>
                <c:pt idx="5">
                  <c:v>1.4117084709383003</c:v>
                </c:pt>
                <c:pt idx="6">
                  <c:v>1.3280225164734749</c:v>
                </c:pt>
                <c:pt idx="7">
                  <c:v>1.0794473419672266</c:v>
                </c:pt>
                <c:pt idx="8">
                  <c:v>1.580542821710847</c:v>
                </c:pt>
                <c:pt idx="9">
                  <c:v>1.2036281398321482</c:v>
                </c:pt>
                <c:pt idx="10">
                  <c:v>0.99314647332669792</c:v>
                </c:pt>
                <c:pt idx="11">
                  <c:v>0.88688082354953479</c:v>
                </c:pt>
                <c:pt idx="12">
                  <c:v>0.92742283153358485</c:v>
                </c:pt>
                <c:pt idx="13">
                  <c:v>1.2648435786040815</c:v>
                </c:pt>
                <c:pt idx="14">
                  <c:v>1.0200882664173805</c:v>
                </c:pt>
                <c:pt idx="15">
                  <c:v>1.1768223210480195</c:v>
                </c:pt>
                <c:pt idx="16">
                  <c:v>-0.91830335911448924</c:v>
                </c:pt>
                <c:pt idx="17">
                  <c:v>-3.3026648907213207</c:v>
                </c:pt>
                <c:pt idx="18">
                  <c:v>-2.0346444917072359</c:v>
                </c:pt>
                <c:pt idx="19">
                  <c:v>-4.4970793086911476</c:v>
                </c:pt>
                <c:pt idx="20">
                  <c:v>-3.1666171635486613</c:v>
                </c:pt>
                <c:pt idx="21">
                  <c:v>1.6129832241900284</c:v>
                </c:pt>
                <c:pt idx="22">
                  <c:v>2.3018634017145203</c:v>
                </c:pt>
                <c:pt idx="23">
                  <c:v>3.7760323736067498</c:v>
                </c:pt>
              </c:numCache>
            </c:numRef>
          </c:val>
          <c:extLst>
            <c:ext xmlns:c16="http://schemas.microsoft.com/office/drawing/2014/chart" uri="{C3380CC4-5D6E-409C-BE32-E72D297353CC}">
              <c16:uniqueId val="{00000000-BA36-4CEA-9E92-DC2FCA587B2C}"/>
            </c:ext>
          </c:extLst>
        </c:ser>
        <c:ser>
          <c:idx val="4"/>
          <c:order val="2"/>
          <c:tx>
            <c:strRef>
              <c:f>'souhrnná výkonnost 3'!$E$5</c:f>
              <c:strCache>
                <c:ptCount val="1"/>
                <c:pt idx="0">
                  <c:v>Výdaje na konečnou spotřebu vládních institucí</c:v>
                </c:pt>
              </c:strCache>
            </c:strRef>
          </c:tx>
          <c:spPr>
            <a:solidFill>
              <a:srgbClr val="A6CDE8"/>
            </a:solidFill>
            <a:ln>
              <a:noFill/>
            </a:ln>
          </c:spPr>
          <c:invertIfNegative val="0"/>
          <c:val>
            <c:numRef>
              <c:f>'souhrnná výkonnost 3'!$E$22:$E$45</c:f>
              <c:numCache>
                <c:formatCode>#\ ##0.0</c:formatCode>
                <c:ptCount val="24"/>
                <c:pt idx="0">
                  <c:v>0.42019916860676243</c:v>
                </c:pt>
                <c:pt idx="1">
                  <c:v>0.46376177295031862</c:v>
                </c:pt>
                <c:pt idx="2">
                  <c:v>0.44114936351097495</c:v>
                </c:pt>
                <c:pt idx="3">
                  <c:v>0.47675559244176158</c:v>
                </c:pt>
                <c:pt idx="4">
                  <c:v>0.44404461559069486</c:v>
                </c:pt>
                <c:pt idx="5">
                  <c:v>0.37751399613724029</c:v>
                </c:pt>
                <c:pt idx="6">
                  <c:v>0.21407569926635237</c:v>
                </c:pt>
                <c:pt idx="7">
                  <c:v>0.2341267263946423</c:v>
                </c:pt>
                <c:pt idx="8">
                  <c:v>0.57862841580255708</c:v>
                </c:pt>
                <c:pt idx="9">
                  <c:v>0.55642773333565732</c:v>
                </c:pt>
                <c:pt idx="10">
                  <c:v>0.89021022766775593</c:v>
                </c:pt>
                <c:pt idx="11">
                  <c:v>0.75191010842186412</c:v>
                </c:pt>
                <c:pt idx="12">
                  <c:v>0.41419150368088392</c:v>
                </c:pt>
                <c:pt idx="13">
                  <c:v>0.52913615091977828</c:v>
                </c:pt>
                <c:pt idx="14">
                  <c:v>0.42716769248184294</c:v>
                </c:pt>
                <c:pt idx="15">
                  <c:v>0.3389878995673522</c:v>
                </c:pt>
                <c:pt idx="16">
                  <c:v>0.69883245212185363</c:v>
                </c:pt>
                <c:pt idx="17">
                  <c:v>0.61496658870765319</c:v>
                </c:pt>
                <c:pt idx="18">
                  <c:v>0.42402640924857915</c:v>
                </c:pt>
                <c:pt idx="19">
                  <c:v>1.1052744191656214</c:v>
                </c:pt>
                <c:pt idx="20">
                  <c:v>0.43060267369243149</c:v>
                </c:pt>
                <c:pt idx="21">
                  <c:v>0.11834552709108449</c:v>
                </c:pt>
                <c:pt idx="22">
                  <c:v>0.60318680439500438</c:v>
                </c:pt>
                <c:pt idx="23">
                  <c:v>-1.1695072118974701E-2</c:v>
                </c:pt>
              </c:numCache>
            </c:numRef>
          </c:val>
          <c:extLst>
            <c:ext xmlns:c16="http://schemas.microsoft.com/office/drawing/2014/chart" uri="{C3380CC4-5D6E-409C-BE32-E72D297353CC}">
              <c16:uniqueId val="{00000001-BA36-4CEA-9E92-DC2FCA587B2C}"/>
            </c:ext>
          </c:extLst>
        </c:ser>
        <c:ser>
          <c:idx val="3"/>
          <c:order val="3"/>
          <c:tx>
            <c:strRef>
              <c:f>'souhrnná výkonnost 3'!$G$5</c:f>
              <c:strCache>
                <c:ptCount val="1"/>
                <c:pt idx="0">
                  <c:v>Tvorba hrubého kapitálu</c:v>
                </c:pt>
              </c:strCache>
            </c:strRef>
          </c:tx>
          <c:spPr>
            <a:solidFill>
              <a:srgbClr val="BD1B21"/>
            </a:solidFill>
            <a:ln>
              <a:noFill/>
            </a:ln>
          </c:spPr>
          <c:invertIfNegative val="0"/>
          <c:val>
            <c:numRef>
              <c:f>'souhrnná výkonnost 3'!$G$22:$G$45</c:f>
              <c:numCache>
                <c:formatCode>#\ ##0.0</c:formatCode>
                <c:ptCount val="24"/>
                <c:pt idx="0">
                  <c:v>0.16571758684643292</c:v>
                </c:pt>
                <c:pt idx="1">
                  <c:v>-1.6231279926014353</c:v>
                </c:pt>
                <c:pt idx="2">
                  <c:v>-0.9230024021929123</c:v>
                </c:pt>
                <c:pt idx="3">
                  <c:v>-0.55002076148293633</c:v>
                </c:pt>
                <c:pt idx="4">
                  <c:v>-1.2630660286446516</c:v>
                </c:pt>
                <c:pt idx="5">
                  <c:v>0.84009326563270514</c:v>
                </c:pt>
                <c:pt idx="6">
                  <c:v>1.6097758497475534</c:v>
                </c:pt>
                <c:pt idx="7">
                  <c:v>2.3721301843681739</c:v>
                </c:pt>
                <c:pt idx="8">
                  <c:v>2.8713468902027719</c:v>
                </c:pt>
                <c:pt idx="9">
                  <c:v>1.5905888817549036</c:v>
                </c:pt>
                <c:pt idx="10">
                  <c:v>1.9208851743389141</c:v>
                </c:pt>
                <c:pt idx="11">
                  <c:v>0.56073143718343366</c:v>
                </c:pt>
                <c:pt idx="12">
                  <c:v>1.5826437930914861</c:v>
                </c:pt>
                <c:pt idx="13">
                  <c:v>-0.15800458401897696</c:v>
                </c:pt>
                <c:pt idx="14">
                  <c:v>5.6924086841567925E-2</c:v>
                </c:pt>
                <c:pt idx="15">
                  <c:v>2.5116661705287227</c:v>
                </c:pt>
                <c:pt idx="16">
                  <c:v>-0.61859997120139953</c:v>
                </c:pt>
                <c:pt idx="17">
                  <c:v>-0.1104431651754639</c:v>
                </c:pt>
                <c:pt idx="18">
                  <c:v>-3.8589775640830584</c:v>
                </c:pt>
                <c:pt idx="19">
                  <c:v>-5.2855728465562315</c:v>
                </c:pt>
                <c:pt idx="20">
                  <c:v>0.57922354924076469</c:v>
                </c:pt>
                <c:pt idx="21">
                  <c:v>2.2207484570789635</c:v>
                </c:pt>
                <c:pt idx="22">
                  <c:v>6.3746425914291196</c:v>
                </c:pt>
                <c:pt idx="23">
                  <c:v>6.2592975939505235</c:v>
                </c:pt>
              </c:numCache>
            </c:numRef>
          </c:val>
          <c:extLst>
            <c:ext xmlns:c16="http://schemas.microsoft.com/office/drawing/2014/chart" uri="{C3380CC4-5D6E-409C-BE32-E72D297353CC}">
              <c16:uniqueId val="{00000002-BA36-4CEA-9E92-DC2FCA587B2C}"/>
            </c:ext>
          </c:extLst>
        </c:ser>
        <c:ser>
          <c:idx val="1"/>
          <c:order val="4"/>
          <c:tx>
            <c:strRef>
              <c:f>'souhrnná výkonnost 3'!$F$5</c:f>
              <c:strCache>
                <c:ptCount val="1"/>
                <c:pt idx="0">
                  <c:v>Bilance zahraničního obchodu</c:v>
                </c:pt>
              </c:strCache>
            </c:strRef>
          </c:tx>
          <c:spPr>
            <a:solidFill>
              <a:srgbClr val="7DBB2D"/>
            </a:solidFill>
            <a:ln>
              <a:noFill/>
            </a:ln>
          </c:spPr>
          <c:invertIfNegative val="0"/>
          <c:val>
            <c:numRef>
              <c:f>'souhrnná výkonnost 3'!$F$22:$F$45</c:f>
              <c:numCache>
                <c:formatCode>#\ ##0.0</c:formatCode>
                <c:ptCount val="24"/>
                <c:pt idx="0">
                  <c:v>1.8167152604552226</c:v>
                </c:pt>
                <c:pt idx="1">
                  <c:v>2.4919364052715784</c:v>
                </c:pt>
                <c:pt idx="2">
                  <c:v>1.2934583130738089</c:v>
                </c:pt>
                <c:pt idx="3">
                  <c:v>1.1926166397447078</c:v>
                </c:pt>
                <c:pt idx="4">
                  <c:v>3.1780322387555695</c:v>
                </c:pt>
                <c:pt idx="5">
                  <c:v>3.4186500578903547</c:v>
                </c:pt>
                <c:pt idx="6">
                  <c:v>2.6451757604214197</c:v>
                </c:pt>
                <c:pt idx="7">
                  <c:v>2.134600536374907</c:v>
                </c:pt>
                <c:pt idx="8">
                  <c:v>-0.34846185861429246</c:v>
                </c:pt>
                <c:pt idx="9">
                  <c:v>-0.77956175506757264</c:v>
                </c:pt>
                <c:pt idx="10">
                  <c:v>-1.1814783274089611</c:v>
                </c:pt>
                <c:pt idx="11">
                  <c:v>0.25173122797348579</c:v>
                </c:pt>
                <c:pt idx="12">
                  <c:v>4.8271345411210476E-4</c:v>
                </c:pt>
                <c:pt idx="13">
                  <c:v>1.3310256349867293</c:v>
                </c:pt>
                <c:pt idx="14">
                  <c:v>1.3927593162025209</c:v>
                </c:pt>
                <c:pt idx="15">
                  <c:v>-1.1986582855082308</c:v>
                </c:pt>
                <c:pt idx="16">
                  <c:v>-0.70704049567154237</c:v>
                </c:pt>
                <c:pt idx="17">
                  <c:v>-8.1880750230478405</c:v>
                </c:pt>
                <c:pt idx="18">
                  <c:v>-4.2914045921098154E-2</c:v>
                </c:pt>
                <c:pt idx="19">
                  <c:v>3.3212284987957057</c:v>
                </c:pt>
                <c:pt idx="20">
                  <c:v>-0.16534204693329047</c:v>
                </c:pt>
                <c:pt idx="21">
                  <c:v>4.7252118989575322</c:v>
                </c:pt>
                <c:pt idx="22">
                  <c:v>-5.84839288431602</c:v>
                </c:pt>
                <c:pt idx="23">
                  <c:v>-6.4580960472915736</c:v>
                </c:pt>
              </c:numCache>
            </c:numRef>
          </c:val>
          <c:extLst>
            <c:ext xmlns:c16="http://schemas.microsoft.com/office/drawing/2014/chart" uri="{C3380CC4-5D6E-409C-BE32-E72D297353CC}">
              <c16:uniqueId val="{00000003-BA36-4CEA-9E92-DC2FCA587B2C}"/>
            </c:ext>
          </c:extLst>
        </c:ser>
        <c:dLbls>
          <c:showLegendKey val="0"/>
          <c:showVal val="0"/>
          <c:showCatName val="0"/>
          <c:showSerName val="0"/>
          <c:showPercent val="0"/>
          <c:showBubbleSize val="0"/>
        </c:dLbls>
        <c:gapWidth val="40"/>
        <c:overlap val="100"/>
        <c:axId val="267591040"/>
        <c:axId val="267605120"/>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3'!$C$22:$C$45</c:f>
              <c:numCache>
                <c:formatCode>#\ ##0.0</c:formatCode>
                <c:ptCount val="24"/>
                <c:pt idx="0">
                  <c:v>3.3935594356915999</c:v>
                </c:pt>
                <c:pt idx="1">
                  <c:v>2.2554753959572764</c:v>
                </c:pt>
                <c:pt idx="2">
                  <c:v>1.9595326225544341</c:v>
                </c:pt>
                <c:pt idx="3">
                  <c:v>2.1706344977514362</c:v>
                </c:pt>
                <c:pt idx="4">
                  <c:v>3.5703737623319967</c:v>
                </c:pt>
                <c:pt idx="5">
                  <c:v>6.1313612268321123</c:v>
                </c:pt>
                <c:pt idx="6">
                  <c:v>5.8793927561599588</c:v>
                </c:pt>
                <c:pt idx="7">
                  <c:v>5.8948496206722893</c:v>
                </c:pt>
                <c:pt idx="8">
                  <c:v>4.8044975547299202</c:v>
                </c:pt>
                <c:pt idx="9">
                  <c:v>2.6817571455975582</c:v>
                </c:pt>
                <c:pt idx="10">
                  <c:v>2.7294056681603536</c:v>
                </c:pt>
                <c:pt idx="11">
                  <c:v>2.5583059250702433</c:v>
                </c:pt>
                <c:pt idx="12">
                  <c:v>2.9672187450501895</c:v>
                </c:pt>
                <c:pt idx="13">
                  <c:v>3.0195256065361349</c:v>
                </c:pt>
                <c:pt idx="14">
                  <c:v>2.9551413626175673</c:v>
                </c:pt>
                <c:pt idx="15">
                  <c:v>2.8845629323214155</c:v>
                </c:pt>
                <c:pt idx="16">
                  <c:v>-1.4789706833147562</c:v>
                </c:pt>
                <c:pt idx="17">
                  <c:v>-10.941068998528863</c:v>
                </c:pt>
                <c:pt idx="18">
                  <c:v>-5.4805545556813797</c:v>
                </c:pt>
                <c:pt idx="19">
                  <c:v>-5.3144927200724794</c:v>
                </c:pt>
                <c:pt idx="20">
                  <c:v>-2.3042044581447954</c:v>
                </c:pt>
                <c:pt idx="21">
                  <c:v>8.7242144058262738</c:v>
                </c:pt>
                <c:pt idx="22">
                  <c:v>3.4881761054292042</c:v>
                </c:pt>
                <c:pt idx="23">
                  <c:v>3.6144825372438589</c:v>
                </c:pt>
              </c:numCache>
            </c:numRef>
          </c:val>
          <c:smooth val="0"/>
          <c:extLst>
            <c:ext xmlns:c16="http://schemas.microsoft.com/office/drawing/2014/chart" uri="{C3380CC4-5D6E-409C-BE32-E72D297353CC}">
              <c16:uniqueId val="{00000004-BA36-4CEA-9E92-DC2FCA587B2C}"/>
            </c:ext>
          </c:extLst>
        </c:ser>
        <c:dLbls>
          <c:showLegendKey val="0"/>
          <c:showVal val="0"/>
          <c:showCatName val="0"/>
          <c:showSerName val="0"/>
          <c:showPercent val="0"/>
          <c:showBubbleSize val="0"/>
        </c:dLbls>
        <c:marker val="1"/>
        <c:smooth val="0"/>
        <c:axId val="267591040"/>
        <c:axId val="267605120"/>
      </c:lineChart>
      <c:catAx>
        <c:axId val="267591040"/>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7605120"/>
        <c:crosses val="autoZero"/>
        <c:auto val="1"/>
        <c:lblAlgn val="ctr"/>
        <c:lblOffset val="100"/>
        <c:noMultiLvlLbl val="0"/>
      </c:catAx>
      <c:valAx>
        <c:axId val="267605120"/>
        <c:scaling>
          <c:orientation val="minMax"/>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591040"/>
        <c:crosses val="autoZero"/>
        <c:crossBetween val="between"/>
        <c:majorUnit val="3"/>
      </c:valAx>
      <c:spPr>
        <a:ln>
          <a:solidFill>
            <a:schemeClr val="tx1"/>
          </a:solidFill>
        </a:ln>
      </c:spPr>
    </c:plotArea>
    <c:legend>
      <c:legendPos val="b"/>
      <c:layout>
        <c:manualLayout>
          <c:xMode val="edge"/>
          <c:yMode val="edge"/>
          <c:x val="4.7571766295170556E-2"/>
          <c:y val="0.79301446583361457"/>
          <c:w val="0.93781598277608913"/>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82E-2"/>
          <c:y val="2.9499886988623526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4'!$C$22:$C$45</c:f>
              <c:numCache>
                <c:formatCode>#\ ##0.0</c:formatCode>
                <c:ptCount val="24"/>
                <c:pt idx="0">
                  <c:v>9.4765725889982E-2</c:v>
                </c:pt>
                <c:pt idx="1">
                  <c:v>0.15637528256042468</c:v>
                </c:pt>
                <c:pt idx="2">
                  <c:v>0.1869741986923065</c:v>
                </c:pt>
                <c:pt idx="3">
                  <c:v>7.7625901535376199E-2</c:v>
                </c:pt>
                <c:pt idx="4">
                  <c:v>-1.3383627512345413E-2</c:v>
                </c:pt>
                <c:pt idx="5">
                  <c:v>-0.10833526835550926</c:v>
                </c:pt>
                <c:pt idx="6">
                  <c:v>-0.17417145567790579</c:v>
                </c:pt>
                <c:pt idx="7">
                  <c:v>-5.6339788104083438E-2</c:v>
                </c:pt>
                <c:pt idx="8">
                  <c:v>3.3108455773835969E-2</c:v>
                </c:pt>
                <c:pt idx="9">
                  <c:v>6.7464623058102177E-2</c:v>
                </c:pt>
                <c:pt idx="10">
                  <c:v>0.13279889414520776</c:v>
                </c:pt>
                <c:pt idx="11">
                  <c:v>0.13730282461152749</c:v>
                </c:pt>
                <c:pt idx="12">
                  <c:v>8.2716288855485917E-2</c:v>
                </c:pt>
                <c:pt idx="13">
                  <c:v>9.2139384026042048E-2</c:v>
                </c:pt>
                <c:pt idx="14">
                  <c:v>0.10854763671027451</c:v>
                </c:pt>
                <c:pt idx="15">
                  <c:v>0.11881072235188453</c:v>
                </c:pt>
                <c:pt idx="16">
                  <c:v>0.14176672431872625</c:v>
                </c:pt>
                <c:pt idx="17">
                  <c:v>0.11249081704706697</c:v>
                </c:pt>
                <c:pt idx="18">
                  <c:v>0.13981604653752278</c:v>
                </c:pt>
                <c:pt idx="19">
                  <c:v>0.14108758003622204</c:v>
                </c:pt>
                <c:pt idx="20">
                  <c:v>0.17907455901827043</c:v>
                </c:pt>
                <c:pt idx="21">
                  <c:v>7.2580994222563006E-2</c:v>
                </c:pt>
                <c:pt idx="22">
                  <c:v>-1.6518947586400917E-2</c:v>
                </c:pt>
                <c:pt idx="23">
                  <c:v>-4.8864342909504272E-3</c:v>
                </c:pt>
              </c:numCache>
            </c:numRef>
          </c:val>
          <c:extLst>
            <c:ext xmlns:c16="http://schemas.microsoft.com/office/drawing/2014/chart" uri="{C3380CC4-5D6E-409C-BE32-E72D297353CC}">
              <c16:uniqueId val="{00000000-DD1F-4F30-A4CE-9BB2BC647EFD}"/>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4'!$D$22:$D$45</c:f>
              <c:numCache>
                <c:formatCode>#\ ##0.0</c:formatCode>
                <c:ptCount val="24"/>
                <c:pt idx="0">
                  <c:v>1.6106591209137211</c:v>
                </c:pt>
                <c:pt idx="1">
                  <c:v>0.76053941356552957</c:v>
                </c:pt>
                <c:pt idx="2">
                  <c:v>0.94570363726203222</c:v>
                </c:pt>
                <c:pt idx="3">
                  <c:v>1.2222885842881583</c:v>
                </c:pt>
                <c:pt idx="4">
                  <c:v>1.3672331304188452</c:v>
                </c:pt>
                <c:pt idx="5">
                  <c:v>3.1345037144202608</c:v>
                </c:pt>
                <c:pt idx="6">
                  <c:v>3.0577731838821371</c:v>
                </c:pt>
                <c:pt idx="7">
                  <c:v>2.3545310158669421</c:v>
                </c:pt>
                <c:pt idx="8">
                  <c:v>1.5576365516094002</c:v>
                </c:pt>
                <c:pt idx="9">
                  <c:v>0.11177812966818869</c:v>
                </c:pt>
                <c:pt idx="10">
                  <c:v>3.2580368933372936E-3</c:v>
                </c:pt>
                <c:pt idx="11">
                  <c:v>0.30391701062646553</c:v>
                </c:pt>
                <c:pt idx="12">
                  <c:v>0.83241284936767035</c:v>
                </c:pt>
                <c:pt idx="13">
                  <c:v>1.3015365945875272</c:v>
                </c:pt>
                <c:pt idx="14">
                  <c:v>1.3300175165245307</c:v>
                </c:pt>
                <c:pt idx="15">
                  <c:v>1.0288201442114486</c:v>
                </c:pt>
                <c:pt idx="16">
                  <c:v>-0.53997016525009367</c:v>
                </c:pt>
                <c:pt idx="17">
                  <c:v>-5.0059253286549321</c:v>
                </c:pt>
                <c:pt idx="18">
                  <c:v>-1.4512995132900004</c:v>
                </c:pt>
                <c:pt idx="19">
                  <c:v>-0.93383709307716245</c:v>
                </c:pt>
                <c:pt idx="20">
                  <c:v>0.24271724395204189</c:v>
                </c:pt>
                <c:pt idx="21">
                  <c:v>5.2181249784767765</c:v>
                </c:pt>
                <c:pt idx="22">
                  <c:v>-5.9668958535163859E-3</c:v>
                </c:pt>
                <c:pt idx="23">
                  <c:v>-0.83218811351061661</c:v>
                </c:pt>
              </c:numCache>
            </c:numRef>
          </c:val>
          <c:extLst>
            <c:ext xmlns:c16="http://schemas.microsoft.com/office/drawing/2014/chart" uri="{C3380CC4-5D6E-409C-BE32-E72D297353CC}">
              <c16:uniqueId val="{00000001-DD1F-4F30-A4CE-9BB2BC647EFD}"/>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4'!$E$22:$E$45</c:f>
              <c:numCache>
                <c:formatCode>#\ ##0.0</c:formatCode>
                <c:ptCount val="24"/>
                <c:pt idx="0">
                  <c:v>-0.60910811421333144</c:v>
                </c:pt>
                <c:pt idx="1">
                  <c:v>-0.22876574071995925</c:v>
                </c:pt>
                <c:pt idx="2">
                  <c:v>-0.20221592700743152</c:v>
                </c:pt>
                <c:pt idx="3">
                  <c:v>1.1159198434038675E-3</c:v>
                </c:pt>
                <c:pt idx="4">
                  <c:v>0.19369937090646161</c:v>
                </c:pt>
                <c:pt idx="5">
                  <c:v>8.7518834667852374E-2</c:v>
                </c:pt>
                <c:pt idx="6">
                  <c:v>0.12818764673017169</c:v>
                </c:pt>
                <c:pt idx="7">
                  <c:v>-3.2004861050359601E-2</c:v>
                </c:pt>
                <c:pt idx="8">
                  <c:v>-0.10299697854726397</c:v>
                </c:pt>
                <c:pt idx="9">
                  <c:v>-3.2072706595271713E-2</c:v>
                </c:pt>
                <c:pt idx="10" formatCode="General">
                  <c:v>8.1524592449955802E-2</c:v>
                </c:pt>
                <c:pt idx="11" formatCode="General">
                  <c:v>-6.1061461784250731E-2</c:v>
                </c:pt>
                <c:pt idx="12" formatCode="General">
                  <c:v>-0.20672058053663489</c:v>
                </c:pt>
                <c:pt idx="13" formatCode="General">
                  <c:v>-0.37407520858030863</c:v>
                </c:pt>
                <c:pt idx="14" formatCode="General">
                  <c:v>-0.71461913133162358</c:v>
                </c:pt>
                <c:pt idx="15" formatCode="General">
                  <c:v>-0.46214248963662286</c:v>
                </c:pt>
                <c:pt idx="16" formatCode="General">
                  <c:v>-0.81690718824149333</c:v>
                </c:pt>
                <c:pt idx="17" formatCode="General">
                  <c:v>-0.98259068427443541</c:v>
                </c:pt>
                <c:pt idx="18" formatCode="General">
                  <c:v>-0.69616872252867079</c:v>
                </c:pt>
                <c:pt idx="19" formatCode="General">
                  <c:v>-0.50667466553829965</c:v>
                </c:pt>
                <c:pt idx="20" formatCode="General">
                  <c:v>-5.7498028336359225E-2</c:v>
                </c:pt>
                <c:pt idx="21" formatCode="General">
                  <c:v>1.7794028640025772E-2</c:v>
                </c:pt>
                <c:pt idx="22" formatCode="General">
                  <c:v>-6.867840102346405E-2</c:v>
                </c:pt>
                <c:pt idx="23" formatCode="General">
                  <c:v>0.13921600992350913</c:v>
                </c:pt>
              </c:numCache>
            </c:numRef>
          </c:val>
          <c:extLst>
            <c:ext xmlns:c16="http://schemas.microsoft.com/office/drawing/2014/chart" uri="{C3380CC4-5D6E-409C-BE32-E72D297353CC}">
              <c16:uniqueId val="{00000002-DD1F-4F30-A4CE-9BB2BC647EFD}"/>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4'!$F$22:$F$45</c:f>
              <c:numCache>
                <c:formatCode>#\ ##0.0</c:formatCode>
                <c:ptCount val="24"/>
                <c:pt idx="0">
                  <c:v>-0.13118840376974297</c:v>
                </c:pt>
                <c:pt idx="1">
                  <c:v>-0.28594902920034482</c:v>
                </c:pt>
                <c:pt idx="2">
                  <c:v>-0.26701712597535621</c:v>
                </c:pt>
                <c:pt idx="3">
                  <c:v>-0.18704467160622129</c:v>
                </c:pt>
                <c:pt idx="4">
                  <c:v>-0.1200139265751739</c:v>
                </c:pt>
                <c:pt idx="5">
                  <c:v>0.12420386515100609</c:v>
                </c:pt>
                <c:pt idx="6">
                  <c:v>7.1592239994959186E-2</c:v>
                </c:pt>
                <c:pt idx="7">
                  <c:v>0.17310415185088521</c:v>
                </c:pt>
                <c:pt idx="8">
                  <c:v>0.12249795664753446</c:v>
                </c:pt>
                <c:pt idx="9">
                  <c:v>-4.2660685745634658E-3</c:v>
                </c:pt>
                <c:pt idx="10">
                  <c:v>-1.804304477728428E-2</c:v>
                </c:pt>
                <c:pt idx="11">
                  <c:v>-0.11218045217553656</c:v>
                </c:pt>
                <c:pt idx="12">
                  <c:v>-0.20636296686894753</c:v>
                </c:pt>
                <c:pt idx="13">
                  <c:v>-6.4792774942168993E-2</c:v>
                </c:pt>
                <c:pt idx="14">
                  <c:v>-7.9269271643787567E-2</c:v>
                </c:pt>
                <c:pt idx="15">
                  <c:v>-5.6020948993661966E-2</c:v>
                </c:pt>
                <c:pt idx="16">
                  <c:v>-0.19166724504190716</c:v>
                </c:pt>
                <c:pt idx="17">
                  <c:v>-0.60285314635125042</c:v>
                </c:pt>
                <c:pt idx="18">
                  <c:v>-0.54705863394275789</c:v>
                </c:pt>
                <c:pt idx="19">
                  <c:v>-0.62000534365189297</c:v>
                </c:pt>
                <c:pt idx="20">
                  <c:v>-0.35123055389716473</c:v>
                </c:pt>
                <c:pt idx="21">
                  <c:v>0.1313633063695519</c:v>
                </c:pt>
                <c:pt idx="22">
                  <c:v>0.19301461453144203</c:v>
                </c:pt>
                <c:pt idx="23">
                  <c:v>0.24724649400132864</c:v>
                </c:pt>
              </c:numCache>
            </c:numRef>
          </c:val>
          <c:extLst>
            <c:ext xmlns:c16="http://schemas.microsoft.com/office/drawing/2014/chart" uri="{C3380CC4-5D6E-409C-BE32-E72D297353CC}">
              <c16:uniqueId val="{00000003-DD1F-4F30-A4CE-9BB2BC647EFD}"/>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4'!$G$22:$G$45</c:f>
              <c:numCache>
                <c:formatCode>#\ ##0.0</c:formatCode>
                <c:ptCount val="24"/>
                <c:pt idx="0">
                  <c:v>2.2780910878465543</c:v>
                </c:pt>
                <c:pt idx="1">
                  <c:v>1.7791133450565915</c:v>
                </c:pt>
                <c:pt idx="2">
                  <c:v>1.1751996503140407</c:v>
                </c:pt>
                <c:pt idx="3">
                  <c:v>1.1971206910823469</c:v>
                </c:pt>
                <c:pt idx="4">
                  <c:v>2.1480829000947486</c:v>
                </c:pt>
                <c:pt idx="5">
                  <c:v>3.0747805417077498</c:v>
                </c:pt>
                <c:pt idx="6">
                  <c:v>2.9994469566684199</c:v>
                </c:pt>
                <c:pt idx="7">
                  <c:v>3.2896815901667287</c:v>
                </c:pt>
                <c:pt idx="8">
                  <c:v>3.1749514751083248</c:v>
                </c:pt>
                <c:pt idx="9">
                  <c:v>2.6275397496035438</c:v>
                </c:pt>
                <c:pt idx="10" formatCode="General">
                  <c:v>2.7719971256974341</c:v>
                </c:pt>
                <c:pt idx="11" formatCode="General">
                  <c:v>2.5972842205241453</c:v>
                </c:pt>
                <c:pt idx="12" formatCode="General">
                  <c:v>2.508296604685702</c:v>
                </c:pt>
                <c:pt idx="13" formatCode="General">
                  <c:v>2.0834684133018309</c:v>
                </c:pt>
                <c:pt idx="14" formatCode="General">
                  <c:v>2.1657395752754183</c:v>
                </c:pt>
                <c:pt idx="15" formatCode="General">
                  <c:v>2.2150289387573601</c:v>
                </c:pt>
                <c:pt idx="16" formatCode="General">
                  <c:v>0.34230053373551261</c:v>
                </c:pt>
                <c:pt idx="17" formatCode="General">
                  <c:v>-4.6560146884593276</c:v>
                </c:pt>
                <c:pt idx="18" formatCode="General">
                  <c:v>-2.6811516290968198</c:v>
                </c:pt>
                <c:pt idx="19" formatCode="General">
                  <c:v>-3.0565525802031988</c:v>
                </c:pt>
                <c:pt idx="20" formatCode="General">
                  <c:v>-2.4438672761711628</c:v>
                </c:pt>
                <c:pt idx="21" formatCode="General">
                  <c:v>3.4300084237309272</c:v>
                </c:pt>
                <c:pt idx="22" formatCode="General">
                  <c:v>3.0384982581294651</c:v>
                </c:pt>
                <c:pt idx="23" formatCode="General">
                  <c:v>3.3466568230798779</c:v>
                </c:pt>
              </c:numCache>
            </c:numRef>
          </c:val>
          <c:extLst>
            <c:ext xmlns:c16="http://schemas.microsoft.com/office/drawing/2014/chart" uri="{C3380CC4-5D6E-409C-BE32-E72D297353CC}">
              <c16:uniqueId val="{00000004-DD1F-4F30-A4CE-9BB2BC647EFD}"/>
            </c:ext>
          </c:extLst>
        </c:ser>
        <c:dLbls>
          <c:showLegendKey val="0"/>
          <c:showVal val="0"/>
          <c:showCatName val="0"/>
          <c:showSerName val="0"/>
          <c:showPercent val="0"/>
          <c:showBubbleSize val="0"/>
        </c:dLbls>
        <c:gapWidth val="70"/>
        <c:overlap val="100"/>
        <c:axId val="269005952"/>
        <c:axId val="269007488"/>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'souhrnná výkonnost 4'!$H$22:$H$45</c:f>
              <c:numCache>
                <c:formatCode>#\ ##0.0</c:formatCode>
                <c:ptCount val="24"/>
                <c:pt idx="0">
                  <c:v>3.2432073755742579</c:v>
                </c:pt>
                <c:pt idx="1">
                  <c:v>2.1812977926827415</c:v>
                </c:pt>
                <c:pt idx="2">
                  <c:v>1.8386996228235262</c:v>
                </c:pt>
                <c:pt idx="3">
                  <c:v>2.3109605829682209</c:v>
                </c:pt>
                <c:pt idx="4">
                  <c:v>3.5756277740391482</c:v>
                </c:pt>
                <c:pt idx="5">
                  <c:v>6.3126226044967666</c:v>
                </c:pt>
                <c:pt idx="6">
                  <c:v>6.0829220489310671</c:v>
                </c:pt>
                <c:pt idx="7">
                  <c:v>5.7291078447527326</c:v>
                </c:pt>
                <c:pt idx="8">
                  <c:v>4.8981845225873855</c:v>
                </c:pt>
                <c:pt idx="9">
                  <c:v>2.7705379621629049</c:v>
                </c:pt>
                <c:pt idx="10">
                  <c:v>2.9716135031952859</c:v>
                </c:pt>
                <c:pt idx="11">
                  <c:v>2.8650954448108195</c:v>
                </c:pt>
                <c:pt idx="12">
                  <c:v>3.0103555185936557</c:v>
                </c:pt>
                <c:pt idx="13">
                  <c:v>3.0382784412400667</c:v>
                </c:pt>
                <c:pt idx="14">
                  <c:v>2.810283179001118</c:v>
                </c:pt>
                <c:pt idx="15">
                  <c:v>2.8446208831943522</c:v>
                </c:pt>
                <c:pt idx="16">
                  <c:v>-1.0644038654311032</c:v>
                </c:pt>
                <c:pt idx="17">
                  <c:v>-11.134782014990577</c:v>
                </c:pt>
                <c:pt idx="18">
                  <c:v>-5.2357382347572923</c:v>
                </c:pt>
                <c:pt idx="19">
                  <c:v>-4.9764580569393075</c:v>
                </c:pt>
                <c:pt idx="20">
                  <c:v>-2.4310027971896631</c:v>
                </c:pt>
                <c:pt idx="21">
                  <c:v>8.8697916322969519</c:v>
                </c:pt>
                <c:pt idx="22">
                  <c:v>3.1401516384107282</c:v>
                </c:pt>
                <c:pt idx="23">
                  <c:v>2.8965979758565936</c:v>
                </c:pt>
              </c:numCache>
            </c:numRef>
          </c:val>
          <c:smooth val="0"/>
          <c:extLst>
            <c:ext xmlns:c16="http://schemas.microsoft.com/office/drawing/2014/chart" uri="{C3380CC4-5D6E-409C-BE32-E72D297353CC}">
              <c16:uniqueId val="{00000005-DD1F-4F30-A4CE-9BB2BC647EFD}"/>
            </c:ext>
          </c:extLst>
        </c:ser>
        <c:dLbls>
          <c:showLegendKey val="0"/>
          <c:showVal val="0"/>
          <c:showCatName val="0"/>
          <c:showSerName val="0"/>
          <c:showPercent val="0"/>
          <c:showBubbleSize val="0"/>
        </c:dLbls>
        <c:marker val="1"/>
        <c:smooth val="0"/>
        <c:axId val="269005952"/>
        <c:axId val="269007488"/>
      </c:lineChart>
      <c:catAx>
        <c:axId val="269005952"/>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9007488"/>
        <c:crosses val="autoZero"/>
        <c:auto val="1"/>
        <c:lblAlgn val="ctr"/>
        <c:lblOffset val="100"/>
        <c:noMultiLvlLbl val="0"/>
      </c:catAx>
      <c:valAx>
        <c:axId val="269007488"/>
        <c:scaling>
          <c:orientation val="minMax"/>
          <c:max val="9"/>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9005952"/>
        <c:crosses val="autoZero"/>
        <c:crossBetween val="between"/>
        <c:majorUnit val="3"/>
      </c:valAx>
      <c:spPr>
        <a:ln>
          <a:solidFill>
            <a:schemeClr val="tx1"/>
          </a:solidFill>
        </a:ln>
      </c:spPr>
    </c:plotArea>
    <c:legend>
      <c:legendPos val="b"/>
      <c:layout>
        <c:manualLayout>
          <c:xMode val="edge"/>
          <c:yMode val="edge"/>
          <c:x val="5.4144292468760548E-2"/>
          <c:y val="0.79016604750647301"/>
          <c:w val="0.92386482607227283"/>
          <c:h val="0.1946248452099494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5F63D-C37F-4455-A442-7B8C7A92CB40}">
  <ds:schemaRefs>
    <ds:schemaRef ds:uri="http://schemas.openxmlformats.org/officeDocument/2006/bibliography"/>
  </ds:schemaRefs>
</ds:datastoreItem>
</file>

<file path=customXml/itemProps2.xml><?xml version="1.0" encoding="utf-8"?>
<ds:datastoreItem xmlns:ds="http://schemas.openxmlformats.org/officeDocument/2006/customXml" ds:itemID="{5D20402F-B091-4988-B797-B41879CD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5</Pages>
  <Words>2003</Words>
  <Characters>11821</Characters>
  <Application>Microsoft Office Word</Application>
  <DocSecurity>0</DocSecurity>
  <Lines>98</Lines>
  <Paragraphs>27</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13797</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3</cp:revision>
  <cp:lastPrinted>2019-04-08T10:52:00Z</cp:lastPrinted>
  <dcterms:created xsi:type="dcterms:W3CDTF">2022-03-21T10:52:00Z</dcterms:created>
  <dcterms:modified xsi:type="dcterms:W3CDTF">2022-03-21T10:57:00Z</dcterms:modified>
</cp:coreProperties>
</file>