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76" w:rsidRDefault="00C30576" w:rsidP="00C30576">
      <w:pPr>
        <w:pStyle w:val="Nadpisvlastn1"/>
        <w:numPr>
          <w:ilvl w:val="0"/>
          <w:numId w:val="1"/>
        </w:numPr>
        <w:rPr>
          <w:sz w:val="35"/>
          <w:szCs w:val="35"/>
        </w:rPr>
      </w:pPr>
      <w:bookmarkStart w:id="0" w:name="_Toc127174562"/>
      <w:bookmarkStart w:id="1" w:name="_Toc127757334"/>
      <w:bookmarkStart w:id="2" w:name="_Toc127758624"/>
      <w:bookmarkStart w:id="3" w:name="_Toc130184769"/>
      <w:bookmarkStart w:id="4" w:name="_Toc256065144"/>
      <w:r>
        <w:rPr>
          <w:szCs w:val="35"/>
        </w:rPr>
        <w:t xml:space="preserve">Mezinárodní porovnání výdajů na zdravotnictví </w:t>
      </w:r>
      <w:bookmarkEnd w:id="0"/>
      <w:bookmarkEnd w:id="1"/>
      <w:bookmarkEnd w:id="2"/>
      <w:bookmarkEnd w:id="3"/>
      <w:bookmarkEnd w:id="4"/>
    </w:p>
    <w:p w:rsidR="00C30576" w:rsidRDefault="00C30576" w:rsidP="00C30576">
      <w:pPr>
        <w:pStyle w:val="Textvlastn"/>
        <w:rPr>
          <w:sz w:val="20"/>
          <w:szCs w:val="17"/>
        </w:rPr>
      </w:pPr>
      <w:r>
        <w:rPr>
          <w:sz w:val="20"/>
          <w:szCs w:val="17"/>
        </w:rPr>
        <w:t>Poskytování zdravotní péče se stává v evropských zemích jedním z největších odvětví ekonomiky. Ve všech vyspělých zemích je snaha o zlepšení zdravotního stavu obyvatelstva. Rostoucí životní úroveň, prodlužování délky života a nízká porodnost způsobují tzv. stárnutí populace, vyvolávají obavy týkající se dostatečnosti zdrojů, jejich způsobů využití, spravedlivosti, výkonnosti a efektivnosti zdravotní péče. Rychlé technologické změny, rostoucí očekávání pacientů a stárnutí populace vyvolávají potřebu reforem v oblasti zdravotnictví. Systém zdravotnických účtů je vhodným nástrojem pro zabezpečení srovnatelnosti údajů v čase a mezi jednotlivými zeměmi a současně předpokladem kvalitních informací pro přijímání potřebných opatření.</w:t>
      </w:r>
    </w:p>
    <w:p w:rsidR="00C30576" w:rsidRDefault="00C30576" w:rsidP="00C30576">
      <w:pPr>
        <w:pStyle w:val="Nadpisvlastn2"/>
        <w:numPr>
          <w:ilvl w:val="1"/>
          <w:numId w:val="1"/>
        </w:numPr>
        <w:rPr>
          <w:szCs w:val="27"/>
        </w:rPr>
      </w:pPr>
      <w:bookmarkStart w:id="5" w:name="_Toc127174563"/>
      <w:bookmarkStart w:id="6" w:name="_Toc127757335"/>
      <w:bookmarkStart w:id="7" w:name="_Toc127758625"/>
      <w:bookmarkStart w:id="8" w:name="_Toc130184770"/>
      <w:bookmarkStart w:id="9" w:name="_Toc256065145"/>
      <w:r>
        <w:rPr>
          <w:szCs w:val="27"/>
        </w:rPr>
        <w:t xml:space="preserve">Výdaje na zdravotnictví ve vybraných </w:t>
      </w:r>
      <w:bookmarkEnd w:id="5"/>
      <w:bookmarkEnd w:id="6"/>
      <w:bookmarkEnd w:id="7"/>
      <w:bookmarkEnd w:id="8"/>
      <w:r>
        <w:rPr>
          <w:szCs w:val="27"/>
        </w:rPr>
        <w:t xml:space="preserve">zemích </w:t>
      </w:r>
      <w:bookmarkEnd w:id="9"/>
      <w:r>
        <w:rPr>
          <w:szCs w:val="27"/>
        </w:rPr>
        <w:t>EU</w:t>
      </w:r>
    </w:p>
    <w:p w:rsidR="00D146CC" w:rsidRDefault="00C30576" w:rsidP="00C305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4798D">
        <w:rPr>
          <w:rFonts w:ascii="Arial" w:hAnsi="Arial" w:cs="Arial"/>
          <w:sz w:val="20"/>
          <w:szCs w:val="20"/>
        </w:rPr>
        <w:t>V listopadu 201</w:t>
      </w:r>
      <w:r w:rsidR="0035343C">
        <w:rPr>
          <w:rFonts w:ascii="Arial" w:hAnsi="Arial" w:cs="Arial"/>
          <w:sz w:val="20"/>
          <w:szCs w:val="20"/>
        </w:rPr>
        <w:t>3</w:t>
      </w:r>
      <w:r w:rsidRPr="00C4798D">
        <w:rPr>
          <w:rFonts w:ascii="Arial" w:hAnsi="Arial" w:cs="Arial"/>
          <w:sz w:val="20"/>
          <w:szCs w:val="20"/>
        </w:rPr>
        <w:t xml:space="preserve"> představila Organizace pro hospodářskou spolupráci a rozvoj (OECD) další vydání své publikace Health at a Glance</w:t>
      </w:r>
      <w:r w:rsidR="00D146CC">
        <w:rPr>
          <w:rFonts w:ascii="Arial" w:hAnsi="Arial" w:cs="Arial"/>
          <w:sz w:val="20"/>
          <w:szCs w:val="20"/>
        </w:rPr>
        <w:t xml:space="preserve"> – OECD Indicators</w:t>
      </w:r>
      <w:r w:rsidRPr="00C4798D">
        <w:rPr>
          <w:rFonts w:ascii="Arial" w:hAnsi="Arial" w:cs="Arial"/>
          <w:sz w:val="20"/>
          <w:szCs w:val="20"/>
        </w:rPr>
        <w:t xml:space="preserve"> (Stručný pohled na zdraví)</w:t>
      </w:r>
      <w:r w:rsidR="00D146CC">
        <w:rPr>
          <w:rFonts w:ascii="Arial" w:hAnsi="Arial" w:cs="Arial"/>
          <w:sz w:val="20"/>
          <w:szCs w:val="20"/>
        </w:rPr>
        <w:t xml:space="preserve">. </w:t>
      </w:r>
    </w:p>
    <w:p w:rsidR="00C30576" w:rsidRPr="00C4798D" w:rsidRDefault="00C30576" w:rsidP="00C3057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64783">
        <w:rPr>
          <w:rFonts w:ascii="Arial" w:hAnsi="Arial" w:cs="Arial"/>
          <w:sz w:val="20"/>
          <w:szCs w:val="20"/>
        </w:rPr>
        <w:t xml:space="preserve">V publikaci jsou prezentovány základní trendy a mezinárodní srovnání zdravotnických ukazatelů v </w:t>
      </w:r>
      <w:r w:rsidR="00AD5156">
        <w:rPr>
          <w:rFonts w:ascii="Arial" w:hAnsi="Arial" w:cs="Arial"/>
          <w:sz w:val="20"/>
          <w:szCs w:val="20"/>
        </w:rPr>
        <w:t>34</w:t>
      </w:r>
      <w:r w:rsidRPr="00F64783">
        <w:rPr>
          <w:rFonts w:ascii="Arial" w:hAnsi="Arial" w:cs="Arial"/>
          <w:sz w:val="20"/>
          <w:szCs w:val="20"/>
        </w:rPr>
        <w:t xml:space="preserve"> členských státech </w:t>
      </w:r>
      <w:r w:rsidR="00D6222E">
        <w:rPr>
          <w:rFonts w:ascii="Arial" w:hAnsi="Arial" w:cs="Arial"/>
          <w:sz w:val="20"/>
          <w:szCs w:val="20"/>
        </w:rPr>
        <w:t>OECD</w:t>
      </w:r>
      <w:r w:rsidRPr="00F64783">
        <w:rPr>
          <w:rFonts w:ascii="Arial" w:hAnsi="Arial" w:cs="Arial"/>
          <w:sz w:val="20"/>
          <w:szCs w:val="20"/>
        </w:rPr>
        <w:t>, které pocházejí převážně z databáze OECD Health Data.</w:t>
      </w:r>
      <w:r w:rsidRPr="00F64783">
        <w:rPr>
          <w:rFonts w:ascii="Arial" w:hAnsi="Arial" w:cs="Arial"/>
          <w:color w:val="000000"/>
          <w:sz w:val="20"/>
          <w:szCs w:val="20"/>
        </w:rPr>
        <w:t xml:space="preserve"> Jednotlivé kapitoly publikace přinášejí údaje za ukazatele zdravotního stavu a jeho nezdravotnických determinant,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64783">
        <w:rPr>
          <w:rFonts w:ascii="Arial" w:hAnsi="Arial" w:cs="Arial"/>
          <w:color w:val="000000"/>
          <w:sz w:val="20"/>
          <w:szCs w:val="20"/>
        </w:rPr>
        <w:t>pracovníků ve zdravotnictví, zdravotnických kapacit a činností, kvalitě zdravotní péče, přístupu ke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64783">
        <w:rPr>
          <w:rFonts w:ascii="Arial" w:hAnsi="Arial" w:cs="Arial"/>
          <w:color w:val="000000"/>
          <w:sz w:val="20"/>
          <w:szCs w:val="20"/>
        </w:rPr>
        <w:t>zdravotní péči, výdajích na zdravotnictví a jeho financování a za dlouhodobou péči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30576" w:rsidRPr="00C4798D" w:rsidRDefault="00C30576" w:rsidP="00C30576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C4798D">
        <w:rPr>
          <w:rFonts w:ascii="ArialMT" w:eastAsiaTheme="minorHAnsi" w:hAnsi="ArialMT" w:cs="ArialMT"/>
          <w:sz w:val="20"/>
          <w:szCs w:val="20"/>
          <w:lang w:eastAsia="en-US"/>
        </w:rPr>
        <w:t>Publikace čerpá údaje předevš</w:t>
      </w:r>
      <w:r w:rsidR="00AD5156">
        <w:rPr>
          <w:rFonts w:ascii="ArialMT" w:eastAsiaTheme="minorHAnsi" w:hAnsi="ArialMT" w:cs="ArialMT"/>
          <w:sz w:val="20"/>
          <w:szCs w:val="20"/>
          <w:lang w:eastAsia="en-US"/>
        </w:rPr>
        <w:t xml:space="preserve">ím z databází OECD Health Data, </w:t>
      </w:r>
      <w:r w:rsidRPr="00C4798D">
        <w:rPr>
          <w:rFonts w:ascii="ArialMT" w:eastAsiaTheme="minorHAnsi" w:hAnsi="ArialMT" w:cs="ArialMT"/>
          <w:sz w:val="20"/>
          <w:szCs w:val="20"/>
          <w:lang w:eastAsia="en-US"/>
        </w:rPr>
        <w:t xml:space="preserve">do kterých předává data za Českou republiku Český statistický úřad a Ústav zdravotnických informací a statistiky </w:t>
      </w:r>
      <w:r>
        <w:rPr>
          <w:rFonts w:ascii="ArialMT" w:eastAsiaTheme="minorHAnsi" w:hAnsi="ArialMT" w:cs="ArialMT"/>
          <w:sz w:val="20"/>
          <w:szCs w:val="20"/>
          <w:lang w:eastAsia="en-US"/>
        </w:rPr>
        <w:t>ČR</w:t>
      </w:r>
      <w:r w:rsidRPr="00C4798D">
        <w:rPr>
          <w:rFonts w:ascii="ArialMT" w:eastAsiaTheme="minorHAnsi" w:hAnsi="ArialMT" w:cs="ArialMT"/>
          <w:sz w:val="20"/>
          <w:szCs w:val="20"/>
          <w:lang w:eastAsia="en-US"/>
        </w:rPr>
        <w:t>.</w:t>
      </w:r>
    </w:p>
    <w:p w:rsidR="00C30576" w:rsidRDefault="00C30576" w:rsidP="00C30576">
      <w:pPr>
        <w:pStyle w:val="Textvlastn"/>
        <w:jc w:val="center"/>
        <w:rPr>
          <w:b/>
          <w:bCs/>
          <w:szCs w:val="17"/>
        </w:rPr>
      </w:pPr>
      <w:r>
        <w:rPr>
          <w:b/>
          <w:bCs/>
          <w:szCs w:val="17"/>
        </w:rPr>
        <w:t xml:space="preserve">Graf 5.1: Výdaje na zdravotnictví ve vybraných zemích </w:t>
      </w:r>
      <w:r w:rsidR="00AD5156">
        <w:rPr>
          <w:b/>
          <w:bCs/>
          <w:szCs w:val="17"/>
        </w:rPr>
        <w:t>OECD</w:t>
      </w:r>
      <w:r>
        <w:rPr>
          <w:b/>
          <w:bCs/>
          <w:szCs w:val="17"/>
        </w:rPr>
        <w:t xml:space="preserve"> v roce 201</w:t>
      </w:r>
      <w:r w:rsidR="00AD5156">
        <w:rPr>
          <w:b/>
          <w:bCs/>
          <w:szCs w:val="17"/>
        </w:rPr>
        <w:t>1</w:t>
      </w:r>
    </w:p>
    <w:p w:rsidR="00B01026" w:rsidRDefault="00B01026" w:rsidP="00C30576">
      <w:pPr>
        <w:pStyle w:val="Textvlastn"/>
        <w:jc w:val="center"/>
        <w:rPr>
          <w:b/>
          <w:bCs/>
          <w:szCs w:val="17"/>
        </w:rPr>
      </w:pPr>
      <w:r w:rsidRPr="00B01026">
        <w:rPr>
          <w:b/>
          <w:bCs/>
          <w:noProof/>
          <w:szCs w:val="17"/>
        </w:rPr>
        <w:drawing>
          <wp:inline distT="0" distB="0" distL="0" distR="0">
            <wp:extent cx="5695950" cy="3038475"/>
            <wp:effectExtent l="0" t="0" r="0" b="0"/>
            <wp:docPr id="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1026" w:rsidRDefault="00B01026" w:rsidP="00C30576">
      <w:pPr>
        <w:pStyle w:val="Textvlastn"/>
        <w:jc w:val="center"/>
        <w:rPr>
          <w:b/>
          <w:bCs/>
          <w:szCs w:val="17"/>
        </w:rPr>
      </w:pPr>
    </w:p>
    <w:p w:rsidR="00B01026" w:rsidRDefault="00B01026" w:rsidP="00C30576">
      <w:pPr>
        <w:pStyle w:val="Textvlastn"/>
        <w:jc w:val="center"/>
        <w:rPr>
          <w:b/>
          <w:bCs/>
          <w:szCs w:val="17"/>
        </w:rPr>
      </w:pPr>
    </w:p>
    <w:p w:rsidR="00B01026" w:rsidRDefault="00B01026" w:rsidP="00C30576">
      <w:pPr>
        <w:pStyle w:val="Textvlastn"/>
        <w:jc w:val="center"/>
        <w:rPr>
          <w:b/>
          <w:bCs/>
          <w:szCs w:val="17"/>
        </w:rPr>
      </w:pPr>
    </w:p>
    <w:p w:rsidR="00B01026" w:rsidRDefault="00B01026" w:rsidP="00C30576">
      <w:pPr>
        <w:pStyle w:val="Textvlastn"/>
        <w:jc w:val="center"/>
        <w:rPr>
          <w:b/>
          <w:bCs/>
          <w:szCs w:val="17"/>
        </w:rPr>
      </w:pPr>
    </w:p>
    <w:p w:rsidR="00B01026" w:rsidRDefault="00B01026" w:rsidP="00C30576">
      <w:pPr>
        <w:pStyle w:val="Textvlastn"/>
        <w:jc w:val="center"/>
        <w:rPr>
          <w:b/>
          <w:bCs/>
          <w:szCs w:val="17"/>
        </w:rPr>
      </w:pPr>
    </w:p>
    <w:p w:rsidR="00B01026" w:rsidRDefault="00B01026" w:rsidP="00C30576">
      <w:pPr>
        <w:pStyle w:val="Textvlastn"/>
        <w:jc w:val="center"/>
        <w:rPr>
          <w:b/>
          <w:bCs/>
          <w:szCs w:val="17"/>
        </w:rPr>
      </w:pPr>
    </w:p>
    <w:p w:rsidR="00B01026" w:rsidRDefault="00B01026" w:rsidP="00C30576">
      <w:pPr>
        <w:pStyle w:val="Textvlastn"/>
        <w:jc w:val="center"/>
        <w:rPr>
          <w:b/>
          <w:bCs/>
          <w:szCs w:val="17"/>
        </w:rPr>
      </w:pPr>
    </w:p>
    <w:p w:rsidR="00B01026" w:rsidRDefault="00B01026" w:rsidP="00C30576">
      <w:pPr>
        <w:pStyle w:val="Textvlastn"/>
        <w:jc w:val="center"/>
        <w:rPr>
          <w:b/>
          <w:bCs/>
          <w:szCs w:val="17"/>
        </w:rPr>
      </w:pPr>
    </w:p>
    <w:p w:rsidR="00B01026" w:rsidRDefault="00B01026" w:rsidP="00C30576">
      <w:pPr>
        <w:pStyle w:val="Textvlastn"/>
        <w:jc w:val="center"/>
        <w:rPr>
          <w:b/>
          <w:bCs/>
          <w:szCs w:val="17"/>
        </w:rPr>
      </w:pPr>
    </w:p>
    <w:p w:rsidR="00B01026" w:rsidRDefault="00B01026" w:rsidP="00C30576">
      <w:pPr>
        <w:pStyle w:val="Textvlastn"/>
        <w:jc w:val="center"/>
        <w:rPr>
          <w:b/>
          <w:bCs/>
          <w:szCs w:val="17"/>
        </w:rPr>
      </w:pPr>
    </w:p>
    <w:p w:rsidR="00C30576" w:rsidRDefault="00C30576" w:rsidP="00C30576">
      <w:pPr>
        <w:pStyle w:val="Textvlastn"/>
        <w:rPr>
          <w:sz w:val="20"/>
          <w:szCs w:val="17"/>
        </w:rPr>
      </w:pPr>
      <w:r>
        <w:rPr>
          <w:sz w:val="20"/>
          <w:szCs w:val="17"/>
        </w:rPr>
        <w:lastRenderedPageBreak/>
        <w:t>Jak ukazuje graf 5.1 za rok 201</w:t>
      </w:r>
      <w:r w:rsidR="00D6222E">
        <w:rPr>
          <w:sz w:val="20"/>
          <w:szCs w:val="17"/>
        </w:rPr>
        <w:t>1</w:t>
      </w:r>
      <w:r>
        <w:rPr>
          <w:sz w:val="20"/>
          <w:szCs w:val="17"/>
        </w:rPr>
        <w:t xml:space="preserve"> patří Česká republika s 16% k zemím s nejnižším podílem soukromých výdajů na zdravotnictví (tj. souhrn výdajů domácností, korporací, neziskových institucí a soukromého pojištění). Za rok 201</w:t>
      </w:r>
      <w:r w:rsidR="00D6222E">
        <w:rPr>
          <w:sz w:val="20"/>
          <w:szCs w:val="17"/>
        </w:rPr>
        <w:t>1</w:t>
      </w:r>
      <w:r>
        <w:rPr>
          <w:sz w:val="20"/>
          <w:szCs w:val="17"/>
        </w:rPr>
        <w:t xml:space="preserve"> měli menší spoluúčast než Česká republika pouze Dánové 15%. Spoluúčast nižší než 20% měla ještě Velká Británie 17% a Švédsko 19%. Na opačné straně grafu stojí Řecko se spoluúčastí 41%, Maďarsko, Slovensko s 35% a také Portugalsko s 34%.</w:t>
      </w:r>
    </w:p>
    <w:p w:rsidR="00C30576" w:rsidRDefault="00C30576" w:rsidP="00C30576">
      <w:pPr>
        <w:pStyle w:val="Textvlastn"/>
        <w:rPr>
          <w:sz w:val="20"/>
          <w:szCs w:val="17"/>
        </w:rPr>
      </w:pPr>
    </w:p>
    <w:p w:rsidR="00C30576" w:rsidRDefault="00C30576" w:rsidP="00C30576">
      <w:pPr>
        <w:pStyle w:val="Textvlastn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Graf </w:t>
      </w:r>
      <w:r w:rsidRPr="002021B3">
        <w:rPr>
          <w:rFonts w:cs="Arial"/>
          <w:b/>
          <w:sz w:val="20"/>
        </w:rPr>
        <w:t>5.</w:t>
      </w:r>
      <w:r>
        <w:rPr>
          <w:rFonts w:cs="Arial"/>
          <w:b/>
          <w:sz w:val="20"/>
        </w:rPr>
        <w:t>2:</w:t>
      </w:r>
      <w:r w:rsidRPr="002021B3">
        <w:rPr>
          <w:rFonts w:cs="Arial"/>
          <w:b/>
          <w:sz w:val="20"/>
        </w:rPr>
        <w:t xml:space="preserve"> Podíl zdravotnictví na HDP v</w:t>
      </w:r>
      <w:r w:rsidR="00F06D44">
        <w:rPr>
          <w:rFonts w:cs="Arial"/>
          <w:b/>
          <w:sz w:val="20"/>
        </w:rPr>
        <w:t>e vybraných</w:t>
      </w:r>
      <w:r w:rsidRPr="002021B3">
        <w:rPr>
          <w:rFonts w:cs="Arial"/>
          <w:b/>
          <w:sz w:val="20"/>
        </w:rPr>
        <w:t xml:space="preserve"> zemích </w:t>
      </w:r>
      <w:r w:rsidR="00F06D44">
        <w:rPr>
          <w:rFonts w:cs="Arial"/>
          <w:b/>
          <w:sz w:val="20"/>
        </w:rPr>
        <w:t>OECD</w:t>
      </w:r>
      <w:r w:rsidRPr="002021B3">
        <w:rPr>
          <w:rFonts w:cs="Arial"/>
          <w:b/>
          <w:sz w:val="20"/>
        </w:rPr>
        <w:t xml:space="preserve"> v roce 201</w:t>
      </w:r>
      <w:r w:rsidR="00F06D44">
        <w:rPr>
          <w:rFonts w:cs="Arial"/>
          <w:b/>
          <w:sz w:val="20"/>
        </w:rPr>
        <w:t>1</w:t>
      </w:r>
    </w:p>
    <w:p w:rsidR="00587E1E" w:rsidRDefault="00FF3635" w:rsidP="00C30576">
      <w:pPr>
        <w:pStyle w:val="Textvlastn"/>
        <w:jc w:val="center"/>
        <w:rPr>
          <w:rFonts w:cs="Arial"/>
          <w:b/>
          <w:sz w:val="20"/>
        </w:rPr>
      </w:pPr>
      <w:r w:rsidRPr="00FF3635">
        <w:rPr>
          <w:rFonts w:cs="Arial"/>
          <w:b/>
          <w:noProof/>
          <w:sz w:val="20"/>
        </w:rPr>
        <w:drawing>
          <wp:inline distT="0" distB="0" distL="0" distR="0">
            <wp:extent cx="5762625" cy="2800350"/>
            <wp:effectExtent l="0" t="0" r="0" b="0"/>
            <wp:docPr id="2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0576" w:rsidRDefault="00D6222E" w:rsidP="00C30576">
      <w:pPr>
        <w:pStyle w:val="Textvlastn"/>
        <w:rPr>
          <w:color w:val="000000"/>
          <w:sz w:val="20"/>
        </w:rPr>
      </w:pPr>
      <w:r>
        <w:rPr>
          <w:color w:val="000000"/>
          <w:sz w:val="20"/>
        </w:rPr>
        <w:t>E</w:t>
      </w:r>
      <w:r w:rsidR="00C30576">
        <w:rPr>
          <w:color w:val="000000"/>
          <w:sz w:val="20"/>
        </w:rPr>
        <w:t>konomicky vyspělejší země vykazují obvykle i vyšší podíl výdajů na zdravotnictví na HDP. Pro zajímavost podíl výdajů na zdravotnictví na HDP v roce 201</w:t>
      </w:r>
      <w:r>
        <w:rPr>
          <w:color w:val="000000"/>
          <w:sz w:val="20"/>
        </w:rPr>
        <w:t>1</w:t>
      </w:r>
      <w:r w:rsidR="00C30576">
        <w:rPr>
          <w:color w:val="000000"/>
          <w:sz w:val="20"/>
        </w:rPr>
        <w:t xml:space="preserve"> tvořil v České republice 7,</w:t>
      </w:r>
      <w:r w:rsidR="00FF3635">
        <w:rPr>
          <w:color w:val="000000"/>
          <w:sz w:val="20"/>
        </w:rPr>
        <w:t>5</w:t>
      </w:r>
      <w:r w:rsidR="00C30576">
        <w:rPr>
          <w:color w:val="000000"/>
          <w:sz w:val="20"/>
        </w:rPr>
        <w:t xml:space="preserve">%, zatímco bohatší státy jako jsou Holandsko, Francie a Německo vydaly na zdravotnictví </w:t>
      </w:r>
      <w:r>
        <w:rPr>
          <w:color w:val="000000"/>
          <w:sz w:val="20"/>
        </w:rPr>
        <w:t xml:space="preserve">téměř </w:t>
      </w:r>
      <w:r w:rsidR="00C30576">
        <w:rPr>
          <w:color w:val="000000"/>
          <w:sz w:val="20"/>
        </w:rPr>
        <w:t xml:space="preserve">12%.  Průměr za státy </w:t>
      </w:r>
      <w:r>
        <w:rPr>
          <w:color w:val="000000"/>
          <w:sz w:val="20"/>
        </w:rPr>
        <w:t>OECD</w:t>
      </w:r>
      <w:r w:rsidR="00C30576">
        <w:rPr>
          <w:color w:val="000000"/>
          <w:sz w:val="20"/>
        </w:rPr>
        <w:t xml:space="preserve"> tvořil 9,</w:t>
      </w:r>
      <w:r>
        <w:rPr>
          <w:color w:val="000000"/>
          <w:sz w:val="20"/>
        </w:rPr>
        <w:t>3</w:t>
      </w:r>
      <w:r w:rsidR="00C30576">
        <w:rPr>
          <w:color w:val="000000"/>
          <w:sz w:val="20"/>
        </w:rPr>
        <w:t xml:space="preserve">% HDP. </w:t>
      </w:r>
    </w:p>
    <w:p w:rsidR="00C30576" w:rsidRDefault="00C30576" w:rsidP="00C30576">
      <w:pPr>
        <w:pStyle w:val="Textvlastn"/>
        <w:rPr>
          <w:sz w:val="20"/>
          <w:szCs w:val="17"/>
        </w:rPr>
      </w:pPr>
      <w:r>
        <w:rPr>
          <w:sz w:val="20"/>
          <w:szCs w:val="17"/>
        </w:rPr>
        <w:t xml:space="preserve">Následující graf ukazuje porovnání běžných výdajů na zdravotnictví podle druhu zdravotní péče ve vybraných zemích OECD.  </w:t>
      </w:r>
    </w:p>
    <w:p w:rsidR="00C30576" w:rsidRPr="00C12188" w:rsidRDefault="00C30576" w:rsidP="00C30576">
      <w:pPr>
        <w:pStyle w:val="Textvlastn"/>
        <w:rPr>
          <w:sz w:val="8"/>
          <w:szCs w:val="8"/>
        </w:rPr>
      </w:pPr>
    </w:p>
    <w:p w:rsidR="00C30576" w:rsidRDefault="00C30576" w:rsidP="00C30576">
      <w:pPr>
        <w:pStyle w:val="Textvlastn"/>
        <w:jc w:val="center"/>
        <w:rPr>
          <w:b/>
          <w:bCs/>
          <w:szCs w:val="17"/>
        </w:rPr>
      </w:pPr>
      <w:r>
        <w:rPr>
          <w:b/>
          <w:bCs/>
          <w:szCs w:val="17"/>
        </w:rPr>
        <w:t xml:space="preserve">Graf 5.3: Běžné výdaje na zdravotnictví ve vybraných zemích </w:t>
      </w:r>
      <w:r w:rsidR="006F2CBC">
        <w:rPr>
          <w:b/>
          <w:bCs/>
          <w:szCs w:val="17"/>
        </w:rPr>
        <w:t>OECD</w:t>
      </w:r>
      <w:r>
        <w:rPr>
          <w:b/>
          <w:bCs/>
          <w:szCs w:val="17"/>
        </w:rPr>
        <w:t xml:space="preserve"> podle druhu zdravotní péče 201</w:t>
      </w:r>
      <w:r w:rsidR="006F2CBC">
        <w:rPr>
          <w:b/>
          <w:bCs/>
          <w:szCs w:val="17"/>
        </w:rPr>
        <w:t>1</w:t>
      </w:r>
    </w:p>
    <w:p w:rsidR="00C30576" w:rsidRDefault="006F2CBC" w:rsidP="00C30576">
      <w:pPr>
        <w:pStyle w:val="Textvlastn"/>
        <w:jc w:val="center"/>
        <w:rPr>
          <w:b/>
          <w:bCs/>
          <w:szCs w:val="17"/>
        </w:rPr>
      </w:pPr>
      <w:r w:rsidRPr="006F2CBC">
        <w:rPr>
          <w:b/>
          <w:bCs/>
          <w:noProof/>
          <w:szCs w:val="17"/>
        </w:rPr>
        <w:drawing>
          <wp:inline distT="0" distB="0" distL="0" distR="0">
            <wp:extent cx="5762625" cy="3067050"/>
            <wp:effectExtent l="0" t="0" r="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0576" w:rsidRDefault="00C30576" w:rsidP="00C30576">
      <w:pPr>
        <w:pStyle w:val="Textvlastn"/>
        <w:jc w:val="center"/>
        <w:rPr>
          <w:b/>
          <w:bCs/>
          <w:szCs w:val="17"/>
        </w:rPr>
      </w:pPr>
    </w:p>
    <w:p w:rsidR="00C30576" w:rsidRDefault="00C30576" w:rsidP="00C30576">
      <w:pPr>
        <w:pStyle w:val="Textvlastn"/>
        <w:jc w:val="center"/>
        <w:rPr>
          <w:b/>
          <w:bCs/>
          <w:szCs w:val="17"/>
        </w:rPr>
      </w:pPr>
    </w:p>
    <w:p w:rsidR="00B01026" w:rsidRPr="00AC5744" w:rsidRDefault="00B01026" w:rsidP="00C30576">
      <w:pPr>
        <w:pStyle w:val="Nadpisvlastn1"/>
        <w:tabs>
          <w:tab w:val="num" w:pos="765"/>
        </w:tabs>
        <w:rPr>
          <w:b w:val="0"/>
          <w:shadow w:val="0"/>
          <w:sz w:val="20"/>
          <w:u w:val="single"/>
        </w:rPr>
      </w:pPr>
      <w:r w:rsidRPr="00AC5744">
        <w:rPr>
          <w:b w:val="0"/>
          <w:shadow w:val="0"/>
          <w:sz w:val="20"/>
          <w:u w:val="single"/>
        </w:rPr>
        <w:t>Odlišnosti České republiky od průměru zemí OECD</w:t>
      </w:r>
    </w:p>
    <w:p w:rsidR="00AA0D69" w:rsidRDefault="00AA0D69" w:rsidP="00B01026">
      <w:pPr>
        <w:pStyle w:val="Nadpisvlastn1"/>
        <w:numPr>
          <w:ilvl w:val="0"/>
          <w:numId w:val="2"/>
        </w:numPr>
        <w:rPr>
          <w:b w:val="0"/>
          <w:shadow w:val="0"/>
          <w:sz w:val="20"/>
        </w:rPr>
      </w:pPr>
      <w:r w:rsidRPr="00AA0D69">
        <w:rPr>
          <w:b w:val="0"/>
          <w:shadow w:val="0"/>
          <w:sz w:val="20"/>
        </w:rPr>
        <w:t xml:space="preserve">Česká republika se vyznačuje vyšším podílem lůžkové péče (32%:29%) i ambulantní péče (35%:33%) oproti průměru vyspělých zemí OECD </w:t>
      </w:r>
    </w:p>
    <w:p w:rsidR="00B42BF2" w:rsidRDefault="00B42BF2" w:rsidP="00B01026">
      <w:pPr>
        <w:pStyle w:val="Nadpisvlastn1"/>
        <w:numPr>
          <w:ilvl w:val="0"/>
          <w:numId w:val="2"/>
        </w:numPr>
        <w:rPr>
          <w:b w:val="0"/>
          <w:shadow w:val="0"/>
          <w:sz w:val="20"/>
        </w:rPr>
      </w:pPr>
      <w:r>
        <w:rPr>
          <w:b w:val="0"/>
          <w:shadow w:val="0"/>
          <w:sz w:val="20"/>
        </w:rPr>
        <w:t xml:space="preserve">Patrné je i vyšší zastoupení </w:t>
      </w:r>
      <w:r w:rsidR="00AC5744">
        <w:rPr>
          <w:b w:val="0"/>
          <w:shadow w:val="0"/>
          <w:sz w:val="20"/>
        </w:rPr>
        <w:t xml:space="preserve">výdajů na </w:t>
      </w:r>
      <w:r>
        <w:rPr>
          <w:b w:val="0"/>
          <w:shadow w:val="0"/>
          <w:sz w:val="20"/>
        </w:rPr>
        <w:t>lék</w:t>
      </w:r>
      <w:r w:rsidR="00AC5744">
        <w:rPr>
          <w:b w:val="0"/>
          <w:shadow w:val="0"/>
          <w:sz w:val="20"/>
        </w:rPr>
        <w:t>y</w:t>
      </w:r>
      <w:r>
        <w:rPr>
          <w:b w:val="0"/>
          <w:shadow w:val="0"/>
          <w:sz w:val="20"/>
        </w:rPr>
        <w:t xml:space="preserve"> a prostředk</w:t>
      </w:r>
      <w:r w:rsidR="00AC5744">
        <w:rPr>
          <w:b w:val="0"/>
          <w:shadow w:val="0"/>
          <w:sz w:val="20"/>
        </w:rPr>
        <w:t>y</w:t>
      </w:r>
      <w:r>
        <w:rPr>
          <w:b w:val="0"/>
          <w:shadow w:val="0"/>
          <w:sz w:val="20"/>
        </w:rPr>
        <w:t xml:space="preserve"> zdravotnické techniky (35%:33%)</w:t>
      </w:r>
    </w:p>
    <w:p w:rsidR="00AA0D69" w:rsidRPr="00AA0D69" w:rsidRDefault="00B42BF2" w:rsidP="00B01026">
      <w:pPr>
        <w:pStyle w:val="Nadpisvlastn1"/>
        <w:numPr>
          <w:ilvl w:val="0"/>
          <w:numId w:val="2"/>
        </w:numPr>
        <w:rPr>
          <w:b w:val="0"/>
          <w:shadow w:val="0"/>
          <w:sz w:val="20"/>
        </w:rPr>
      </w:pPr>
      <w:r>
        <w:rPr>
          <w:b w:val="0"/>
          <w:shadow w:val="0"/>
          <w:sz w:val="20"/>
        </w:rPr>
        <w:t xml:space="preserve">Naopak se </w:t>
      </w:r>
      <w:r w:rsidR="00AC5744">
        <w:rPr>
          <w:b w:val="0"/>
          <w:shadow w:val="0"/>
          <w:sz w:val="20"/>
        </w:rPr>
        <w:t xml:space="preserve">Česká republika se </w:t>
      </w:r>
      <w:r w:rsidR="00AC5744" w:rsidRPr="00AC5744">
        <w:rPr>
          <w:b w:val="0"/>
          <w:shadow w:val="0"/>
          <w:color w:val="000000"/>
          <w:sz w:val="20"/>
        </w:rPr>
        <w:t>řadí do skupiny zemí s nejnižšími výdaji na dlouhodobou péči</w:t>
      </w:r>
      <w:r w:rsidR="00AC5744">
        <w:rPr>
          <w:color w:val="000000"/>
          <w:sz w:val="20"/>
        </w:rPr>
        <w:t xml:space="preserve"> </w:t>
      </w:r>
      <w:r>
        <w:rPr>
          <w:b w:val="0"/>
          <w:shadow w:val="0"/>
          <w:sz w:val="20"/>
        </w:rPr>
        <w:t>(4%:12%)</w:t>
      </w:r>
      <w:r w:rsidR="00AA0D69">
        <w:rPr>
          <w:b w:val="0"/>
          <w:shadow w:val="0"/>
          <w:sz w:val="20"/>
        </w:rPr>
        <w:t xml:space="preserve"> </w:t>
      </w:r>
    </w:p>
    <w:p w:rsidR="00C30576" w:rsidRPr="00AA0D69" w:rsidRDefault="00C30576" w:rsidP="00C30576">
      <w:pPr>
        <w:rPr>
          <w:sz w:val="20"/>
          <w:szCs w:val="20"/>
        </w:rPr>
      </w:pPr>
    </w:p>
    <w:p w:rsidR="00C30576" w:rsidRPr="00AA0D69" w:rsidRDefault="00C30576" w:rsidP="00C30576">
      <w:pPr>
        <w:rPr>
          <w:sz w:val="20"/>
          <w:szCs w:val="20"/>
        </w:rPr>
      </w:pPr>
    </w:p>
    <w:p w:rsidR="00C30576" w:rsidRPr="00AA0D69" w:rsidRDefault="00C30576" w:rsidP="00C30576">
      <w:pPr>
        <w:rPr>
          <w:sz w:val="20"/>
          <w:szCs w:val="20"/>
        </w:rPr>
      </w:pPr>
    </w:p>
    <w:p w:rsidR="00C30576" w:rsidRPr="00AA0D69" w:rsidRDefault="00C30576"/>
    <w:sectPr w:rsidR="00C30576" w:rsidRPr="00AA0D69" w:rsidSect="00913BC1">
      <w:footerReference w:type="default" r:id="rId10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66" w:rsidRDefault="00666666" w:rsidP="00C30576">
      <w:r>
        <w:separator/>
      </w:r>
    </w:p>
  </w:endnote>
  <w:endnote w:type="continuationSeparator" w:id="1">
    <w:p w:rsidR="00666666" w:rsidRDefault="00666666" w:rsidP="00C30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257"/>
      <w:docPartObj>
        <w:docPartGallery w:val="Page Numbers (Bottom of Page)"/>
        <w:docPartUnique/>
      </w:docPartObj>
    </w:sdtPr>
    <w:sdtContent>
      <w:p w:rsidR="00913BC1" w:rsidRDefault="00913BC1">
        <w:pPr>
          <w:pStyle w:val="Zpat"/>
          <w:jc w:val="center"/>
        </w:pPr>
        <w:r w:rsidRPr="00913BC1">
          <w:rPr>
            <w:rFonts w:ascii="Arial" w:hAnsi="Arial"/>
            <w:sz w:val="18"/>
          </w:rPr>
          <w:fldChar w:fldCharType="begin"/>
        </w:r>
        <w:r w:rsidRPr="00913BC1">
          <w:rPr>
            <w:rFonts w:ascii="Arial" w:hAnsi="Arial"/>
            <w:sz w:val="18"/>
          </w:rPr>
          <w:instrText xml:space="preserve"> PAGE   \* MERGEFORMAT </w:instrText>
        </w:r>
        <w:r w:rsidRPr="00913BC1">
          <w:rPr>
            <w:rFonts w:ascii="Arial" w:hAnsi="Arial"/>
            <w:sz w:val="18"/>
          </w:rPr>
          <w:fldChar w:fldCharType="separate"/>
        </w:r>
        <w:r>
          <w:rPr>
            <w:rFonts w:ascii="Arial" w:hAnsi="Arial"/>
            <w:noProof/>
            <w:sz w:val="18"/>
          </w:rPr>
          <w:t>27</w:t>
        </w:r>
        <w:r w:rsidRPr="00913BC1">
          <w:rPr>
            <w:rFonts w:ascii="Arial" w:hAnsi="Arial"/>
            <w:sz w:val="18"/>
          </w:rPr>
          <w:fldChar w:fldCharType="end"/>
        </w:r>
      </w:p>
    </w:sdtContent>
  </w:sdt>
  <w:p w:rsidR="00C30576" w:rsidRDefault="00C3057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66" w:rsidRDefault="00666666" w:rsidP="00C30576">
      <w:r>
        <w:separator/>
      </w:r>
    </w:p>
  </w:footnote>
  <w:footnote w:type="continuationSeparator" w:id="1">
    <w:p w:rsidR="00666666" w:rsidRDefault="00666666" w:rsidP="00C30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180"/>
    <w:multiLevelType w:val="multilevel"/>
    <w:tmpl w:val="3C54E4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5240BE3"/>
    <w:multiLevelType w:val="hybridMultilevel"/>
    <w:tmpl w:val="C02E4B46"/>
    <w:lvl w:ilvl="0" w:tplc="932ECB3E">
      <w:start w:val="8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576"/>
    <w:rsid w:val="001B5961"/>
    <w:rsid w:val="002F6D4D"/>
    <w:rsid w:val="0030107F"/>
    <w:rsid w:val="0035343C"/>
    <w:rsid w:val="003E15FE"/>
    <w:rsid w:val="00587E1E"/>
    <w:rsid w:val="005C2AD2"/>
    <w:rsid w:val="0062749F"/>
    <w:rsid w:val="00641DCE"/>
    <w:rsid w:val="00666666"/>
    <w:rsid w:val="006F2CBC"/>
    <w:rsid w:val="007C45DE"/>
    <w:rsid w:val="008C57F0"/>
    <w:rsid w:val="00913BC1"/>
    <w:rsid w:val="00A73CD4"/>
    <w:rsid w:val="00AA0D69"/>
    <w:rsid w:val="00AC5744"/>
    <w:rsid w:val="00AD5156"/>
    <w:rsid w:val="00B01026"/>
    <w:rsid w:val="00B42BF2"/>
    <w:rsid w:val="00C30576"/>
    <w:rsid w:val="00CE3A2F"/>
    <w:rsid w:val="00D146CC"/>
    <w:rsid w:val="00D6222E"/>
    <w:rsid w:val="00DF61BB"/>
    <w:rsid w:val="00ED0A45"/>
    <w:rsid w:val="00F06D44"/>
    <w:rsid w:val="00FD5344"/>
    <w:rsid w:val="00FF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0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lastn1">
    <w:name w:val="Nadpis vlastní 1"/>
    <w:basedOn w:val="Normln"/>
    <w:rsid w:val="00C30576"/>
    <w:pPr>
      <w:spacing w:after="360"/>
      <w:jc w:val="both"/>
    </w:pPr>
    <w:rPr>
      <w:rFonts w:ascii="Arial" w:hAnsi="Arial"/>
      <w:b/>
      <w:bCs/>
      <w:shadow/>
      <w:sz w:val="36"/>
      <w:szCs w:val="20"/>
    </w:rPr>
  </w:style>
  <w:style w:type="paragraph" w:customStyle="1" w:styleId="Textvlastn">
    <w:name w:val="Text vlastní"/>
    <w:basedOn w:val="Normln"/>
    <w:rsid w:val="00C30576"/>
    <w:pPr>
      <w:spacing w:before="120"/>
      <w:jc w:val="both"/>
    </w:pPr>
    <w:rPr>
      <w:rFonts w:ascii="Arial" w:hAnsi="Arial"/>
      <w:sz w:val="18"/>
      <w:szCs w:val="20"/>
    </w:rPr>
  </w:style>
  <w:style w:type="paragraph" w:customStyle="1" w:styleId="Nadpisvlastn2">
    <w:name w:val="Nadpis vlastní 2"/>
    <w:basedOn w:val="Nadpisvlastn1"/>
    <w:rsid w:val="00C30576"/>
    <w:pPr>
      <w:spacing w:before="360" w:after="120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5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57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30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05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0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05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5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HA%202013\Anal&#253;za%202014\Tabulky+grafy%20TKanal&#253;za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HA%202013\Anal&#253;za%202014\Tabulky+grafy%20TKanal&#253;za%20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HA%202013\Anal&#253;za%202014\Tabulky+grafy%20TKanal&#253;za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stacked"/>
        <c:ser>
          <c:idx val="0"/>
          <c:order val="0"/>
          <c:tx>
            <c:strRef>
              <c:f>Slide13!$B$28</c:f>
              <c:strCache>
                <c:ptCount val="1"/>
                <c:pt idx="0">
                  <c:v>Veřejné výdaje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cs-CZ"/>
              </a:p>
            </c:txPr>
            <c:showVal val="1"/>
          </c:dLbls>
          <c:cat>
            <c:strRef>
              <c:f>Slide13!$A$29:$A$46</c:f>
              <c:strCache>
                <c:ptCount val="18"/>
                <c:pt idx="0">
                  <c:v>Dánsko</c:v>
                </c:pt>
                <c:pt idx="1">
                  <c:v>Česká republika</c:v>
                </c:pt>
                <c:pt idx="2">
                  <c:v>Velká Británie</c:v>
                </c:pt>
                <c:pt idx="3">
                  <c:v>Švédsko</c:v>
                </c:pt>
                <c:pt idx="4">
                  <c:v>Itálie</c:v>
                </c:pt>
                <c:pt idx="5">
                  <c:v>Estonsko</c:v>
                </c:pt>
                <c:pt idx="6">
                  <c:v>Francie</c:v>
                </c:pt>
                <c:pt idx="7">
                  <c:v>Německo</c:v>
                </c:pt>
                <c:pt idx="8">
                  <c:v>Rakousko</c:v>
                </c:pt>
                <c:pt idx="9">
                  <c:v>Belgie</c:v>
                </c:pt>
                <c:pt idx="10">
                  <c:v>Finsko</c:v>
                </c:pt>
                <c:pt idx="11">
                  <c:v>Španělsko</c:v>
                </c:pt>
                <c:pt idx="12">
                  <c:v>Slovinsko</c:v>
                </c:pt>
                <c:pt idx="13">
                  <c:v>Irsko</c:v>
                </c:pt>
                <c:pt idx="14">
                  <c:v>Portugalsko</c:v>
                </c:pt>
                <c:pt idx="15">
                  <c:v>Maďarsko</c:v>
                </c:pt>
                <c:pt idx="16">
                  <c:v>Slovenská republika</c:v>
                </c:pt>
                <c:pt idx="17">
                  <c:v>Řecko</c:v>
                </c:pt>
              </c:strCache>
            </c:strRef>
          </c:cat>
          <c:val>
            <c:numRef>
              <c:f>Slide13!$B$29:$B$46</c:f>
              <c:numCache>
                <c:formatCode>0</c:formatCode>
                <c:ptCount val="18"/>
                <c:pt idx="0">
                  <c:v>85</c:v>
                </c:pt>
                <c:pt idx="1">
                  <c:v>84</c:v>
                </c:pt>
                <c:pt idx="2">
                  <c:v>83</c:v>
                </c:pt>
                <c:pt idx="3">
                  <c:v>81</c:v>
                </c:pt>
                <c:pt idx="4">
                  <c:v>80</c:v>
                </c:pt>
                <c:pt idx="5">
                  <c:v>79</c:v>
                </c:pt>
                <c:pt idx="6">
                  <c:v>77</c:v>
                </c:pt>
                <c:pt idx="7">
                  <c:v>77</c:v>
                </c:pt>
                <c:pt idx="8">
                  <c:v>76.2</c:v>
                </c:pt>
                <c:pt idx="9">
                  <c:v>76</c:v>
                </c:pt>
                <c:pt idx="10">
                  <c:v>75</c:v>
                </c:pt>
                <c:pt idx="11">
                  <c:v>74</c:v>
                </c:pt>
                <c:pt idx="12">
                  <c:v>73</c:v>
                </c:pt>
                <c:pt idx="13">
                  <c:v>70</c:v>
                </c:pt>
                <c:pt idx="14">
                  <c:v>66</c:v>
                </c:pt>
                <c:pt idx="15">
                  <c:v>65</c:v>
                </c:pt>
                <c:pt idx="16">
                  <c:v>65</c:v>
                </c:pt>
                <c:pt idx="17">
                  <c:v>59</c:v>
                </c:pt>
              </c:numCache>
            </c:numRef>
          </c:val>
        </c:ser>
        <c:ser>
          <c:idx val="1"/>
          <c:order val="1"/>
          <c:tx>
            <c:strRef>
              <c:f>Slide13!$C$28</c:f>
              <c:strCache>
                <c:ptCount val="1"/>
                <c:pt idx="0">
                  <c:v>Soukromé výdaje</c:v>
                </c:pt>
              </c:strCache>
            </c:strRef>
          </c:tx>
          <c:spPr>
            <a:solidFill>
              <a:schemeClr val="accent2"/>
            </a:solidFill>
          </c:spPr>
          <c:dLbls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cs-CZ"/>
              </a:p>
            </c:txPr>
            <c:showVal val="1"/>
          </c:dLbls>
          <c:cat>
            <c:strRef>
              <c:f>Slide13!$A$29:$A$46</c:f>
              <c:strCache>
                <c:ptCount val="18"/>
                <c:pt idx="0">
                  <c:v>Dánsko</c:v>
                </c:pt>
                <c:pt idx="1">
                  <c:v>Česká republika</c:v>
                </c:pt>
                <c:pt idx="2">
                  <c:v>Velká Británie</c:v>
                </c:pt>
                <c:pt idx="3">
                  <c:v>Švédsko</c:v>
                </c:pt>
                <c:pt idx="4">
                  <c:v>Itálie</c:v>
                </c:pt>
                <c:pt idx="5">
                  <c:v>Estonsko</c:v>
                </c:pt>
                <c:pt idx="6">
                  <c:v>Francie</c:v>
                </c:pt>
                <c:pt idx="7">
                  <c:v>Německo</c:v>
                </c:pt>
                <c:pt idx="8">
                  <c:v>Rakousko</c:v>
                </c:pt>
                <c:pt idx="9">
                  <c:v>Belgie</c:v>
                </c:pt>
                <c:pt idx="10">
                  <c:v>Finsko</c:v>
                </c:pt>
                <c:pt idx="11">
                  <c:v>Španělsko</c:v>
                </c:pt>
                <c:pt idx="12">
                  <c:v>Slovinsko</c:v>
                </c:pt>
                <c:pt idx="13">
                  <c:v>Irsko</c:v>
                </c:pt>
                <c:pt idx="14">
                  <c:v>Portugalsko</c:v>
                </c:pt>
                <c:pt idx="15">
                  <c:v>Maďarsko</c:v>
                </c:pt>
                <c:pt idx="16">
                  <c:v>Slovenská republika</c:v>
                </c:pt>
                <c:pt idx="17">
                  <c:v>Řecko</c:v>
                </c:pt>
              </c:strCache>
            </c:strRef>
          </c:cat>
          <c:val>
            <c:numRef>
              <c:f>Slide13!$C$29:$C$46</c:f>
              <c:numCache>
                <c:formatCode>0</c:formatCode>
                <c:ptCount val="18"/>
                <c:pt idx="0">
                  <c:v>15</c:v>
                </c:pt>
                <c:pt idx="1">
                  <c:v>16</c:v>
                </c:pt>
                <c:pt idx="2">
                  <c:v>17</c:v>
                </c:pt>
                <c:pt idx="3">
                  <c:v>19</c:v>
                </c:pt>
                <c:pt idx="4">
                  <c:v>20</c:v>
                </c:pt>
                <c:pt idx="5">
                  <c:v>21</c:v>
                </c:pt>
                <c:pt idx="6">
                  <c:v>23</c:v>
                </c:pt>
                <c:pt idx="7">
                  <c:v>23</c:v>
                </c:pt>
                <c:pt idx="8">
                  <c:v>23.799999999999986</c:v>
                </c:pt>
                <c:pt idx="9">
                  <c:v>24</c:v>
                </c:pt>
                <c:pt idx="10">
                  <c:v>25</c:v>
                </c:pt>
                <c:pt idx="11">
                  <c:v>26</c:v>
                </c:pt>
                <c:pt idx="12">
                  <c:v>27</c:v>
                </c:pt>
                <c:pt idx="13">
                  <c:v>30</c:v>
                </c:pt>
                <c:pt idx="14">
                  <c:v>34</c:v>
                </c:pt>
                <c:pt idx="15">
                  <c:v>35</c:v>
                </c:pt>
                <c:pt idx="16">
                  <c:v>35</c:v>
                </c:pt>
                <c:pt idx="17">
                  <c:v>41</c:v>
                </c:pt>
              </c:numCache>
            </c:numRef>
          </c:val>
        </c:ser>
        <c:overlap val="100"/>
        <c:axId val="88218624"/>
        <c:axId val="88232704"/>
      </c:barChart>
      <c:catAx>
        <c:axId val="882186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88232704"/>
        <c:crosses val="autoZero"/>
        <c:auto val="1"/>
        <c:lblAlgn val="ctr"/>
        <c:lblOffset val="100"/>
      </c:catAx>
      <c:valAx>
        <c:axId val="88232704"/>
        <c:scaling>
          <c:orientation val="minMax"/>
          <c:max val="100"/>
        </c:scaling>
        <c:axPos val="l"/>
        <c:majorGridlines/>
        <c:numFmt formatCode="0" sourceLinked="1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88218624"/>
        <c:crosses val="autoZero"/>
        <c:crossBetween val="between"/>
        <c:majorUnit val="20"/>
      </c:valAx>
    </c:plotArea>
    <c:legend>
      <c:legendPos val="b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dPt>
            <c:idx val="11"/>
            <c:spPr>
              <a:solidFill>
                <a:schemeClr val="accent2">
                  <a:lumMod val="75000"/>
                </a:schemeClr>
              </a:solidFill>
            </c:spPr>
          </c:dPt>
          <c:dLbls>
            <c:txPr>
              <a:bodyPr rot="-5400000" vert="horz"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cs-CZ"/>
              </a:p>
            </c:txPr>
            <c:showVal val="1"/>
          </c:dLbls>
          <c:cat>
            <c:strRef>
              <c:f>'HDP graf'!$A$3:$A$24</c:f>
              <c:strCache>
                <c:ptCount val="22"/>
                <c:pt idx="0">
                  <c:v>Holandsko</c:v>
                </c:pt>
                <c:pt idx="1">
                  <c:v>Francie</c:v>
                </c:pt>
                <c:pt idx="2">
                  <c:v>Německo</c:v>
                </c:pt>
                <c:pt idx="3">
                  <c:v>Dánsko</c:v>
                </c:pt>
                <c:pt idx="4">
                  <c:v>Kanada</c:v>
                </c:pt>
                <c:pt idx="5">
                  <c:v>Dánsko</c:v>
                </c:pt>
                <c:pt idx="6">
                  <c:v>Rakousko</c:v>
                </c:pt>
                <c:pt idx="7">
                  <c:v>Belgie</c:v>
                </c:pt>
                <c:pt idx="8">
                  <c:v>Portugalsko</c:v>
                </c:pt>
                <c:pt idx="9">
                  <c:v>Švédsko</c:v>
                </c:pt>
                <c:pt idx="10">
                  <c:v>Velká Británie</c:v>
                </c:pt>
                <c:pt idx="11">
                  <c:v>OECD</c:v>
                </c:pt>
                <c:pt idx="12">
                  <c:v>Španělsko</c:v>
                </c:pt>
                <c:pt idx="13">
                  <c:v>Řecko</c:v>
                </c:pt>
                <c:pt idx="14">
                  <c:v>Irsko</c:v>
                </c:pt>
                <c:pt idx="15">
                  <c:v>Slovinsko</c:v>
                </c:pt>
                <c:pt idx="16">
                  <c:v>Slovenská republika</c:v>
                </c:pt>
                <c:pt idx="17">
                  <c:v>Maďarsko</c:v>
                </c:pt>
                <c:pt idx="18">
                  <c:v>Česká republika</c:v>
                </c:pt>
                <c:pt idx="19">
                  <c:v>Polsko</c:v>
                </c:pt>
                <c:pt idx="20">
                  <c:v>Lucembursko</c:v>
                </c:pt>
                <c:pt idx="21">
                  <c:v>Estonsko</c:v>
                </c:pt>
              </c:strCache>
            </c:strRef>
          </c:cat>
          <c:val>
            <c:numRef>
              <c:f>'HDP graf'!$B$3:$B$24</c:f>
              <c:numCache>
                <c:formatCode>General</c:formatCode>
                <c:ptCount val="22"/>
                <c:pt idx="0" formatCode="0.0">
                  <c:v>11.9</c:v>
                </c:pt>
                <c:pt idx="1">
                  <c:v>11.6</c:v>
                </c:pt>
                <c:pt idx="2">
                  <c:v>11.6</c:v>
                </c:pt>
                <c:pt idx="3">
                  <c:v>11.1</c:v>
                </c:pt>
                <c:pt idx="4">
                  <c:v>11.2</c:v>
                </c:pt>
                <c:pt idx="5">
                  <c:v>10.9</c:v>
                </c:pt>
                <c:pt idx="6" formatCode="0.0">
                  <c:v>10.8</c:v>
                </c:pt>
                <c:pt idx="7" formatCode="0.0">
                  <c:v>10.5</c:v>
                </c:pt>
                <c:pt idx="8">
                  <c:v>10.200000000000001</c:v>
                </c:pt>
                <c:pt idx="9">
                  <c:v>9.5</c:v>
                </c:pt>
                <c:pt idx="10">
                  <c:v>9.4</c:v>
                </c:pt>
                <c:pt idx="11">
                  <c:v>9.3000000000000007</c:v>
                </c:pt>
                <c:pt idx="12">
                  <c:v>9.3000000000000007</c:v>
                </c:pt>
                <c:pt idx="13">
                  <c:v>9.1</c:v>
                </c:pt>
                <c:pt idx="14">
                  <c:v>8.9</c:v>
                </c:pt>
                <c:pt idx="15">
                  <c:v>8.9</c:v>
                </c:pt>
                <c:pt idx="16" formatCode="0.0">
                  <c:v>7.9</c:v>
                </c:pt>
                <c:pt idx="17" formatCode="0.0">
                  <c:v>7.5</c:v>
                </c:pt>
                <c:pt idx="18" formatCode="0.0">
                  <c:v>7.5</c:v>
                </c:pt>
                <c:pt idx="19" formatCode="0.0">
                  <c:v>6.9</c:v>
                </c:pt>
                <c:pt idx="20" formatCode="0.0">
                  <c:v>6.6</c:v>
                </c:pt>
                <c:pt idx="21" formatCode="0.0">
                  <c:v>5.9</c:v>
                </c:pt>
              </c:numCache>
            </c:numRef>
          </c:val>
        </c:ser>
        <c:axId val="122091008"/>
        <c:axId val="122880384"/>
      </c:barChart>
      <c:catAx>
        <c:axId val="1220910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22880384"/>
        <c:crosses val="autoZero"/>
        <c:auto val="1"/>
        <c:lblAlgn val="ctr"/>
        <c:lblOffset val="100"/>
      </c:catAx>
      <c:valAx>
        <c:axId val="122880384"/>
        <c:scaling>
          <c:orientation val="minMax"/>
          <c:max val="14"/>
        </c:scaling>
        <c:axPos val="l"/>
        <c:majorGridlines/>
        <c:numFmt formatCode="0" sourceLinked="0"/>
        <c:tickLblPos val="nextTo"/>
        <c:txPr>
          <a:bodyPr/>
          <a:lstStyle/>
          <a:p>
            <a:pPr>
              <a:defRPr sz="900" baseline="0">
                <a:latin typeface="Arial" pitchFamily="34" charset="0"/>
              </a:defRPr>
            </a:pPr>
            <a:endParaRPr lang="cs-CZ"/>
          </a:p>
        </c:txPr>
        <c:crossAx val="12209100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stacked"/>
        <c:ser>
          <c:idx val="0"/>
          <c:order val="0"/>
          <c:tx>
            <c:strRef>
              <c:f>'Druhy péče 5.2'!$B$4</c:f>
              <c:strCache>
                <c:ptCount val="1"/>
                <c:pt idx="0">
                  <c:v>Lůžková péče 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cs-CZ"/>
              </a:p>
            </c:txPr>
            <c:showVal val="1"/>
          </c:dLbls>
          <c:cat>
            <c:strRef>
              <c:f>'Druhy péče 5.2'!$C$3:$S$3</c:f>
              <c:strCache>
                <c:ptCount val="17"/>
                <c:pt idx="0">
                  <c:v>Francie</c:v>
                </c:pt>
                <c:pt idx="1">
                  <c:v>Řecko</c:v>
                </c:pt>
                <c:pt idx="2">
                  <c:v>Rakousko</c:v>
                </c:pt>
                <c:pt idx="3">
                  <c:v>Česká republika</c:v>
                </c:pt>
                <c:pt idx="4">
                  <c:v>Japonsko</c:v>
                </c:pt>
                <c:pt idx="5">
                  <c:v>Slovinsko</c:v>
                </c:pt>
                <c:pt idx="6">
                  <c:v>Estonsko</c:v>
                </c:pt>
                <c:pt idx="7">
                  <c:v>Belgie</c:v>
                </c:pt>
                <c:pt idx="8">
                  <c:v>Finsko</c:v>
                </c:pt>
                <c:pt idx="9">
                  <c:v>OECD</c:v>
                </c:pt>
                <c:pt idx="10">
                  <c:v>SRN</c:v>
                </c:pt>
                <c:pt idx="11">
                  <c:v>Švédsko</c:v>
                </c:pt>
                <c:pt idx="12">
                  <c:v>Portugalsko</c:v>
                </c:pt>
                <c:pt idx="13">
                  <c:v>Španělsko</c:v>
                </c:pt>
                <c:pt idx="14">
                  <c:v>Maďarsko</c:v>
                </c:pt>
                <c:pt idx="15">
                  <c:v>Slovenská republika</c:v>
                </c:pt>
                <c:pt idx="16">
                  <c:v>Kanada</c:v>
                </c:pt>
              </c:strCache>
            </c:strRef>
          </c:cat>
          <c:val>
            <c:numRef>
              <c:f>'Druhy péče 5.2'!$C$4:$S$4</c:f>
              <c:numCache>
                <c:formatCode>0</c:formatCode>
                <c:ptCount val="17"/>
                <c:pt idx="0">
                  <c:v>37</c:v>
                </c:pt>
                <c:pt idx="1">
                  <c:v>37</c:v>
                </c:pt>
                <c:pt idx="2">
                  <c:v>36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31</c:v>
                </c:pt>
                <c:pt idx="7">
                  <c:v>30</c:v>
                </c:pt>
                <c:pt idx="8">
                  <c:v>30</c:v>
                </c:pt>
                <c:pt idx="9">
                  <c:v>29</c:v>
                </c:pt>
                <c:pt idx="10">
                  <c:v>29</c:v>
                </c:pt>
                <c:pt idx="11">
                  <c:v>28</c:v>
                </c:pt>
                <c:pt idx="12" formatCode="General">
                  <c:v>27</c:v>
                </c:pt>
                <c:pt idx="13" formatCode="General">
                  <c:v>26</c:v>
                </c:pt>
                <c:pt idx="14" formatCode="General">
                  <c:v>25</c:v>
                </c:pt>
                <c:pt idx="15" formatCode="General">
                  <c:v>22</c:v>
                </c:pt>
                <c:pt idx="16" formatCode="General">
                  <c:v>20</c:v>
                </c:pt>
              </c:numCache>
            </c:numRef>
          </c:val>
        </c:ser>
        <c:ser>
          <c:idx val="1"/>
          <c:order val="1"/>
          <c:tx>
            <c:strRef>
              <c:f>'Druhy péče 5.2'!$B$5</c:f>
              <c:strCache>
                <c:ptCount val="1"/>
                <c:pt idx="0">
                  <c:v>Ambulantní péče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cs-CZ"/>
              </a:p>
            </c:txPr>
            <c:showVal val="1"/>
          </c:dLbls>
          <c:cat>
            <c:strRef>
              <c:f>'Druhy péče 5.2'!$C$3:$S$3</c:f>
              <c:strCache>
                <c:ptCount val="17"/>
                <c:pt idx="0">
                  <c:v>Francie</c:v>
                </c:pt>
                <c:pt idx="1">
                  <c:v>Řecko</c:v>
                </c:pt>
                <c:pt idx="2">
                  <c:v>Rakousko</c:v>
                </c:pt>
                <c:pt idx="3">
                  <c:v>Česká republika</c:v>
                </c:pt>
                <c:pt idx="4">
                  <c:v>Japonsko</c:v>
                </c:pt>
                <c:pt idx="5">
                  <c:v>Slovinsko</c:v>
                </c:pt>
                <c:pt idx="6">
                  <c:v>Estonsko</c:v>
                </c:pt>
                <c:pt idx="7">
                  <c:v>Belgie</c:v>
                </c:pt>
                <c:pt idx="8">
                  <c:v>Finsko</c:v>
                </c:pt>
                <c:pt idx="9">
                  <c:v>OECD</c:v>
                </c:pt>
                <c:pt idx="10">
                  <c:v>SRN</c:v>
                </c:pt>
                <c:pt idx="11">
                  <c:v>Švédsko</c:v>
                </c:pt>
                <c:pt idx="12">
                  <c:v>Portugalsko</c:v>
                </c:pt>
                <c:pt idx="13">
                  <c:v>Španělsko</c:v>
                </c:pt>
                <c:pt idx="14">
                  <c:v>Maďarsko</c:v>
                </c:pt>
                <c:pt idx="15">
                  <c:v>Slovenská republika</c:v>
                </c:pt>
                <c:pt idx="16">
                  <c:v>Kanada</c:v>
                </c:pt>
              </c:strCache>
            </c:strRef>
          </c:cat>
          <c:val>
            <c:numRef>
              <c:f>'Druhy péče 5.2'!$C$5:$S$5</c:f>
              <c:numCache>
                <c:formatCode>0</c:formatCode>
                <c:ptCount val="17"/>
                <c:pt idx="0">
                  <c:v>22</c:v>
                </c:pt>
                <c:pt idx="1">
                  <c:v>27</c:v>
                </c:pt>
                <c:pt idx="2">
                  <c:v>28</c:v>
                </c:pt>
                <c:pt idx="3">
                  <c:v>35</c:v>
                </c:pt>
                <c:pt idx="4">
                  <c:v>33</c:v>
                </c:pt>
                <c:pt idx="5">
                  <c:v>28</c:v>
                </c:pt>
                <c:pt idx="6">
                  <c:v>36</c:v>
                </c:pt>
                <c:pt idx="7">
                  <c:v>26</c:v>
                </c:pt>
                <c:pt idx="8">
                  <c:v>36</c:v>
                </c:pt>
                <c:pt idx="9">
                  <c:v>33</c:v>
                </c:pt>
                <c:pt idx="10">
                  <c:v>30</c:v>
                </c:pt>
                <c:pt idx="11">
                  <c:v>42</c:v>
                </c:pt>
                <c:pt idx="12" formatCode="General">
                  <c:v>45</c:v>
                </c:pt>
                <c:pt idx="13" formatCode="General">
                  <c:v>38</c:v>
                </c:pt>
                <c:pt idx="14" formatCode="General">
                  <c:v>28</c:v>
                </c:pt>
                <c:pt idx="15" formatCode="General">
                  <c:v>33</c:v>
                </c:pt>
                <c:pt idx="16" formatCode="General">
                  <c:v>35</c:v>
                </c:pt>
              </c:numCache>
            </c:numRef>
          </c:val>
        </c:ser>
        <c:ser>
          <c:idx val="2"/>
          <c:order val="2"/>
          <c:tx>
            <c:strRef>
              <c:f>'Druhy péče 5.2'!$B$6</c:f>
              <c:strCache>
                <c:ptCount val="1"/>
                <c:pt idx="0">
                  <c:v>Dlouhodobá péče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cs-CZ"/>
              </a:p>
            </c:txPr>
            <c:showVal val="1"/>
          </c:dLbls>
          <c:cat>
            <c:strRef>
              <c:f>'Druhy péče 5.2'!$C$3:$S$3</c:f>
              <c:strCache>
                <c:ptCount val="17"/>
                <c:pt idx="0">
                  <c:v>Francie</c:v>
                </c:pt>
                <c:pt idx="1">
                  <c:v>Řecko</c:v>
                </c:pt>
                <c:pt idx="2">
                  <c:v>Rakousko</c:v>
                </c:pt>
                <c:pt idx="3">
                  <c:v>Česká republika</c:v>
                </c:pt>
                <c:pt idx="4">
                  <c:v>Japonsko</c:v>
                </c:pt>
                <c:pt idx="5">
                  <c:v>Slovinsko</c:v>
                </c:pt>
                <c:pt idx="6">
                  <c:v>Estonsko</c:v>
                </c:pt>
                <c:pt idx="7">
                  <c:v>Belgie</c:v>
                </c:pt>
                <c:pt idx="8">
                  <c:v>Finsko</c:v>
                </c:pt>
                <c:pt idx="9">
                  <c:v>OECD</c:v>
                </c:pt>
                <c:pt idx="10">
                  <c:v>SRN</c:v>
                </c:pt>
                <c:pt idx="11">
                  <c:v>Švédsko</c:v>
                </c:pt>
                <c:pt idx="12">
                  <c:v>Portugalsko</c:v>
                </c:pt>
                <c:pt idx="13">
                  <c:v>Španělsko</c:v>
                </c:pt>
                <c:pt idx="14">
                  <c:v>Maďarsko</c:v>
                </c:pt>
                <c:pt idx="15">
                  <c:v>Slovenská republika</c:v>
                </c:pt>
                <c:pt idx="16">
                  <c:v>Kanada</c:v>
                </c:pt>
              </c:strCache>
            </c:strRef>
          </c:cat>
          <c:val>
            <c:numRef>
              <c:f>'Druhy péče 5.2'!$C$6:$S$6</c:f>
              <c:numCache>
                <c:formatCode>0</c:formatCode>
                <c:ptCount val="17"/>
                <c:pt idx="0">
                  <c:v>11</c:v>
                </c:pt>
                <c:pt idx="1">
                  <c:v>1</c:v>
                </c:pt>
                <c:pt idx="2">
                  <c:v>15</c:v>
                </c:pt>
                <c:pt idx="3">
                  <c:v>4</c:v>
                </c:pt>
                <c:pt idx="4">
                  <c:v>9</c:v>
                </c:pt>
                <c:pt idx="5">
                  <c:v>9</c:v>
                </c:pt>
                <c:pt idx="6">
                  <c:v>4</c:v>
                </c:pt>
                <c:pt idx="7">
                  <c:v>21</c:v>
                </c:pt>
                <c:pt idx="8">
                  <c:v>10</c:v>
                </c:pt>
                <c:pt idx="9">
                  <c:v>12</c:v>
                </c:pt>
                <c:pt idx="10">
                  <c:v>12</c:v>
                </c:pt>
                <c:pt idx="11">
                  <c:v>8</c:v>
                </c:pt>
                <c:pt idx="12" formatCode="General">
                  <c:v>2</c:v>
                </c:pt>
                <c:pt idx="13" formatCode="General">
                  <c:v>11</c:v>
                </c:pt>
                <c:pt idx="14" formatCode="General">
                  <c:v>4</c:v>
                </c:pt>
                <c:pt idx="15" formatCode="General">
                  <c:v>1</c:v>
                </c:pt>
                <c:pt idx="16" formatCode="General">
                  <c:v>15</c:v>
                </c:pt>
              </c:numCache>
            </c:numRef>
          </c:val>
        </c:ser>
        <c:ser>
          <c:idx val="3"/>
          <c:order val="3"/>
          <c:tx>
            <c:strRef>
              <c:f>'Druhy péče 5.2'!$B$7</c:f>
              <c:strCache>
                <c:ptCount val="1"/>
                <c:pt idx="0">
                  <c:v>Léky a PZT</c:v>
                </c:pt>
              </c:strCache>
            </c:strRef>
          </c:tx>
          <c:spPr>
            <a:solidFill>
              <a:srgbClr val="FFFF99"/>
            </a:solidFill>
          </c:spPr>
          <c:dLbls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cs-CZ"/>
              </a:p>
            </c:txPr>
            <c:showVal val="1"/>
          </c:dLbls>
          <c:cat>
            <c:strRef>
              <c:f>'Druhy péče 5.2'!$C$3:$S$3</c:f>
              <c:strCache>
                <c:ptCount val="17"/>
                <c:pt idx="0">
                  <c:v>Francie</c:v>
                </c:pt>
                <c:pt idx="1">
                  <c:v>Řecko</c:v>
                </c:pt>
                <c:pt idx="2">
                  <c:v>Rakousko</c:v>
                </c:pt>
                <c:pt idx="3">
                  <c:v>Česká republika</c:v>
                </c:pt>
                <c:pt idx="4">
                  <c:v>Japonsko</c:v>
                </c:pt>
                <c:pt idx="5">
                  <c:v>Slovinsko</c:v>
                </c:pt>
                <c:pt idx="6">
                  <c:v>Estonsko</c:v>
                </c:pt>
                <c:pt idx="7">
                  <c:v>Belgie</c:v>
                </c:pt>
                <c:pt idx="8">
                  <c:v>Finsko</c:v>
                </c:pt>
                <c:pt idx="9">
                  <c:v>OECD</c:v>
                </c:pt>
                <c:pt idx="10">
                  <c:v>SRN</c:v>
                </c:pt>
                <c:pt idx="11">
                  <c:v>Švédsko</c:v>
                </c:pt>
                <c:pt idx="12">
                  <c:v>Portugalsko</c:v>
                </c:pt>
                <c:pt idx="13">
                  <c:v>Španělsko</c:v>
                </c:pt>
                <c:pt idx="14">
                  <c:v>Maďarsko</c:v>
                </c:pt>
                <c:pt idx="15">
                  <c:v>Slovenská republika</c:v>
                </c:pt>
                <c:pt idx="16">
                  <c:v>Kanada</c:v>
                </c:pt>
              </c:strCache>
            </c:strRef>
          </c:cat>
          <c:val>
            <c:numRef>
              <c:f>'Druhy péče 5.2'!$C$7:$S$7</c:f>
              <c:numCache>
                <c:formatCode>0</c:formatCode>
                <c:ptCount val="17"/>
                <c:pt idx="0">
                  <c:v>21</c:v>
                </c:pt>
                <c:pt idx="1">
                  <c:v>31</c:v>
                </c:pt>
                <c:pt idx="2">
                  <c:v>17</c:v>
                </c:pt>
                <c:pt idx="3">
                  <c:v>24</c:v>
                </c:pt>
                <c:pt idx="4">
                  <c:v>22</c:v>
                </c:pt>
                <c:pt idx="5">
                  <c:v>24</c:v>
                </c:pt>
                <c:pt idx="6">
                  <c:v>24</c:v>
                </c:pt>
                <c:pt idx="7">
                  <c:v>17</c:v>
                </c:pt>
                <c:pt idx="8">
                  <c:v>17</c:v>
                </c:pt>
                <c:pt idx="9">
                  <c:v>20</c:v>
                </c:pt>
                <c:pt idx="10">
                  <c:v>20</c:v>
                </c:pt>
                <c:pt idx="11">
                  <c:v>16</c:v>
                </c:pt>
                <c:pt idx="12" formatCode="General">
                  <c:v>23</c:v>
                </c:pt>
                <c:pt idx="13" formatCode="General">
                  <c:v>21</c:v>
                </c:pt>
                <c:pt idx="14" formatCode="General">
                  <c:v>37</c:v>
                </c:pt>
                <c:pt idx="15" formatCode="General">
                  <c:v>38</c:v>
                </c:pt>
                <c:pt idx="16" formatCode="General">
                  <c:v>20</c:v>
                </c:pt>
              </c:numCache>
            </c:numRef>
          </c:val>
        </c:ser>
        <c:ser>
          <c:idx val="4"/>
          <c:order val="4"/>
          <c:tx>
            <c:strRef>
              <c:f>'Druhy péče 5.2'!$B$8</c:f>
              <c:strCache>
                <c:ptCount val="1"/>
                <c:pt idx="0">
                  <c:v>Kolektivní služby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cs-CZ"/>
              </a:p>
            </c:txPr>
            <c:showVal val="1"/>
          </c:dLbls>
          <c:cat>
            <c:strRef>
              <c:f>'Druhy péče 5.2'!$C$3:$S$3</c:f>
              <c:strCache>
                <c:ptCount val="17"/>
                <c:pt idx="0">
                  <c:v>Francie</c:v>
                </c:pt>
                <c:pt idx="1">
                  <c:v>Řecko</c:v>
                </c:pt>
                <c:pt idx="2">
                  <c:v>Rakousko</c:v>
                </c:pt>
                <c:pt idx="3">
                  <c:v>Česká republika</c:v>
                </c:pt>
                <c:pt idx="4">
                  <c:v>Japonsko</c:v>
                </c:pt>
                <c:pt idx="5">
                  <c:v>Slovinsko</c:v>
                </c:pt>
                <c:pt idx="6">
                  <c:v>Estonsko</c:v>
                </c:pt>
                <c:pt idx="7">
                  <c:v>Belgie</c:v>
                </c:pt>
                <c:pt idx="8">
                  <c:v>Finsko</c:v>
                </c:pt>
                <c:pt idx="9">
                  <c:v>OECD</c:v>
                </c:pt>
                <c:pt idx="10">
                  <c:v>SRN</c:v>
                </c:pt>
                <c:pt idx="11">
                  <c:v>Švédsko</c:v>
                </c:pt>
                <c:pt idx="12">
                  <c:v>Portugalsko</c:v>
                </c:pt>
                <c:pt idx="13">
                  <c:v>Španělsko</c:v>
                </c:pt>
                <c:pt idx="14">
                  <c:v>Maďarsko</c:v>
                </c:pt>
                <c:pt idx="15">
                  <c:v>Slovenská republika</c:v>
                </c:pt>
                <c:pt idx="16">
                  <c:v>Kanada</c:v>
                </c:pt>
              </c:strCache>
            </c:strRef>
          </c:cat>
          <c:val>
            <c:numRef>
              <c:f>'Druhy péče 5.2'!$C$8:$S$8</c:f>
              <c:numCache>
                <c:formatCode>0</c:formatCode>
                <c:ptCount val="17"/>
                <c:pt idx="0">
                  <c:v>9</c:v>
                </c:pt>
                <c:pt idx="1">
                  <c:v>4</c:v>
                </c:pt>
                <c:pt idx="2">
                  <c:v>4</c:v>
                </c:pt>
                <c:pt idx="3">
                  <c:v>6</c:v>
                </c:pt>
                <c:pt idx="4">
                  <c:v>4</c:v>
                </c:pt>
                <c:pt idx="5">
                  <c:v>7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5</c:v>
                </c:pt>
                <c:pt idx="10">
                  <c:v>9</c:v>
                </c:pt>
                <c:pt idx="11">
                  <c:v>6</c:v>
                </c:pt>
                <c:pt idx="12" formatCode="General">
                  <c:v>3</c:v>
                </c:pt>
                <c:pt idx="13" formatCode="General">
                  <c:v>4</c:v>
                </c:pt>
                <c:pt idx="14" formatCode="General">
                  <c:v>6</c:v>
                </c:pt>
                <c:pt idx="15" formatCode="General">
                  <c:v>6</c:v>
                </c:pt>
                <c:pt idx="16" formatCode="General">
                  <c:v>10</c:v>
                </c:pt>
              </c:numCache>
            </c:numRef>
          </c:val>
        </c:ser>
        <c:overlap val="100"/>
        <c:axId val="128803968"/>
        <c:axId val="128806272"/>
      </c:barChart>
      <c:catAx>
        <c:axId val="1288039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28806272"/>
        <c:crosses val="autoZero"/>
        <c:auto val="1"/>
        <c:lblAlgn val="ctr"/>
        <c:lblOffset val="100"/>
      </c:catAx>
      <c:valAx>
        <c:axId val="128806272"/>
        <c:scaling>
          <c:orientation val="minMax"/>
          <c:max val="100"/>
        </c:scaling>
        <c:axPos val="l"/>
        <c:majorGridlines/>
        <c:numFmt formatCode="0" sourceLinked="1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28803968"/>
        <c:crosses val="autoZero"/>
        <c:crossBetween val="between"/>
        <c:majorUnit val="20"/>
      </c:valAx>
    </c:plotArea>
    <c:legend>
      <c:legendPos val="b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kalnicka3601</dc:creator>
  <cp:keywords/>
  <dc:description/>
  <cp:lastModifiedBy>Vladimíra Kalnická</cp:lastModifiedBy>
  <cp:revision>8</cp:revision>
  <cp:lastPrinted>2014-02-14T11:50:00Z</cp:lastPrinted>
  <dcterms:created xsi:type="dcterms:W3CDTF">2013-03-18T13:00:00Z</dcterms:created>
  <dcterms:modified xsi:type="dcterms:W3CDTF">2014-03-17T07:29:00Z</dcterms:modified>
</cp:coreProperties>
</file>