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E096E" w14:textId="77777777" w:rsidR="000C004E" w:rsidRDefault="000C004E" w:rsidP="000C004E">
      <w:pPr>
        <w:pStyle w:val="Nadpis1"/>
      </w:pPr>
      <w:bookmarkStart w:id="0" w:name="_Toc200969290"/>
      <w:bookmarkStart w:id="1" w:name="_Toc176767109"/>
      <w:r>
        <w:t>3. Výkonnost odvětví</w:t>
      </w:r>
      <w:bookmarkEnd w:id="0"/>
    </w:p>
    <w:tbl>
      <w:tblPr>
        <w:tblW w:w="9646" w:type="dxa"/>
        <w:tblInd w:w="-20" w:type="dxa"/>
        <w:tblCellMar>
          <w:left w:w="0" w:type="dxa"/>
          <w:right w:w="0" w:type="dxa"/>
        </w:tblCellMar>
        <w:tblLook w:val="00A0" w:firstRow="1" w:lastRow="0" w:firstColumn="1" w:lastColumn="0" w:noHBand="0" w:noVBand="0"/>
      </w:tblPr>
      <w:tblGrid>
        <w:gridCol w:w="1733"/>
        <w:gridCol w:w="192"/>
        <w:gridCol w:w="7721"/>
      </w:tblGrid>
      <w:tr w:rsidR="000C004E" w14:paraId="02B75550" w14:textId="77777777" w:rsidTr="000C004E">
        <w:trPr>
          <w:trHeight w:val="145"/>
        </w:trPr>
        <w:tc>
          <w:tcPr>
            <w:tcW w:w="1814" w:type="dxa"/>
            <w:hideMark/>
          </w:tcPr>
          <w:p w14:paraId="2FCC8D64" w14:textId="77777777" w:rsidR="000C004E" w:rsidRDefault="000C004E">
            <w:pPr>
              <w:pStyle w:val="Marginlie"/>
              <w:rPr>
                <w:lang w:eastAsia="en-US"/>
              </w:rPr>
            </w:pPr>
            <w:r>
              <w:rPr>
                <w:lang w:eastAsia="en-US"/>
              </w:rPr>
              <w:t>Mezikvartální růst celkové hrubé přidané hodnoty na počátku roku zrychlil, a to hlavně díky energetice a většině odvětví služeb.</w:t>
            </w:r>
          </w:p>
        </w:tc>
        <w:tc>
          <w:tcPr>
            <w:tcW w:w="201" w:type="dxa"/>
          </w:tcPr>
          <w:p w14:paraId="5558F34B" w14:textId="77777777" w:rsidR="000C004E" w:rsidRDefault="000C004E">
            <w:pPr>
              <w:pStyle w:val="Textpoznpodarou"/>
              <w:jc w:val="both"/>
              <w:rPr>
                <w:spacing w:val="-4"/>
                <w:lang w:eastAsia="en-US"/>
              </w:rPr>
            </w:pPr>
          </w:p>
        </w:tc>
        <w:tc>
          <w:tcPr>
            <w:tcW w:w="7722" w:type="dxa"/>
            <w:hideMark/>
          </w:tcPr>
          <w:p w14:paraId="507A6667" w14:textId="77777777" w:rsidR="000C004E" w:rsidRDefault="000C004E">
            <w:pPr>
              <w:rPr>
                <w:spacing w:val="-2"/>
                <w:lang w:eastAsia="en-US"/>
              </w:rPr>
            </w:pPr>
            <w:r>
              <w:rPr>
                <w:spacing w:val="-2"/>
                <w:lang w:eastAsia="en-US"/>
              </w:rPr>
              <w:t>Počátek letošního roku se nesl ve znamení dalšího pokračování zotavování tuzemského hospodářství. Výkon všech odvětví ekonomiky, zachycený prostřednictvím hrubé přidané hodnoty (HPH)</w:t>
            </w:r>
            <w:r>
              <w:rPr>
                <w:rStyle w:val="Znakapoznpodarou"/>
                <w:color w:val="0D0D0D" w:themeColor="text1" w:themeTint="F2"/>
                <w:spacing w:val="-5"/>
                <w:lang w:eastAsia="en-US"/>
              </w:rPr>
              <w:footnoteReference w:id="1"/>
            </w:r>
            <w:r>
              <w:rPr>
                <w:spacing w:val="-2"/>
                <w:lang w:eastAsia="en-US"/>
              </w:rPr>
              <w:t xml:space="preserve">, se po slabším závěru loňského roku letos mezikvartálně zvýšil o 1,3 %, tedy nejvíce za poslední tři a půl roku. Na tomto oživení se podílela většina odvětví služeb a významně také energetika, v níž se projevila vyšší tuzemská poptávka vlivem relativně chladnějšího počasí i ústupů některých koncových odběratelů od dalších úsporných opatření ve spotřebě. Naproti tomu ve dvou nejvýznamnějších odvětvových </w:t>
            </w:r>
            <w:r>
              <w:rPr>
                <w:spacing w:val="-2"/>
                <w:lang w:eastAsia="en-US"/>
              </w:rPr>
              <w:br/>
              <w:t>uskupeních</w:t>
            </w:r>
            <w:r>
              <w:rPr>
                <w:rStyle w:val="Znakapoznpodarou"/>
                <w:spacing w:val="-2"/>
                <w:lang w:eastAsia="en-US"/>
              </w:rPr>
              <w:footnoteReference w:id="2"/>
            </w:r>
            <w:r>
              <w:rPr>
                <w:spacing w:val="-2"/>
                <w:lang w:eastAsia="en-US"/>
              </w:rPr>
              <w:t xml:space="preserve"> – </w:t>
            </w:r>
            <w:r>
              <w:rPr>
                <w:spacing w:val="-5"/>
                <w:lang w:eastAsia="en-US"/>
              </w:rPr>
              <w:t>obchodu, dopravě, ubytování a pohostinství a též ve zpracovatelském průmyslu mezičtvrtletní</w:t>
            </w:r>
            <w:r>
              <w:rPr>
                <w:spacing w:val="-2"/>
                <w:lang w:eastAsia="en-US"/>
              </w:rPr>
              <w:t xml:space="preserve"> růst HPH nepokračoval. </w:t>
            </w:r>
            <w:r>
              <w:rPr>
                <w:color w:val="0D0D0D" w:themeColor="text1" w:themeTint="F2"/>
                <w:spacing w:val="-2"/>
                <w:lang w:eastAsia="en-US"/>
              </w:rPr>
              <w:t>Celkový</w:t>
            </w:r>
            <w:r>
              <w:rPr>
                <w:color w:val="0D0D0D" w:themeColor="text1" w:themeTint="F2"/>
                <w:lang w:eastAsia="en-US"/>
              </w:rPr>
              <w:t xml:space="preserve"> výkon odvětví v ekonomice se tak letos nacházel o 3 % nad vrcholem z období poslední konjunktury (4. čtvrtletí 2019), takřka výhradně ovšem zásluhou služeb (zejména ICT a finančnictví)</w:t>
            </w:r>
            <w:r>
              <w:rPr>
                <w:rStyle w:val="Znakapoznpodarou"/>
                <w:color w:val="0D0D0D" w:themeColor="text1" w:themeTint="F2"/>
                <w:lang w:eastAsia="en-US"/>
              </w:rPr>
              <w:footnoteReference w:id="3"/>
            </w:r>
            <w:r>
              <w:rPr>
                <w:color w:val="0D0D0D" w:themeColor="text1" w:themeTint="F2"/>
                <w:lang w:eastAsia="en-US"/>
              </w:rPr>
              <w:t>.</w:t>
            </w:r>
          </w:p>
        </w:tc>
      </w:tr>
      <w:tr w:rsidR="000C004E" w14:paraId="2C7AB249" w14:textId="77777777" w:rsidTr="000C004E">
        <w:trPr>
          <w:trHeight w:val="145"/>
        </w:trPr>
        <w:tc>
          <w:tcPr>
            <w:tcW w:w="1814" w:type="dxa"/>
            <w:hideMark/>
          </w:tcPr>
          <w:p w14:paraId="4E509403" w14:textId="77777777" w:rsidR="000C004E" w:rsidRDefault="000C004E">
            <w:pPr>
              <w:pStyle w:val="Marginlie"/>
              <w:rPr>
                <w:lang w:eastAsia="en-US"/>
              </w:rPr>
            </w:pPr>
            <w:r>
              <w:rPr>
                <w:lang w:eastAsia="en-US"/>
              </w:rPr>
              <w:t>I meziroční růst HPH byl podpořen hlavně službami. Pozitivní vliv měla ovšem všechna hlavní odvětví ekonomiky. K oživení došlo ve stavebnictví.</w:t>
            </w:r>
          </w:p>
        </w:tc>
        <w:tc>
          <w:tcPr>
            <w:tcW w:w="201" w:type="dxa"/>
          </w:tcPr>
          <w:p w14:paraId="044B088B" w14:textId="77777777" w:rsidR="000C004E" w:rsidRDefault="000C004E">
            <w:pPr>
              <w:pStyle w:val="Textpoznpodarou"/>
              <w:jc w:val="both"/>
              <w:rPr>
                <w:spacing w:val="-4"/>
                <w:lang w:eastAsia="en-US"/>
              </w:rPr>
            </w:pPr>
          </w:p>
        </w:tc>
        <w:tc>
          <w:tcPr>
            <w:tcW w:w="7722" w:type="dxa"/>
            <w:hideMark/>
          </w:tcPr>
          <w:p w14:paraId="4D93719F" w14:textId="77777777" w:rsidR="000C004E" w:rsidRDefault="000C004E">
            <w:pPr>
              <w:rPr>
                <w:spacing w:val="-1"/>
                <w:lang w:eastAsia="en-US"/>
              </w:rPr>
            </w:pPr>
            <w:r>
              <w:rPr>
                <w:spacing w:val="-2"/>
                <w:lang w:eastAsia="en-US"/>
              </w:rPr>
              <w:t>Meziroční růst HPH v ekonomice přetrvával již od poloviny loňského roku a v 1. čtvrtletí 2025 akceleroval na 2,5 %. Přestože stejně jako loni rostl relativně nejvíce výkon ve finančnictví, k celkovému růstu na nabídkové straně ekonomiky přispěly nejvíce obchod spolu s odvětvími navázanými na cestovní ruch. Poprvé od poloviny roku 2015 podpořila růst ekonomiky všechna z jedenácti jejich hlavních odvětví. Klíčovou roli měl sektor služeb, kde se HPH zvýšila o rovná 3 % a růst celé ekonomiky podpořila 1,9  p. b. Řádově méně přispěly zpracovatelský průmysl, ostatní průmyslová odvětví a také stavebnictví (ve všech případech shodně +0,2 p. b.). Ve stavebnictví, kde k náznaku pozitivního obratu došlo již během loňského roku, se HPH v 1. čtvrtletí zvýšila o 3,4 %, což znamenalo nejvyšší meziroční posílení od konce roku 2014. Slabší růst výkonu zaznamenal primární sektor ekonomiky.</w:t>
            </w:r>
            <w:r>
              <w:rPr>
                <w:lang w:eastAsia="en-US"/>
              </w:rPr>
              <w:t xml:space="preserve"> V lesnictví pokračoval po ústupu kůrovcové kalamity návrat ke standardnímu </w:t>
            </w:r>
            <w:r>
              <w:rPr>
                <w:spacing w:val="-2"/>
                <w:lang w:eastAsia="en-US"/>
              </w:rPr>
              <w:t>režimu hospodaření, jež se vyznačuje stabilnějším vývojem těžby dřeva. V rostlinné výrobě</w:t>
            </w:r>
            <w:r>
              <w:rPr>
                <w:lang w:eastAsia="en-US"/>
              </w:rPr>
              <w:t xml:space="preserve"> dozníval vliv slabší loňské sklizně základních obilovin i řepky. V živočišné výrobě </w:t>
            </w:r>
            <w:r>
              <w:rPr>
                <w:rStyle w:val="normaltextrun"/>
                <w:rFonts w:eastAsia="MS Gothic" w:cs="Arial"/>
                <w:szCs w:val="20"/>
                <w:lang w:eastAsia="en-US"/>
              </w:rPr>
              <w:t>i přes pokračující citelné cenové pohyby hlavních komodit (z</w:t>
            </w:r>
            <w:r>
              <w:rPr>
                <w:rStyle w:val="normaltextrun"/>
                <w:rFonts w:eastAsia="MS Gothic" w:cs="Arial"/>
                <w:lang w:eastAsia="en-US"/>
              </w:rPr>
              <w:t>ejména hovězího a vepřového masa) i</w:t>
            </w:r>
            <w:r>
              <w:rPr>
                <w:lang w:eastAsia="en-US"/>
              </w:rPr>
              <w:t> </w:t>
            </w:r>
            <w:r>
              <w:rPr>
                <w:rStyle w:val="normaltextrun"/>
                <w:rFonts w:eastAsia="MS Gothic" w:cs="Arial"/>
                <w:szCs w:val="20"/>
                <w:lang w:eastAsia="en-US"/>
              </w:rPr>
              <w:t>rostoucí hygienická rizika zůstala situace tuzemských producentů stabilizovaná</w:t>
            </w:r>
            <w:r>
              <w:rPr>
                <w:rStyle w:val="Znakapoznpodarou"/>
                <w:rFonts w:eastAsia="MS Gothic"/>
                <w:szCs w:val="20"/>
                <w:lang w:eastAsia="en-US"/>
              </w:rPr>
              <w:footnoteReference w:id="4"/>
            </w:r>
            <w:r>
              <w:rPr>
                <w:rStyle w:val="normaltextrun"/>
                <w:rFonts w:eastAsia="MS Gothic" w:cs="Arial"/>
                <w:szCs w:val="20"/>
                <w:lang w:eastAsia="en-US"/>
              </w:rPr>
              <w:t>.</w:t>
            </w:r>
          </w:p>
        </w:tc>
      </w:tr>
      <w:tr w:rsidR="000C004E" w14:paraId="12E59EBF" w14:textId="77777777" w:rsidTr="000C004E">
        <w:trPr>
          <w:trHeight w:val="145"/>
        </w:trPr>
        <w:tc>
          <w:tcPr>
            <w:tcW w:w="1814" w:type="dxa"/>
          </w:tcPr>
          <w:p w14:paraId="7A1665F8" w14:textId="77777777" w:rsidR="000C004E" w:rsidRDefault="000C004E">
            <w:pPr>
              <w:pStyle w:val="Marginlie"/>
              <w:spacing w:after="240"/>
              <w:rPr>
                <w:color w:val="0D0D0D" w:themeColor="text1" w:themeTint="F2"/>
                <w:spacing w:val="-4"/>
                <w:lang w:eastAsia="en-US"/>
              </w:rPr>
            </w:pPr>
            <w:r>
              <w:rPr>
                <w:color w:val="0D0D0D" w:themeColor="text1" w:themeTint="F2"/>
                <w:spacing w:val="-4"/>
                <w:lang w:eastAsia="en-US"/>
              </w:rPr>
              <w:t>Průmysl na počátku roku mírně ožil, zejména díky energetice a strojírenství. Nadále však čelil obtížím spojeným se slabou poptávkou a rostoucím rizikem vnějších šoků.</w:t>
            </w:r>
          </w:p>
          <w:p w14:paraId="4852D7ED" w14:textId="77777777" w:rsidR="000C004E" w:rsidRDefault="000C004E">
            <w:pPr>
              <w:pStyle w:val="Marginlie"/>
              <w:spacing w:after="240"/>
              <w:rPr>
                <w:color w:val="0D0D0D" w:themeColor="text1" w:themeTint="F2"/>
                <w:spacing w:val="-4"/>
                <w:lang w:eastAsia="en-US"/>
              </w:rPr>
            </w:pPr>
          </w:p>
        </w:tc>
        <w:tc>
          <w:tcPr>
            <w:tcW w:w="201" w:type="dxa"/>
          </w:tcPr>
          <w:p w14:paraId="2D326A41" w14:textId="77777777" w:rsidR="000C004E" w:rsidRDefault="000C004E">
            <w:pPr>
              <w:pStyle w:val="Textpoznpodarou"/>
              <w:spacing w:after="240"/>
              <w:jc w:val="both"/>
              <w:rPr>
                <w:spacing w:val="-4"/>
                <w:lang w:eastAsia="en-US"/>
              </w:rPr>
            </w:pPr>
          </w:p>
        </w:tc>
        <w:tc>
          <w:tcPr>
            <w:tcW w:w="7722" w:type="dxa"/>
            <w:hideMark/>
          </w:tcPr>
          <w:p w14:paraId="0222FA36" w14:textId="77777777" w:rsidR="000C004E" w:rsidRDefault="000C004E">
            <w:pPr>
              <w:spacing w:after="200"/>
              <w:rPr>
                <w:color w:val="0D0D0D" w:themeColor="text1" w:themeTint="F2"/>
                <w:spacing w:val="-5"/>
                <w:lang w:eastAsia="en-US"/>
              </w:rPr>
            </w:pPr>
            <w:r>
              <w:rPr>
                <w:color w:val="0D0D0D" w:themeColor="text1" w:themeTint="F2"/>
                <w:spacing w:val="-5"/>
                <w:lang w:eastAsia="en-US"/>
              </w:rPr>
              <w:t xml:space="preserve">Tuzemský průmysl, jenž byl v předchozích dvou letech zasažen mírnou recesí, se i na počátku letošního roku nacházel v obtížné situaci. Hospodářský růst české ekonomiky i jejich klíčových obchodních partnerů zůstával slabý a byl navíc doprovázený vzrůstajícími nejistotami a riziky plynoucí ze zhoršené geopolitické situace i možné eskalace obchodních válek. Tyto faktory se v tuzemské ekonomice potkávaly se stále oslabenou investiční aktivitou umocněnou přetrvávajícími ztíženými možnostmi úvěrového financování. Na druhou stranu v oblasti nákladových tlaků došlo k dílčí úlevě vlivem stabilizace i následného poklesu cen </w:t>
            </w:r>
            <w:r>
              <w:rPr>
                <w:color w:val="0D0D0D" w:themeColor="text1" w:themeTint="F2"/>
                <w:spacing w:val="-5"/>
                <w:lang w:eastAsia="en-US"/>
              </w:rPr>
              <w:lastRenderedPageBreak/>
              <w:t>některých druhů energií (vč. světových cen ropy). Průmyslová produkce</w:t>
            </w:r>
            <w:r>
              <w:rPr>
                <w:rStyle w:val="Znakapoznpodarou"/>
                <w:color w:val="0D0D0D" w:themeColor="text1" w:themeTint="F2"/>
                <w:spacing w:val="-5"/>
                <w:lang w:eastAsia="en-US"/>
              </w:rPr>
              <w:footnoteReference w:id="5"/>
            </w:r>
            <w:r>
              <w:rPr>
                <w:color w:val="0D0D0D" w:themeColor="text1" w:themeTint="F2"/>
                <w:spacing w:val="-5"/>
                <w:lang w:eastAsia="en-US"/>
              </w:rPr>
              <w:t xml:space="preserve"> v Česku se na počátku letošního roku mezikvartálně zvýšila o 1,5 % a zaznamenala tak nejvýraznější oživení od konce roku 2023. Přispěla k tomu zejména energetika, strojírenství a některé významnější obory zaměřené na výrobu meziproduktů (elektrotechnika, hutnictví a slévárenství, výroba stavebních materiálů). Proti oživení průmyslu naopak působila hlavně výroba dopravních prostředků. Růstový impuls aktuálně nepřinesl např. ani chemický průmysl, v němž za nižší produkcí stálo i postupné snižování výrobních kapacit. Celková průmyslová produkce tak letos v 1. čtvrtletí za svým vrcholem z období předpandemické konjunktury (2. čtvrtletí 2019) mírně zaostala (o</w:t>
            </w:r>
            <w:r>
              <w:rPr>
                <w:spacing w:val="-5"/>
                <w:lang w:eastAsia="en-US"/>
              </w:rPr>
              <w:t> </w:t>
            </w:r>
            <w:r>
              <w:rPr>
                <w:color w:val="0D0D0D" w:themeColor="text1" w:themeTint="F2"/>
                <w:spacing w:val="-5"/>
                <w:lang w:eastAsia="en-US"/>
              </w:rPr>
              <w:t>1,4 %)</w:t>
            </w:r>
            <w:r>
              <w:rPr>
                <w:rStyle w:val="Znakapoznpodarou"/>
                <w:color w:val="0D0D0D" w:themeColor="text1" w:themeTint="F2"/>
                <w:spacing w:val="-5"/>
                <w:lang w:eastAsia="en-US"/>
              </w:rPr>
              <w:footnoteReference w:id="6"/>
            </w:r>
            <w:r>
              <w:rPr>
                <w:color w:val="0D0D0D" w:themeColor="text1" w:themeTint="F2"/>
                <w:spacing w:val="-5"/>
                <w:lang w:eastAsia="en-US"/>
              </w:rPr>
              <w:t>.</w:t>
            </w:r>
          </w:p>
        </w:tc>
      </w:tr>
      <w:tr w:rsidR="000C004E" w14:paraId="2F41B5D8" w14:textId="77777777" w:rsidTr="000C004E">
        <w:trPr>
          <w:trHeight w:val="145"/>
        </w:trPr>
        <w:tc>
          <w:tcPr>
            <w:tcW w:w="1814" w:type="dxa"/>
            <w:hideMark/>
          </w:tcPr>
          <w:p w14:paraId="0E07B08D" w14:textId="77777777" w:rsidR="000C004E" w:rsidRDefault="000C004E">
            <w:pPr>
              <w:pStyle w:val="Marginlie"/>
              <w:spacing w:after="240"/>
              <w:rPr>
                <w:color w:val="0D0D0D" w:themeColor="text1" w:themeTint="F2"/>
                <w:spacing w:val="-4"/>
                <w:lang w:eastAsia="en-US"/>
              </w:rPr>
            </w:pPr>
            <w:r>
              <w:rPr>
                <w:color w:val="0D0D0D" w:themeColor="text1" w:themeTint="F2"/>
                <w:spacing w:val="-4"/>
                <w:lang w:eastAsia="en-US"/>
              </w:rPr>
              <w:lastRenderedPageBreak/>
              <w:t>K velmi mírnému meziročnímu růstu průmyslové produkce zásadně přispěla energetika těžící z rostoucí domácí i zahraniční poptávky.</w:t>
            </w:r>
          </w:p>
        </w:tc>
        <w:tc>
          <w:tcPr>
            <w:tcW w:w="201" w:type="dxa"/>
          </w:tcPr>
          <w:p w14:paraId="580CCD50" w14:textId="77777777" w:rsidR="000C004E" w:rsidRDefault="000C004E">
            <w:pPr>
              <w:pStyle w:val="Textpoznpodarou"/>
              <w:spacing w:after="240"/>
              <w:jc w:val="both"/>
              <w:rPr>
                <w:spacing w:val="-4"/>
                <w:lang w:eastAsia="en-US"/>
              </w:rPr>
            </w:pPr>
          </w:p>
        </w:tc>
        <w:tc>
          <w:tcPr>
            <w:tcW w:w="7722" w:type="dxa"/>
            <w:hideMark/>
          </w:tcPr>
          <w:p w14:paraId="7E2D69D3" w14:textId="77777777" w:rsidR="000C004E" w:rsidRDefault="000C004E">
            <w:pPr>
              <w:spacing w:after="200"/>
              <w:rPr>
                <w:color w:val="0D0D0D" w:themeColor="text1" w:themeTint="F2"/>
                <w:spacing w:val="-5"/>
                <w:lang w:eastAsia="en-US"/>
              </w:rPr>
            </w:pPr>
            <w:r>
              <w:rPr>
                <w:color w:val="0D0D0D" w:themeColor="text1" w:themeTint="F2"/>
                <w:spacing w:val="-5"/>
                <w:lang w:eastAsia="en-US"/>
              </w:rPr>
              <w:t>V 1. čtvrtletí 2025 se průmyslová produkce meziročně velmi mírně zvýšila (+0,7 %). O kladný výsledek průmyslu se zásadně zasloužila energetika, jejíž výkon vzrostl o 10,4 % (nejvíce od počátku roku 2003) a k růstu celého průmyslu přispěl 1,0 p. b. Rostla výroba i spotřeba elektřiny</w:t>
            </w:r>
            <w:r>
              <w:rPr>
                <w:rStyle w:val="Znakapoznpodarou"/>
                <w:color w:val="0D0D0D" w:themeColor="text1" w:themeTint="F2"/>
                <w:spacing w:val="-5"/>
                <w:lang w:eastAsia="en-US"/>
              </w:rPr>
              <w:footnoteReference w:id="7"/>
            </w:r>
            <w:r>
              <w:rPr>
                <w:color w:val="0D0D0D" w:themeColor="text1" w:themeTint="F2"/>
                <w:spacing w:val="-5"/>
                <w:lang w:eastAsia="en-US"/>
              </w:rPr>
              <w:t>, plynu</w:t>
            </w:r>
            <w:r>
              <w:rPr>
                <w:rStyle w:val="Znakapoznpodarou"/>
                <w:color w:val="0D0D0D" w:themeColor="text1" w:themeTint="F2"/>
                <w:spacing w:val="-5"/>
                <w:lang w:eastAsia="en-US"/>
              </w:rPr>
              <w:footnoteReference w:id="8"/>
            </w:r>
            <w:r>
              <w:rPr>
                <w:color w:val="0D0D0D" w:themeColor="text1" w:themeTint="F2"/>
                <w:spacing w:val="-5"/>
                <w:lang w:eastAsia="en-US"/>
              </w:rPr>
              <w:t xml:space="preserve"> i tepla. To souvisí zejména s tím, že počátek letošního roku nebyl teplotně natolik nadprůměrný jako ten loňský. Vliv ale mělo i to, že efekt nedávných úsporných opatření v domácnostech i firmách se již patrně vyčerpává. Motivace k úsporám patrně klesá i vlivem stabilizace a následného zlevňování cen energií, jež bylo znatelnější hlavně u zemního plynu. Do vyšší spotřeby se promítá i loňské obnovení růstu reálných příjmů domácností, jakož i mírné oživení celkového výkonu ekonomiky doprovázené stabilizací poptávky v některých energeticky náročných průmyslových oborech. </w:t>
            </w:r>
          </w:p>
        </w:tc>
      </w:tr>
      <w:tr w:rsidR="000C004E" w14:paraId="10C12973" w14:textId="77777777" w:rsidTr="000C004E">
        <w:trPr>
          <w:trHeight w:val="145"/>
        </w:trPr>
        <w:tc>
          <w:tcPr>
            <w:tcW w:w="1814" w:type="dxa"/>
          </w:tcPr>
          <w:p w14:paraId="06E9F26B" w14:textId="77777777" w:rsidR="000C004E" w:rsidRDefault="000C004E">
            <w:pPr>
              <w:pStyle w:val="Marginlie"/>
              <w:rPr>
                <w:color w:val="0D0D0D" w:themeColor="text1" w:themeTint="F2"/>
                <w:spacing w:val="-4"/>
                <w:lang w:eastAsia="en-US"/>
              </w:rPr>
            </w:pPr>
            <w:r>
              <w:rPr>
                <w:color w:val="0D0D0D" w:themeColor="text1" w:themeTint="F2"/>
                <w:spacing w:val="-4"/>
                <w:lang w:eastAsia="en-US"/>
              </w:rPr>
              <w:t>Domácí poptávka podpořila oživení výkonu strojírenství. Kovodělný průmysl dále těžil z rychle rostoucí poptávky v segmentu zbrojní výroby.</w:t>
            </w:r>
          </w:p>
          <w:p w14:paraId="5805A945" w14:textId="77777777" w:rsidR="000C004E" w:rsidRDefault="000C004E">
            <w:pPr>
              <w:pStyle w:val="Marginlie"/>
              <w:rPr>
                <w:color w:val="0D0D0D" w:themeColor="text1" w:themeTint="F2"/>
                <w:spacing w:val="-4"/>
                <w:lang w:eastAsia="en-US"/>
              </w:rPr>
            </w:pPr>
          </w:p>
          <w:p w14:paraId="6C3B90F5" w14:textId="77777777" w:rsidR="000C004E" w:rsidRDefault="000C004E">
            <w:pPr>
              <w:pStyle w:val="Marginlie"/>
              <w:rPr>
                <w:color w:val="0D0D0D" w:themeColor="text1" w:themeTint="F2"/>
                <w:spacing w:val="-4"/>
                <w:lang w:eastAsia="en-US"/>
              </w:rPr>
            </w:pPr>
          </w:p>
          <w:p w14:paraId="4434FF7D" w14:textId="77777777" w:rsidR="000C004E" w:rsidRDefault="000C004E">
            <w:pPr>
              <w:pStyle w:val="Marginlie"/>
              <w:rPr>
                <w:color w:val="0D0D0D" w:themeColor="text1" w:themeTint="F2"/>
                <w:spacing w:val="-4"/>
                <w:lang w:eastAsia="en-US"/>
              </w:rPr>
            </w:pPr>
          </w:p>
          <w:p w14:paraId="403A3B3F" w14:textId="77777777" w:rsidR="000C004E" w:rsidRDefault="000C004E">
            <w:pPr>
              <w:pStyle w:val="Marginlie"/>
              <w:rPr>
                <w:color w:val="0D0D0D" w:themeColor="text1" w:themeTint="F2"/>
                <w:spacing w:val="-4"/>
                <w:lang w:eastAsia="en-US"/>
              </w:rPr>
            </w:pPr>
          </w:p>
          <w:p w14:paraId="14FFBBC0" w14:textId="77777777" w:rsidR="000C004E" w:rsidRDefault="000C004E">
            <w:pPr>
              <w:pStyle w:val="Marginlie"/>
              <w:rPr>
                <w:color w:val="0D0D0D" w:themeColor="text1" w:themeTint="F2"/>
                <w:spacing w:val="-4"/>
                <w:lang w:eastAsia="en-US"/>
              </w:rPr>
            </w:pPr>
          </w:p>
          <w:p w14:paraId="31D282C0" w14:textId="77777777" w:rsidR="000C004E" w:rsidRDefault="000C004E">
            <w:pPr>
              <w:pStyle w:val="Marginlie"/>
              <w:rPr>
                <w:color w:val="0D0D0D" w:themeColor="text1" w:themeTint="F2"/>
                <w:spacing w:val="-4"/>
                <w:lang w:eastAsia="en-US"/>
              </w:rPr>
            </w:pPr>
          </w:p>
          <w:p w14:paraId="73EEDCF5" w14:textId="77777777" w:rsidR="000C004E" w:rsidRDefault="000C004E">
            <w:pPr>
              <w:pStyle w:val="Marginlie"/>
              <w:rPr>
                <w:color w:val="0D0D0D" w:themeColor="text1" w:themeTint="F2"/>
                <w:spacing w:val="-4"/>
                <w:lang w:eastAsia="en-US"/>
              </w:rPr>
            </w:pPr>
          </w:p>
          <w:p w14:paraId="2D9FA1B6" w14:textId="77777777" w:rsidR="000C004E" w:rsidRDefault="000C004E">
            <w:pPr>
              <w:pStyle w:val="Marginlie"/>
              <w:rPr>
                <w:color w:val="0D0D0D" w:themeColor="text1" w:themeTint="F2"/>
                <w:spacing w:val="-4"/>
                <w:lang w:eastAsia="en-US"/>
              </w:rPr>
            </w:pPr>
          </w:p>
          <w:p w14:paraId="600B7C96" w14:textId="77777777" w:rsidR="000C004E" w:rsidRDefault="000C004E">
            <w:pPr>
              <w:pStyle w:val="Marginlie"/>
              <w:rPr>
                <w:color w:val="0D0D0D" w:themeColor="text1" w:themeTint="F2"/>
                <w:spacing w:val="-4"/>
                <w:lang w:eastAsia="en-US"/>
              </w:rPr>
            </w:pPr>
          </w:p>
          <w:p w14:paraId="33B76C8C" w14:textId="77777777" w:rsidR="000C004E" w:rsidRDefault="000C004E">
            <w:pPr>
              <w:pStyle w:val="Marginlie"/>
              <w:rPr>
                <w:color w:val="0D0D0D" w:themeColor="text1" w:themeTint="F2"/>
                <w:spacing w:val="-4"/>
                <w:lang w:eastAsia="en-US"/>
              </w:rPr>
            </w:pPr>
          </w:p>
          <w:p w14:paraId="1ECBF979" w14:textId="77777777" w:rsidR="000C004E" w:rsidRDefault="000C004E">
            <w:pPr>
              <w:pStyle w:val="Marginlie"/>
              <w:spacing w:after="240"/>
              <w:rPr>
                <w:color w:val="0D0D0D" w:themeColor="text1" w:themeTint="F2"/>
                <w:spacing w:val="-4"/>
                <w:lang w:eastAsia="en-US"/>
              </w:rPr>
            </w:pPr>
            <w:r>
              <w:rPr>
                <w:color w:val="0D0D0D" w:themeColor="text1" w:themeTint="F2"/>
                <w:spacing w:val="-4"/>
                <w:lang w:eastAsia="en-US"/>
              </w:rPr>
              <w:lastRenderedPageBreak/>
              <w:t>Růst kupní síly domácností se odrážel v pokračujícím rozvoji potravinářství.</w:t>
            </w:r>
          </w:p>
        </w:tc>
        <w:tc>
          <w:tcPr>
            <w:tcW w:w="201" w:type="dxa"/>
          </w:tcPr>
          <w:p w14:paraId="122E5CCB" w14:textId="77777777" w:rsidR="000C004E" w:rsidRDefault="000C004E">
            <w:pPr>
              <w:pStyle w:val="Textpoznpodarou"/>
              <w:spacing w:after="240"/>
              <w:jc w:val="both"/>
              <w:rPr>
                <w:spacing w:val="-4"/>
                <w:lang w:eastAsia="en-US"/>
              </w:rPr>
            </w:pPr>
          </w:p>
        </w:tc>
        <w:tc>
          <w:tcPr>
            <w:tcW w:w="7722" w:type="dxa"/>
            <w:hideMark/>
          </w:tcPr>
          <w:p w14:paraId="17AA9650" w14:textId="77777777" w:rsidR="000C004E" w:rsidRDefault="000C004E">
            <w:pPr>
              <w:spacing w:after="0"/>
              <w:rPr>
                <w:color w:val="0D0D0D" w:themeColor="text1" w:themeTint="F2"/>
                <w:spacing w:val="-5"/>
                <w:lang w:eastAsia="en-US"/>
              </w:rPr>
            </w:pPr>
            <w:r>
              <w:rPr>
                <w:color w:val="0D0D0D" w:themeColor="text1" w:themeTint="F2"/>
                <w:spacing w:val="-5"/>
                <w:lang w:eastAsia="en-US"/>
              </w:rPr>
              <w:t xml:space="preserve">Průmyslu letos pomohlo i zlepšení situace ve váhově významném diverzifikovaném oboru strojírenství, v němž se produkce meziročně zvýšila poprvé po bezmála dvou letech (+1,0 %). Pomohlo k tomu zejména oživení domácí poptávky, jež byla po celý loňský rok utlumena. K oživení došlo i v souvisejícím oboru opravy a instalace strojů a zařízení, kde i díky </w:t>
            </w:r>
            <w:r>
              <w:rPr>
                <w:color w:val="0D0D0D" w:themeColor="text1" w:themeTint="F2"/>
                <w:spacing w:val="-2"/>
                <w:lang w:eastAsia="en-US"/>
              </w:rPr>
              <w:t>zakázkám v oblasti energetiky letos produkce posílila o 6,7 % (nejvíce ze všech</w:t>
            </w:r>
            <w:r>
              <w:rPr>
                <w:color w:val="0D0D0D" w:themeColor="text1" w:themeTint="F2"/>
                <w:spacing w:val="-5"/>
                <w:lang w:eastAsia="en-US"/>
              </w:rPr>
              <w:t xml:space="preserve"> zpracovatelských oborů). Oba výše uvedené obory tak souhrnně přispěly k růstu celého průmyslu 0,3 p. b. Z dalších investičně zaměřených oborů působily pozitivně již jen kovodělný průmysl, jenž vykazuje mírný růst produkce od poloviny loňského roku. V 1. čtvrtletí 2025 zde vlivem sílící zahraniční poptávky výkon vzrostl o 0,8 %. Významný růstový impuls zde již několik čtvrtletí představuje „renesance“ zbrojního průmyslu. Mezi obory zaměřené na meziprodukty se letos dařilo hlavně výrobě ostatních nekovových minerálních výrobků (+3,1 %), což souviselo s posílenou domácí poptávkou ze strany rozvíjejícího se stavebnictví. Dařilo se i dlouhodobě se rozvíjejícímu papírenskému průmyslu. K jeho růstu letos, na rozdíl od loňského roku, přispívala spíše oživená tuzemská poptávka.</w:t>
            </w:r>
          </w:p>
          <w:p w14:paraId="0655483E" w14:textId="77777777" w:rsidR="000C004E" w:rsidRDefault="000C004E">
            <w:pPr>
              <w:spacing w:after="200"/>
              <w:rPr>
                <w:color w:val="0D0D0D" w:themeColor="text1" w:themeTint="F2"/>
                <w:spacing w:val="-5"/>
                <w:lang w:eastAsia="en-US"/>
              </w:rPr>
            </w:pPr>
            <w:r>
              <w:rPr>
                <w:color w:val="0D0D0D" w:themeColor="text1" w:themeTint="F2"/>
                <w:spacing w:val="-5"/>
                <w:lang w:eastAsia="en-US"/>
              </w:rPr>
              <w:lastRenderedPageBreak/>
              <w:t>Z oborů vyrábějících spotřební zboží se dařilo potravinářství, jež profitovalo z rostoucí kupní síly tuzemských domácností. Nicméně tempo růstu produkce v tomto oboru ve srovnání s loňským rokem zvolnilo (na 2,8 %). Obdobné platí i pro ostatní zpracovatelský průmysl, zahrnující mj. i výrobu sportovních potřeb, her a hraček. Hlavně díky posilující zahraniční poptávce se zvýšila produkce v nábytkářském průmyslu o 5,4 %.</w:t>
            </w:r>
          </w:p>
        </w:tc>
      </w:tr>
      <w:tr w:rsidR="000C004E" w14:paraId="2869C81E" w14:textId="77777777" w:rsidTr="000C004E">
        <w:trPr>
          <w:trHeight w:val="145"/>
        </w:trPr>
        <w:tc>
          <w:tcPr>
            <w:tcW w:w="1814" w:type="dxa"/>
          </w:tcPr>
          <w:p w14:paraId="5D5FD9B9" w14:textId="77777777" w:rsidR="000C004E" w:rsidRDefault="000C004E">
            <w:pPr>
              <w:pStyle w:val="Marginlie"/>
              <w:rPr>
                <w:color w:val="0D0D0D" w:themeColor="text1" w:themeTint="F2"/>
                <w:spacing w:val="-4"/>
                <w:lang w:eastAsia="en-US"/>
              </w:rPr>
            </w:pPr>
            <w:r>
              <w:rPr>
                <w:color w:val="0D0D0D" w:themeColor="text1" w:themeTint="F2"/>
                <w:spacing w:val="-4"/>
                <w:lang w:eastAsia="en-US"/>
              </w:rPr>
              <w:lastRenderedPageBreak/>
              <w:t>Pokles produkce automobilového průmyslu pokračoval. Stála za tím slabší poptávka v klíčových evropských exportních trzích.</w:t>
            </w:r>
          </w:p>
          <w:p w14:paraId="413069D8" w14:textId="77777777" w:rsidR="000C004E" w:rsidRDefault="000C004E">
            <w:pPr>
              <w:pStyle w:val="Marginlie"/>
              <w:rPr>
                <w:color w:val="0D0D0D" w:themeColor="text1" w:themeTint="F2"/>
                <w:spacing w:val="-4"/>
                <w:lang w:eastAsia="en-US"/>
              </w:rPr>
            </w:pPr>
          </w:p>
          <w:p w14:paraId="795962ED" w14:textId="77777777" w:rsidR="000C004E" w:rsidRDefault="000C004E">
            <w:pPr>
              <w:pStyle w:val="Marginlie"/>
              <w:rPr>
                <w:color w:val="0D0D0D" w:themeColor="text1" w:themeTint="F2"/>
                <w:spacing w:val="-4"/>
                <w:lang w:eastAsia="en-US"/>
              </w:rPr>
            </w:pPr>
          </w:p>
          <w:p w14:paraId="753507AB" w14:textId="77777777" w:rsidR="000C004E" w:rsidRDefault="000C004E">
            <w:pPr>
              <w:pStyle w:val="Marginlie"/>
              <w:rPr>
                <w:color w:val="0D0D0D" w:themeColor="text1" w:themeTint="F2"/>
                <w:spacing w:val="-4"/>
                <w:lang w:eastAsia="en-US"/>
              </w:rPr>
            </w:pPr>
          </w:p>
          <w:p w14:paraId="0E7428C7" w14:textId="77777777" w:rsidR="000C004E" w:rsidRDefault="000C004E">
            <w:pPr>
              <w:pStyle w:val="Marginlie"/>
              <w:rPr>
                <w:color w:val="0D0D0D" w:themeColor="text1" w:themeTint="F2"/>
                <w:spacing w:val="-4"/>
                <w:lang w:eastAsia="en-US"/>
              </w:rPr>
            </w:pPr>
          </w:p>
          <w:p w14:paraId="194D254D" w14:textId="77777777" w:rsidR="000C004E" w:rsidRDefault="000C004E">
            <w:pPr>
              <w:pStyle w:val="Marginlie"/>
              <w:spacing w:after="240"/>
              <w:rPr>
                <w:color w:val="0D0D0D" w:themeColor="text1" w:themeTint="F2"/>
                <w:spacing w:val="-4"/>
                <w:lang w:eastAsia="en-US"/>
              </w:rPr>
            </w:pPr>
            <w:r>
              <w:rPr>
                <w:color w:val="0D0D0D" w:themeColor="text1" w:themeTint="F2"/>
                <w:spacing w:val="-4"/>
                <w:lang w:eastAsia="en-US"/>
              </w:rPr>
              <w:t xml:space="preserve">Pokles výkonu byl patrný i ve výrobě ostatních dopravních prostředků či </w:t>
            </w:r>
            <w:r>
              <w:rPr>
                <w:color w:val="0D0D0D" w:themeColor="text1" w:themeTint="F2"/>
                <w:spacing w:val="-6"/>
                <w:lang w:eastAsia="en-US"/>
              </w:rPr>
              <w:t>v elektronickém průmyslu.</w:t>
            </w:r>
            <w:r>
              <w:rPr>
                <w:color w:val="0D0D0D" w:themeColor="text1" w:themeTint="F2"/>
                <w:spacing w:val="-4"/>
                <w:lang w:eastAsia="en-US"/>
              </w:rPr>
              <w:t xml:space="preserve"> </w:t>
            </w:r>
          </w:p>
        </w:tc>
        <w:tc>
          <w:tcPr>
            <w:tcW w:w="201" w:type="dxa"/>
          </w:tcPr>
          <w:p w14:paraId="3F9CA7A1" w14:textId="77777777" w:rsidR="000C004E" w:rsidRDefault="000C004E">
            <w:pPr>
              <w:pStyle w:val="Textpoznpodarou"/>
              <w:spacing w:after="240"/>
              <w:jc w:val="both"/>
              <w:rPr>
                <w:spacing w:val="-4"/>
                <w:lang w:eastAsia="en-US"/>
              </w:rPr>
            </w:pPr>
          </w:p>
        </w:tc>
        <w:tc>
          <w:tcPr>
            <w:tcW w:w="7722" w:type="dxa"/>
            <w:hideMark/>
          </w:tcPr>
          <w:p w14:paraId="77D7AF37" w14:textId="77777777" w:rsidR="000C004E" w:rsidRDefault="000C004E">
            <w:pPr>
              <w:spacing w:after="200"/>
              <w:rPr>
                <w:color w:val="0D0D0D" w:themeColor="text1" w:themeTint="F2"/>
                <w:spacing w:val="-5"/>
                <w:lang w:eastAsia="en-US"/>
              </w:rPr>
            </w:pPr>
            <w:r>
              <w:rPr>
                <w:color w:val="0D0D0D" w:themeColor="text1" w:themeTint="F2"/>
                <w:spacing w:val="-6"/>
                <w:lang w:eastAsia="en-US"/>
              </w:rPr>
              <w:t>Růst průmyslu v 1. čtvrtletí nejvíce tlumila výroba dopravních prostředků (příspěvek −0,6 p. b.).</w:t>
            </w:r>
            <w:r>
              <w:rPr>
                <w:color w:val="0D0D0D" w:themeColor="text1" w:themeTint="F2"/>
                <w:spacing w:val="-5"/>
                <w:lang w:eastAsia="en-US"/>
              </w:rPr>
              <w:t xml:space="preserve"> Z toho v samotném automobilovém průmyslu se produkce snížila o rovná 2 % (podobně jako za celý loňský rok). Odráží se zde hlavně slábnoucí zahraniční poptávka. Zatímco loňská mírná recese tohoto oboru souvisela se zhoršenou situací přímých tuzemských subdodavatelů autodílů (v rámci odvětví automobilového průmyslu), letos se na ní podíleli i samotní finální výrobci vozidel</w:t>
            </w:r>
            <w:r>
              <w:rPr>
                <w:rStyle w:val="Znakapoznpodarou"/>
                <w:color w:val="0D0D0D" w:themeColor="text1" w:themeTint="F2"/>
                <w:spacing w:val="-5"/>
                <w:lang w:eastAsia="en-US"/>
              </w:rPr>
              <w:footnoteReference w:id="9"/>
            </w:r>
            <w:r>
              <w:rPr>
                <w:color w:val="0D0D0D" w:themeColor="text1" w:themeTint="F2"/>
                <w:spacing w:val="-5"/>
                <w:lang w:eastAsia="en-US"/>
              </w:rPr>
              <w:t xml:space="preserve">. Ve výrobě ostatních (především kolejových) dopravních prostředků se letos produkce propadla o více než desetinu. Produkce v tomto relativně malém oboru má však tradičně volatilní charakter a projevuje se zde dopad nepravidelné fakturace větších zakázek. V návazných subdodavatelských oborech automobilového průmyslu – v gumárenství a plastikářství a také ve výrobě elektrických zařízení – výkon letos (stejně jako po většinu loňského roku) fakticky stagnoval. V investičně zaměřeném oboru výroby počítačů, elektronických a optických přístrojů, vyznačujícím se vysokou dovozní náročností a současně i výrazně proexportním zaměřením, se po příznivém vývoji v předchozích letech letos produkce snížila o 2,1 %. Efekt slábnoucí zahraniční poptávky v tomto oboru zastínil prorůstový vliv domácí poptávky související s pokračujícím rozvojem fotovoltaiky.  </w:t>
            </w:r>
          </w:p>
        </w:tc>
      </w:tr>
      <w:tr w:rsidR="000C004E" w14:paraId="3BDA9391" w14:textId="77777777" w:rsidTr="000C004E">
        <w:trPr>
          <w:trHeight w:val="145"/>
        </w:trPr>
        <w:tc>
          <w:tcPr>
            <w:tcW w:w="1814" w:type="dxa"/>
          </w:tcPr>
          <w:p w14:paraId="7D2EF98A" w14:textId="77777777" w:rsidR="000C004E" w:rsidRDefault="000C004E">
            <w:pPr>
              <w:pStyle w:val="Marginlie"/>
              <w:spacing w:after="240"/>
              <w:rPr>
                <w:color w:val="0D0D0D" w:themeColor="text1" w:themeTint="F2"/>
                <w:spacing w:val="-4"/>
                <w:lang w:eastAsia="en-US"/>
              </w:rPr>
            </w:pPr>
          </w:p>
        </w:tc>
        <w:tc>
          <w:tcPr>
            <w:tcW w:w="201" w:type="dxa"/>
          </w:tcPr>
          <w:p w14:paraId="0E2830C0" w14:textId="77777777" w:rsidR="000C004E" w:rsidRDefault="000C004E">
            <w:pPr>
              <w:pStyle w:val="Textpoznpodarou"/>
              <w:spacing w:after="240"/>
              <w:jc w:val="both"/>
              <w:rPr>
                <w:spacing w:val="-4"/>
                <w:lang w:eastAsia="en-US"/>
              </w:rPr>
            </w:pPr>
          </w:p>
        </w:tc>
        <w:tc>
          <w:tcPr>
            <w:tcW w:w="7722" w:type="dxa"/>
            <w:hideMark/>
          </w:tcPr>
          <w:p w14:paraId="36E2F4EA" w14:textId="77777777" w:rsidR="000C004E" w:rsidRDefault="000C004E">
            <w:pPr>
              <w:spacing w:after="40"/>
              <w:rPr>
                <w:color w:val="0D0D0D" w:themeColor="text1" w:themeTint="F2"/>
                <w:spacing w:val="-5"/>
                <w:lang w:eastAsia="en-US"/>
              </w:rPr>
            </w:pPr>
            <w:r>
              <w:rPr>
                <w:b/>
                <w:color w:val="0D0D0D" w:themeColor="text1" w:themeTint="F2"/>
                <w:spacing w:val="-5"/>
                <w:lang w:eastAsia="en-US"/>
              </w:rPr>
              <w:t>Graf č. 4 Příspěvky dílčích odvětví k meziroční změně průmyslové produkce v ČR</w:t>
            </w:r>
            <w:r>
              <w:rPr>
                <w:color w:val="0D0D0D" w:themeColor="text1" w:themeTint="F2"/>
                <w:spacing w:val="-5"/>
                <w:lang w:eastAsia="en-US"/>
              </w:rPr>
              <w:t xml:space="preserve"> (očištěno o kalendářní vlivy, reálně, v p. b.) </w:t>
            </w:r>
            <w:r>
              <w:rPr>
                <w:b/>
                <w:color w:val="0D0D0D" w:themeColor="text1" w:themeTint="F2"/>
                <w:spacing w:val="-5"/>
                <w:lang w:eastAsia="en-US"/>
              </w:rPr>
              <w:t>a produkce v celém průmyslu v ČR, Německu a EU27</w:t>
            </w:r>
            <w:r>
              <w:rPr>
                <w:i/>
                <w:color w:val="0D0D0D" w:themeColor="text1" w:themeTint="F2"/>
                <w:spacing w:val="-5"/>
                <w:lang w:eastAsia="en-US"/>
              </w:rPr>
              <w:t xml:space="preserve"> </w:t>
            </w:r>
            <w:r>
              <w:rPr>
                <w:color w:val="0D0D0D" w:themeColor="text1" w:themeTint="F2"/>
                <w:spacing w:val="-5"/>
                <w:lang w:eastAsia="en-US"/>
              </w:rPr>
              <w:t>(sezónně očištěno, úroveň roku 2021=100, pravá osa)</w:t>
            </w:r>
          </w:p>
        </w:tc>
      </w:tr>
      <w:tr w:rsidR="000C004E" w14:paraId="2E713D1B" w14:textId="77777777" w:rsidTr="000C004E">
        <w:trPr>
          <w:trHeight w:val="145"/>
        </w:trPr>
        <w:tc>
          <w:tcPr>
            <w:tcW w:w="1814" w:type="dxa"/>
            <w:tcMar>
              <w:top w:w="0" w:type="dxa"/>
              <w:left w:w="70" w:type="dxa"/>
              <w:bottom w:w="0" w:type="dxa"/>
              <w:right w:w="70" w:type="dxa"/>
            </w:tcMar>
          </w:tcPr>
          <w:p w14:paraId="4B5C045B" w14:textId="77777777" w:rsidR="000C004E" w:rsidRDefault="000C004E">
            <w:pPr>
              <w:pStyle w:val="Marginlie"/>
              <w:spacing w:after="240"/>
              <w:rPr>
                <w:color w:val="0D0D0D" w:themeColor="text1" w:themeTint="F2"/>
                <w:spacing w:val="-4"/>
                <w:lang w:eastAsia="en-US"/>
              </w:rPr>
            </w:pPr>
          </w:p>
        </w:tc>
        <w:tc>
          <w:tcPr>
            <w:tcW w:w="201" w:type="dxa"/>
            <w:tcMar>
              <w:top w:w="0" w:type="dxa"/>
              <w:left w:w="70" w:type="dxa"/>
              <w:bottom w:w="0" w:type="dxa"/>
              <w:right w:w="70" w:type="dxa"/>
            </w:tcMar>
          </w:tcPr>
          <w:p w14:paraId="241FF95E" w14:textId="77777777" w:rsidR="000C004E" w:rsidRDefault="000C004E">
            <w:pPr>
              <w:pStyle w:val="Textpoznpodarou"/>
              <w:spacing w:after="240"/>
              <w:jc w:val="both"/>
              <w:rPr>
                <w:spacing w:val="-4"/>
                <w:lang w:eastAsia="en-US"/>
              </w:rPr>
            </w:pPr>
          </w:p>
        </w:tc>
        <w:tc>
          <w:tcPr>
            <w:tcW w:w="7722" w:type="dxa"/>
            <w:tcMar>
              <w:top w:w="0" w:type="dxa"/>
              <w:left w:w="70" w:type="dxa"/>
              <w:bottom w:w="0" w:type="dxa"/>
              <w:right w:w="70" w:type="dxa"/>
            </w:tcMar>
            <w:hideMark/>
          </w:tcPr>
          <w:p w14:paraId="79AE4A9C" w14:textId="0D390D76" w:rsidR="000C004E" w:rsidRDefault="000C004E">
            <w:pPr>
              <w:spacing w:before="40" w:after="40"/>
              <w:rPr>
                <w:color w:val="0D0D0D" w:themeColor="text1" w:themeTint="F2"/>
                <w:spacing w:val="-5"/>
                <w:lang w:eastAsia="en-US"/>
              </w:rPr>
            </w:pPr>
            <w:r>
              <w:rPr>
                <w:noProof/>
              </w:rPr>
              <w:drawing>
                <wp:inline distT="0" distB="0" distL="0" distR="0" wp14:anchorId="53F74FFB" wp14:editId="0FAA2423">
                  <wp:extent cx="4781550" cy="3752850"/>
                  <wp:effectExtent l="0" t="0" r="0" b="0"/>
                  <wp:docPr id="36" name="Graf 36">
                    <a:extLst xmlns:a="http://schemas.openxmlformats.org/drawingml/2006/main">
                      <a:ext uri="{FF2B5EF4-FFF2-40B4-BE49-F238E27FC236}">
                        <a16:creationId xmlns:a16="http://schemas.microsoft.com/office/drawing/2014/main" id="{00000000-0008-0000-06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0C004E" w14:paraId="2412ED53" w14:textId="77777777" w:rsidTr="000C004E">
        <w:trPr>
          <w:trHeight w:val="145"/>
        </w:trPr>
        <w:tc>
          <w:tcPr>
            <w:tcW w:w="1814" w:type="dxa"/>
          </w:tcPr>
          <w:p w14:paraId="49420728" w14:textId="77777777" w:rsidR="000C004E" w:rsidRDefault="000C004E">
            <w:pPr>
              <w:pStyle w:val="Marginlie"/>
              <w:spacing w:after="240"/>
              <w:rPr>
                <w:color w:val="0D0D0D" w:themeColor="text1" w:themeTint="F2"/>
                <w:spacing w:val="-4"/>
                <w:lang w:eastAsia="en-US"/>
              </w:rPr>
            </w:pPr>
          </w:p>
        </w:tc>
        <w:tc>
          <w:tcPr>
            <w:tcW w:w="201" w:type="dxa"/>
          </w:tcPr>
          <w:p w14:paraId="051954EA" w14:textId="77777777" w:rsidR="000C004E" w:rsidRDefault="000C004E">
            <w:pPr>
              <w:pStyle w:val="Textpoznpodarou"/>
              <w:spacing w:after="240"/>
              <w:jc w:val="both"/>
              <w:rPr>
                <w:spacing w:val="-4"/>
                <w:lang w:eastAsia="en-US"/>
              </w:rPr>
            </w:pPr>
          </w:p>
        </w:tc>
        <w:tc>
          <w:tcPr>
            <w:tcW w:w="7722" w:type="dxa"/>
            <w:hideMark/>
          </w:tcPr>
          <w:p w14:paraId="37DB3E25" w14:textId="77777777" w:rsidR="000C004E" w:rsidRDefault="000C004E">
            <w:pPr>
              <w:spacing w:after="0"/>
              <w:rPr>
                <w:color w:val="0D0D0D" w:themeColor="text1" w:themeTint="F2"/>
                <w:spacing w:val="-5"/>
                <w:sz w:val="14"/>
                <w:szCs w:val="14"/>
                <w:lang w:eastAsia="en-US"/>
              </w:rPr>
            </w:pPr>
            <w:r>
              <w:rPr>
                <w:color w:val="0D0D0D" w:themeColor="text1" w:themeTint="F2"/>
                <w:spacing w:val="-5"/>
                <w:sz w:val="14"/>
                <w:szCs w:val="14"/>
                <w:lang w:eastAsia="en-US"/>
              </w:rPr>
              <w:t>*</w:t>
            </w:r>
            <w:r>
              <w:rPr>
                <w:color w:val="0D0D0D" w:themeColor="text1" w:themeTint="F2"/>
                <w:sz w:val="14"/>
                <w:szCs w:val="14"/>
                <w:lang w:eastAsia="en-US"/>
              </w:rPr>
              <w:t>Příspěvek zbývajícího zpracovatelského průmyslu zahrnuje i vliv celkové metodické diskrepance pramenící ze změny vah.</w:t>
            </w:r>
          </w:p>
          <w:p w14:paraId="70EBE090" w14:textId="77777777" w:rsidR="000C004E" w:rsidRDefault="000C004E">
            <w:pPr>
              <w:spacing w:after="0"/>
              <w:jc w:val="right"/>
              <w:rPr>
                <w:color w:val="0D0D0D" w:themeColor="text1" w:themeTint="F2"/>
                <w:spacing w:val="-5"/>
                <w:lang w:eastAsia="en-US"/>
              </w:rPr>
            </w:pPr>
            <w:r>
              <w:rPr>
                <w:color w:val="0D0D0D" w:themeColor="text1" w:themeTint="F2"/>
                <w:spacing w:val="-5"/>
                <w:sz w:val="14"/>
                <w:szCs w:val="14"/>
                <w:lang w:eastAsia="en-US"/>
              </w:rPr>
              <w:t>Zdroj: ČSÚ, Eurostat</w:t>
            </w:r>
          </w:p>
        </w:tc>
      </w:tr>
      <w:tr w:rsidR="000C004E" w14:paraId="6DAA973D" w14:textId="77777777" w:rsidTr="000C004E">
        <w:trPr>
          <w:trHeight w:val="145"/>
        </w:trPr>
        <w:tc>
          <w:tcPr>
            <w:tcW w:w="1814" w:type="dxa"/>
            <w:hideMark/>
          </w:tcPr>
          <w:p w14:paraId="05274A1E" w14:textId="77777777" w:rsidR="000C004E" w:rsidRDefault="000C004E">
            <w:pPr>
              <w:pStyle w:val="Marginlie"/>
              <w:spacing w:after="240"/>
              <w:rPr>
                <w:color w:val="0D0D0D" w:themeColor="text1" w:themeTint="F2"/>
                <w:spacing w:val="-4"/>
                <w:lang w:eastAsia="en-US"/>
              </w:rPr>
            </w:pPr>
            <w:r>
              <w:rPr>
                <w:color w:val="0D0D0D" w:themeColor="text1" w:themeTint="F2"/>
                <w:spacing w:val="-4"/>
                <w:lang w:eastAsia="en-US"/>
              </w:rPr>
              <w:lastRenderedPageBreak/>
              <w:t>Řada významných energeticky náročných oborů byla stále v útlumu.</w:t>
            </w:r>
          </w:p>
        </w:tc>
        <w:tc>
          <w:tcPr>
            <w:tcW w:w="201" w:type="dxa"/>
          </w:tcPr>
          <w:p w14:paraId="4F5326E1" w14:textId="77777777" w:rsidR="000C004E" w:rsidRDefault="000C004E">
            <w:pPr>
              <w:pStyle w:val="Textpoznpodarou"/>
              <w:spacing w:after="240"/>
              <w:jc w:val="both"/>
              <w:rPr>
                <w:spacing w:val="-4"/>
                <w:lang w:eastAsia="en-US"/>
              </w:rPr>
            </w:pPr>
          </w:p>
        </w:tc>
        <w:tc>
          <w:tcPr>
            <w:tcW w:w="7722" w:type="dxa"/>
            <w:hideMark/>
          </w:tcPr>
          <w:p w14:paraId="4407789A" w14:textId="77777777" w:rsidR="000C004E" w:rsidRDefault="000C004E">
            <w:pPr>
              <w:spacing w:after="200"/>
              <w:rPr>
                <w:color w:val="0D0D0D" w:themeColor="text1" w:themeTint="F2"/>
                <w:spacing w:val="-5"/>
                <w:lang w:eastAsia="en-US"/>
              </w:rPr>
            </w:pPr>
            <w:r>
              <w:rPr>
                <w:color w:val="0D0D0D" w:themeColor="text1" w:themeTint="F2"/>
                <w:spacing w:val="-5"/>
                <w:lang w:eastAsia="en-US"/>
              </w:rPr>
              <w:t>Některé významné energeticky náročnější obory zaměřené na výrobu meziproduktů byly stále v útlumu. V hutnictví a slévárenství se letos sice meziroční pokles produkce téměř zastavil, recese zde však přetrvává již tři a půl roku</w:t>
            </w:r>
            <w:r>
              <w:rPr>
                <w:rStyle w:val="Znakapoznpodarou"/>
                <w:color w:val="0D0D0D" w:themeColor="text1" w:themeTint="F2"/>
                <w:spacing w:val="-5"/>
                <w:lang w:eastAsia="en-US"/>
              </w:rPr>
              <w:footnoteReference w:id="10"/>
            </w:r>
            <w:r>
              <w:rPr>
                <w:color w:val="0D0D0D" w:themeColor="text1" w:themeTint="F2"/>
                <w:spacing w:val="-5"/>
                <w:lang w:eastAsia="en-US"/>
              </w:rPr>
              <w:t xml:space="preserve">. Celý obor stále čelil odbytovým problémům v tuzemsku i zahraničí a ani předstihové ukazatele (nové zakázky, saldo důvěry podnikatelů) zde v nejbližší době nenaznačovaly pozitivní obrat. V chemickém průmyslu se po dočasné stabilizaci v loňském roce letos výkon opět snížil (−2,5 %), což souviselo se slabší zahraniční poptávkou. Po propadu v letech 2023 i 2024 se produkce v těžbě a dobývání na počátku letošního roku zmírnila (na −2,3 %), avšak dlouhodobý útlum těžby uhlí se nadále promítá ve svižném úbytku pracovních míst. Navíc i přes oživení stavebnictví letos zatím klesá produkce v segmentu těžby stavebních materiálů (−7 %). </w:t>
            </w:r>
          </w:p>
        </w:tc>
      </w:tr>
      <w:tr w:rsidR="000C004E" w14:paraId="30A9D5D0" w14:textId="77777777" w:rsidTr="000C004E">
        <w:trPr>
          <w:trHeight w:val="145"/>
        </w:trPr>
        <w:tc>
          <w:tcPr>
            <w:tcW w:w="1814" w:type="dxa"/>
            <w:hideMark/>
          </w:tcPr>
          <w:p w14:paraId="4479038F" w14:textId="77777777" w:rsidR="000C004E" w:rsidRDefault="000C004E">
            <w:pPr>
              <w:pStyle w:val="Marginlie"/>
              <w:spacing w:after="240"/>
              <w:rPr>
                <w:color w:val="0D0D0D" w:themeColor="text1" w:themeTint="F2"/>
                <w:spacing w:val="-4"/>
                <w:lang w:eastAsia="en-US"/>
              </w:rPr>
            </w:pPr>
            <w:r>
              <w:rPr>
                <w:color w:val="0D0D0D" w:themeColor="text1" w:themeTint="F2"/>
                <w:spacing w:val="-5"/>
                <w:lang w:eastAsia="en-US"/>
              </w:rPr>
              <w:t>Většina menších oborů zaměřených na produkty krátkodobé spotřeby v loňském růstu nepokračovala. Největší útlum postihl kožedělný a obuvnický průmysl.</w:t>
            </w:r>
          </w:p>
        </w:tc>
        <w:tc>
          <w:tcPr>
            <w:tcW w:w="201" w:type="dxa"/>
          </w:tcPr>
          <w:p w14:paraId="718A5D49" w14:textId="77777777" w:rsidR="000C004E" w:rsidRDefault="000C004E">
            <w:pPr>
              <w:pStyle w:val="Textpoznpodarou"/>
              <w:spacing w:after="240"/>
              <w:jc w:val="both"/>
              <w:rPr>
                <w:spacing w:val="-4"/>
                <w:lang w:eastAsia="en-US"/>
              </w:rPr>
            </w:pPr>
          </w:p>
        </w:tc>
        <w:tc>
          <w:tcPr>
            <w:tcW w:w="7722" w:type="dxa"/>
            <w:hideMark/>
          </w:tcPr>
          <w:p w14:paraId="6429BFA4" w14:textId="77777777" w:rsidR="000C004E" w:rsidRDefault="000C004E">
            <w:pPr>
              <w:spacing w:after="200"/>
              <w:rPr>
                <w:color w:val="0D0D0D" w:themeColor="text1" w:themeTint="F2"/>
                <w:spacing w:val="-5"/>
                <w:lang w:eastAsia="en-US"/>
              </w:rPr>
            </w:pPr>
            <w:r>
              <w:rPr>
                <w:color w:val="0D0D0D" w:themeColor="text1" w:themeTint="F2"/>
                <w:spacing w:val="-5"/>
                <w:lang w:eastAsia="en-US"/>
              </w:rPr>
              <w:t>Většina menších oborů zaměřených na produkty krátkodobé spotřeby v loňském růstu letos zatím nepokračovala. Ve výrobě nápojů produkce klesla meziročně o 2,1 %, neboť se ji nepodařilo plně navázat na velmi dobré exportní výsledky z počátku roku 2024. Podobný jev nastal i v oděvnictví, letošní útlum produkce zde však byl citelnější (−7,9 %). Vyšší propad pak vlivem slabší zahraniční poptávky letos postihl malý obor kožedělného a obuvnického průmyslu (−17,6 %, nejhorší výsledek ze všech průmyslových oborů), který se přitom v posledních čtyřech letech slibně rozvíjel. V textilním průmyslu se letos výkon snížil o 3,8 %, firmy se zde však potýkaly se slabší domácí i zahraniční poptávkou již v předchozích dvou letech. Naopak za spíše dočasný výkyv lze považovat aktuální pokles výkonu farmaceutického průmyslu (− 3,2 %)</w:t>
            </w:r>
            <w:r>
              <w:rPr>
                <w:rStyle w:val="Znakapoznpodarou"/>
                <w:color w:val="0D0D0D" w:themeColor="text1" w:themeTint="F2"/>
                <w:spacing w:val="-5"/>
                <w:lang w:eastAsia="en-US"/>
              </w:rPr>
              <w:footnoteReference w:id="11"/>
            </w:r>
            <w:r>
              <w:rPr>
                <w:color w:val="0D0D0D" w:themeColor="text1" w:themeTint="F2"/>
                <w:spacing w:val="-5"/>
                <w:lang w:eastAsia="en-US"/>
              </w:rPr>
              <w:t xml:space="preserve">. Nynější výpadek klíčové poptávky ze zahraniční zde nevykompenzoval ani svižný růst odbytu na tuzemském trhu. </w:t>
            </w:r>
          </w:p>
        </w:tc>
      </w:tr>
      <w:tr w:rsidR="000C004E" w14:paraId="55F1F57E" w14:textId="77777777" w:rsidTr="000C004E">
        <w:trPr>
          <w:trHeight w:val="145"/>
        </w:trPr>
        <w:tc>
          <w:tcPr>
            <w:tcW w:w="1814" w:type="dxa"/>
            <w:hideMark/>
          </w:tcPr>
          <w:p w14:paraId="7E7C613A" w14:textId="77777777" w:rsidR="000C004E" w:rsidRDefault="000C004E">
            <w:pPr>
              <w:pStyle w:val="Marginlie"/>
              <w:spacing w:after="240"/>
              <w:rPr>
                <w:color w:val="0D0D0D" w:themeColor="text1" w:themeTint="F2"/>
                <w:spacing w:val="-4"/>
                <w:lang w:eastAsia="en-US"/>
              </w:rPr>
            </w:pPr>
            <w:r>
              <w:rPr>
                <w:color w:val="0D0D0D" w:themeColor="text1" w:themeTint="F2"/>
                <w:spacing w:val="-4"/>
                <w:lang w:eastAsia="en-US"/>
              </w:rPr>
              <w:t>Hodnota nových tuzemských i zahraničních zakázek na počátku roku mírně klesla, především vlivem automobilového průmyslu.</w:t>
            </w:r>
          </w:p>
        </w:tc>
        <w:tc>
          <w:tcPr>
            <w:tcW w:w="201" w:type="dxa"/>
          </w:tcPr>
          <w:p w14:paraId="04AAF804" w14:textId="77777777" w:rsidR="000C004E" w:rsidRDefault="000C004E">
            <w:pPr>
              <w:pStyle w:val="Textpoznpodarou"/>
              <w:spacing w:after="240"/>
              <w:jc w:val="both"/>
              <w:rPr>
                <w:spacing w:val="-4"/>
                <w:lang w:eastAsia="en-US"/>
              </w:rPr>
            </w:pPr>
          </w:p>
        </w:tc>
        <w:tc>
          <w:tcPr>
            <w:tcW w:w="7722" w:type="dxa"/>
            <w:hideMark/>
          </w:tcPr>
          <w:p w14:paraId="2DF9745E" w14:textId="77777777" w:rsidR="000C004E" w:rsidRDefault="000C004E">
            <w:pPr>
              <w:spacing w:after="200"/>
              <w:rPr>
                <w:color w:val="0D0D0D" w:themeColor="text1" w:themeTint="F2"/>
                <w:spacing w:val="-5"/>
                <w:lang w:eastAsia="en-US"/>
              </w:rPr>
            </w:pPr>
            <w:r>
              <w:rPr>
                <w:color w:val="0D0D0D" w:themeColor="text1" w:themeTint="F2"/>
                <w:spacing w:val="-5"/>
                <w:lang w:eastAsia="en-US"/>
              </w:rPr>
              <w:t>Růst nominální hodnoty nových průmyslových zakázek</w:t>
            </w:r>
            <w:r>
              <w:rPr>
                <w:rStyle w:val="Znakapoznpodarou"/>
                <w:color w:val="0D0D0D" w:themeColor="text1" w:themeTint="F2"/>
                <w:spacing w:val="-5"/>
                <w:szCs w:val="20"/>
                <w:lang w:eastAsia="en-US"/>
              </w:rPr>
              <w:footnoteReference w:id="12"/>
            </w:r>
            <w:r>
              <w:rPr>
                <w:color w:val="0D0D0D" w:themeColor="text1" w:themeTint="F2"/>
                <w:spacing w:val="-5"/>
                <w:lang w:eastAsia="en-US"/>
              </w:rPr>
              <w:t xml:space="preserve"> již během loňského roku zvolňoval a v 1. čtvrtletí 2025 se zastavil (−0,5 %). K nepatrnému poklesu aktuálně došlo u očekávané poptávky z tuzemska i zahraničí (ani mezikvartální tempa z přelomu roku 2024 a 2025 přitom nenaznačují blízký pozitivní obrat). Nejvýraznější růst zakázek aktuálně signalizovalo strojírenství (+9,2 %), a to díky oživení domácí i zahraniční poptávky. Z dalších významných odvětví byl ovšem růst poptávky patrný již jen v kovodělném průmyslu (+4,0 %). Slibné vyhlídky nadále vykazoval menší obor výroby ostatních dopravních prostředků. Ty se opíraly o silnou domácí poptávku spojenou s rozvojem dopravní infrastruktury i modernizací armády. Zakázky z tuzemska svižně rostly i ve výrobě počítačů, elektronických a optických přístrojů. V elektrotechnickém či farmaceutickém průmyslu očekávaná celková poptávka spíše stagnovala. Ve výrobě motorových vozidel hodnota zakázek druhé čtvrtletí v řadě meziročně klesala (aktuálně již o 4,7 %). Mírné snížení očekávané poptávky hlásí i chemický průmysl, podobně jsou na tom i některé menší obory (textilní, oděvní a papírenský průmysl).</w:t>
            </w:r>
          </w:p>
        </w:tc>
      </w:tr>
      <w:tr w:rsidR="000C004E" w14:paraId="2D947950" w14:textId="77777777" w:rsidTr="000C004E">
        <w:trPr>
          <w:trHeight w:val="145"/>
        </w:trPr>
        <w:tc>
          <w:tcPr>
            <w:tcW w:w="1814" w:type="dxa"/>
          </w:tcPr>
          <w:p w14:paraId="3E63B738" w14:textId="77777777" w:rsidR="000C004E" w:rsidRDefault="000C004E">
            <w:pPr>
              <w:pStyle w:val="Marginlie"/>
              <w:rPr>
                <w:color w:val="0D0D0D" w:themeColor="text1" w:themeTint="F2"/>
                <w:spacing w:val="-4"/>
                <w:lang w:eastAsia="en-US"/>
              </w:rPr>
            </w:pPr>
            <w:r>
              <w:rPr>
                <w:color w:val="0D0D0D" w:themeColor="text1" w:themeTint="F2"/>
                <w:spacing w:val="-4"/>
                <w:lang w:eastAsia="en-US"/>
              </w:rPr>
              <w:t xml:space="preserve">Důvěra v průmyslu se letos mírně zvyšovala, přesto setrvávala v mírně negativním pásmu. Očekávání výroby se lehce zlepšila. </w:t>
            </w:r>
          </w:p>
          <w:p w14:paraId="1278AE06" w14:textId="77777777" w:rsidR="000C004E" w:rsidRDefault="000C004E">
            <w:pPr>
              <w:pStyle w:val="Marginlie"/>
              <w:rPr>
                <w:color w:val="0D0D0D" w:themeColor="text1" w:themeTint="F2"/>
                <w:spacing w:val="-4"/>
                <w:lang w:eastAsia="en-US"/>
              </w:rPr>
            </w:pPr>
          </w:p>
          <w:p w14:paraId="3AB8C504" w14:textId="77777777" w:rsidR="000C004E" w:rsidRDefault="000C004E">
            <w:pPr>
              <w:pStyle w:val="Marginlie"/>
              <w:rPr>
                <w:color w:val="0D0D0D" w:themeColor="text1" w:themeTint="F2"/>
                <w:spacing w:val="-4"/>
                <w:lang w:eastAsia="en-US"/>
              </w:rPr>
            </w:pPr>
          </w:p>
          <w:p w14:paraId="5D6B0411" w14:textId="77777777" w:rsidR="000C004E" w:rsidRDefault="000C004E">
            <w:pPr>
              <w:pStyle w:val="Marginlie"/>
              <w:rPr>
                <w:color w:val="0D0D0D" w:themeColor="text1" w:themeTint="F2"/>
                <w:spacing w:val="-4"/>
                <w:lang w:eastAsia="en-US"/>
              </w:rPr>
            </w:pPr>
          </w:p>
          <w:p w14:paraId="6D87E34E" w14:textId="77777777" w:rsidR="000C004E" w:rsidRDefault="000C004E">
            <w:pPr>
              <w:pStyle w:val="Marginlie"/>
              <w:rPr>
                <w:color w:val="0D0D0D" w:themeColor="text1" w:themeTint="F2"/>
                <w:spacing w:val="-4"/>
                <w:lang w:eastAsia="en-US"/>
              </w:rPr>
            </w:pPr>
          </w:p>
          <w:p w14:paraId="11280D17" w14:textId="77777777" w:rsidR="000C004E" w:rsidRDefault="000C004E">
            <w:pPr>
              <w:pStyle w:val="Marginlie"/>
              <w:rPr>
                <w:color w:val="0D0D0D" w:themeColor="text1" w:themeTint="F2"/>
                <w:spacing w:val="-4"/>
                <w:lang w:eastAsia="en-US"/>
              </w:rPr>
            </w:pPr>
          </w:p>
          <w:p w14:paraId="488AF89B" w14:textId="77777777" w:rsidR="000C004E" w:rsidRDefault="000C004E">
            <w:pPr>
              <w:pStyle w:val="Marginlie"/>
              <w:rPr>
                <w:color w:val="0D0D0D" w:themeColor="text1" w:themeTint="F2"/>
                <w:spacing w:val="-4"/>
                <w:lang w:eastAsia="en-US"/>
              </w:rPr>
            </w:pPr>
            <w:r>
              <w:rPr>
                <w:color w:val="0D0D0D" w:themeColor="text1" w:themeTint="F2"/>
                <w:spacing w:val="-4"/>
                <w:lang w:eastAsia="en-US"/>
              </w:rPr>
              <w:t xml:space="preserve">Kolem 50 % firem trápila nedostatečná poptávka. </w:t>
            </w:r>
            <w:r>
              <w:rPr>
                <w:color w:val="0D0D0D" w:themeColor="text1" w:themeTint="F2"/>
                <w:spacing w:val="-4"/>
                <w:lang w:eastAsia="en-US"/>
              </w:rPr>
              <w:lastRenderedPageBreak/>
              <w:t>Aktuální i očekávaný vývoj zaměstnanosti zůstává nepříznivý.</w:t>
            </w:r>
          </w:p>
          <w:p w14:paraId="16703691" w14:textId="77777777" w:rsidR="000C004E" w:rsidRDefault="000C004E">
            <w:pPr>
              <w:pStyle w:val="Marginlie"/>
              <w:rPr>
                <w:color w:val="0D0D0D" w:themeColor="text1" w:themeTint="F2"/>
                <w:spacing w:val="-4"/>
                <w:lang w:eastAsia="en-US"/>
              </w:rPr>
            </w:pPr>
          </w:p>
          <w:p w14:paraId="69EA0D7F" w14:textId="77777777" w:rsidR="000C004E" w:rsidRDefault="000C004E">
            <w:pPr>
              <w:pStyle w:val="Marginlie"/>
              <w:rPr>
                <w:color w:val="0D0D0D" w:themeColor="text1" w:themeTint="F2"/>
                <w:spacing w:val="-4"/>
                <w:lang w:eastAsia="en-US"/>
              </w:rPr>
            </w:pPr>
          </w:p>
          <w:p w14:paraId="5314C383" w14:textId="77777777" w:rsidR="000C004E" w:rsidRDefault="000C004E">
            <w:pPr>
              <w:pStyle w:val="Marginlie"/>
              <w:rPr>
                <w:color w:val="0D0D0D" w:themeColor="text1" w:themeTint="F2"/>
                <w:spacing w:val="-4"/>
                <w:lang w:eastAsia="en-US"/>
              </w:rPr>
            </w:pPr>
          </w:p>
          <w:p w14:paraId="5E9D5486" w14:textId="77777777" w:rsidR="000C004E" w:rsidRDefault="000C004E">
            <w:pPr>
              <w:pStyle w:val="Marginlie"/>
              <w:rPr>
                <w:color w:val="0D0D0D" w:themeColor="text1" w:themeTint="F2"/>
                <w:spacing w:val="-4"/>
                <w:lang w:eastAsia="en-US"/>
              </w:rPr>
            </w:pPr>
          </w:p>
          <w:p w14:paraId="54C09403" w14:textId="77777777" w:rsidR="000C004E" w:rsidRDefault="000C004E">
            <w:pPr>
              <w:pStyle w:val="Marginlie"/>
              <w:rPr>
                <w:color w:val="0D0D0D" w:themeColor="text1" w:themeTint="F2"/>
                <w:spacing w:val="-4"/>
                <w:lang w:eastAsia="en-US"/>
              </w:rPr>
            </w:pPr>
          </w:p>
          <w:p w14:paraId="7AFB102D" w14:textId="77777777" w:rsidR="000C004E" w:rsidRDefault="000C004E">
            <w:pPr>
              <w:pStyle w:val="Marginlie"/>
              <w:rPr>
                <w:color w:val="0D0D0D" w:themeColor="text1" w:themeTint="F2"/>
                <w:spacing w:val="-4"/>
                <w:lang w:eastAsia="en-US"/>
              </w:rPr>
            </w:pPr>
            <w:r>
              <w:rPr>
                <w:color w:val="0D0D0D" w:themeColor="text1" w:themeTint="F2"/>
                <w:spacing w:val="-4"/>
                <w:lang w:eastAsia="en-US"/>
              </w:rPr>
              <w:t>Využití výrobních kapacit v průmyslu se mírně zvyšovalo, přesto stále zaostávalo za úrovní z konce minulé dekády.</w:t>
            </w:r>
          </w:p>
          <w:p w14:paraId="0CA88D6E" w14:textId="77777777" w:rsidR="000C004E" w:rsidRDefault="000C004E">
            <w:pPr>
              <w:pStyle w:val="Marginlie"/>
              <w:spacing w:after="240"/>
              <w:rPr>
                <w:color w:val="0D0D0D" w:themeColor="text1" w:themeTint="F2"/>
                <w:spacing w:val="-4"/>
                <w:lang w:eastAsia="en-US"/>
              </w:rPr>
            </w:pPr>
          </w:p>
        </w:tc>
        <w:tc>
          <w:tcPr>
            <w:tcW w:w="201" w:type="dxa"/>
          </w:tcPr>
          <w:p w14:paraId="39466AD6" w14:textId="77777777" w:rsidR="000C004E" w:rsidRDefault="000C004E">
            <w:pPr>
              <w:pStyle w:val="Textpoznpodarou"/>
              <w:spacing w:after="240"/>
              <w:jc w:val="both"/>
              <w:rPr>
                <w:spacing w:val="-4"/>
                <w:lang w:eastAsia="en-US"/>
              </w:rPr>
            </w:pPr>
          </w:p>
        </w:tc>
        <w:tc>
          <w:tcPr>
            <w:tcW w:w="7722" w:type="dxa"/>
            <w:hideMark/>
          </w:tcPr>
          <w:p w14:paraId="5D7D5E38" w14:textId="77777777" w:rsidR="000C004E" w:rsidRDefault="000C004E">
            <w:pPr>
              <w:spacing w:after="200"/>
              <w:rPr>
                <w:color w:val="0D0D0D" w:themeColor="text1" w:themeTint="F2"/>
                <w:spacing w:val="-5"/>
                <w:lang w:eastAsia="en-US"/>
              </w:rPr>
            </w:pPr>
            <w:r>
              <w:rPr>
                <w:color w:val="0D0D0D" w:themeColor="text1" w:themeTint="F2"/>
                <w:spacing w:val="-5"/>
                <w:lang w:eastAsia="en-US"/>
              </w:rPr>
              <w:t xml:space="preserve">Důvěra podnikatelů v průmyslu se po krátkodobém zhoršení na konci loňského roku letos zatím mírně zvyšovala, přesto však setrvávala v lehce negativním pásmu (v květnu činilo saldo −5,3 p .b.). Za aktuálním zlepšením </w:t>
            </w:r>
            <w:r>
              <w:rPr>
                <w:rFonts w:cs="Arial"/>
                <w:szCs w:val="20"/>
                <w:lang w:eastAsia="en-US"/>
              </w:rPr>
              <w:t>stál menší pesimismus firem ohledně současné celkové (i zahraniční) poptávky – její hodnocení bylo nejlepší od léta 2023. Současně přibylo firem očekávajících v tříměsíčním výhledu růst výroby</w:t>
            </w:r>
            <w:r>
              <w:rPr>
                <w:rStyle w:val="Znakapoznpodarou"/>
                <w:color w:val="0D0D0D" w:themeColor="text1" w:themeTint="F2"/>
                <w:spacing w:val="-5"/>
                <w:lang w:eastAsia="en-US"/>
              </w:rPr>
              <w:footnoteReference w:id="13"/>
            </w:r>
            <w:r>
              <w:rPr>
                <w:rFonts w:cs="Arial"/>
                <w:szCs w:val="20"/>
                <w:lang w:eastAsia="en-US"/>
              </w:rPr>
              <w:t xml:space="preserve"> (tento ukazatel je však v poslední době více volatilní, což dokládá zvýšenou obecnou nejistotu firem). Opatrný optimismus ale stále převládá – v půlročním horizontu předpokládá zlepšení své ekonomické situace 14 % firem, zhoršení 5 % (v meziměsíčním i meziročním pohledu jde o nepatrné zlepšení). Šestina firem vnímá současnou poptávku jako nedostatečnou a za růstovou bariéru ji považuje stále polovina podniků.</w:t>
            </w:r>
            <w:r>
              <w:rPr>
                <w:color w:val="0D0D0D" w:themeColor="text1" w:themeTint="F2"/>
                <w:spacing w:val="-5"/>
                <w:lang w:eastAsia="en-US"/>
              </w:rPr>
              <w:t xml:space="preserve"> Naproti tomu nedostatek pracovníků limitoval jen desetinu firem</w:t>
            </w:r>
            <w:r>
              <w:rPr>
                <w:rStyle w:val="Znakapoznpodarou"/>
                <w:color w:val="0D0D0D" w:themeColor="text1" w:themeTint="F2"/>
                <w:spacing w:val="-5"/>
                <w:lang w:eastAsia="en-US"/>
              </w:rPr>
              <w:footnoteReference w:id="14"/>
            </w:r>
            <w:r>
              <w:rPr>
                <w:color w:val="0D0D0D" w:themeColor="text1" w:themeTint="F2"/>
                <w:spacing w:val="-5"/>
                <w:lang w:eastAsia="en-US"/>
              </w:rPr>
              <w:t xml:space="preserve">, nejméně od konce roku 2015. Část podniků se </w:t>
            </w:r>
            <w:r>
              <w:rPr>
                <w:color w:val="0D0D0D" w:themeColor="text1" w:themeTint="F2"/>
                <w:spacing w:val="-5"/>
                <w:lang w:eastAsia="en-US"/>
              </w:rPr>
              <w:lastRenderedPageBreak/>
              <w:t>dosud potýká s periodickými výkyvy v dostupnosti materiálu a zařízení</w:t>
            </w:r>
            <w:r>
              <w:rPr>
                <w:rStyle w:val="Znakapoznpodarou"/>
                <w:color w:val="0D0D0D" w:themeColor="text1" w:themeTint="F2"/>
                <w:spacing w:val="-5"/>
                <w:lang w:eastAsia="en-US"/>
              </w:rPr>
              <w:footnoteReference w:id="15"/>
            </w:r>
            <w:r>
              <w:rPr>
                <w:color w:val="0D0D0D" w:themeColor="text1" w:themeTint="F2"/>
                <w:spacing w:val="-5"/>
                <w:lang w:eastAsia="en-US"/>
              </w:rPr>
              <w:t>, avšak jejich podíl nevybočuje z dlouhodobého průměru. Očekávání výrobců ohledně růstu cen vlastní</w:t>
            </w:r>
            <w:r>
              <w:rPr>
                <w:rFonts w:cs="Arial"/>
                <w:szCs w:val="20"/>
                <w:lang w:eastAsia="en-US"/>
              </w:rPr>
              <w:t xml:space="preserve"> produkce se v průmyslu potřetí v řadě meziměsíčně zvýšila a letos v květnu se pohybovala lehce nad dlouhodobým průměrem</w:t>
            </w:r>
            <w:r>
              <w:rPr>
                <w:rStyle w:val="Znakapoznpodarou"/>
                <w:color w:val="0D0D0D" w:themeColor="text1" w:themeTint="F2"/>
                <w:spacing w:val="-5"/>
                <w:lang w:eastAsia="en-US"/>
              </w:rPr>
              <w:footnoteReference w:id="16"/>
            </w:r>
            <w:r>
              <w:rPr>
                <w:rFonts w:cs="Arial"/>
                <w:szCs w:val="20"/>
                <w:lang w:eastAsia="en-US"/>
              </w:rPr>
              <w:t xml:space="preserve">. Očekávání firem v oblasti zaměstnanosti </w:t>
            </w:r>
            <w:r>
              <w:rPr>
                <w:color w:val="0D0D0D" w:themeColor="text1" w:themeTint="F2"/>
                <w:spacing w:val="-5"/>
                <w:lang w:eastAsia="en-US"/>
              </w:rPr>
              <w:t>zůstávala negativní, od počátku roku ani v meziročním srovnání se takřka nezměnila</w:t>
            </w:r>
            <w:r>
              <w:rPr>
                <w:rStyle w:val="Znakapoznpodarou"/>
                <w:color w:val="0D0D0D" w:themeColor="text1" w:themeTint="F2"/>
                <w:spacing w:val="-5"/>
                <w:lang w:eastAsia="en-US"/>
              </w:rPr>
              <w:footnoteReference w:id="17"/>
            </w:r>
            <w:r>
              <w:rPr>
                <w:color w:val="0D0D0D" w:themeColor="text1" w:themeTint="F2"/>
                <w:spacing w:val="-5"/>
                <w:lang w:eastAsia="en-US"/>
              </w:rPr>
              <w:t>. To souzní i s reálným vývojem v posledních měsících, neboť evidenční počet zaměstnanců v průmyslu se v 1. čtvrtletí 2025 meziročně snížil o 1,7 % (z významnějších oborů rostla zaměstnanost jen v potravinářství a energetice).</w:t>
            </w:r>
            <w:r>
              <w:rPr>
                <w:rStyle w:val="normaltextrun"/>
                <w:rFonts w:eastAsia="MS Gothic" w:cs="Arial"/>
                <w:szCs w:val="20"/>
                <w:lang w:eastAsia="en-US"/>
              </w:rPr>
              <w:t xml:space="preserve"> Využití výrobních kapacit podniků dosáhlo na počátku 2. čtvrtletí 2025 úrovně 83,2 % a potřetí v řadě se mezikvartálně mírně zvýšilo (přesto zůstává mírně pod úrovní z konjunktury l</w:t>
            </w:r>
            <w:r>
              <w:rPr>
                <w:rStyle w:val="normaltextrun"/>
                <w:rFonts w:eastAsia="MS Gothic" w:cs="Arial"/>
                <w:lang w:eastAsia="en-US"/>
              </w:rPr>
              <w:t xml:space="preserve">et </w:t>
            </w:r>
            <w:r>
              <w:rPr>
                <w:rStyle w:val="normaltextrun"/>
                <w:rFonts w:eastAsia="MS Gothic" w:cs="Arial"/>
                <w:lang w:eastAsia="en-US"/>
              </w:rPr>
              <w:br/>
            </w:r>
            <w:r>
              <w:rPr>
                <w:rStyle w:val="normaltextrun"/>
                <w:rFonts w:eastAsia="MS Gothic" w:cs="Arial"/>
                <w:szCs w:val="20"/>
                <w:lang w:eastAsia="en-US"/>
              </w:rPr>
              <w:t>2015–</w:t>
            </w:r>
            <w:r>
              <w:rPr>
                <w:rStyle w:val="normaltextrun"/>
                <w:rFonts w:eastAsia="MS Gothic" w:cs="Arial"/>
                <w:lang w:eastAsia="en-US"/>
              </w:rPr>
              <w:t>20</w:t>
            </w:r>
            <w:r>
              <w:rPr>
                <w:rStyle w:val="normaltextrun"/>
                <w:rFonts w:eastAsia="MS Gothic" w:cs="Arial"/>
                <w:szCs w:val="20"/>
                <w:lang w:eastAsia="en-US"/>
              </w:rPr>
              <w:t xml:space="preserve">19). Naopak v samotném automobilovém průmyslu se letos situace mírně zhoršila, i tak zde patřilo využití mezi průmyslovými obory k nejvyšším (91,5 %). </w:t>
            </w:r>
          </w:p>
        </w:tc>
      </w:tr>
      <w:tr w:rsidR="000C004E" w14:paraId="5D564020" w14:textId="77777777" w:rsidTr="000C004E">
        <w:trPr>
          <w:trHeight w:val="145"/>
        </w:trPr>
        <w:tc>
          <w:tcPr>
            <w:tcW w:w="1814" w:type="dxa"/>
          </w:tcPr>
          <w:p w14:paraId="33FECC47" w14:textId="77777777" w:rsidR="000C004E" w:rsidRDefault="000C004E">
            <w:pPr>
              <w:pStyle w:val="Marginlie"/>
              <w:spacing w:after="240"/>
              <w:rPr>
                <w:color w:val="0D0D0D" w:themeColor="text1" w:themeTint="F2"/>
                <w:spacing w:val="-4"/>
                <w:lang w:eastAsia="en-US"/>
              </w:rPr>
            </w:pPr>
          </w:p>
        </w:tc>
        <w:tc>
          <w:tcPr>
            <w:tcW w:w="201" w:type="dxa"/>
          </w:tcPr>
          <w:p w14:paraId="50EF8DF1" w14:textId="77777777" w:rsidR="000C004E" w:rsidRDefault="000C004E">
            <w:pPr>
              <w:pStyle w:val="Textpoznpodarou"/>
              <w:spacing w:after="240"/>
              <w:jc w:val="both"/>
              <w:rPr>
                <w:spacing w:val="-4"/>
                <w:lang w:eastAsia="en-US"/>
              </w:rPr>
            </w:pPr>
          </w:p>
        </w:tc>
        <w:tc>
          <w:tcPr>
            <w:tcW w:w="7722" w:type="dxa"/>
            <w:hideMark/>
          </w:tcPr>
          <w:p w14:paraId="112541B4" w14:textId="77777777" w:rsidR="000C004E" w:rsidRDefault="000C004E">
            <w:pPr>
              <w:spacing w:after="40"/>
              <w:rPr>
                <w:color w:val="0D0D0D" w:themeColor="text1" w:themeTint="F2"/>
                <w:spacing w:val="-5"/>
                <w:lang w:eastAsia="en-US"/>
              </w:rPr>
            </w:pPr>
            <w:r>
              <w:rPr>
                <w:b/>
                <w:color w:val="0D0D0D" w:themeColor="text1" w:themeTint="F2"/>
                <w:spacing w:val="-5"/>
                <w:lang w:eastAsia="en-US"/>
              </w:rPr>
              <w:t>Graf č. 5 Nové zakázky v průmyslu</w:t>
            </w:r>
            <w:r>
              <w:rPr>
                <w:color w:val="0D0D0D" w:themeColor="text1" w:themeTint="F2"/>
                <w:spacing w:val="-5"/>
                <w:lang w:eastAsia="en-US"/>
              </w:rPr>
              <w:t xml:space="preserve"> (nominálně, meziročně, v %)</w:t>
            </w:r>
            <w:r>
              <w:rPr>
                <w:b/>
                <w:color w:val="0D0D0D" w:themeColor="text1" w:themeTint="F2"/>
                <w:spacing w:val="-5"/>
                <w:lang w:eastAsia="en-US"/>
              </w:rPr>
              <w:t>, využití výrobních kapacit v průmyslu, vybrané bariéry růstu*</w:t>
            </w:r>
            <w:r>
              <w:rPr>
                <w:color w:val="0D0D0D" w:themeColor="text1" w:themeTint="F2"/>
                <w:spacing w:val="-5"/>
                <w:lang w:eastAsia="en-US"/>
              </w:rPr>
              <w:t xml:space="preserve"> (v %, pravá osa) </w:t>
            </w:r>
            <w:r>
              <w:rPr>
                <w:b/>
                <w:color w:val="0D0D0D" w:themeColor="text1" w:themeTint="F2"/>
                <w:spacing w:val="-5"/>
                <w:lang w:eastAsia="en-US"/>
              </w:rPr>
              <w:t>a saldo důvěry podnikatelů v průmyslu*</w:t>
            </w:r>
            <w:r>
              <w:rPr>
                <w:color w:val="0D0D0D" w:themeColor="text1" w:themeTint="F2"/>
                <w:spacing w:val="-5"/>
                <w:lang w:eastAsia="en-US"/>
              </w:rPr>
              <w:t xml:space="preserve"> (v p. b., pravá osa)</w:t>
            </w:r>
          </w:p>
        </w:tc>
      </w:tr>
      <w:tr w:rsidR="000C004E" w14:paraId="289190F9" w14:textId="77777777" w:rsidTr="000C004E">
        <w:trPr>
          <w:trHeight w:val="145"/>
        </w:trPr>
        <w:tc>
          <w:tcPr>
            <w:tcW w:w="1814" w:type="dxa"/>
            <w:tcMar>
              <w:top w:w="0" w:type="dxa"/>
              <w:left w:w="70" w:type="dxa"/>
              <w:bottom w:w="0" w:type="dxa"/>
              <w:right w:w="70" w:type="dxa"/>
            </w:tcMar>
          </w:tcPr>
          <w:p w14:paraId="50E6EC22" w14:textId="77777777" w:rsidR="000C004E" w:rsidRDefault="000C004E">
            <w:pPr>
              <w:pStyle w:val="Marginlie"/>
              <w:spacing w:after="240"/>
              <w:rPr>
                <w:color w:val="0D0D0D" w:themeColor="text1" w:themeTint="F2"/>
                <w:spacing w:val="-4"/>
                <w:lang w:eastAsia="en-US"/>
              </w:rPr>
            </w:pPr>
          </w:p>
        </w:tc>
        <w:tc>
          <w:tcPr>
            <w:tcW w:w="201" w:type="dxa"/>
            <w:tcMar>
              <w:top w:w="0" w:type="dxa"/>
              <w:left w:w="70" w:type="dxa"/>
              <w:bottom w:w="0" w:type="dxa"/>
              <w:right w:w="70" w:type="dxa"/>
            </w:tcMar>
          </w:tcPr>
          <w:p w14:paraId="45FDAC64" w14:textId="77777777" w:rsidR="000C004E" w:rsidRDefault="000C004E">
            <w:pPr>
              <w:pStyle w:val="Textpoznpodarou"/>
              <w:spacing w:after="240"/>
              <w:jc w:val="both"/>
              <w:rPr>
                <w:spacing w:val="-4"/>
                <w:lang w:eastAsia="en-US"/>
              </w:rPr>
            </w:pPr>
          </w:p>
        </w:tc>
        <w:tc>
          <w:tcPr>
            <w:tcW w:w="7722" w:type="dxa"/>
            <w:tcMar>
              <w:top w:w="0" w:type="dxa"/>
              <w:left w:w="70" w:type="dxa"/>
              <w:bottom w:w="0" w:type="dxa"/>
              <w:right w:w="70" w:type="dxa"/>
            </w:tcMar>
            <w:hideMark/>
          </w:tcPr>
          <w:p w14:paraId="2FCB6294" w14:textId="6CD1CCF6" w:rsidR="000C004E" w:rsidRDefault="000C004E">
            <w:pPr>
              <w:spacing w:before="40" w:after="40"/>
              <w:rPr>
                <w:color w:val="0D0D0D" w:themeColor="text1" w:themeTint="F2"/>
                <w:spacing w:val="-5"/>
                <w:lang w:eastAsia="en-US"/>
              </w:rPr>
            </w:pPr>
            <w:r>
              <w:rPr>
                <w:noProof/>
              </w:rPr>
              <w:drawing>
                <wp:inline distT="0" distB="0" distL="0" distR="0" wp14:anchorId="51C44466" wp14:editId="0383A807">
                  <wp:extent cx="4781550" cy="3495675"/>
                  <wp:effectExtent l="0" t="0" r="0" b="0"/>
                  <wp:docPr id="35" name="Graf 35">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0C004E" w14:paraId="20A6B732" w14:textId="77777777" w:rsidTr="000C004E">
        <w:trPr>
          <w:trHeight w:val="145"/>
        </w:trPr>
        <w:tc>
          <w:tcPr>
            <w:tcW w:w="1814" w:type="dxa"/>
          </w:tcPr>
          <w:p w14:paraId="737365B0" w14:textId="77777777" w:rsidR="000C004E" w:rsidRDefault="000C004E">
            <w:pPr>
              <w:pStyle w:val="Marginlie"/>
              <w:spacing w:after="240"/>
              <w:rPr>
                <w:color w:val="0D0D0D" w:themeColor="text1" w:themeTint="F2"/>
                <w:spacing w:val="-4"/>
                <w:lang w:eastAsia="en-US"/>
              </w:rPr>
            </w:pPr>
          </w:p>
        </w:tc>
        <w:tc>
          <w:tcPr>
            <w:tcW w:w="201" w:type="dxa"/>
          </w:tcPr>
          <w:p w14:paraId="2D110AD9" w14:textId="77777777" w:rsidR="000C004E" w:rsidRDefault="000C004E">
            <w:pPr>
              <w:pStyle w:val="Textpoznpodarou"/>
              <w:spacing w:after="240"/>
              <w:jc w:val="both"/>
              <w:rPr>
                <w:spacing w:val="-4"/>
                <w:lang w:eastAsia="en-US"/>
              </w:rPr>
            </w:pPr>
          </w:p>
        </w:tc>
        <w:tc>
          <w:tcPr>
            <w:tcW w:w="7722" w:type="dxa"/>
            <w:hideMark/>
          </w:tcPr>
          <w:p w14:paraId="01D9EEB1" w14:textId="77777777" w:rsidR="000C004E" w:rsidRDefault="000C004E">
            <w:pPr>
              <w:spacing w:after="200"/>
              <w:rPr>
                <w:color w:val="0D0D0D" w:themeColor="text1" w:themeTint="F2"/>
                <w:spacing w:val="-5"/>
                <w:sz w:val="14"/>
                <w:szCs w:val="14"/>
                <w:lang w:eastAsia="en-US"/>
              </w:rPr>
            </w:pPr>
            <w:r>
              <w:rPr>
                <w:color w:val="0D0D0D" w:themeColor="text1" w:themeTint="F2"/>
                <w:spacing w:val="-5"/>
                <w:sz w:val="14"/>
                <w:szCs w:val="14"/>
                <w:lang w:eastAsia="en-US"/>
              </w:rPr>
              <w:t>*Využití průmyslových kapacit i bariéry růstu vyjadřují stav v prvním měsíci daného čtvrtletí, saldo důvěry podnikatelů je vztaženo ke druhému měsíci čtvrtletí. Zakázky jsou očištěny o kalendářní vlivy, ostatní ukazatele jsou sezónně očištěny. Podniky mohly uvést více hlavních růstových bariér současně.                                                                                                                                Zdroj: ČSÚ, Eurostat</w:t>
            </w:r>
          </w:p>
        </w:tc>
      </w:tr>
      <w:tr w:rsidR="000C004E" w14:paraId="2C272721" w14:textId="77777777" w:rsidTr="000C004E">
        <w:trPr>
          <w:trHeight w:val="145"/>
        </w:trPr>
        <w:tc>
          <w:tcPr>
            <w:tcW w:w="1814" w:type="dxa"/>
            <w:hideMark/>
          </w:tcPr>
          <w:p w14:paraId="36CECA2A" w14:textId="77777777" w:rsidR="000C004E" w:rsidRDefault="000C004E">
            <w:pPr>
              <w:pStyle w:val="Marginlie"/>
              <w:spacing w:after="240"/>
              <w:rPr>
                <w:color w:val="0D0D0D" w:themeColor="text1" w:themeTint="F2"/>
                <w:spacing w:val="-4"/>
                <w:lang w:eastAsia="en-US"/>
              </w:rPr>
            </w:pPr>
            <w:r>
              <w:rPr>
                <w:color w:val="0D0D0D" w:themeColor="text1" w:themeTint="F2"/>
                <w:spacing w:val="-4"/>
                <w:lang w:eastAsia="en-US"/>
              </w:rPr>
              <w:t>Mezikvartální růst stavební produkce pokračoval na počátku roku potřetí v řadě.</w:t>
            </w:r>
          </w:p>
        </w:tc>
        <w:tc>
          <w:tcPr>
            <w:tcW w:w="201" w:type="dxa"/>
          </w:tcPr>
          <w:p w14:paraId="362E854D" w14:textId="77777777" w:rsidR="000C004E" w:rsidRDefault="000C004E">
            <w:pPr>
              <w:pStyle w:val="Textpoznpodarou"/>
              <w:spacing w:after="240"/>
              <w:jc w:val="both"/>
              <w:rPr>
                <w:spacing w:val="-4"/>
                <w:lang w:eastAsia="en-US"/>
              </w:rPr>
            </w:pPr>
          </w:p>
        </w:tc>
        <w:tc>
          <w:tcPr>
            <w:tcW w:w="7722" w:type="dxa"/>
            <w:hideMark/>
          </w:tcPr>
          <w:p w14:paraId="31BC9EDC" w14:textId="77777777" w:rsidR="000C004E" w:rsidRDefault="000C004E">
            <w:pPr>
              <w:spacing w:after="200"/>
              <w:rPr>
                <w:color w:val="0D0D0D" w:themeColor="text1" w:themeTint="F2"/>
                <w:spacing w:val="-5"/>
                <w:lang w:eastAsia="en-US"/>
              </w:rPr>
            </w:pPr>
            <w:r>
              <w:rPr>
                <w:color w:val="0D0D0D" w:themeColor="text1" w:themeTint="F2"/>
                <w:spacing w:val="-5"/>
                <w:lang w:eastAsia="en-US"/>
              </w:rPr>
              <w:t>Situace ve stavebnictví se postupně zlepšovala, náznaky pozitivního obratu byly patrné již ve druhé polovině loňského roku. Stavební produkce</w:t>
            </w:r>
            <w:r>
              <w:rPr>
                <w:rStyle w:val="Znakapoznpodarou"/>
                <w:color w:val="0D0D0D" w:themeColor="text1" w:themeTint="F2"/>
                <w:spacing w:val="-5"/>
                <w:lang w:eastAsia="en-US"/>
              </w:rPr>
              <w:footnoteReference w:id="18"/>
            </w:r>
            <w:r>
              <w:rPr>
                <w:color w:val="0D0D0D" w:themeColor="text1" w:themeTint="F2"/>
                <w:spacing w:val="-5"/>
                <w:lang w:eastAsia="en-US"/>
              </w:rPr>
              <w:t xml:space="preserve"> se mezikvartálně zvýšila již potřetí za sebou a na počátku letošního roku tento růst zrychlil (na 3,1 %). Za celé 1. čtvrtletí 2025 produkce meziročně vzrostla o 7,2 %, a to především díky pozemnímu stavitelství (příspěvek k růstu +5,2 p. b.), které bylo taženo zejména vyššími výkony ve výstavbě budov, ale v menší míře i v oblasti specializovaných stavebních činností, které jsou doménou spíše menších firem. K růstu stavebnictví přispívalo i inženýrské stavitelství, které profitovalo z podpory na rozvoj dopravní infrastruktury z národních zdrojů i z rozpočtu EU. I přes celkový příznivý vývoj </w:t>
            </w:r>
            <w:r>
              <w:rPr>
                <w:color w:val="0D0D0D" w:themeColor="text1" w:themeTint="F2"/>
                <w:spacing w:val="-5"/>
                <w:lang w:eastAsia="en-US"/>
              </w:rPr>
              <w:lastRenderedPageBreak/>
              <w:t xml:space="preserve">se celé stavebnictví stále vypořádává se zvýšenými nákladovými tlaky a rozvoj v segmentu rezidenční výstavby je limitován přetrvávajícími zvýšenými sazbami hypotečních úvěrů. </w:t>
            </w:r>
          </w:p>
        </w:tc>
      </w:tr>
      <w:tr w:rsidR="000C004E" w14:paraId="563065DA" w14:textId="77777777" w:rsidTr="000C004E">
        <w:trPr>
          <w:trHeight w:val="145"/>
        </w:trPr>
        <w:tc>
          <w:tcPr>
            <w:tcW w:w="1814" w:type="dxa"/>
            <w:hideMark/>
          </w:tcPr>
          <w:p w14:paraId="7514E238" w14:textId="77777777" w:rsidR="000C004E" w:rsidRDefault="000C004E">
            <w:pPr>
              <w:pStyle w:val="Marginlie"/>
              <w:spacing w:after="240"/>
              <w:rPr>
                <w:color w:val="0D0D0D" w:themeColor="text1" w:themeTint="F2"/>
                <w:spacing w:val="-4"/>
                <w:lang w:eastAsia="en-US"/>
              </w:rPr>
            </w:pPr>
            <w:r>
              <w:rPr>
                <w:color w:val="0D0D0D" w:themeColor="text1" w:themeTint="F2"/>
                <w:spacing w:val="-4"/>
                <w:lang w:eastAsia="en-US"/>
              </w:rPr>
              <w:lastRenderedPageBreak/>
              <w:t xml:space="preserve">Zahajovaná bytová výstavba mírně ožívala. Počet dokončených bytů byl však nízký.  </w:t>
            </w:r>
          </w:p>
        </w:tc>
        <w:tc>
          <w:tcPr>
            <w:tcW w:w="201" w:type="dxa"/>
          </w:tcPr>
          <w:p w14:paraId="3D377841" w14:textId="77777777" w:rsidR="000C004E" w:rsidRDefault="000C004E">
            <w:pPr>
              <w:pStyle w:val="Textpoznpodarou"/>
              <w:spacing w:after="240"/>
              <w:jc w:val="both"/>
              <w:rPr>
                <w:spacing w:val="-4"/>
                <w:lang w:eastAsia="en-US"/>
              </w:rPr>
            </w:pPr>
          </w:p>
        </w:tc>
        <w:tc>
          <w:tcPr>
            <w:tcW w:w="7722" w:type="dxa"/>
            <w:hideMark/>
          </w:tcPr>
          <w:p w14:paraId="140D1D79" w14:textId="77777777" w:rsidR="000C004E" w:rsidRDefault="000C004E">
            <w:pPr>
              <w:spacing w:after="200"/>
              <w:rPr>
                <w:rFonts w:eastAsia="MS Gothic" w:cs="Arial"/>
                <w:szCs w:val="20"/>
                <w:lang w:eastAsia="en-US"/>
              </w:rPr>
            </w:pPr>
            <w:r>
              <w:rPr>
                <w:rStyle w:val="normaltextrun"/>
                <w:rFonts w:eastAsia="MS Gothic" w:cs="Arial"/>
                <w:szCs w:val="20"/>
                <w:lang w:eastAsia="en-US"/>
              </w:rPr>
              <w:t xml:space="preserve">V 1. čtvrtletí 2025 se objem zahajované výstavby meziročně zvýšil o 2,9 % (mírný růst pokračoval čtvrtý kvartál v řadě), avšak jen díky bytům v bytových budovách (vč. jejich </w:t>
            </w:r>
            <w:r>
              <w:rPr>
                <w:rStyle w:val="normaltextrun"/>
                <w:rFonts w:eastAsia="MS Gothic" w:cs="Arial"/>
                <w:spacing w:val="-2"/>
                <w:szCs w:val="20"/>
                <w:lang w:eastAsia="en-US"/>
              </w:rPr>
              <w:t>konverzí). Na Prahu a Středočeský kraj připadalo již 49 % všech zahájených bytů. Naopak</w:t>
            </w:r>
            <w:r>
              <w:rPr>
                <w:rStyle w:val="normaltextrun"/>
                <w:rFonts w:eastAsia="MS Gothic" w:cs="Arial"/>
                <w:szCs w:val="20"/>
                <w:lang w:eastAsia="en-US"/>
              </w:rPr>
              <w:t xml:space="preserve"> dokončených bytů v Česku meziročně ubylo (o 22,4 %) a tento pokles trvá již skoro dva roky. Letošní počet těchto bytů (6,2 tis.) byl v rámci 1. čtvrtletí nejnižší za posledních osm let. Aktuální pokles měl plošný charakter (z pohledu formy i regionu výstavby).</w:t>
            </w:r>
            <w:r>
              <w:rPr>
                <w:rStyle w:val="eop"/>
                <w:rFonts w:cs="Arial"/>
                <w:szCs w:val="20"/>
                <w:lang w:eastAsia="en-US"/>
              </w:rPr>
              <w:t xml:space="preserve"> </w:t>
            </w:r>
          </w:p>
        </w:tc>
      </w:tr>
      <w:tr w:rsidR="000C004E" w14:paraId="41D80EFF" w14:textId="77777777" w:rsidTr="000C004E">
        <w:trPr>
          <w:trHeight w:val="145"/>
        </w:trPr>
        <w:tc>
          <w:tcPr>
            <w:tcW w:w="1814" w:type="dxa"/>
          </w:tcPr>
          <w:p w14:paraId="19C02D32" w14:textId="77777777" w:rsidR="000C004E" w:rsidRDefault="000C004E">
            <w:pPr>
              <w:pStyle w:val="Marginlie"/>
              <w:rPr>
                <w:color w:val="0D0D0D" w:themeColor="text1" w:themeTint="F2"/>
                <w:spacing w:val="-4"/>
                <w:lang w:eastAsia="en-US"/>
              </w:rPr>
            </w:pPr>
            <w:r>
              <w:rPr>
                <w:color w:val="0D0D0D" w:themeColor="text1" w:themeTint="F2"/>
                <w:spacing w:val="-4"/>
                <w:lang w:eastAsia="en-US"/>
              </w:rPr>
              <w:t>K růstu hodnoty nových tuzemských zakázek přispívalo inženýrské stavitelství. Vlivem vyšší rozestavěnosti se udržovala i vysoká celková zásoba práce od soukromých i veřejných zadavatelů.</w:t>
            </w:r>
          </w:p>
          <w:p w14:paraId="7C929833" w14:textId="77777777" w:rsidR="000C004E" w:rsidRDefault="000C004E">
            <w:pPr>
              <w:pStyle w:val="Marginlie"/>
              <w:rPr>
                <w:color w:val="0D0D0D" w:themeColor="text1" w:themeTint="F2"/>
                <w:spacing w:val="-4"/>
                <w:lang w:eastAsia="en-US"/>
              </w:rPr>
            </w:pPr>
          </w:p>
          <w:p w14:paraId="1EE5CFD8" w14:textId="77777777" w:rsidR="000C004E" w:rsidRDefault="000C004E">
            <w:pPr>
              <w:pStyle w:val="Marginlie"/>
              <w:rPr>
                <w:color w:val="0D0D0D" w:themeColor="text1" w:themeTint="F2"/>
                <w:spacing w:val="-4"/>
                <w:lang w:eastAsia="en-US"/>
              </w:rPr>
            </w:pPr>
          </w:p>
          <w:p w14:paraId="716359EC" w14:textId="77777777" w:rsidR="000C004E" w:rsidRDefault="000C004E">
            <w:pPr>
              <w:pStyle w:val="Marginlie"/>
              <w:rPr>
                <w:color w:val="0D0D0D" w:themeColor="text1" w:themeTint="F2"/>
                <w:spacing w:val="-4"/>
                <w:lang w:eastAsia="en-US"/>
              </w:rPr>
            </w:pPr>
          </w:p>
          <w:p w14:paraId="0B7DA561" w14:textId="77777777" w:rsidR="000C004E" w:rsidRDefault="000C004E">
            <w:pPr>
              <w:pStyle w:val="Marginlie"/>
              <w:rPr>
                <w:color w:val="0D0D0D" w:themeColor="text1" w:themeTint="F2"/>
                <w:spacing w:val="-4"/>
                <w:lang w:eastAsia="en-US"/>
              </w:rPr>
            </w:pPr>
          </w:p>
          <w:p w14:paraId="6E3E2A6A" w14:textId="77777777" w:rsidR="000C004E" w:rsidRDefault="000C004E">
            <w:pPr>
              <w:pStyle w:val="Marginlie"/>
              <w:spacing w:after="240"/>
              <w:rPr>
                <w:color w:val="0D0D0D" w:themeColor="text1" w:themeTint="F2"/>
                <w:spacing w:val="-4"/>
                <w:lang w:eastAsia="en-US"/>
              </w:rPr>
            </w:pPr>
            <w:r>
              <w:rPr>
                <w:color w:val="0D0D0D" w:themeColor="text1" w:themeTint="F2"/>
                <w:spacing w:val="-4"/>
                <w:lang w:eastAsia="en-US"/>
              </w:rPr>
              <w:t>Hodnota povolených staveb se čtvrtý kvartál v řadě meziročně snižovala.</w:t>
            </w:r>
          </w:p>
        </w:tc>
        <w:tc>
          <w:tcPr>
            <w:tcW w:w="201" w:type="dxa"/>
          </w:tcPr>
          <w:p w14:paraId="61EE1CD7" w14:textId="77777777" w:rsidR="000C004E" w:rsidRDefault="000C004E">
            <w:pPr>
              <w:pStyle w:val="Textpoznpodarou"/>
              <w:spacing w:after="240"/>
              <w:jc w:val="both"/>
              <w:rPr>
                <w:spacing w:val="-4"/>
                <w:lang w:eastAsia="en-US"/>
              </w:rPr>
            </w:pPr>
          </w:p>
        </w:tc>
        <w:tc>
          <w:tcPr>
            <w:tcW w:w="7722" w:type="dxa"/>
            <w:hideMark/>
          </w:tcPr>
          <w:p w14:paraId="06D55986" w14:textId="77777777" w:rsidR="000C004E" w:rsidRDefault="000C004E">
            <w:pPr>
              <w:spacing w:after="200"/>
              <w:rPr>
                <w:rStyle w:val="normaltextrun"/>
                <w:color w:val="0D0D0D" w:themeColor="text1" w:themeTint="F2"/>
                <w:spacing w:val="-5"/>
              </w:rPr>
            </w:pPr>
            <w:r>
              <w:rPr>
                <w:rStyle w:val="normaltextrun"/>
                <w:color w:val="0D0D0D" w:themeColor="text1" w:themeTint="F2"/>
                <w:spacing w:val="-5"/>
                <w:lang w:eastAsia="en-US"/>
              </w:rPr>
              <w:t xml:space="preserve">Z různých předstihových ukazatelů vychází pro stavebnictví aktuálně nejlépe nové tuzemské zakázky (uzavřené </w:t>
            </w:r>
            <w:r>
              <w:rPr>
                <w:rStyle w:val="normaltextrun"/>
                <w:lang w:eastAsia="en-US"/>
              </w:rPr>
              <w:t>podniky nad 50 zaměstnanců)</w:t>
            </w:r>
            <w:r>
              <w:rPr>
                <w:rStyle w:val="normaltextrun"/>
                <w:color w:val="0D0D0D" w:themeColor="text1" w:themeTint="F2"/>
                <w:spacing w:val="-5"/>
                <w:lang w:eastAsia="en-US"/>
              </w:rPr>
              <w:t xml:space="preserve">. Jejich nominální hodnota byla </w:t>
            </w:r>
            <w:r>
              <w:rPr>
                <w:rStyle w:val="normaltextrun"/>
                <w:color w:val="0D0D0D" w:themeColor="text1" w:themeTint="F2"/>
                <w:spacing w:val="-5"/>
                <w:lang w:eastAsia="en-US"/>
              </w:rPr>
              <w:br/>
              <w:t xml:space="preserve">v 1. čtvrtletí 2025 meziročně vyšší o 14,3 % (podobně rostla i na sklonku loňského roku). Nadále se dařilo inženýrským stavbám, kde poptávka rostla skoro o třetinu, naopak </w:t>
            </w:r>
            <w:r>
              <w:rPr>
                <w:rStyle w:val="normaltextrun"/>
                <w:color w:val="0D0D0D" w:themeColor="text1" w:themeTint="F2"/>
                <w:spacing w:val="-5"/>
                <w:lang w:eastAsia="en-US"/>
              </w:rPr>
              <w:br/>
              <w:t xml:space="preserve">u pozemních staveb se hodnota zakázek podruhé v řadě mírně snížila (aktuálně o necelá </w:t>
            </w:r>
            <w:r>
              <w:rPr>
                <w:rStyle w:val="normaltextrun"/>
                <w:color w:val="0D0D0D" w:themeColor="text1" w:themeTint="F2"/>
                <w:spacing w:val="-5"/>
                <w:lang w:eastAsia="en-US"/>
              </w:rPr>
              <w:br/>
              <w:t xml:space="preserve">2 %). Celková zásoba práce, zachycená stavem veškerých dosud nerealizovaných zakázek, nadále svižně rostla. Letos na konci března převýšila loňskou zásobu skoro o čtvrtinu, především zásluhou veřejných tuzemských zakázek (ty dlouhodobě tvoří rozhodující část celkové poptávky, aktuálně více než dvě třetiny). Zvyšovala se však i zásoba domácích soukromých zakázek (+17,4 %) a po více než třech letech narostla i poptávka ze zahraničí. Méně příznivé vyhlídky pro tuzemské stavebnictví naznačuje orientační hodnota povolených staveb. Ta se za první čtyři letošní měsíce snížila meziročně o 16 % </w:t>
            </w:r>
            <w:r>
              <w:rPr>
                <w:lang w:eastAsia="en-US"/>
              </w:rPr>
              <w:t xml:space="preserve">(úbytek byl již patrný </w:t>
            </w:r>
            <w:r>
              <w:rPr>
                <w:lang w:eastAsia="en-US"/>
              </w:rPr>
              <w:br/>
              <w:t>i po většinu loňského roku). Nastal plošný pokles u všech kategorií nové výstavby (celkem o 29 %), hlavně inženýrských „nedopravních“ staveb, naopak posilovaly rekonstrukce a modernizace (+27 %), hlavně u dopravní infrastruktury a nebytových budov.</w:t>
            </w:r>
          </w:p>
        </w:tc>
      </w:tr>
      <w:tr w:rsidR="000C004E" w14:paraId="69C0339D" w14:textId="77777777" w:rsidTr="000C004E">
        <w:trPr>
          <w:trHeight w:val="145"/>
        </w:trPr>
        <w:tc>
          <w:tcPr>
            <w:tcW w:w="1814" w:type="dxa"/>
          </w:tcPr>
          <w:p w14:paraId="18C411A6" w14:textId="77777777" w:rsidR="000C004E" w:rsidRDefault="000C004E">
            <w:pPr>
              <w:pStyle w:val="Marginlie"/>
              <w:spacing w:after="240"/>
              <w:rPr>
                <w:spacing w:val="-4"/>
              </w:rPr>
            </w:pPr>
          </w:p>
        </w:tc>
        <w:tc>
          <w:tcPr>
            <w:tcW w:w="201" w:type="dxa"/>
          </w:tcPr>
          <w:p w14:paraId="34E5CBF2" w14:textId="77777777" w:rsidR="000C004E" w:rsidRDefault="000C004E">
            <w:pPr>
              <w:pStyle w:val="Textpoznpodarou"/>
              <w:spacing w:after="240"/>
              <w:jc w:val="both"/>
              <w:rPr>
                <w:spacing w:val="-4"/>
                <w:lang w:eastAsia="en-US"/>
              </w:rPr>
            </w:pPr>
          </w:p>
        </w:tc>
        <w:tc>
          <w:tcPr>
            <w:tcW w:w="7722" w:type="dxa"/>
            <w:hideMark/>
          </w:tcPr>
          <w:p w14:paraId="6ECDD70E" w14:textId="77777777" w:rsidR="000C004E" w:rsidRDefault="000C004E">
            <w:pPr>
              <w:spacing w:after="40"/>
              <w:rPr>
                <w:color w:val="0D0D0D" w:themeColor="text1" w:themeTint="F2"/>
                <w:spacing w:val="-5"/>
                <w:lang w:eastAsia="en-US"/>
              </w:rPr>
            </w:pPr>
            <w:r>
              <w:rPr>
                <w:b/>
                <w:color w:val="0D0D0D" w:themeColor="text1" w:themeTint="F2"/>
                <w:spacing w:val="-5"/>
                <w:lang w:eastAsia="en-US"/>
              </w:rPr>
              <w:t>Graf č. 6 Příspěvky odvětví k meziroční změně stavební produkce (reálně, v p. b.),</w:t>
            </w:r>
            <w:r>
              <w:rPr>
                <w:b/>
                <w:color w:val="0D0D0D" w:themeColor="text1" w:themeTint="F2"/>
                <w:spacing w:val="-5"/>
                <w:lang w:eastAsia="en-US"/>
              </w:rPr>
              <w:br/>
              <w:t>nové stavební zakázky</w:t>
            </w:r>
            <w:r>
              <w:rPr>
                <w:color w:val="0D0D0D" w:themeColor="text1" w:themeTint="F2"/>
                <w:spacing w:val="-5"/>
                <w:lang w:eastAsia="en-US"/>
              </w:rPr>
              <w:t xml:space="preserve"> (nominálně, meziročně, v %), </w:t>
            </w:r>
            <w:r>
              <w:rPr>
                <w:b/>
                <w:color w:val="0D0D0D" w:themeColor="text1" w:themeTint="F2"/>
                <w:spacing w:val="-5"/>
                <w:lang w:eastAsia="en-US"/>
              </w:rPr>
              <w:t>saldo důvěry podnikatelů ve stavebnictví*</w:t>
            </w:r>
            <w:r>
              <w:rPr>
                <w:color w:val="0D0D0D" w:themeColor="text1" w:themeTint="F2"/>
                <w:spacing w:val="-5"/>
                <w:lang w:eastAsia="en-US"/>
              </w:rPr>
              <w:t xml:space="preserve"> (v p. b., pravá osa) </w:t>
            </w:r>
            <w:r>
              <w:rPr>
                <w:b/>
                <w:color w:val="0D0D0D" w:themeColor="text1" w:themeTint="F2"/>
                <w:spacing w:val="-5"/>
                <w:lang w:eastAsia="en-US"/>
              </w:rPr>
              <w:t>a vybrané bariéry růstu*</w:t>
            </w:r>
            <w:r>
              <w:rPr>
                <w:color w:val="0D0D0D" w:themeColor="text1" w:themeTint="F2"/>
                <w:spacing w:val="-5"/>
                <w:lang w:eastAsia="en-US"/>
              </w:rPr>
              <w:t xml:space="preserve"> (v %, pravá osa)</w:t>
            </w:r>
          </w:p>
        </w:tc>
      </w:tr>
      <w:tr w:rsidR="000C004E" w14:paraId="3479D333" w14:textId="77777777" w:rsidTr="000C004E">
        <w:trPr>
          <w:trHeight w:val="145"/>
        </w:trPr>
        <w:tc>
          <w:tcPr>
            <w:tcW w:w="1814" w:type="dxa"/>
            <w:tcMar>
              <w:top w:w="0" w:type="dxa"/>
              <w:left w:w="70" w:type="dxa"/>
              <w:bottom w:w="0" w:type="dxa"/>
              <w:right w:w="70" w:type="dxa"/>
            </w:tcMar>
          </w:tcPr>
          <w:p w14:paraId="0D88EDDF" w14:textId="77777777" w:rsidR="000C004E" w:rsidRDefault="000C004E">
            <w:pPr>
              <w:pStyle w:val="Marginlie"/>
              <w:spacing w:after="240"/>
              <w:rPr>
                <w:color w:val="0D0D0D" w:themeColor="text1" w:themeTint="F2"/>
                <w:spacing w:val="-4"/>
                <w:lang w:eastAsia="en-US"/>
              </w:rPr>
            </w:pPr>
          </w:p>
        </w:tc>
        <w:tc>
          <w:tcPr>
            <w:tcW w:w="201" w:type="dxa"/>
            <w:tcMar>
              <w:top w:w="0" w:type="dxa"/>
              <w:left w:w="70" w:type="dxa"/>
              <w:bottom w:w="0" w:type="dxa"/>
              <w:right w:w="70" w:type="dxa"/>
            </w:tcMar>
          </w:tcPr>
          <w:p w14:paraId="591A43B3" w14:textId="77777777" w:rsidR="000C004E" w:rsidRDefault="000C004E">
            <w:pPr>
              <w:pStyle w:val="Textpoznpodarou"/>
              <w:spacing w:after="240"/>
              <w:jc w:val="both"/>
              <w:rPr>
                <w:spacing w:val="-4"/>
                <w:lang w:eastAsia="en-US"/>
              </w:rPr>
            </w:pPr>
          </w:p>
        </w:tc>
        <w:tc>
          <w:tcPr>
            <w:tcW w:w="7722" w:type="dxa"/>
            <w:tcMar>
              <w:top w:w="0" w:type="dxa"/>
              <w:left w:w="70" w:type="dxa"/>
              <w:bottom w:w="0" w:type="dxa"/>
              <w:right w:w="70" w:type="dxa"/>
            </w:tcMar>
            <w:hideMark/>
          </w:tcPr>
          <w:p w14:paraId="5FA41300" w14:textId="07846145" w:rsidR="000C004E" w:rsidRDefault="000C004E">
            <w:pPr>
              <w:spacing w:before="40" w:after="40"/>
              <w:rPr>
                <w:color w:val="0D0D0D" w:themeColor="text1" w:themeTint="F2"/>
                <w:spacing w:val="-5"/>
                <w:lang w:eastAsia="en-US"/>
              </w:rPr>
            </w:pPr>
            <w:r>
              <w:rPr>
                <w:noProof/>
              </w:rPr>
              <w:drawing>
                <wp:inline distT="0" distB="0" distL="0" distR="0" wp14:anchorId="7180CC53" wp14:editId="4B333BA7">
                  <wp:extent cx="4810125" cy="3381375"/>
                  <wp:effectExtent l="0" t="0" r="0" b="0"/>
                  <wp:docPr id="34" name="Graf 34">
                    <a:extLst xmlns:a="http://schemas.openxmlformats.org/drawingml/2006/main">
                      <a:ext uri="{FF2B5EF4-FFF2-40B4-BE49-F238E27FC236}">
                        <a16:creationId xmlns:a16="http://schemas.microsoft.com/office/drawing/2014/main" id="{00000000-0008-0000-0E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0C004E" w14:paraId="4EB16820" w14:textId="77777777" w:rsidTr="000C004E">
        <w:trPr>
          <w:trHeight w:val="145"/>
        </w:trPr>
        <w:tc>
          <w:tcPr>
            <w:tcW w:w="1814" w:type="dxa"/>
          </w:tcPr>
          <w:p w14:paraId="40A80A18" w14:textId="77777777" w:rsidR="000C004E" w:rsidRDefault="000C004E">
            <w:pPr>
              <w:pStyle w:val="Marginlie"/>
              <w:spacing w:after="240"/>
              <w:rPr>
                <w:color w:val="0D0D0D" w:themeColor="text1" w:themeTint="F2"/>
                <w:spacing w:val="-4"/>
                <w:lang w:eastAsia="en-US"/>
              </w:rPr>
            </w:pPr>
          </w:p>
        </w:tc>
        <w:tc>
          <w:tcPr>
            <w:tcW w:w="201" w:type="dxa"/>
          </w:tcPr>
          <w:p w14:paraId="099807E6" w14:textId="77777777" w:rsidR="000C004E" w:rsidRDefault="000C004E">
            <w:pPr>
              <w:pStyle w:val="Textpoznpodarou"/>
              <w:spacing w:after="240"/>
              <w:jc w:val="both"/>
              <w:rPr>
                <w:spacing w:val="-4"/>
                <w:lang w:eastAsia="en-US"/>
              </w:rPr>
            </w:pPr>
          </w:p>
        </w:tc>
        <w:tc>
          <w:tcPr>
            <w:tcW w:w="7722" w:type="dxa"/>
            <w:hideMark/>
          </w:tcPr>
          <w:p w14:paraId="2873B97B" w14:textId="77777777" w:rsidR="000C004E" w:rsidRDefault="000C004E">
            <w:pPr>
              <w:spacing w:after="0"/>
              <w:rPr>
                <w:color w:val="0D0D0D" w:themeColor="text1" w:themeTint="F2"/>
                <w:spacing w:val="-5"/>
                <w:sz w:val="14"/>
                <w:szCs w:val="14"/>
                <w:lang w:eastAsia="en-US"/>
              </w:rPr>
            </w:pPr>
            <w:r>
              <w:rPr>
                <w:color w:val="0D0D0D" w:themeColor="text1" w:themeTint="F2"/>
                <w:spacing w:val="-5"/>
                <w:sz w:val="14"/>
                <w:szCs w:val="14"/>
                <w:lang w:eastAsia="en-US"/>
              </w:rPr>
              <w:t>Poznámka: Údaje o stavební produkci jsou očištěny o kalendářní vlivy.</w:t>
            </w:r>
          </w:p>
          <w:p w14:paraId="7A9F5CA0" w14:textId="77777777" w:rsidR="000C004E" w:rsidRDefault="000C004E">
            <w:pPr>
              <w:rPr>
                <w:color w:val="0D0D0D" w:themeColor="text1" w:themeTint="F2"/>
                <w:spacing w:val="-5"/>
                <w:sz w:val="16"/>
                <w:szCs w:val="16"/>
                <w:lang w:eastAsia="en-US"/>
              </w:rPr>
            </w:pPr>
            <w:r>
              <w:rPr>
                <w:color w:val="0D0D0D" w:themeColor="text1" w:themeTint="F2"/>
                <w:spacing w:val="-5"/>
                <w:sz w:val="14"/>
                <w:szCs w:val="14"/>
                <w:lang w:eastAsia="en-US"/>
              </w:rPr>
              <w:t>*Saldo důvěry podnikatelů i bariéry růstu jsou sezónně očištěny a vyjadřují stav ve druhém měsíci daného čtvrtletí. Podniky mohly uvést více hlavních bariér současně.                                                                                                                                Zdroj: ČSÚ, Eurostat</w:t>
            </w:r>
          </w:p>
        </w:tc>
      </w:tr>
      <w:tr w:rsidR="000C004E" w14:paraId="0C1A572E" w14:textId="77777777" w:rsidTr="000C004E">
        <w:trPr>
          <w:trHeight w:val="145"/>
        </w:trPr>
        <w:tc>
          <w:tcPr>
            <w:tcW w:w="1814" w:type="dxa"/>
          </w:tcPr>
          <w:p w14:paraId="06F4732A" w14:textId="77777777" w:rsidR="000C004E" w:rsidRDefault="000C004E">
            <w:pPr>
              <w:pStyle w:val="Marginlie"/>
              <w:rPr>
                <w:color w:val="0D0D0D" w:themeColor="text1" w:themeTint="F2"/>
                <w:spacing w:val="-4"/>
                <w:lang w:eastAsia="en-US"/>
              </w:rPr>
            </w:pPr>
            <w:r>
              <w:rPr>
                <w:color w:val="0D0D0D" w:themeColor="text1" w:themeTint="F2"/>
                <w:spacing w:val="-4"/>
                <w:lang w:eastAsia="en-US"/>
              </w:rPr>
              <w:lastRenderedPageBreak/>
              <w:t>Důvěra podnikatelů ve stavebnictví dosáhla letos na jaře bezmála tříletého maxima.</w:t>
            </w:r>
          </w:p>
          <w:p w14:paraId="6AF2B612" w14:textId="77777777" w:rsidR="000C004E" w:rsidRDefault="000C004E">
            <w:pPr>
              <w:pStyle w:val="Marginlie"/>
              <w:rPr>
                <w:color w:val="0D0D0D" w:themeColor="text1" w:themeTint="F2"/>
                <w:spacing w:val="-4"/>
                <w:lang w:eastAsia="en-US"/>
              </w:rPr>
            </w:pPr>
          </w:p>
          <w:p w14:paraId="7C3FC9FF" w14:textId="77777777" w:rsidR="000C004E" w:rsidRDefault="000C004E">
            <w:pPr>
              <w:pStyle w:val="Marginlie"/>
              <w:rPr>
                <w:color w:val="0D0D0D" w:themeColor="text1" w:themeTint="F2"/>
                <w:spacing w:val="-4"/>
                <w:lang w:eastAsia="en-US"/>
              </w:rPr>
            </w:pPr>
          </w:p>
          <w:p w14:paraId="36352669" w14:textId="77777777" w:rsidR="000C004E" w:rsidRDefault="000C004E">
            <w:pPr>
              <w:pStyle w:val="Marginlie"/>
              <w:rPr>
                <w:color w:val="0D0D0D" w:themeColor="text1" w:themeTint="F2"/>
                <w:spacing w:val="-4"/>
                <w:lang w:eastAsia="en-US"/>
              </w:rPr>
            </w:pPr>
          </w:p>
          <w:p w14:paraId="300F5DD7" w14:textId="77777777" w:rsidR="000C004E" w:rsidRDefault="000C004E">
            <w:pPr>
              <w:pStyle w:val="Marginlie"/>
              <w:rPr>
                <w:color w:val="0D0D0D" w:themeColor="text1" w:themeTint="F2"/>
                <w:spacing w:val="-4"/>
                <w:lang w:eastAsia="en-US"/>
              </w:rPr>
            </w:pPr>
            <w:r>
              <w:rPr>
                <w:color w:val="0D0D0D" w:themeColor="text1" w:themeTint="F2"/>
                <w:spacing w:val="-4"/>
                <w:lang w:eastAsia="en-US"/>
              </w:rPr>
              <w:t>Růstovými bariérami nejvíce trpí podniky v oblasti výstavba budov.</w:t>
            </w:r>
          </w:p>
          <w:p w14:paraId="588FD6D2" w14:textId="77777777" w:rsidR="000C004E" w:rsidRDefault="000C004E">
            <w:pPr>
              <w:pStyle w:val="Marginlie"/>
              <w:spacing w:after="240"/>
              <w:rPr>
                <w:color w:val="0D0D0D" w:themeColor="text1" w:themeTint="F2"/>
                <w:spacing w:val="-4"/>
                <w:lang w:eastAsia="en-US"/>
              </w:rPr>
            </w:pPr>
          </w:p>
        </w:tc>
        <w:tc>
          <w:tcPr>
            <w:tcW w:w="201" w:type="dxa"/>
          </w:tcPr>
          <w:p w14:paraId="21312EB3" w14:textId="77777777" w:rsidR="000C004E" w:rsidRDefault="000C004E">
            <w:pPr>
              <w:pStyle w:val="Textpoznpodarou"/>
              <w:spacing w:after="240"/>
              <w:jc w:val="both"/>
              <w:rPr>
                <w:spacing w:val="-4"/>
                <w:lang w:eastAsia="en-US"/>
              </w:rPr>
            </w:pPr>
          </w:p>
        </w:tc>
        <w:tc>
          <w:tcPr>
            <w:tcW w:w="7722" w:type="dxa"/>
            <w:hideMark/>
          </w:tcPr>
          <w:p w14:paraId="76D95EE4" w14:textId="77777777" w:rsidR="000C004E" w:rsidRDefault="000C004E">
            <w:pPr>
              <w:spacing w:after="200"/>
              <w:rPr>
                <w:color w:val="0D0D0D" w:themeColor="text1" w:themeTint="F2"/>
                <w:spacing w:val="-5"/>
                <w:sz w:val="14"/>
                <w:szCs w:val="14"/>
                <w:lang w:eastAsia="en-US"/>
              </w:rPr>
            </w:pPr>
            <w:r>
              <w:rPr>
                <w:color w:val="0D0D0D" w:themeColor="text1" w:themeTint="F2"/>
                <w:spacing w:val="-4"/>
                <w:lang w:eastAsia="en-US"/>
              </w:rPr>
              <w:t>P</w:t>
            </w:r>
            <w:r>
              <w:rPr>
                <w:rStyle w:val="normaltextrun"/>
                <w:rFonts w:eastAsiaTheme="majorEastAsia" w:cs="Arial"/>
                <w:spacing w:val="-4"/>
                <w:szCs w:val="20"/>
                <w:lang w:eastAsia="en-US"/>
              </w:rPr>
              <w:t xml:space="preserve">esimismus podnikatelů ve stavebnictví se od konce loňského léta zmírňoval. V dubnu </w:t>
            </w:r>
            <w:r>
              <w:rPr>
                <w:rStyle w:val="normaltextrun"/>
                <w:rFonts w:eastAsiaTheme="majorEastAsia" w:cs="Arial"/>
                <w:spacing w:val="-5"/>
                <w:szCs w:val="20"/>
                <w:lang w:eastAsia="en-US"/>
              </w:rPr>
              <w:t xml:space="preserve">2025 vystoupala jejich důvěra na bezmála tříleté maximum (saldo </w:t>
            </w:r>
            <w:r>
              <w:rPr>
                <w:color w:val="0D0D0D" w:themeColor="text1" w:themeTint="F2"/>
                <w:spacing w:val="-5"/>
                <w:lang w:eastAsia="en-US"/>
              </w:rPr>
              <w:t>−</w:t>
            </w:r>
            <w:r>
              <w:rPr>
                <w:rStyle w:val="normaltextrun"/>
                <w:rFonts w:eastAsiaTheme="majorEastAsia" w:cs="Arial"/>
                <w:spacing w:val="-5"/>
                <w:szCs w:val="20"/>
                <w:lang w:eastAsia="en-US"/>
              </w:rPr>
              <w:t>2,5 body) a z tohoto vývoje následně významně nevybočil ani květen. Firmy sice hodnotí aktuální poptávku stále nepříznivě (čtvrtina z nich ji považuje za nedostatečnou), avšak v očekáváních na nejbližší měsíce převládá mírný optimismus ohledně růstu stavební činnosti, zaměstnanosti</w:t>
            </w:r>
            <w:r>
              <w:rPr>
                <w:rStyle w:val="Znakapoznpodarou"/>
                <w:rFonts w:eastAsiaTheme="majorEastAsia"/>
                <w:spacing w:val="-5"/>
                <w:szCs w:val="20"/>
                <w:lang w:eastAsia="en-US"/>
              </w:rPr>
              <w:footnoteReference w:id="19"/>
            </w:r>
            <w:r>
              <w:rPr>
                <w:rStyle w:val="normaltextrun"/>
                <w:rFonts w:eastAsiaTheme="majorEastAsia" w:cs="Arial"/>
                <w:spacing w:val="-5"/>
                <w:szCs w:val="20"/>
                <w:lang w:eastAsia="en-US"/>
              </w:rPr>
              <w:t xml:space="preserve"> i vlastní ekonomické situace podniku. </w:t>
            </w:r>
            <w:r>
              <w:rPr>
                <w:rStyle w:val="normaltextrun"/>
                <w:rFonts w:eastAsiaTheme="majorEastAsia" w:cs="Arial"/>
                <w:szCs w:val="20"/>
                <w:lang w:eastAsia="en-US"/>
              </w:rPr>
              <w:t>Klíčovou bariérou růstu odvětví s výrazným předstihem zůstává nedostatek (zejména kvalifikovaných) pracovníků (jako jednu z bariér ji uvedla polovina firem, podobně jako loni v</w:t>
            </w:r>
            <w:r>
              <w:rPr>
                <w:rStyle w:val="normaltextrun"/>
                <w:rFonts w:eastAsiaTheme="majorEastAsia" w:cs="Arial"/>
                <w:lang w:eastAsia="en-US"/>
              </w:rPr>
              <w:t xml:space="preserve"> </w:t>
            </w:r>
            <w:r>
              <w:rPr>
                <w:rStyle w:val="normaltextrun"/>
                <w:rFonts w:eastAsiaTheme="majorEastAsia" w:cs="Arial"/>
                <w:szCs w:val="20"/>
                <w:lang w:eastAsia="en-US"/>
              </w:rPr>
              <w:t>květnu). Nedostatečná poptávka pak limitovala třetinu podniků (stejně jako u nedostatku pracovníků trápila nejvíce podniky v segmentu výstavby budov).</w:t>
            </w:r>
          </w:p>
        </w:tc>
      </w:tr>
      <w:tr w:rsidR="000C004E" w14:paraId="380D1F1C" w14:textId="77777777" w:rsidTr="000C004E">
        <w:trPr>
          <w:trHeight w:val="145"/>
        </w:trPr>
        <w:tc>
          <w:tcPr>
            <w:tcW w:w="1814" w:type="dxa"/>
          </w:tcPr>
          <w:p w14:paraId="698F270C" w14:textId="77777777" w:rsidR="000C004E" w:rsidRDefault="000C004E">
            <w:pPr>
              <w:pStyle w:val="Marginlie"/>
              <w:rPr>
                <w:color w:val="0D0D0D" w:themeColor="text1" w:themeTint="F2"/>
                <w:spacing w:val="-4"/>
                <w:lang w:eastAsia="en-US"/>
              </w:rPr>
            </w:pPr>
            <w:r>
              <w:rPr>
                <w:color w:val="0D0D0D" w:themeColor="text1" w:themeTint="F2"/>
                <w:spacing w:val="-4"/>
                <w:lang w:eastAsia="en-US"/>
              </w:rPr>
              <w:t>Mezikvartální růst tržeb ve službách na počátku letošního roku zrychlil.</w:t>
            </w:r>
          </w:p>
          <w:p w14:paraId="33D9DF10" w14:textId="77777777" w:rsidR="000C004E" w:rsidRDefault="000C004E">
            <w:pPr>
              <w:pStyle w:val="Marginlie"/>
              <w:spacing w:after="240"/>
              <w:rPr>
                <w:color w:val="0D0D0D" w:themeColor="text1" w:themeTint="F2"/>
                <w:spacing w:val="-4"/>
                <w:lang w:eastAsia="en-US"/>
              </w:rPr>
            </w:pPr>
          </w:p>
        </w:tc>
        <w:tc>
          <w:tcPr>
            <w:tcW w:w="201" w:type="dxa"/>
          </w:tcPr>
          <w:p w14:paraId="484F2B46" w14:textId="77777777" w:rsidR="000C004E" w:rsidRDefault="000C004E">
            <w:pPr>
              <w:pStyle w:val="Textpoznpodarou"/>
              <w:spacing w:after="240"/>
              <w:jc w:val="both"/>
              <w:rPr>
                <w:spacing w:val="-4"/>
                <w:lang w:eastAsia="en-US"/>
              </w:rPr>
            </w:pPr>
          </w:p>
        </w:tc>
        <w:tc>
          <w:tcPr>
            <w:tcW w:w="7722" w:type="dxa"/>
            <w:hideMark/>
          </w:tcPr>
          <w:p w14:paraId="203BFAB1" w14:textId="77777777" w:rsidR="000C004E" w:rsidRDefault="000C004E">
            <w:pPr>
              <w:spacing w:after="220"/>
              <w:rPr>
                <w:color w:val="0D0D0D" w:themeColor="text1" w:themeTint="F2"/>
                <w:spacing w:val="-5"/>
                <w:sz w:val="14"/>
                <w:szCs w:val="14"/>
                <w:lang w:eastAsia="en-US"/>
              </w:rPr>
            </w:pPr>
            <w:r>
              <w:rPr>
                <w:color w:val="0D0D0D" w:themeColor="text1" w:themeTint="F2"/>
                <w:spacing w:val="-6"/>
                <w:lang w:eastAsia="en-US"/>
              </w:rPr>
              <w:t xml:space="preserve">Na přelomu let 2023 a 2024 nastal pozitivní obrat poptávky po službách a tento příznivý vývoj pokračoval i na počátku letošního roku. </w:t>
            </w:r>
            <w:r>
              <w:rPr>
                <w:color w:val="0D0D0D" w:themeColor="text1" w:themeTint="F2"/>
                <w:spacing w:val="-4"/>
                <w:lang w:eastAsia="en-US"/>
              </w:rPr>
              <w:t xml:space="preserve">Stabilizace hladiny spotřebitelských cen pomohla opět nastartovat růst reálných mezd zaměstnanců, což se odrazilo v příznivější finanční situaci domácností a následně stimulovalo jejich spotřebu. Na služby působila pozitivně i mírně rostoucí podniková poptávka. Mezikvartální růst </w:t>
            </w:r>
            <w:r>
              <w:rPr>
                <w:rFonts w:cs="Arial"/>
                <w:color w:val="0D0D0D" w:themeColor="text1" w:themeTint="F2"/>
                <w:spacing w:val="-6"/>
                <w:lang w:eastAsia="en-US"/>
              </w:rPr>
              <w:t>tržeb ve službách</w:t>
            </w:r>
            <w:r>
              <w:rPr>
                <w:color w:val="0D0D0D" w:themeColor="text1" w:themeTint="F2"/>
                <w:spacing w:val="-6"/>
                <w:vertAlign w:val="superscript"/>
                <w:lang w:eastAsia="en-US"/>
              </w:rPr>
              <w:footnoteReference w:id="20"/>
            </w:r>
            <w:r>
              <w:rPr>
                <w:rFonts w:cs="Arial"/>
                <w:color w:val="0D0D0D" w:themeColor="text1" w:themeTint="F2"/>
                <w:spacing w:val="-6"/>
                <w:lang w:eastAsia="en-US"/>
              </w:rPr>
              <w:t xml:space="preserve"> na počátku letošního roku zrychlil (na 1,8 %, nejvíce od poloviny roku 2022), především zásluhou dopravy a skladování a také informačních a komunikačních činností a také některé ze sofistikovanějších podnikových služeb. Celkové tržby ve službách se tak aktuálně nacházely mírně nad úrovní z vrcholu předpandemické konjuktury</w:t>
            </w:r>
            <w:r>
              <w:rPr>
                <w:rStyle w:val="Znakapoznpodarou"/>
                <w:color w:val="0D0D0D" w:themeColor="text1" w:themeTint="F2"/>
                <w:spacing w:val="-6"/>
                <w:lang w:eastAsia="en-US"/>
              </w:rPr>
              <w:footnoteReference w:id="21"/>
            </w:r>
            <w:r>
              <w:rPr>
                <w:rFonts w:cs="Arial"/>
                <w:color w:val="0D0D0D" w:themeColor="text1" w:themeTint="F2"/>
                <w:spacing w:val="-6"/>
                <w:lang w:eastAsia="en-US"/>
              </w:rPr>
              <w:t>.</w:t>
            </w:r>
          </w:p>
        </w:tc>
      </w:tr>
      <w:tr w:rsidR="000C004E" w14:paraId="55310A5D" w14:textId="77777777" w:rsidTr="000C004E">
        <w:trPr>
          <w:trHeight w:val="170"/>
        </w:trPr>
        <w:tc>
          <w:tcPr>
            <w:tcW w:w="1814" w:type="dxa"/>
          </w:tcPr>
          <w:p w14:paraId="6A6F4199" w14:textId="77777777" w:rsidR="000C004E" w:rsidRDefault="000C004E">
            <w:pPr>
              <w:pStyle w:val="Marginlie"/>
              <w:rPr>
                <w:lang w:eastAsia="en-US"/>
              </w:rPr>
            </w:pPr>
          </w:p>
        </w:tc>
        <w:tc>
          <w:tcPr>
            <w:tcW w:w="201" w:type="dxa"/>
          </w:tcPr>
          <w:p w14:paraId="49346EE9" w14:textId="77777777" w:rsidR="000C004E" w:rsidRDefault="000C004E">
            <w:pPr>
              <w:pStyle w:val="Textpoznpodarou"/>
              <w:jc w:val="both"/>
              <w:rPr>
                <w:spacing w:val="-4"/>
                <w:lang w:eastAsia="en-US"/>
              </w:rPr>
            </w:pPr>
          </w:p>
        </w:tc>
        <w:tc>
          <w:tcPr>
            <w:tcW w:w="7722" w:type="dxa"/>
            <w:hideMark/>
          </w:tcPr>
          <w:p w14:paraId="7B8FC2CC" w14:textId="77777777" w:rsidR="000C004E" w:rsidRDefault="000C004E">
            <w:pPr>
              <w:spacing w:after="40"/>
              <w:rPr>
                <w:b/>
                <w:spacing w:val="-4"/>
                <w:lang w:eastAsia="en-US"/>
              </w:rPr>
            </w:pPr>
            <w:r>
              <w:rPr>
                <w:b/>
                <w:spacing w:val="-4"/>
                <w:lang w:eastAsia="en-US"/>
              </w:rPr>
              <w:t xml:space="preserve">Graf č. 7 </w:t>
            </w:r>
            <w:r>
              <w:rPr>
                <w:b/>
                <w:bCs/>
                <w:spacing w:val="-4"/>
                <w:lang w:eastAsia="en-US"/>
              </w:rPr>
              <w:t>Příspěvky dílčích odvětví k meziroční změně tržeb ve službách*</w:t>
            </w:r>
            <w:r>
              <w:rPr>
                <w:b/>
                <w:spacing w:val="-4"/>
                <w:lang w:eastAsia="en-US"/>
              </w:rPr>
              <w:br/>
            </w:r>
            <w:r>
              <w:rPr>
                <w:spacing w:val="-4"/>
                <w:lang w:eastAsia="en-US"/>
              </w:rPr>
              <w:t>(reálně, v p. b),</w:t>
            </w:r>
            <w:r>
              <w:rPr>
                <w:b/>
                <w:spacing w:val="-4"/>
                <w:lang w:eastAsia="en-US"/>
              </w:rPr>
              <w:t xml:space="preserve"> </w:t>
            </w:r>
            <w:r>
              <w:rPr>
                <w:b/>
                <w:bCs/>
                <w:spacing w:val="-4"/>
                <w:lang w:eastAsia="en-US"/>
              </w:rPr>
              <w:t xml:space="preserve">celkové tržby ve službách* </w:t>
            </w:r>
            <w:r>
              <w:rPr>
                <w:spacing w:val="-4"/>
                <w:lang w:eastAsia="en-US"/>
              </w:rPr>
              <w:t>(báze 2021=100, pravá osa),</w:t>
            </w:r>
            <w:r>
              <w:rPr>
                <w:b/>
                <w:spacing w:val="-4"/>
                <w:lang w:eastAsia="en-US"/>
              </w:rPr>
              <w:t xml:space="preserve"> </w:t>
            </w:r>
            <w:r>
              <w:rPr>
                <w:b/>
                <w:bCs/>
                <w:spacing w:val="-4"/>
                <w:lang w:eastAsia="en-US"/>
              </w:rPr>
              <w:t>saldo důvěry podnikatelů ve službách**</w:t>
            </w:r>
            <w:r>
              <w:rPr>
                <w:b/>
                <w:spacing w:val="-4"/>
                <w:lang w:eastAsia="en-US"/>
              </w:rPr>
              <w:t xml:space="preserve"> </w:t>
            </w:r>
            <w:r>
              <w:rPr>
                <w:spacing w:val="-4"/>
                <w:lang w:eastAsia="en-US"/>
              </w:rPr>
              <w:t>(v p. b., pravá osa)</w:t>
            </w:r>
            <w:r>
              <w:rPr>
                <w:b/>
                <w:bCs/>
                <w:spacing w:val="-4"/>
                <w:lang w:eastAsia="en-US"/>
              </w:rPr>
              <w:t xml:space="preserve"> a bariéry růstu**</w:t>
            </w:r>
            <w:r>
              <w:rPr>
                <w:b/>
                <w:spacing w:val="-4"/>
                <w:lang w:eastAsia="en-US"/>
              </w:rPr>
              <w:t xml:space="preserve"> </w:t>
            </w:r>
            <w:r>
              <w:rPr>
                <w:spacing w:val="-4"/>
                <w:lang w:eastAsia="en-US"/>
              </w:rPr>
              <w:t xml:space="preserve">(v %, pravá osa) </w:t>
            </w:r>
          </w:p>
        </w:tc>
      </w:tr>
      <w:tr w:rsidR="000C004E" w14:paraId="7249FCB1" w14:textId="77777777" w:rsidTr="000C004E">
        <w:trPr>
          <w:trHeight w:val="170"/>
        </w:trPr>
        <w:tc>
          <w:tcPr>
            <w:tcW w:w="1814" w:type="dxa"/>
            <w:tcMar>
              <w:top w:w="0" w:type="dxa"/>
              <w:left w:w="70" w:type="dxa"/>
              <w:bottom w:w="0" w:type="dxa"/>
              <w:right w:w="70" w:type="dxa"/>
            </w:tcMar>
          </w:tcPr>
          <w:p w14:paraId="55676E2C" w14:textId="77777777" w:rsidR="000C004E" w:rsidRDefault="000C004E">
            <w:pPr>
              <w:pStyle w:val="Marginlie"/>
              <w:rPr>
                <w:lang w:eastAsia="en-US"/>
              </w:rPr>
            </w:pPr>
          </w:p>
        </w:tc>
        <w:tc>
          <w:tcPr>
            <w:tcW w:w="201" w:type="dxa"/>
            <w:tcMar>
              <w:top w:w="0" w:type="dxa"/>
              <w:left w:w="70" w:type="dxa"/>
              <w:bottom w:w="0" w:type="dxa"/>
              <w:right w:w="70" w:type="dxa"/>
            </w:tcMar>
          </w:tcPr>
          <w:p w14:paraId="7BFA6665" w14:textId="77777777" w:rsidR="000C004E" w:rsidRDefault="000C004E">
            <w:pPr>
              <w:pStyle w:val="Textpoznpodarou"/>
              <w:jc w:val="both"/>
              <w:rPr>
                <w:spacing w:val="-4"/>
                <w:lang w:eastAsia="en-US"/>
              </w:rPr>
            </w:pPr>
          </w:p>
        </w:tc>
        <w:tc>
          <w:tcPr>
            <w:tcW w:w="7722" w:type="dxa"/>
            <w:tcMar>
              <w:top w:w="0" w:type="dxa"/>
              <w:left w:w="70" w:type="dxa"/>
              <w:bottom w:w="0" w:type="dxa"/>
              <w:right w:w="70" w:type="dxa"/>
            </w:tcMar>
            <w:hideMark/>
          </w:tcPr>
          <w:p w14:paraId="50373DC8" w14:textId="54564A9F" w:rsidR="000C004E" w:rsidRDefault="000C004E">
            <w:pPr>
              <w:spacing w:before="40" w:after="40"/>
              <w:rPr>
                <w:rFonts w:cs="Arial"/>
                <w:sz w:val="14"/>
                <w:szCs w:val="14"/>
                <w:lang w:eastAsia="en-US"/>
              </w:rPr>
            </w:pPr>
            <w:r>
              <w:rPr>
                <w:noProof/>
              </w:rPr>
              <w:drawing>
                <wp:inline distT="0" distB="0" distL="0" distR="0" wp14:anchorId="752B9318" wp14:editId="63DDF03D">
                  <wp:extent cx="4781550" cy="3495675"/>
                  <wp:effectExtent l="0" t="0" r="0" b="0"/>
                  <wp:docPr id="32" name="Graf 32">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0C004E" w14:paraId="0CEC78DC" w14:textId="77777777" w:rsidTr="000C004E">
        <w:trPr>
          <w:trHeight w:val="170"/>
        </w:trPr>
        <w:tc>
          <w:tcPr>
            <w:tcW w:w="1814" w:type="dxa"/>
          </w:tcPr>
          <w:p w14:paraId="1B7006BE" w14:textId="77777777" w:rsidR="000C004E" w:rsidRDefault="000C004E">
            <w:pPr>
              <w:pStyle w:val="Marginlie"/>
              <w:rPr>
                <w:lang w:eastAsia="en-US"/>
              </w:rPr>
            </w:pPr>
          </w:p>
        </w:tc>
        <w:tc>
          <w:tcPr>
            <w:tcW w:w="201" w:type="dxa"/>
          </w:tcPr>
          <w:p w14:paraId="33BF64FD" w14:textId="77777777" w:rsidR="000C004E" w:rsidRDefault="000C004E">
            <w:pPr>
              <w:pStyle w:val="Textpoznpodarou"/>
              <w:jc w:val="both"/>
              <w:rPr>
                <w:spacing w:val="-4"/>
                <w:lang w:eastAsia="en-US"/>
              </w:rPr>
            </w:pPr>
          </w:p>
        </w:tc>
        <w:tc>
          <w:tcPr>
            <w:tcW w:w="7722" w:type="dxa"/>
            <w:hideMark/>
          </w:tcPr>
          <w:p w14:paraId="50922011" w14:textId="77777777" w:rsidR="000C004E" w:rsidRDefault="000C004E">
            <w:pPr>
              <w:spacing w:after="0" w:line="240" w:lineRule="auto"/>
              <w:rPr>
                <w:rFonts w:cs="Arial"/>
                <w:spacing w:val="-4"/>
                <w:sz w:val="14"/>
                <w:szCs w:val="14"/>
                <w:lang w:eastAsia="en-US"/>
              </w:rPr>
            </w:pPr>
            <w:r>
              <w:rPr>
                <w:rFonts w:cs="Arial"/>
                <w:spacing w:val="-4"/>
                <w:sz w:val="14"/>
                <w:szCs w:val="14"/>
                <w:lang w:eastAsia="en-US"/>
              </w:rPr>
              <w:t>Poznámka: všechny údaje jsou sezónně očištěny, pouze příspěvky dílčích odvětví k růstu tržeb jsou očištěny jen o kalendářní vlivy.</w:t>
            </w:r>
          </w:p>
          <w:p w14:paraId="10E50412" w14:textId="77777777" w:rsidR="000C004E" w:rsidRDefault="000C004E">
            <w:pPr>
              <w:spacing w:after="0" w:line="240" w:lineRule="auto"/>
              <w:rPr>
                <w:rFonts w:cs="Arial"/>
                <w:sz w:val="14"/>
                <w:szCs w:val="14"/>
                <w:lang w:eastAsia="en-US"/>
              </w:rPr>
            </w:pPr>
            <w:r>
              <w:rPr>
                <w:rFonts w:cs="Arial"/>
                <w:sz w:val="14"/>
                <w:szCs w:val="14"/>
                <w:lang w:eastAsia="en-US"/>
              </w:rPr>
              <w:t>*Bez odvětví obchodu, peněžnictví, pojišťovnictví, vědy, výzkumu a veřejných služeb.</w:t>
            </w:r>
          </w:p>
          <w:p w14:paraId="3CD9DC7D" w14:textId="77777777" w:rsidR="000C004E" w:rsidRDefault="000C004E">
            <w:pPr>
              <w:spacing w:after="0" w:line="240" w:lineRule="auto"/>
              <w:rPr>
                <w:rFonts w:cs="Arial"/>
                <w:sz w:val="14"/>
                <w:szCs w:val="14"/>
                <w:lang w:eastAsia="en-US"/>
              </w:rPr>
            </w:pPr>
            <w:r>
              <w:rPr>
                <w:rFonts w:cs="Arial"/>
                <w:sz w:val="14"/>
                <w:szCs w:val="14"/>
                <w:lang w:eastAsia="en-US"/>
              </w:rPr>
              <w:t>.**</w:t>
            </w:r>
            <w:r>
              <w:rPr>
                <w:rFonts w:cs="Arial"/>
                <w:spacing w:val="-2"/>
                <w:sz w:val="14"/>
                <w:szCs w:val="14"/>
                <w:lang w:eastAsia="en-US"/>
              </w:rPr>
              <w:t xml:space="preserve">Zahrnuje i finanční sektor. Saldo důvěry podnikatelů i bariéry růstu vyjadřují stav v prvním (bariéry růstu), resp. ve druhém měsíci daného čtvrtletí (saldo důvěry). </w:t>
            </w:r>
            <w:r>
              <w:rPr>
                <w:rFonts w:cs="Arial"/>
                <w:sz w:val="14"/>
                <w:szCs w:val="14"/>
                <w:lang w:eastAsia="en-US"/>
              </w:rPr>
              <w:t>Podniky mohly uvést více hlavních bariér současně.                        Zdroj: ČSÚ, Eurostat</w:t>
            </w:r>
          </w:p>
        </w:tc>
      </w:tr>
      <w:tr w:rsidR="000C004E" w14:paraId="370C5A9F" w14:textId="77777777" w:rsidTr="000C004E">
        <w:trPr>
          <w:trHeight w:val="155"/>
        </w:trPr>
        <w:tc>
          <w:tcPr>
            <w:tcW w:w="1814" w:type="dxa"/>
            <w:hideMark/>
          </w:tcPr>
          <w:p w14:paraId="66E55467" w14:textId="77777777" w:rsidR="000C004E" w:rsidRDefault="000C004E">
            <w:pPr>
              <w:pStyle w:val="Marginlie"/>
              <w:rPr>
                <w:lang w:eastAsia="en-US"/>
              </w:rPr>
            </w:pPr>
            <w:r>
              <w:rPr>
                <w:lang w:eastAsia="en-US"/>
              </w:rPr>
              <w:lastRenderedPageBreak/>
              <w:t>Meziroční růst tržeb odrážel zejména výraznější oživení poptávky v oblasti ICT.</w:t>
            </w:r>
          </w:p>
        </w:tc>
        <w:tc>
          <w:tcPr>
            <w:tcW w:w="201" w:type="dxa"/>
          </w:tcPr>
          <w:p w14:paraId="06E3F460" w14:textId="77777777" w:rsidR="000C004E" w:rsidRDefault="000C004E">
            <w:pPr>
              <w:pStyle w:val="Textpoznpodarou"/>
              <w:jc w:val="both"/>
              <w:rPr>
                <w:spacing w:val="-4"/>
                <w:lang w:eastAsia="en-US"/>
              </w:rPr>
            </w:pPr>
          </w:p>
        </w:tc>
        <w:tc>
          <w:tcPr>
            <w:tcW w:w="7722" w:type="dxa"/>
            <w:hideMark/>
          </w:tcPr>
          <w:p w14:paraId="7222AB23" w14:textId="77777777" w:rsidR="000C004E" w:rsidRDefault="000C004E">
            <w:pPr>
              <w:spacing w:after="200"/>
              <w:rPr>
                <w:b/>
                <w:lang w:eastAsia="en-US"/>
              </w:rPr>
            </w:pPr>
            <w:r>
              <w:rPr>
                <w:bCs/>
                <w:lang w:eastAsia="en-US"/>
              </w:rPr>
              <w:t xml:space="preserve">Celkové </w:t>
            </w:r>
            <w:r>
              <w:rPr>
                <w:bCs/>
                <w:color w:val="0D0D0D" w:themeColor="text1" w:themeTint="F2"/>
                <w:spacing w:val="-6"/>
                <w:lang w:eastAsia="en-US"/>
              </w:rPr>
              <w:t>tržby</w:t>
            </w:r>
            <w:r>
              <w:rPr>
                <w:color w:val="0D0D0D" w:themeColor="text1" w:themeTint="F2"/>
                <w:spacing w:val="-6"/>
                <w:lang w:eastAsia="en-US"/>
              </w:rPr>
              <w:t xml:space="preserve"> ve službách se letos v 1. čtvrtletí zvedly meziročně o 3,1 %, tedy nejvyšším tempem od konce roku 2022. Na tomto růstu se nejvíce podílely informační a komunikační činnosti (příspěvek +1,1 p. b., růst odvětví +4,5 %). Oblast ICT profitovala zejména z výrazného oživení výkonu telekomunikací (+10,9 %), svižně však rostly i tržby vydavatelským činnostem (zejména v oblasti SW) a také </w:t>
            </w:r>
            <w:r>
              <w:rPr>
                <w:rFonts w:cs="Arial"/>
                <w:color w:val="0D0D0D" w:themeColor="text1" w:themeTint="F2"/>
                <w:spacing w:val="-6"/>
                <w:lang w:eastAsia="en-US"/>
              </w:rPr>
              <w:t>informačním činnostem</w:t>
            </w:r>
            <w:r>
              <w:rPr>
                <w:rStyle w:val="Znakapoznpodarou"/>
                <w:color w:val="0D0D0D" w:themeColor="text1" w:themeTint="F2"/>
                <w:spacing w:val="-6"/>
                <w:lang w:eastAsia="en-US"/>
              </w:rPr>
              <w:footnoteReference w:id="22"/>
            </w:r>
            <w:r>
              <w:rPr>
                <w:rFonts w:cs="Arial"/>
                <w:color w:val="0D0D0D" w:themeColor="text1" w:themeTint="F2"/>
                <w:spacing w:val="-6"/>
                <w:lang w:eastAsia="en-US"/>
              </w:rPr>
              <w:t>. V dlouhodobě se rozvíjejících činnostech v oblasti IT</w:t>
            </w:r>
            <w:r>
              <w:rPr>
                <w:rStyle w:val="Znakapoznpodarou"/>
                <w:color w:val="0D0D0D" w:themeColor="text1" w:themeTint="F2"/>
                <w:spacing w:val="-6"/>
                <w:lang w:eastAsia="en-US"/>
              </w:rPr>
              <w:footnoteReference w:id="23"/>
            </w:r>
            <w:r>
              <w:rPr>
                <w:rFonts w:cs="Arial"/>
                <w:color w:val="0D0D0D" w:themeColor="text1" w:themeTint="F2"/>
                <w:spacing w:val="-6"/>
                <w:lang w:eastAsia="en-US"/>
              </w:rPr>
              <w:t xml:space="preserve"> rostly sice letos tržby skromněji (+2,2 %), ovšem oproti počátku roku 2019 byly vyšší o 30 %. Ve váhově okrajovém segmentu tzv. filmového a hudebního průmyslu po loňském propadu</w:t>
            </w:r>
            <w:r>
              <w:rPr>
                <w:rStyle w:val="Znakapoznpodarou"/>
                <w:color w:val="0D0D0D" w:themeColor="text1" w:themeTint="F2"/>
                <w:spacing w:val="-6"/>
                <w:lang w:eastAsia="en-US"/>
              </w:rPr>
              <w:footnoteReference w:id="24"/>
            </w:r>
            <w:r>
              <w:rPr>
                <w:rFonts w:cs="Arial"/>
                <w:color w:val="0D0D0D" w:themeColor="text1" w:themeTint="F2"/>
                <w:spacing w:val="-6"/>
                <w:lang w:eastAsia="en-US"/>
              </w:rPr>
              <w:t xml:space="preserve"> letos tržby stagnovaly. Pokles poptávky související s vlivem vyšší loňské základny postihl aktuálně pouze tvorbu rozhlasových a televizních programů a vysílání. V tomto malém segmentu ICT je tradičně vývoj tržeb více volatilní. </w:t>
            </w:r>
          </w:p>
        </w:tc>
      </w:tr>
      <w:tr w:rsidR="000C004E" w14:paraId="25C39443" w14:textId="77777777" w:rsidTr="000C004E">
        <w:trPr>
          <w:trHeight w:val="155"/>
        </w:trPr>
        <w:tc>
          <w:tcPr>
            <w:tcW w:w="1814" w:type="dxa"/>
            <w:hideMark/>
          </w:tcPr>
          <w:p w14:paraId="6FFD57CE" w14:textId="77777777" w:rsidR="000C004E" w:rsidRDefault="000C004E">
            <w:pPr>
              <w:pStyle w:val="Marginlie"/>
              <w:rPr>
                <w:rFonts w:cs="Arial"/>
                <w:color w:val="0D0D0D" w:themeColor="text1" w:themeTint="F2"/>
                <w:spacing w:val="-4"/>
                <w:lang w:eastAsia="en-US"/>
              </w:rPr>
            </w:pPr>
            <w:r>
              <w:rPr>
                <w:rFonts w:cs="Arial"/>
                <w:color w:val="0D0D0D" w:themeColor="text1" w:themeTint="F2"/>
                <w:spacing w:val="-4"/>
                <w:lang w:eastAsia="en-US"/>
              </w:rPr>
              <w:t>Růst poptávky po sofistikovanějších službách pro podniky zrychlil zejména díky činnostem vedení podniků a poradenství v oblasti řízení. Naopak slabší poptávka přetrvávala u reklamy.</w:t>
            </w:r>
          </w:p>
        </w:tc>
        <w:tc>
          <w:tcPr>
            <w:tcW w:w="201" w:type="dxa"/>
          </w:tcPr>
          <w:p w14:paraId="651E7611" w14:textId="77777777" w:rsidR="000C004E" w:rsidRDefault="000C004E">
            <w:pPr>
              <w:pStyle w:val="Textpoznpodarou"/>
              <w:jc w:val="both"/>
              <w:rPr>
                <w:spacing w:val="-4"/>
                <w:lang w:eastAsia="en-US"/>
              </w:rPr>
            </w:pPr>
          </w:p>
        </w:tc>
        <w:tc>
          <w:tcPr>
            <w:tcW w:w="7722" w:type="dxa"/>
            <w:hideMark/>
          </w:tcPr>
          <w:p w14:paraId="5CA44A4F" w14:textId="77777777" w:rsidR="000C004E" w:rsidRDefault="000C004E">
            <w:pPr>
              <w:spacing w:after="200"/>
              <w:rPr>
                <w:color w:val="0D0D0D" w:themeColor="text1" w:themeTint="F2"/>
                <w:spacing w:val="-4"/>
                <w:lang w:eastAsia="en-US"/>
              </w:rPr>
            </w:pPr>
            <w:r>
              <w:rPr>
                <w:rFonts w:cs="Arial"/>
                <w:color w:val="0D0D0D" w:themeColor="text1" w:themeTint="F2"/>
                <w:spacing w:val="-4"/>
                <w:szCs w:val="20"/>
                <w:lang w:eastAsia="en-US"/>
              </w:rPr>
              <w:t>Růst poptávky po podnikových službách byl letos soustředěn primárně do odvětví profesních, vědeckých a technických činností, v němž v 1. čtvrtletí meziroční růst tržeb zrychlil na 4,8 % (k posílení celkových tržeb ve službách přispěl 1,0 p. b.). Projevil se zde výrazný růst výkonu činnosti vedení podniků a poradenství v oblasti řízení, kde tržby převýšily loňskou úroveň o šestinu. Dvouciferný růst poptávky zaznamenaly i právní činnosti. V</w:t>
            </w:r>
            <w:r>
              <w:rPr>
                <w:spacing w:val="-4"/>
                <w:lang w:eastAsia="en-US"/>
              </w:rPr>
              <w:t xml:space="preserve"> a</w:t>
            </w:r>
            <w:r>
              <w:rPr>
                <w:rFonts w:cs="Arial"/>
                <w:color w:val="0D0D0D" w:themeColor="text1" w:themeTint="F2"/>
                <w:spacing w:val="-4"/>
                <w:szCs w:val="20"/>
                <w:lang w:eastAsia="en-US"/>
              </w:rPr>
              <w:t xml:space="preserve">rchitektonických a inženýrských činnostech vzrostly tržby mírněji (+2,5 %), podobné tempo držely v předchozích dvou letech. Svižnější růst poptávky pokračoval druhým rokem v řadě v diverzifikovaném segmentu v </w:t>
            </w:r>
            <w:r>
              <w:rPr>
                <w:spacing w:val="-4"/>
                <w:lang w:eastAsia="en-US"/>
              </w:rPr>
              <w:t>ostatních profesních, vědeckých a technických činnostech</w:t>
            </w:r>
            <w:r>
              <w:rPr>
                <w:rStyle w:val="Znakapoznpodarou"/>
                <w:spacing w:val="-4"/>
                <w:lang w:eastAsia="en-US"/>
              </w:rPr>
              <w:footnoteReference w:id="25"/>
            </w:r>
            <w:r>
              <w:rPr>
                <w:spacing w:val="-4"/>
                <w:lang w:eastAsia="en-US"/>
              </w:rPr>
              <w:t xml:space="preserve">, nicméně ve srovnání s počátkem roku 2019 zde tržby stále zaostávaly (bezmála o pětinu). To platí i pro reklamu, kde tržby meziročně pouze stagnovaly a poptávka byla oslabená i po celý předchozí rok. </w:t>
            </w:r>
          </w:p>
        </w:tc>
      </w:tr>
      <w:tr w:rsidR="000C004E" w14:paraId="407B4BA8" w14:textId="77777777" w:rsidTr="000C004E">
        <w:trPr>
          <w:trHeight w:val="155"/>
        </w:trPr>
        <w:tc>
          <w:tcPr>
            <w:tcW w:w="1814" w:type="dxa"/>
          </w:tcPr>
          <w:p w14:paraId="5B1BA6D4" w14:textId="77777777" w:rsidR="000C004E" w:rsidRDefault="000C004E">
            <w:pPr>
              <w:pStyle w:val="Marginlie"/>
              <w:rPr>
                <w:rFonts w:cs="Arial"/>
                <w:color w:val="0D0D0D" w:themeColor="text1" w:themeTint="F2"/>
                <w:spacing w:val="-4"/>
                <w:lang w:eastAsia="en-US"/>
              </w:rPr>
            </w:pPr>
            <w:r>
              <w:rPr>
                <w:rFonts w:cs="Arial"/>
                <w:color w:val="0D0D0D" w:themeColor="text1" w:themeTint="F2"/>
                <w:spacing w:val="-4"/>
                <w:lang w:eastAsia="en-US"/>
              </w:rPr>
              <w:t xml:space="preserve">Rozvoj </w:t>
            </w:r>
            <w:r>
              <w:rPr>
                <w:color w:val="0D0D0D" w:themeColor="text1" w:themeTint="F2"/>
                <w:spacing w:val="-6"/>
                <w:lang w:eastAsia="en-US"/>
              </w:rPr>
              <w:t>administrativních, kancelářských a dalších podpůrných činností pro podnikání</w:t>
            </w:r>
            <w:r>
              <w:rPr>
                <w:rFonts w:cs="Arial"/>
                <w:color w:val="0D0D0D" w:themeColor="text1" w:themeTint="F2"/>
                <w:spacing w:val="-4"/>
                <w:lang w:eastAsia="en-US"/>
              </w:rPr>
              <w:t xml:space="preserve"> pokračoval, dařilo se i cestovním agenturám. </w:t>
            </w:r>
          </w:p>
          <w:p w14:paraId="4EDC00B6" w14:textId="77777777" w:rsidR="000C004E" w:rsidRDefault="000C004E">
            <w:pPr>
              <w:pStyle w:val="Marginlie"/>
              <w:rPr>
                <w:rFonts w:cs="Arial"/>
                <w:color w:val="0D0D0D" w:themeColor="text1" w:themeTint="F2"/>
                <w:spacing w:val="-4"/>
                <w:lang w:eastAsia="en-US"/>
              </w:rPr>
            </w:pPr>
          </w:p>
          <w:p w14:paraId="69141CF5" w14:textId="77777777" w:rsidR="000C004E" w:rsidRDefault="000C004E">
            <w:pPr>
              <w:pStyle w:val="Marginlie"/>
              <w:rPr>
                <w:rFonts w:cs="Arial"/>
                <w:color w:val="0D0D0D" w:themeColor="text1" w:themeTint="F2"/>
                <w:spacing w:val="-4"/>
                <w:lang w:eastAsia="en-US"/>
              </w:rPr>
            </w:pPr>
          </w:p>
          <w:p w14:paraId="43A7D0D9" w14:textId="77777777" w:rsidR="000C004E" w:rsidRDefault="000C004E">
            <w:pPr>
              <w:pStyle w:val="Marginlie"/>
              <w:rPr>
                <w:rFonts w:cs="Arial"/>
                <w:color w:val="0D0D0D" w:themeColor="text1" w:themeTint="F2"/>
                <w:spacing w:val="-4"/>
                <w:lang w:eastAsia="en-US"/>
              </w:rPr>
            </w:pPr>
          </w:p>
          <w:p w14:paraId="1803F99D" w14:textId="77777777" w:rsidR="000C004E" w:rsidRDefault="000C004E">
            <w:pPr>
              <w:pStyle w:val="Marginlie"/>
              <w:rPr>
                <w:rFonts w:cs="Arial"/>
                <w:color w:val="0D0D0D" w:themeColor="text1" w:themeTint="F2"/>
                <w:spacing w:val="-4"/>
                <w:lang w:eastAsia="en-US"/>
              </w:rPr>
            </w:pPr>
          </w:p>
          <w:p w14:paraId="6B8BBB46" w14:textId="77777777" w:rsidR="000C004E" w:rsidRDefault="000C004E">
            <w:pPr>
              <w:pStyle w:val="Marginlie"/>
              <w:rPr>
                <w:rFonts w:cs="Arial"/>
                <w:color w:val="0D0D0D" w:themeColor="text1" w:themeTint="F2"/>
                <w:spacing w:val="-4"/>
                <w:lang w:eastAsia="en-US"/>
              </w:rPr>
            </w:pPr>
          </w:p>
          <w:p w14:paraId="6A9C51F5" w14:textId="77777777" w:rsidR="000C004E" w:rsidRDefault="000C004E">
            <w:pPr>
              <w:pStyle w:val="Marginlie"/>
              <w:rPr>
                <w:rFonts w:cs="Arial"/>
                <w:color w:val="0D0D0D" w:themeColor="text1" w:themeTint="F2"/>
                <w:spacing w:val="-4"/>
                <w:lang w:eastAsia="en-US"/>
              </w:rPr>
            </w:pPr>
          </w:p>
          <w:p w14:paraId="0A0102A4" w14:textId="77777777" w:rsidR="000C004E" w:rsidRDefault="000C004E">
            <w:pPr>
              <w:pStyle w:val="Marginlie"/>
              <w:rPr>
                <w:rFonts w:cs="Arial"/>
                <w:color w:val="0D0D0D" w:themeColor="text1" w:themeTint="F2"/>
                <w:spacing w:val="-4"/>
                <w:lang w:eastAsia="en-US"/>
              </w:rPr>
            </w:pPr>
            <w:r>
              <w:rPr>
                <w:rFonts w:cs="Arial"/>
                <w:color w:val="0D0D0D" w:themeColor="text1" w:themeTint="F2"/>
                <w:spacing w:val="-4"/>
                <w:lang w:eastAsia="en-US"/>
              </w:rPr>
              <w:t xml:space="preserve">Tržby pracovních agentur i bezpečnostních </w:t>
            </w:r>
            <w:r>
              <w:rPr>
                <w:rFonts w:cs="Arial"/>
                <w:color w:val="0D0D0D" w:themeColor="text1" w:themeTint="F2"/>
                <w:spacing w:val="-4"/>
                <w:lang w:eastAsia="en-US"/>
              </w:rPr>
              <w:br/>
              <w:t xml:space="preserve">a pátracích činností se dále snižovaly. </w:t>
            </w:r>
          </w:p>
          <w:p w14:paraId="63CF10DD" w14:textId="77777777" w:rsidR="000C004E" w:rsidRDefault="000C004E">
            <w:pPr>
              <w:pStyle w:val="Marginlie"/>
              <w:rPr>
                <w:rFonts w:cs="Arial"/>
                <w:color w:val="0D0D0D" w:themeColor="text1" w:themeTint="F2"/>
                <w:spacing w:val="-4"/>
                <w:lang w:eastAsia="en-US"/>
              </w:rPr>
            </w:pPr>
          </w:p>
        </w:tc>
        <w:tc>
          <w:tcPr>
            <w:tcW w:w="201" w:type="dxa"/>
          </w:tcPr>
          <w:p w14:paraId="19C6CC79" w14:textId="77777777" w:rsidR="000C004E" w:rsidRDefault="000C004E">
            <w:pPr>
              <w:pStyle w:val="Textpoznpodarou"/>
              <w:jc w:val="both"/>
              <w:rPr>
                <w:spacing w:val="-4"/>
                <w:lang w:eastAsia="en-US"/>
              </w:rPr>
            </w:pPr>
          </w:p>
        </w:tc>
        <w:tc>
          <w:tcPr>
            <w:tcW w:w="7722" w:type="dxa"/>
            <w:hideMark/>
          </w:tcPr>
          <w:p w14:paraId="7A9EFDCB" w14:textId="77777777" w:rsidR="000C004E" w:rsidRDefault="000C004E">
            <w:pPr>
              <w:spacing w:after="200"/>
              <w:rPr>
                <w:color w:val="0D0D0D" w:themeColor="text1" w:themeTint="F2"/>
                <w:spacing w:val="-6"/>
                <w:lang w:eastAsia="en-US"/>
              </w:rPr>
            </w:pPr>
            <w:r>
              <w:rPr>
                <w:color w:val="0D0D0D" w:themeColor="text1" w:themeTint="F2"/>
                <w:spacing w:val="-6"/>
                <w:lang w:eastAsia="en-US"/>
              </w:rPr>
              <w:t>V odvětví administrativních a podpůrných činností, poskytujících zejména podnikům zpravidla služby s nižší přidanou hodnotou, se letos tržby zvýšily jen mírně (+1,4 %). K vyšší poptávce zde nejvíce přispěly administrativní, kancelářské a jiné podpůrné činnosti pro podnikání</w:t>
            </w:r>
            <w:r>
              <w:rPr>
                <w:rStyle w:val="Znakapoznpodarou"/>
                <w:color w:val="0D0D0D" w:themeColor="text1" w:themeTint="F2"/>
                <w:spacing w:val="-6"/>
                <w:lang w:eastAsia="en-US"/>
              </w:rPr>
              <w:footnoteReference w:id="26"/>
            </w:r>
            <w:r>
              <w:rPr>
                <w:color w:val="0D0D0D" w:themeColor="text1" w:themeTint="F2"/>
                <w:spacing w:val="-6"/>
                <w:lang w:eastAsia="en-US"/>
              </w:rPr>
              <w:t>. Pokračoval také dlouhodobější rozvoj cestovních agentur a kanceláří. Jejich tržby se letos meziročně zvyšovaly mírněji než v předchozích letech (+3,6 %), úroveň z roku 2019 již převýšily o celou třetinu. Zatímco v předchozích letech souvisel vyšší zájem domácností o organizované cestování s kompenzací omezení vzniklých v pandemickém období, v posledních čtvrtletích již pramení především z jejich zlepšené finanční situace i vyšší spotřebitelské důvěry. Dařilo se i pronájmu a operativnímu leasingu, který letos zaznamenal téměř 5% zvýšení tržeb a navázal tak na loňské oživení. K tomu přispěla vyšší poptávka domácností i podniků</w:t>
            </w:r>
            <w:r>
              <w:rPr>
                <w:rStyle w:val="Znakapoznpodarou"/>
                <w:color w:val="0D0D0D" w:themeColor="text1" w:themeTint="F2"/>
                <w:spacing w:val="-6"/>
                <w:lang w:eastAsia="en-US"/>
              </w:rPr>
              <w:footnoteReference w:id="27"/>
            </w:r>
            <w:r>
              <w:rPr>
                <w:color w:val="0D0D0D" w:themeColor="text1" w:themeTint="F2"/>
                <w:spacing w:val="-6"/>
                <w:lang w:eastAsia="en-US"/>
              </w:rPr>
              <w:t xml:space="preserve">. </w:t>
            </w:r>
            <w:r>
              <w:rPr>
                <w:color w:val="0D0D0D" w:themeColor="text1" w:themeTint="F2"/>
                <w:spacing w:val="-4"/>
                <w:lang w:eastAsia="en-US"/>
              </w:rPr>
              <w:t>Naopak u řady méně sofistikovaných podnikových služeb přetrvávala slabší poptávka. Citelný pokles pracovních agentur pokračoval, jejich tržby se snižovaly zhruba dvojciferným tempem již čtvrtým rokem v řadě</w:t>
            </w:r>
            <w:r>
              <w:rPr>
                <w:rStyle w:val="Znakapoznpodarou"/>
                <w:color w:val="0D0D0D" w:themeColor="text1" w:themeTint="F2"/>
                <w:spacing w:val="-2"/>
                <w:lang w:eastAsia="en-US"/>
              </w:rPr>
              <w:footnoteReference w:id="28"/>
            </w:r>
            <w:r>
              <w:rPr>
                <w:color w:val="0D0D0D" w:themeColor="text1" w:themeTint="F2"/>
                <w:spacing w:val="-4"/>
                <w:lang w:eastAsia="en-US"/>
              </w:rPr>
              <w:t>. Tlak na snižování nákladů spojený i s rozvojem digitalizace se odrazil v pokračujícím mírnějším poklesu tržeb bezpečnostních a pátracích činností (v 1. čtvrtletí o 5,7 %).</w:t>
            </w:r>
          </w:p>
        </w:tc>
      </w:tr>
      <w:tr w:rsidR="000C004E" w14:paraId="11766C89" w14:textId="77777777" w:rsidTr="000C004E">
        <w:trPr>
          <w:trHeight w:val="155"/>
        </w:trPr>
        <w:tc>
          <w:tcPr>
            <w:tcW w:w="1814" w:type="dxa"/>
            <w:hideMark/>
          </w:tcPr>
          <w:p w14:paraId="5512500F" w14:textId="77777777" w:rsidR="000C004E" w:rsidRDefault="000C004E">
            <w:pPr>
              <w:pStyle w:val="Marginlie"/>
              <w:rPr>
                <w:rFonts w:cs="Arial"/>
                <w:color w:val="0D0D0D" w:themeColor="text1" w:themeTint="F2"/>
                <w:spacing w:val="-4"/>
                <w:lang w:eastAsia="en-US"/>
              </w:rPr>
            </w:pPr>
            <w:r>
              <w:rPr>
                <w:rFonts w:cs="Arial"/>
                <w:color w:val="0D0D0D" w:themeColor="text1" w:themeTint="F2"/>
                <w:spacing w:val="-4"/>
                <w:lang w:eastAsia="en-US"/>
              </w:rPr>
              <w:t>Růst tržeb v pozemní dopravě byl jen mírný. Svižněji naopak rostla poptávka ve skladování.</w:t>
            </w:r>
          </w:p>
        </w:tc>
        <w:tc>
          <w:tcPr>
            <w:tcW w:w="201" w:type="dxa"/>
          </w:tcPr>
          <w:p w14:paraId="3A963C19" w14:textId="77777777" w:rsidR="000C004E" w:rsidRDefault="000C004E">
            <w:pPr>
              <w:pStyle w:val="Textpoznpodarou"/>
              <w:jc w:val="both"/>
              <w:rPr>
                <w:spacing w:val="-4"/>
                <w:lang w:eastAsia="en-US"/>
              </w:rPr>
            </w:pPr>
          </w:p>
        </w:tc>
        <w:tc>
          <w:tcPr>
            <w:tcW w:w="7722" w:type="dxa"/>
            <w:hideMark/>
          </w:tcPr>
          <w:p w14:paraId="308C4D18" w14:textId="77777777" w:rsidR="000C004E" w:rsidRDefault="000C004E">
            <w:pPr>
              <w:spacing w:after="200"/>
              <w:rPr>
                <w:color w:val="0D0D0D" w:themeColor="text1" w:themeTint="F2"/>
                <w:spacing w:val="-6"/>
                <w:lang w:eastAsia="en-US"/>
              </w:rPr>
            </w:pPr>
            <w:r>
              <w:rPr>
                <w:color w:val="0D0D0D" w:themeColor="text1" w:themeTint="F2"/>
                <w:spacing w:val="-6"/>
                <w:lang w:eastAsia="en-US"/>
              </w:rPr>
              <w:t xml:space="preserve">Ve váhově dominantním odvětví služeb – dopravě a skladování – byl letos (stejně jako na počátku loňského roku) meziroční růst tržeb podprůměrný (+2,7 %). Ten byl tažen především skladováním a vedlejšími činnostmi v dopravě, kde se oživení poptávky odrazilo v téměř 5% růstu tržeb. V klíčovém segmentu pozemní a potrubní dopravy se tržby zvýšily pouze o 1,7 % </w:t>
            </w:r>
            <w:r>
              <w:rPr>
                <w:color w:val="0D0D0D" w:themeColor="text1" w:themeTint="F2"/>
                <w:spacing w:val="-6"/>
                <w:lang w:eastAsia="en-US"/>
              </w:rPr>
              <w:lastRenderedPageBreak/>
              <w:t xml:space="preserve">(a pohybovaly se na úrovni roku 2019). Zatímco v silniční osobní i nákladní dopravě poptávka meziročně mírně rostla, na železnici stagnovala. V </w:t>
            </w:r>
            <w:r>
              <w:rPr>
                <w:color w:val="0D0D0D" w:themeColor="text1" w:themeTint="F2"/>
                <w:spacing w:val="-4"/>
                <w:lang w:eastAsia="en-US"/>
              </w:rPr>
              <w:t xml:space="preserve">poštovních a kurýrních činnostech růst tržeb zvolnil (na +1,2 %), oproti roku 2019 však byla poptávka zejména vlivem dynamického rozvoje internetového obchodu o pětinu vyšší. Ta naopak stále mírně zaostávala v letecké dopravě, což podtrhl i fakt, že růst tržeb se letos, po výraznějším oživení v předchozích </w:t>
            </w:r>
            <w:r>
              <w:rPr>
                <w:color w:val="0D0D0D" w:themeColor="text1" w:themeTint="F2"/>
                <w:spacing w:val="-6"/>
                <w:lang w:eastAsia="en-US"/>
              </w:rPr>
              <w:t>letech, zastavil (−0,8 %). Přestože z hlavních segmentů dopravy se letos zvyšovala poptávka nejvíce ve vodní dopravě, tržby zde za předkrizovou úrovní stále o více než čtvrtinu zaostávaly.</w:t>
            </w:r>
            <w:r>
              <w:rPr>
                <w:color w:val="0D0D0D" w:themeColor="text1" w:themeTint="F2"/>
                <w:spacing w:val="-4"/>
                <w:lang w:eastAsia="en-US"/>
              </w:rPr>
              <w:t xml:space="preserve"> </w:t>
            </w:r>
          </w:p>
        </w:tc>
      </w:tr>
      <w:tr w:rsidR="000C004E" w14:paraId="7ED3973D" w14:textId="77777777" w:rsidTr="000C004E">
        <w:trPr>
          <w:trHeight w:val="155"/>
        </w:trPr>
        <w:tc>
          <w:tcPr>
            <w:tcW w:w="1814" w:type="dxa"/>
            <w:hideMark/>
          </w:tcPr>
          <w:p w14:paraId="072E7CF2" w14:textId="77777777" w:rsidR="000C004E" w:rsidRDefault="000C004E">
            <w:pPr>
              <w:pStyle w:val="Marginlie"/>
              <w:rPr>
                <w:lang w:eastAsia="en-US"/>
              </w:rPr>
            </w:pPr>
            <w:r>
              <w:rPr>
                <w:lang w:eastAsia="en-US"/>
              </w:rPr>
              <w:lastRenderedPageBreak/>
              <w:t xml:space="preserve">Tržby v </w:t>
            </w:r>
            <w:r>
              <w:rPr>
                <w:rFonts w:cs="Arial"/>
                <w:color w:val="0D0D0D" w:themeColor="text1" w:themeTint="F2"/>
                <w:spacing w:val="-4"/>
                <w:lang w:eastAsia="en-US"/>
              </w:rPr>
              <w:t xml:space="preserve">ubytování, stravování a pohostinství </w:t>
            </w:r>
            <w:r>
              <w:rPr>
                <w:color w:val="0D0D0D" w:themeColor="text1" w:themeTint="F2"/>
                <w:spacing w:val="-4"/>
                <w:lang w:eastAsia="en-US"/>
              </w:rPr>
              <w:t>se mírně snížily.</w:t>
            </w:r>
          </w:p>
        </w:tc>
        <w:tc>
          <w:tcPr>
            <w:tcW w:w="201" w:type="dxa"/>
          </w:tcPr>
          <w:p w14:paraId="1D7BF3BB" w14:textId="77777777" w:rsidR="000C004E" w:rsidRDefault="000C004E">
            <w:pPr>
              <w:pStyle w:val="Textpoznpodarou"/>
              <w:jc w:val="both"/>
              <w:rPr>
                <w:spacing w:val="-4"/>
                <w:lang w:eastAsia="en-US"/>
              </w:rPr>
            </w:pPr>
          </w:p>
        </w:tc>
        <w:tc>
          <w:tcPr>
            <w:tcW w:w="7722" w:type="dxa"/>
            <w:hideMark/>
          </w:tcPr>
          <w:p w14:paraId="37422008" w14:textId="77777777" w:rsidR="000C004E" w:rsidRDefault="000C004E">
            <w:pPr>
              <w:spacing w:after="200"/>
              <w:rPr>
                <w:rFonts w:cs="Arial"/>
                <w:color w:val="0D0D0D" w:themeColor="text1" w:themeTint="F2"/>
                <w:spacing w:val="-4"/>
                <w:lang w:eastAsia="en-US"/>
              </w:rPr>
            </w:pPr>
            <w:r>
              <w:rPr>
                <w:rFonts w:cs="Arial"/>
                <w:color w:val="0D0D0D" w:themeColor="text1" w:themeTint="F2"/>
                <w:spacing w:val="-4"/>
                <w:lang w:eastAsia="en-US"/>
              </w:rPr>
              <w:t>V ubytování, stravování a pohostinství se letos tržby meziročně mírně snížily (</w:t>
            </w:r>
            <w:r>
              <w:rPr>
                <w:color w:val="0D0D0D" w:themeColor="text1" w:themeTint="F2"/>
                <w:spacing w:val="-6"/>
                <w:lang w:eastAsia="en-US"/>
              </w:rPr>
              <w:t>−</w:t>
            </w:r>
            <w:r>
              <w:rPr>
                <w:rFonts w:cs="Arial"/>
                <w:color w:val="0D0D0D" w:themeColor="text1" w:themeTint="F2"/>
                <w:spacing w:val="-4"/>
                <w:lang w:eastAsia="en-US"/>
              </w:rPr>
              <w:t>1,3 %), k čemuž přispěly vcelku rovnoměrně oba segmenty tohoto odvětví. U subjektů, jejichž převažující ekonomická činnost spočívá v ubytování, klesly tržby o 3,2 %, nejvíce od vrcholu protipandemických restrikcí (na počátku roku 2021). Na poptávku patrně zčásti negativně působil efekt pokračujícího svižného růstu cen v této oblasti</w:t>
            </w:r>
            <w:r>
              <w:rPr>
                <w:rStyle w:val="Znakapoznpodarou"/>
                <w:color w:val="0D0D0D" w:themeColor="text1" w:themeTint="F2"/>
                <w:spacing w:val="-4"/>
                <w:lang w:eastAsia="en-US"/>
              </w:rPr>
              <w:footnoteReference w:id="29"/>
            </w:r>
            <w:r>
              <w:rPr>
                <w:rFonts w:cs="Arial"/>
                <w:color w:val="0D0D0D" w:themeColor="text1" w:themeTint="F2"/>
                <w:spacing w:val="-4"/>
                <w:lang w:eastAsia="en-US"/>
              </w:rPr>
              <w:t xml:space="preserve">. </w:t>
            </w:r>
            <w:r>
              <w:rPr>
                <w:rFonts w:cs="Arial"/>
                <w:color w:val="0D0D0D" w:themeColor="text1" w:themeTint="F2"/>
                <w:spacing w:val="-2"/>
                <w:lang w:eastAsia="en-US"/>
              </w:rPr>
              <w:t>Naturální ukazatele v oblasti příjezdového cestovního ruchu naznačují oproti reálným tržbám mírně lepší výsledky</w:t>
            </w:r>
            <w:r>
              <w:rPr>
                <w:rStyle w:val="Znakapoznpodarou"/>
                <w:color w:val="0D0D0D" w:themeColor="text1" w:themeTint="F2"/>
                <w:spacing w:val="-2"/>
                <w:lang w:eastAsia="en-US"/>
              </w:rPr>
              <w:footnoteReference w:id="30"/>
            </w:r>
            <w:r>
              <w:rPr>
                <w:rFonts w:cs="Arial"/>
                <w:color w:val="0D0D0D" w:themeColor="text1" w:themeTint="F2"/>
                <w:spacing w:val="-2"/>
                <w:lang w:eastAsia="en-US"/>
              </w:rPr>
              <w:t>.</w:t>
            </w:r>
          </w:p>
        </w:tc>
      </w:tr>
      <w:tr w:rsidR="000C004E" w14:paraId="08FE86DE" w14:textId="77777777" w:rsidTr="000C004E">
        <w:trPr>
          <w:trHeight w:val="155"/>
        </w:trPr>
        <w:tc>
          <w:tcPr>
            <w:tcW w:w="1814" w:type="dxa"/>
          </w:tcPr>
          <w:p w14:paraId="165DF22E" w14:textId="77777777" w:rsidR="000C004E" w:rsidRDefault="000C004E">
            <w:pPr>
              <w:pStyle w:val="Marginlie"/>
              <w:rPr>
                <w:color w:val="0D0D0D" w:themeColor="text1" w:themeTint="F2"/>
                <w:spacing w:val="0"/>
                <w:lang w:eastAsia="en-US"/>
              </w:rPr>
            </w:pPr>
            <w:r>
              <w:rPr>
                <w:color w:val="0D0D0D" w:themeColor="text1" w:themeTint="F2"/>
                <w:spacing w:val="0"/>
                <w:lang w:eastAsia="en-US"/>
              </w:rPr>
              <w:t>Spotřebitelská důvěra v posledních měsících mírně kolísá na úrovni dlouhodobého průměru. Ochota lidí k vyšším nákupům má ale stále své limity.</w:t>
            </w:r>
          </w:p>
          <w:p w14:paraId="2D207B4B" w14:textId="77777777" w:rsidR="000C004E" w:rsidRDefault="000C004E">
            <w:pPr>
              <w:pStyle w:val="Marginlie"/>
              <w:rPr>
                <w:lang w:eastAsia="en-US"/>
              </w:rPr>
            </w:pPr>
          </w:p>
          <w:p w14:paraId="5226C902" w14:textId="77777777" w:rsidR="000C004E" w:rsidRDefault="000C004E">
            <w:pPr>
              <w:pStyle w:val="Marginlie"/>
              <w:rPr>
                <w:lang w:eastAsia="en-US"/>
              </w:rPr>
            </w:pPr>
          </w:p>
          <w:p w14:paraId="34FA269F" w14:textId="77777777" w:rsidR="000C004E" w:rsidRDefault="000C004E">
            <w:pPr>
              <w:pStyle w:val="Marginlie"/>
              <w:rPr>
                <w:lang w:eastAsia="en-US"/>
              </w:rPr>
            </w:pPr>
          </w:p>
          <w:p w14:paraId="7BA873E1" w14:textId="77777777" w:rsidR="000C004E" w:rsidRDefault="000C004E">
            <w:pPr>
              <w:pStyle w:val="Marginlie"/>
              <w:rPr>
                <w:lang w:eastAsia="en-US"/>
              </w:rPr>
            </w:pPr>
          </w:p>
          <w:p w14:paraId="087281F1" w14:textId="77777777" w:rsidR="000C004E" w:rsidRDefault="000C004E">
            <w:pPr>
              <w:pStyle w:val="Marginlie"/>
              <w:rPr>
                <w:lang w:eastAsia="en-US"/>
              </w:rPr>
            </w:pPr>
          </w:p>
          <w:p w14:paraId="2BEFB020" w14:textId="77777777" w:rsidR="000C004E" w:rsidRDefault="000C004E">
            <w:pPr>
              <w:pStyle w:val="Marginlie"/>
              <w:rPr>
                <w:lang w:eastAsia="en-US"/>
              </w:rPr>
            </w:pPr>
          </w:p>
          <w:p w14:paraId="25449098" w14:textId="77777777" w:rsidR="000C004E" w:rsidRDefault="000C004E">
            <w:pPr>
              <w:pStyle w:val="Marginlie"/>
              <w:rPr>
                <w:lang w:eastAsia="en-US"/>
              </w:rPr>
            </w:pPr>
            <w:r>
              <w:rPr>
                <w:lang w:eastAsia="en-US"/>
              </w:rPr>
              <w:t>Důvěra obchodníků v ekonomiku vystoupala letos na jaře na téměř tříleté maximum.</w:t>
            </w:r>
          </w:p>
          <w:p w14:paraId="526BF04F" w14:textId="77777777" w:rsidR="000C004E" w:rsidRDefault="000C004E">
            <w:pPr>
              <w:pStyle w:val="Marginlie"/>
              <w:rPr>
                <w:lang w:eastAsia="en-US"/>
              </w:rPr>
            </w:pPr>
          </w:p>
        </w:tc>
        <w:tc>
          <w:tcPr>
            <w:tcW w:w="201" w:type="dxa"/>
          </w:tcPr>
          <w:p w14:paraId="11EEDF6B" w14:textId="77777777" w:rsidR="000C004E" w:rsidRDefault="000C004E">
            <w:pPr>
              <w:pStyle w:val="Textpoznpodarou"/>
              <w:jc w:val="both"/>
              <w:rPr>
                <w:spacing w:val="-4"/>
                <w:lang w:eastAsia="en-US"/>
              </w:rPr>
            </w:pPr>
          </w:p>
        </w:tc>
        <w:tc>
          <w:tcPr>
            <w:tcW w:w="7722" w:type="dxa"/>
            <w:hideMark/>
          </w:tcPr>
          <w:p w14:paraId="13FDC1BF" w14:textId="77777777" w:rsidR="000C004E" w:rsidRDefault="000C004E">
            <w:pPr>
              <w:spacing w:after="0"/>
              <w:rPr>
                <w:rFonts w:cs="Arial"/>
                <w:szCs w:val="20"/>
                <w:lang w:eastAsia="en-US"/>
              </w:rPr>
            </w:pPr>
            <w:r>
              <w:rPr>
                <w:bCs/>
                <w:lang w:eastAsia="en-US"/>
              </w:rPr>
              <w:t xml:space="preserve">Maloobchod na počátku letošního roku plně navázal na loňské zotavení. </w:t>
            </w:r>
            <w:r>
              <w:rPr>
                <w:rFonts w:cs="Arial"/>
                <w:color w:val="0D0D0D" w:themeColor="text1" w:themeTint="F2"/>
                <w:spacing w:val="-4"/>
                <w:lang w:eastAsia="en-US"/>
              </w:rPr>
              <w:t>Jeho předpokladem byl návrat spotřebitelských cen do běžných růstových pásem. To spolu se solidní kondicí trhu práce rychle nastartovalo růst kupní síly domácností a zlepšilo jejich celkovou důvěru v ekonomiku, která proto vystoupala loni v dubnu nejvýše za poslední dva a půl roku. Během léta sice došlo k mírnému zhoršení, ale následně se důvěra stabilizovala a letos v květnu se pohybovala na úrovni dlouhodobého normálu</w:t>
            </w:r>
            <w:r>
              <w:rPr>
                <w:rStyle w:val="Znakapoznpodarou"/>
                <w:color w:val="0D0D0D" w:themeColor="text1" w:themeTint="F2"/>
                <w:spacing w:val="-4"/>
                <w:lang w:eastAsia="en-US"/>
              </w:rPr>
              <w:footnoteReference w:id="31"/>
            </w:r>
            <w:r>
              <w:rPr>
                <w:rFonts w:cs="Arial"/>
                <w:color w:val="0D0D0D" w:themeColor="text1" w:themeTint="F2"/>
                <w:spacing w:val="-4"/>
                <w:lang w:eastAsia="en-US"/>
              </w:rPr>
              <w:t xml:space="preserve">. Pesimismus domácností ohledně </w:t>
            </w:r>
            <w:r>
              <w:rPr>
                <w:rFonts w:cs="Arial"/>
                <w:szCs w:val="20"/>
                <w:lang w:eastAsia="en-US"/>
              </w:rPr>
              <w:t xml:space="preserve">jejich aktuální i očekávané finanční situace se v meziročním pohledu snížil. Přestože i úmysl domácností spořit klesl (byl nejnižší od léta 2023), jejich ochota k větším nákupům (předmětů dlouhodobé spotřeby a investic) zůstává relativně nízká (současnost považuje za vhodnou dobu k těmto nákupům jen desetina domácností, za nevhodnou více než čtvrtina). Aktuální obavy lidí z růstu cen odpovídaly dlouhodobému průměru a byly i podobné jako na počátku roku 2025, meziročně však posílily. </w:t>
            </w:r>
            <w:r>
              <w:rPr>
                <w:rFonts w:cs="Arial"/>
                <w:color w:val="0D0D0D" w:themeColor="text1" w:themeTint="F2"/>
                <w:spacing w:val="-4"/>
                <w:lang w:eastAsia="en-US"/>
              </w:rPr>
              <w:t>Souběžně narostl optimismus obchodníků. Úroveň jejich důvěry v ekonomiku vystoupala letos v březnu nejvýše za poslední bezmála tři roky a současně byla srovnatelná s konjunkturním rokem 2019. Důvěra vyvěrala především k příznivého hodnocení současné ekonomické situace obchodních firem. K oživení maloobchodu přispíval i rozvoj příjezdového cestovního ruchu.</w:t>
            </w:r>
          </w:p>
        </w:tc>
      </w:tr>
      <w:tr w:rsidR="000C004E" w14:paraId="6C11D367" w14:textId="77777777" w:rsidTr="000C004E">
        <w:trPr>
          <w:trHeight w:val="155"/>
        </w:trPr>
        <w:tc>
          <w:tcPr>
            <w:tcW w:w="1814" w:type="dxa"/>
            <w:vMerge w:val="restart"/>
          </w:tcPr>
          <w:p w14:paraId="2788BB41" w14:textId="77777777" w:rsidR="000C004E" w:rsidRDefault="000C004E">
            <w:pPr>
              <w:pStyle w:val="Marginlie"/>
              <w:rPr>
                <w:lang w:eastAsia="en-US"/>
              </w:rPr>
            </w:pPr>
          </w:p>
        </w:tc>
        <w:tc>
          <w:tcPr>
            <w:tcW w:w="201" w:type="dxa"/>
            <w:vMerge w:val="restart"/>
          </w:tcPr>
          <w:p w14:paraId="438486D4" w14:textId="77777777" w:rsidR="000C004E" w:rsidRDefault="000C004E">
            <w:pPr>
              <w:pStyle w:val="Textpoznpodarou"/>
              <w:jc w:val="both"/>
              <w:rPr>
                <w:spacing w:val="-4"/>
                <w:lang w:eastAsia="en-US"/>
              </w:rPr>
            </w:pPr>
          </w:p>
        </w:tc>
        <w:tc>
          <w:tcPr>
            <w:tcW w:w="7722" w:type="dxa"/>
            <w:hideMark/>
          </w:tcPr>
          <w:p w14:paraId="4E35412A" w14:textId="77777777" w:rsidR="000C004E" w:rsidRDefault="000C004E">
            <w:pPr>
              <w:spacing w:after="0"/>
              <w:rPr>
                <w:rFonts w:cs="Arial"/>
                <w:color w:val="0D0D0D" w:themeColor="text1" w:themeTint="F2"/>
                <w:spacing w:val="-4"/>
                <w:szCs w:val="20"/>
                <w:lang w:eastAsia="en-US"/>
              </w:rPr>
            </w:pPr>
            <w:r>
              <w:rPr>
                <w:b/>
                <w:lang w:eastAsia="en-US"/>
              </w:rPr>
              <w:t xml:space="preserve">Graf č. 8 </w:t>
            </w:r>
            <w:r>
              <w:rPr>
                <w:rFonts w:cs="Arial"/>
                <w:b/>
                <w:bCs/>
                <w:color w:val="0D0D0D" w:themeColor="text1" w:themeTint="F2"/>
                <w:spacing w:val="-6"/>
                <w:lang w:eastAsia="en-US"/>
              </w:rPr>
              <w:t xml:space="preserve">Příspěvky dílčích odvětví k meziroční změně tržeb v maloobchodu* </w:t>
            </w:r>
            <w:r>
              <w:rPr>
                <w:rFonts w:cs="Arial"/>
                <w:color w:val="0D0D0D" w:themeColor="text1" w:themeTint="F2"/>
                <w:spacing w:val="-6"/>
                <w:lang w:eastAsia="en-US"/>
              </w:rPr>
              <w:t xml:space="preserve">(reálně, v p. b.), </w:t>
            </w:r>
            <w:r>
              <w:rPr>
                <w:rFonts w:cs="Arial"/>
                <w:b/>
                <w:bCs/>
                <w:color w:val="0D0D0D" w:themeColor="text1" w:themeTint="F2"/>
                <w:spacing w:val="-6"/>
                <w:lang w:eastAsia="en-US"/>
              </w:rPr>
              <w:t xml:space="preserve">tržby v maloobchodu a v motoristickém segmentu obchodu** </w:t>
            </w:r>
            <w:r>
              <w:rPr>
                <w:rFonts w:cs="Arial"/>
                <w:color w:val="0D0D0D" w:themeColor="text1" w:themeTint="F2"/>
                <w:spacing w:val="-6"/>
                <w:lang w:eastAsia="en-US"/>
              </w:rPr>
              <w:t xml:space="preserve">(reálně, úroveň roku 2021=100, pravá osa), </w:t>
            </w:r>
            <w:r>
              <w:rPr>
                <w:rFonts w:cs="Arial"/>
                <w:b/>
                <w:bCs/>
                <w:color w:val="0D0D0D" w:themeColor="text1" w:themeTint="F2"/>
                <w:spacing w:val="-6"/>
                <w:lang w:eastAsia="en-US"/>
              </w:rPr>
              <w:t xml:space="preserve">saldo důvěry spotřebitelů i obchodníků*** </w:t>
            </w:r>
            <w:r>
              <w:rPr>
                <w:rFonts w:cs="Arial"/>
                <w:color w:val="0D0D0D" w:themeColor="text1" w:themeTint="F2"/>
                <w:spacing w:val="-6"/>
                <w:lang w:eastAsia="en-US"/>
              </w:rPr>
              <w:t>(v p. b., pravá osa)</w:t>
            </w:r>
          </w:p>
        </w:tc>
      </w:tr>
      <w:tr w:rsidR="000C004E" w14:paraId="10F4AB3E" w14:textId="77777777" w:rsidTr="000C004E">
        <w:trPr>
          <w:trHeight w:val="155"/>
        </w:trPr>
        <w:tc>
          <w:tcPr>
            <w:tcW w:w="0" w:type="auto"/>
            <w:vMerge/>
            <w:vAlign w:val="center"/>
            <w:hideMark/>
          </w:tcPr>
          <w:p w14:paraId="02E80CE2" w14:textId="77777777" w:rsidR="000C004E" w:rsidRDefault="000C004E">
            <w:pPr>
              <w:spacing w:after="0" w:line="240" w:lineRule="auto"/>
              <w:jc w:val="left"/>
              <w:rPr>
                <w:spacing w:val="-2"/>
                <w:sz w:val="16"/>
                <w:szCs w:val="16"/>
                <w:lang w:eastAsia="en-US"/>
              </w:rPr>
            </w:pPr>
          </w:p>
        </w:tc>
        <w:tc>
          <w:tcPr>
            <w:tcW w:w="0" w:type="auto"/>
            <w:vMerge/>
            <w:vAlign w:val="center"/>
            <w:hideMark/>
          </w:tcPr>
          <w:p w14:paraId="1B42F453" w14:textId="77777777" w:rsidR="000C004E" w:rsidRDefault="000C004E">
            <w:pPr>
              <w:spacing w:after="0" w:line="240" w:lineRule="auto"/>
              <w:jc w:val="left"/>
              <w:rPr>
                <w:rFonts w:eastAsia="Calibri"/>
                <w:spacing w:val="-4"/>
                <w:szCs w:val="20"/>
                <w:lang w:eastAsia="en-US"/>
              </w:rPr>
            </w:pPr>
          </w:p>
        </w:tc>
        <w:tc>
          <w:tcPr>
            <w:tcW w:w="7722" w:type="dxa"/>
            <w:tcMar>
              <w:top w:w="0" w:type="dxa"/>
              <w:left w:w="70" w:type="dxa"/>
              <w:bottom w:w="0" w:type="dxa"/>
              <w:right w:w="70" w:type="dxa"/>
            </w:tcMar>
            <w:hideMark/>
          </w:tcPr>
          <w:p w14:paraId="72A3CCCC" w14:textId="204E345E" w:rsidR="000C004E" w:rsidRDefault="000C004E">
            <w:pPr>
              <w:spacing w:before="40" w:after="40"/>
              <w:rPr>
                <w:rFonts w:cs="Arial"/>
                <w:color w:val="0D0D0D" w:themeColor="text1" w:themeTint="F2"/>
                <w:spacing w:val="-4"/>
                <w:szCs w:val="20"/>
                <w:lang w:eastAsia="en-US"/>
              </w:rPr>
            </w:pPr>
            <w:r>
              <w:rPr>
                <w:noProof/>
              </w:rPr>
              <w:drawing>
                <wp:inline distT="0" distB="0" distL="0" distR="0" wp14:anchorId="23B7052B" wp14:editId="0AB36C4B">
                  <wp:extent cx="4752975" cy="3495675"/>
                  <wp:effectExtent l="0" t="0" r="0" b="0"/>
                  <wp:docPr id="28" name="Graf 28">
                    <a:extLst xmlns:a="http://schemas.openxmlformats.org/drawingml/2006/main">
                      <a:ext uri="{FF2B5EF4-FFF2-40B4-BE49-F238E27FC236}">
                        <a16:creationId xmlns:a16="http://schemas.microsoft.com/office/drawing/2014/main" id="{00000000-0008-0000-1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0C004E" w14:paraId="7F250CA3" w14:textId="77777777" w:rsidTr="000C004E">
        <w:trPr>
          <w:trHeight w:val="155"/>
        </w:trPr>
        <w:tc>
          <w:tcPr>
            <w:tcW w:w="0" w:type="auto"/>
            <w:vMerge/>
            <w:vAlign w:val="center"/>
            <w:hideMark/>
          </w:tcPr>
          <w:p w14:paraId="155A2A31" w14:textId="77777777" w:rsidR="000C004E" w:rsidRDefault="000C004E">
            <w:pPr>
              <w:spacing w:after="0" w:line="240" w:lineRule="auto"/>
              <w:jc w:val="left"/>
              <w:rPr>
                <w:spacing w:val="-2"/>
                <w:sz w:val="16"/>
                <w:szCs w:val="16"/>
                <w:lang w:eastAsia="en-US"/>
              </w:rPr>
            </w:pPr>
          </w:p>
        </w:tc>
        <w:tc>
          <w:tcPr>
            <w:tcW w:w="0" w:type="auto"/>
            <w:vMerge/>
            <w:vAlign w:val="center"/>
            <w:hideMark/>
          </w:tcPr>
          <w:p w14:paraId="3F1143E9" w14:textId="77777777" w:rsidR="000C004E" w:rsidRDefault="000C004E">
            <w:pPr>
              <w:spacing w:after="0" w:line="240" w:lineRule="auto"/>
              <w:jc w:val="left"/>
              <w:rPr>
                <w:rFonts w:eastAsia="Calibri"/>
                <w:spacing w:val="-4"/>
                <w:szCs w:val="20"/>
                <w:lang w:eastAsia="en-US"/>
              </w:rPr>
            </w:pPr>
          </w:p>
        </w:tc>
        <w:tc>
          <w:tcPr>
            <w:tcW w:w="7722" w:type="dxa"/>
            <w:hideMark/>
          </w:tcPr>
          <w:p w14:paraId="14671EA2" w14:textId="77777777" w:rsidR="000C004E" w:rsidRDefault="000C004E">
            <w:pPr>
              <w:spacing w:after="0" w:line="240" w:lineRule="auto"/>
              <w:rPr>
                <w:rFonts w:cs="Arial"/>
                <w:sz w:val="14"/>
                <w:szCs w:val="14"/>
                <w:lang w:eastAsia="en-US"/>
              </w:rPr>
            </w:pPr>
            <w:r>
              <w:rPr>
                <w:rFonts w:cs="Arial"/>
                <w:color w:val="0D0D0D" w:themeColor="text1" w:themeTint="F2"/>
                <w:spacing w:val="-6"/>
                <w:lang w:eastAsia="en-US"/>
              </w:rPr>
              <w:t>*</w:t>
            </w:r>
            <w:r>
              <w:rPr>
                <w:rFonts w:cs="Arial"/>
                <w:sz w:val="14"/>
                <w:szCs w:val="14"/>
                <w:lang w:eastAsia="en-US"/>
              </w:rPr>
              <w:t xml:space="preserve"> Tržby jsou očištěny o kalendářní vlivy.       ** Tržby jsou sezónně i kalendářně očištěny.</w:t>
            </w:r>
          </w:p>
          <w:p w14:paraId="530EF049" w14:textId="77777777" w:rsidR="000C004E" w:rsidRDefault="000C004E">
            <w:pPr>
              <w:spacing w:after="200"/>
              <w:rPr>
                <w:rFonts w:cs="Arial"/>
                <w:color w:val="0D0D0D" w:themeColor="text1" w:themeTint="F2"/>
                <w:spacing w:val="-4"/>
                <w:szCs w:val="20"/>
                <w:lang w:eastAsia="en-US"/>
              </w:rPr>
            </w:pPr>
            <w:r>
              <w:rPr>
                <w:rFonts w:cs="Arial"/>
                <w:color w:val="0D0D0D" w:themeColor="text1" w:themeTint="F2"/>
                <w:spacing w:val="-4"/>
                <w:sz w:val="14"/>
                <w:szCs w:val="14"/>
                <w:lang w:eastAsia="en-US"/>
              </w:rPr>
              <w:t>*** Salda důvěry jsou sezónně očištěna a vyjadřují stav ve druhém měsíci daného čtvrtletí.</w:t>
            </w:r>
            <w:r>
              <w:rPr>
                <w:rFonts w:cs="Arial"/>
                <w:color w:val="0D0D0D" w:themeColor="text1" w:themeTint="F2"/>
                <w:spacing w:val="-4"/>
                <w:sz w:val="14"/>
                <w:szCs w:val="14"/>
                <w:lang w:eastAsia="en-US"/>
              </w:rPr>
              <w:tab/>
              <w:t xml:space="preserve">                                    Zdroj: ČSÚ</w:t>
            </w:r>
          </w:p>
        </w:tc>
      </w:tr>
      <w:tr w:rsidR="000C004E" w14:paraId="5A290D71" w14:textId="77777777" w:rsidTr="000C004E">
        <w:trPr>
          <w:trHeight w:val="170"/>
        </w:trPr>
        <w:tc>
          <w:tcPr>
            <w:tcW w:w="1814" w:type="dxa"/>
          </w:tcPr>
          <w:p w14:paraId="4B62CD8A" w14:textId="77777777" w:rsidR="000C004E" w:rsidRDefault="000C004E">
            <w:pPr>
              <w:pStyle w:val="Marginlie"/>
              <w:rPr>
                <w:color w:val="0D0D0D" w:themeColor="text1" w:themeTint="F2"/>
                <w:spacing w:val="0"/>
                <w:lang w:eastAsia="en-US"/>
              </w:rPr>
            </w:pPr>
            <w:r>
              <w:rPr>
                <w:color w:val="0D0D0D" w:themeColor="text1" w:themeTint="F2"/>
                <w:spacing w:val="0"/>
                <w:lang w:eastAsia="en-US"/>
              </w:rPr>
              <w:t>Meziroční růst maloobchodních tržeb byl nadále tažen zejména podejem nepotravinářského zboží, jemuž dominoval dynamicky se rozvíjející internetový prodej.</w:t>
            </w:r>
          </w:p>
          <w:p w14:paraId="2873F895" w14:textId="77777777" w:rsidR="000C004E" w:rsidRDefault="000C004E">
            <w:pPr>
              <w:pStyle w:val="Marginlie"/>
              <w:rPr>
                <w:color w:val="0D0D0D" w:themeColor="text1" w:themeTint="F2"/>
                <w:spacing w:val="0"/>
                <w:lang w:eastAsia="en-US"/>
              </w:rPr>
            </w:pPr>
          </w:p>
          <w:p w14:paraId="0414309E" w14:textId="77777777" w:rsidR="000C004E" w:rsidRDefault="000C004E">
            <w:pPr>
              <w:pStyle w:val="Marginlie"/>
              <w:rPr>
                <w:color w:val="0D0D0D" w:themeColor="text1" w:themeTint="F2"/>
                <w:spacing w:val="0"/>
                <w:lang w:eastAsia="en-US"/>
              </w:rPr>
            </w:pPr>
          </w:p>
          <w:p w14:paraId="1599D1A0" w14:textId="77777777" w:rsidR="000C004E" w:rsidRDefault="000C004E">
            <w:pPr>
              <w:pStyle w:val="Marginlie"/>
              <w:rPr>
                <w:color w:val="0D0D0D" w:themeColor="text1" w:themeTint="F2"/>
                <w:spacing w:val="0"/>
                <w:lang w:eastAsia="en-US"/>
              </w:rPr>
            </w:pPr>
          </w:p>
          <w:p w14:paraId="490BB1C1" w14:textId="77777777" w:rsidR="000C004E" w:rsidRDefault="000C004E">
            <w:pPr>
              <w:pStyle w:val="Marginlie"/>
              <w:rPr>
                <w:color w:val="0D0D0D" w:themeColor="text1" w:themeTint="F2"/>
                <w:spacing w:val="0"/>
                <w:lang w:eastAsia="en-US"/>
              </w:rPr>
            </w:pPr>
          </w:p>
          <w:p w14:paraId="60AF0FA7" w14:textId="77777777" w:rsidR="000C004E" w:rsidRDefault="000C004E">
            <w:pPr>
              <w:pStyle w:val="Marginlie"/>
              <w:rPr>
                <w:color w:val="0D0D0D" w:themeColor="text1" w:themeTint="F2"/>
                <w:spacing w:val="0"/>
                <w:lang w:eastAsia="en-US"/>
              </w:rPr>
            </w:pPr>
          </w:p>
          <w:p w14:paraId="36F87201" w14:textId="77777777" w:rsidR="000C004E" w:rsidRDefault="000C004E">
            <w:pPr>
              <w:pStyle w:val="Marginlie"/>
              <w:rPr>
                <w:color w:val="0D0D0D" w:themeColor="text1" w:themeTint="F2"/>
                <w:spacing w:val="0"/>
                <w:lang w:eastAsia="en-US"/>
              </w:rPr>
            </w:pPr>
          </w:p>
          <w:p w14:paraId="743A5F43" w14:textId="77777777" w:rsidR="000C004E" w:rsidRDefault="000C004E">
            <w:pPr>
              <w:pStyle w:val="Marginlie"/>
              <w:rPr>
                <w:color w:val="0D0D0D" w:themeColor="text1" w:themeTint="F2"/>
                <w:spacing w:val="0"/>
                <w:lang w:eastAsia="en-US"/>
              </w:rPr>
            </w:pPr>
          </w:p>
          <w:p w14:paraId="7E657171" w14:textId="77777777" w:rsidR="000C004E" w:rsidRDefault="000C004E">
            <w:pPr>
              <w:pStyle w:val="Marginlie"/>
              <w:rPr>
                <w:color w:val="0D0D0D" w:themeColor="text1" w:themeTint="F2"/>
                <w:spacing w:val="0"/>
                <w:lang w:eastAsia="en-US"/>
              </w:rPr>
            </w:pPr>
            <w:r>
              <w:rPr>
                <w:color w:val="0D0D0D" w:themeColor="text1" w:themeTint="F2"/>
                <w:spacing w:val="0"/>
                <w:lang w:eastAsia="en-US"/>
              </w:rPr>
              <w:t xml:space="preserve">V menší části specializovaných prodejen ovšem tržby meziročně klesaly. </w:t>
            </w:r>
          </w:p>
          <w:p w14:paraId="14BDEFAB" w14:textId="77777777" w:rsidR="000C004E" w:rsidRDefault="000C004E">
            <w:pPr>
              <w:pStyle w:val="Marginlie"/>
              <w:rPr>
                <w:color w:val="0D0D0D" w:themeColor="text1" w:themeTint="F2"/>
                <w:spacing w:val="0"/>
                <w:lang w:eastAsia="en-US"/>
              </w:rPr>
            </w:pPr>
          </w:p>
          <w:p w14:paraId="55A03116" w14:textId="77777777" w:rsidR="000C004E" w:rsidRDefault="000C004E">
            <w:pPr>
              <w:pStyle w:val="Marginlie"/>
              <w:rPr>
                <w:color w:val="0D0D0D" w:themeColor="text1" w:themeTint="F2"/>
                <w:spacing w:val="0"/>
                <w:lang w:eastAsia="en-US"/>
              </w:rPr>
            </w:pPr>
            <w:r>
              <w:rPr>
                <w:color w:val="0D0D0D" w:themeColor="text1" w:themeTint="F2"/>
                <w:spacing w:val="0"/>
                <w:lang w:eastAsia="en-US"/>
              </w:rPr>
              <w:lastRenderedPageBreak/>
              <w:t>Poptávka po PHM nadále svižně rostla, a to i díky příznivému vývoji jejich spotřebitelských cen.</w:t>
            </w:r>
          </w:p>
          <w:p w14:paraId="7D87FB25" w14:textId="77777777" w:rsidR="000C004E" w:rsidRDefault="000C004E">
            <w:pPr>
              <w:pStyle w:val="Marginlie"/>
              <w:rPr>
                <w:spacing w:val="-4"/>
                <w:lang w:eastAsia="en-US"/>
              </w:rPr>
            </w:pPr>
          </w:p>
        </w:tc>
        <w:tc>
          <w:tcPr>
            <w:tcW w:w="201" w:type="dxa"/>
          </w:tcPr>
          <w:p w14:paraId="64BAB8B2" w14:textId="77777777" w:rsidR="000C004E" w:rsidRDefault="000C004E">
            <w:pPr>
              <w:pStyle w:val="Textpoznpodarou"/>
              <w:jc w:val="both"/>
              <w:rPr>
                <w:color w:val="0D0D0D" w:themeColor="text1" w:themeTint="F2"/>
                <w:spacing w:val="-4"/>
                <w:lang w:eastAsia="en-US"/>
              </w:rPr>
            </w:pPr>
          </w:p>
        </w:tc>
        <w:tc>
          <w:tcPr>
            <w:tcW w:w="7722" w:type="dxa"/>
          </w:tcPr>
          <w:p w14:paraId="6A4C610C" w14:textId="77777777" w:rsidR="000C004E" w:rsidRDefault="000C004E">
            <w:pPr>
              <w:spacing w:after="0"/>
              <w:rPr>
                <w:rFonts w:cs="Arial"/>
                <w:color w:val="0D0D0D" w:themeColor="text1" w:themeTint="F2"/>
                <w:spacing w:val="-4"/>
                <w:szCs w:val="20"/>
                <w:lang w:eastAsia="en-US"/>
              </w:rPr>
            </w:pPr>
            <w:r>
              <w:rPr>
                <w:rFonts w:cs="Arial"/>
                <w:color w:val="0D0D0D" w:themeColor="text1" w:themeTint="F2"/>
                <w:spacing w:val="-4"/>
                <w:szCs w:val="20"/>
                <w:lang w:eastAsia="en-US"/>
              </w:rPr>
              <w:t>Tržby v maloobchodu</w:t>
            </w:r>
            <w:r>
              <w:rPr>
                <w:rStyle w:val="Znakapoznpodarou"/>
                <w:color w:val="0D0D0D" w:themeColor="text1" w:themeTint="F2"/>
                <w:spacing w:val="-4"/>
                <w:lang w:eastAsia="en-US"/>
              </w:rPr>
              <w:footnoteReference w:id="32"/>
            </w:r>
            <w:r>
              <w:rPr>
                <w:rFonts w:cs="Arial"/>
                <w:color w:val="0D0D0D" w:themeColor="text1" w:themeTint="F2"/>
                <w:spacing w:val="-4"/>
                <w:szCs w:val="20"/>
                <w:lang w:eastAsia="en-US"/>
              </w:rPr>
              <w:t xml:space="preserve"> se v 1. čtvrtletí 2025 mezikvartálně zvýšily o 1,0 % (podobně posílily i ve druhé polovině loňského roku) a rostly posedmé v řadě. Aktuální růst nastal prakticky napříč všemi segmenty maloobchodu</w:t>
            </w:r>
            <w:r>
              <w:rPr>
                <w:rStyle w:val="Znakapoznpodarou"/>
                <w:color w:val="0D0D0D" w:themeColor="text1" w:themeTint="F2"/>
                <w:spacing w:val="-4"/>
                <w:szCs w:val="20"/>
                <w:lang w:eastAsia="en-US"/>
              </w:rPr>
              <w:footnoteReference w:id="33"/>
            </w:r>
            <w:r>
              <w:rPr>
                <w:rFonts w:cs="Arial"/>
                <w:color w:val="0D0D0D" w:themeColor="text1" w:themeTint="F2"/>
                <w:spacing w:val="-4"/>
                <w:szCs w:val="20"/>
                <w:lang w:eastAsia="en-US"/>
              </w:rPr>
              <w:t>. Současná úroveň tržeb i tak za předkrizovým maximem (ze 4. čtvrtletí 2019) nepatrně zaostávala (o 0,4 %)</w:t>
            </w:r>
            <w:r>
              <w:rPr>
                <w:rStyle w:val="Znakapoznpodarou"/>
                <w:color w:val="0D0D0D" w:themeColor="text1" w:themeTint="F2"/>
                <w:spacing w:val="-4"/>
                <w:szCs w:val="20"/>
                <w:lang w:eastAsia="en-US"/>
              </w:rPr>
              <w:footnoteReference w:id="34"/>
            </w:r>
            <w:r>
              <w:rPr>
                <w:rFonts w:cs="Arial"/>
                <w:color w:val="0D0D0D" w:themeColor="text1" w:themeTint="F2"/>
                <w:spacing w:val="-4"/>
                <w:szCs w:val="20"/>
                <w:lang w:eastAsia="en-US"/>
              </w:rPr>
              <w:t>. Meziročně se tržby zvýšily o 3,4 % a byly stejně jako po celý loňský rok i letos taženy hlavně vyšší poptávkou po nepotravinářském zboží (příspěvek k růstu +2,1 p. b.), do níž zásadně promlouvaly dynamicky rostoucí tržby v oblasti prodeje prostřednictvím internetu nebo zásilkové služby. Ty se zvýšily o 12,2 % a dvojciferným tempem rostly pátý kvartál v řadě. K rozvoji tohoto prodeje přispívá postupující digitalizace, modernizace v oblasti logistiky, ale také stále sofistikovanější marketing. V rámci specializovaných obchodů</w:t>
            </w:r>
            <w:r>
              <w:rPr>
                <w:rStyle w:val="Znakapoznpodarou"/>
                <w:color w:val="0D0D0D" w:themeColor="text1" w:themeTint="F2"/>
                <w:spacing w:val="-4"/>
                <w:szCs w:val="20"/>
                <w:lang w:eastAsia="en-US"/>
              </w:rPr>
              <w:footnoteReference w:id="35"/>
            </w:r>
            <w:r>
              <w:rPr>
                <w:rFonts w:cs="Arial"/>
                <w:color w:val="0D0D0D" w:themeColor="text1" w:themeTint="F2"/>
                <w:spacing w:val="-4"/>
                <w:szCs w:val="20"/>
                <w:lang w:eastAsia="en-US"/>
              </w:rPr>
              <w:t xml:space="preserve"> se opět zvýšila nejvíce poptávka po kosmetických a toaletních výrobcích (+8,2 %)</w:t>
            </w:r>
            <w:r>
              <w:rPr>
                <w:rStyle w:val="Znakapoznpodarou"/>
                <w:color w:val="0D0D0D" w:themeColor="text1" w:themeTint="F2"/>
                <w:spacing w:val="-4"/>
                <w:szCs w:val="20"/>
                <w:lang w:eastAsia="en-US"/>
              </w:rPr>
              <w:footnoteReference w:id="36"/>
            </w:r>
            <w:r>
              <w:rPr>
                <w:rFonts w:cs="Arial"/>
                <w:color w:val="0D0D0D" w:themeColor="text1" w:themeTint="F2"/>
                <w:spacing w:val="-4"/>
                <w:szCs w:val="20"/>
                <w:lang w:eastAsia="en-US"/>
              </w:rPr>
              <w:t>, svižně dále rostly i tržby za farmaceutické a zdravotnické zboží (+6,2 %) a k oživení došlo u výrobků pro kulturu a rekreaci (+5,5 %) a po delší době rovněž u potravin (+2,2 %)</w:t>
            </w:r>
            <w:r>
              <w:rPr>
                <w:rStyle w:val="Znakapoznpodarou"/>
                <w:color w:val="0D0D0D" w:themeColor="text1" w:themeTint="F2"/>
                <w:spacing w:val="-4"/>
                <w:szCs w:val="20"/>
                <w:lang w:eastAsia="en-US"/>
              </w:rPr>
              <w:footnoteReference w:id="37"/>
            </w:r>
            <w:r>
              <w:rPr>
                <w:rFonts w:cs="Arial"/>
                <w:color w:val="0D0D0D" w:themeColor="text1" w:themeTint="F2"/>
                <w:spacing w:val="-4"/>
                <w:szCs w:val="20"/>
                <w:lang w:eastAsia="en-US"/>
              </w:rPr>
              <w:t xml:space="preserve">. V kontrastu s tím pokračoval trend dlouhodobějšího poklesu poptávky po výrobcích převážně pro domácnost a na loňské mírné zotavení nenavázaly specializované prodejny s oděvy, obuví a koženým zbožím. Tržby v nespecializovaných prodejnách s převahou potravin, které typicky zahrnují </w:t>
            </w:r>
            <w:r>
              <w:rPr>
                <w:rFonts w:cs="Arial"/>
                <w:color w:val="0D0D0D" w:themeColor="text1" w:themeTint="F2"/>
                <w:spacing w:val="-4"/>
                <w:szCs w:val="20"/>
                <w:lang w:eastAsia="en-US"/>
              </w:rPr>
              <w:lastRenderedPageBreak/>
              <w:t>velké obchodní řetězce, se letos v 1. čtvrtletí meziročně zvýšily jen o 0,8 % a jejich tempo současně oslabilo potřetí v řadě. Naopak velmi dynamicky se zvyšovala poptávka po pohonných hmotách, jež pramenila hlavně z jejich příznivého cenového vývoje</w:t>
            </w:r>
            <w:r>
              <w:rPr>
                <w:rStyle w:val="Znakapoznpodarou"/>
                <w:color w:val="0D0D0D" w:themeColor="text1" w:themeTint="F2"/>
                <w:spacing w:val="-4"/>
                <w:szCs w:val="20"/>
                <w:lang w:eastAsia="en-US"/>
              </w:rPr>
              <w:footnoteReference w:id="38"/>
            </w:r>
            <w:r>
              <w:rPr>
                <w:rFonts w:cs="Arial"/>
                <w:color w:val="0D0D0D" w:themeColor="text1" w:themeTint="F2"/>
                <w:spacing w:val="-4"/>
                <w:szCs w:val="20"/>
                <w:lang w:eastAsia="en-US"/>
              </w:rPr>
              <w:t>. Meziroční růst za jejich prodej dosáhl 7,5 %</w:t>
            </w:r>
            <w:r>
              <w:rPr>
                <w:rStyle w:val="Znakapoznpodarou"/>
                <w:color w:val="0D0D0D" w:themeColor="text1" w:themeTint="F2"/>
                <w:spacing w:val="-4"/>
                <w:szCs w:val="20"/>
                <w:lang w:eastAsia="en-US"/>
              </w:rPr>
              <w:footnoteReference w:id="39"/>
            </w:r>
            <w:r>
              <w:rPr>
                <w:rFonts w:cs="Arial"/>
                <w:color w:val="0D0D0D" w:themeColor="text1" w:themeTint="F2"/>
                <w:spacing w:val="-4"/>
                <w:szCs w:val="20"/>
                <w:lang w:eastAsia="en-US"/>
              </w:rPr>
              <w:t xml:space="preserve"> (o polovinu více než v průměru za celý loňský rok) </w:t>
            </w:r>
            <w:r>
              <w:rPr>
                <w:rFonts w:cs="Arial"/>
                <w:color w:val="0D0D0D" w:themeColor="text1" w:themeTint="F2"/>
                <w:spacing w:val="-4"/>
                <w:szCs w:val="20"/>
                <w:lang w:eastAsia="en-US"/>
              </w:rPr>
              <w:br/>
              <w:t xml:space="preserve">a k růstu celého maloobchodu přispěl 0,9 p. b. (tedy více než dvojnásobně oproti např. celkovému prodeji potravin). </w:t>
            </w:r>
          </w:p>
          <w:p w14:paraId="0F340824" w14:textId="77777777" w:rsidR="000C004E" w:rsidRDefault="000C004E">
            <w:pPr>
              <w:spacing w:after="0"/>
              <w:rPr>
                <w:rFonts w:cs="Arial"/>
                <w:color w:val="0D0D0D" w:themeColor="text1" w:themeTint="F2"/>
                <w:szCs w:val="20"/>
                <w:lang w:eastAsia="en-US"/>
              </w:rPr>
            </w:pPr>
          </w:p>
        </w:tc>
      </w:tr>
      <w:tr w:rsidR="000C004E" w14:paraId="57DA77F7" w14:textId="77777777" w:rsidTr="000C004E">
        <w:trPr>
          <w:trHeight w:val="170"/>
        </w:trPr>
        <w:tc>
          <w:tcPr>
            <w:tcW w:w="1814" w:type="dxa"/>
            <w:hideMark/>
          </w:tcPr>
          <w:p w14:paraId="73F58303" w14:textId="77777777" w:rsidR="000C004E" w:rsidRDefault="000C004E">
            <w:pPr>
              <w:pStyle w:val="Marginlie"/>
              <w:rPr>
                <w:spacing w:val="-4"/>
                <w:lang w:eastAsia="en-US"/>
              </w:rPr>
            </w:pPr>
            <w:r>
              <w:rPr>
                <w:spacing w:val="-4"/>
                <w:lang w:eastAsia="en-US"/>
              </w:rPr>
              <w:lastRenderedPageBreak/>
              <w:t>Poptávka v</w:t>
            </w:r>
            <w:r>
              <w:rPr>
                <w:rFonts w:cs="Arial"/>
                <w:color w:val="0D0D0D" w:themeColor="text1" w:themeTint="F2"/>
                <w:szCs w:val="20"/>
                <w:lang w:eastAsia="en-US"/>
              </w:rPr>
              <w:t> </w:t>
            </w:r>
            <w:r>
              <w:rPr>
                <w:spacing w:val="-4"/>
                <w:lang w:eastAsia="en-US"/>
              </w:rPr>
              <w:t xml:space="preserve">motoristickém segmentu obchodu se druhý rok v řadě zvyšovala jen velmi mírně. </w:t>
            </w:r>
          </w:p>
        </w:tc>
        <w:tc>
          <w:tcPr>
            <w:tcW w:w="201" w:type="dxa"/>
          </w:tcPr>
          <w:p w14:paraId="2CAFF790" w14:textId="77777777" w:rsidR="000C004E" w:rsidRDefault="000C004E">
            <w:pPr>
              <w:pStyle w:val="Textpoznpodarou"/>
              <w:jc w:val="both"/>
              <w:rPr>
                <w:color w:val="0D0D0D" w:themeColor="text1" w:themeTint="F2"/>
                <w:spacing w:val="-4"/>
                <w:lang w:eastAsia="en-US"/>
              </w:rPr>
            </w:pPr>
          </w:p>
        </w:tc>
        <w:tc>
          <w:tcPr>
            <w:tcW w:w="7722" w:type="dxa"/>
            <w:hideMark/>
          </w:tcPr>
          <w:p w14:paraId="75B91152" w14:textId="77777777" w:rsidR="000C004E" w:rsidRDefault="000C004E">
            <w:pPr>
              <w:spacing w:after="0"/>
              <w:rPr>
                <w:rFonts w:cs="Arial"/>
                <w:color w:val="0D0D0D" w:themeColor="text1" w:themeTint="F2"/>
                <w:szCs w:val="20"/>
                <w:lang w:eastAsia="en-US"/>
              </w:rPr>
            </w:pPr>
            <w:r>
              <w:rPr>
                <w:rFonts w:cs="Arial"/>
                <w:color w:val="0D0D0D" w:themeColor="text1" w:themeTint="F2"/>
                <w:szCs w:val="20"/>
                <w:lang w:eastAsia="en-US"/>
              </w:rPr>
              <w:t xml:space="preserve">Tržby v motoristickém segmentu obchodu se letos v 1. čtvrtletí meziročně zvýšily o rovné 1 % (jen mírný růst poptávky byl přitom patrný i po většinu loňského roku). V klíčovém segmentu prodeje motorových vozidel, jehož výsledek závisí hlavně na firemní poptávce, se tržby zvýšily o 1,7 % (ve srovnání s předkrizovým vrcholem z 2. čtvrtletí </w:t>
            </w:r>
            <w:r>
              <w:rPr>
                <w:rFonts w:cs="Arial"/>
                <w:color w:val="0D0D0D" w:themeColor="text1" w:themeTint="F2"/>
                <w:spacing w:val="-6"/>
                <w:szCs w:val="20"/>
                <w:lang w:eastAsia="en-US"/>
              </w:rPr>
              <w:t xml:space="preserve">roku 2017 ovšem zaostaly o 7,4 %). V obchodu s </w:t>
            </w:r>
            <w:r>
              <w:rPr>
                <w:rFonts w:cs="Arial"/>
                <w:color w:val="0D0D0D" w:themeColor="text1" w:themeTint="F2"/>
                <w:szCs w:val="20"/>
                <w:lang w:eastAsia="en-US"/>
              </w:rPr>
              <w:t>díly i příslušenstvím tržby klesly o 1,2 % a snížily se počtvrté v řadě.</w:t>
            </w:r>
            <w:r>
              <w:rPr>
                <w:lang w:eastAsia="en-US"/>
              </w:rPr>
              <w:t xml:space="preserve"> Meziročně se omezila i poptávka v malém segmentu </w:t>
            </w:r>
            <w:r>
              <w:rPr>
                <w:rFonts w:cs="Arial"/>
                <w:color w:val="0D0D0D" w:themeColor="text1" w:themeTint="F2"/>
                <w:szCs w:val="20"/>
                <w:lang w:eastAsia="en-US"/>
              </w:rPr>
              <w:t xml:space="preserve">obchodu, oprav a údržby motocyklů, jejich dílů a příslušenství a současně se nacházela na úrovni počátku roku 2019 (ve všech ostatních motoristických segmentech v tomto srovnání naopak zaostávala). </w:t>
            </w:r>
          </w:p>
        </w:tc>
      </w:tr>
    </w:tbl>
    <w:p w14:paraId="1E361454" w14:textId="77777777" w:rsidR="000C004E" w:rsidRDefault="000C004E" w:rsidP="000C004E">
      <w:pPr>
        <w:pStyle w:val="Nadpis1"/>
        <w:rPr>
          <w:color w:val="71818C"/>
          <w:sz w:val="2"/>
          <w:szCs w:val="2"/>
        </w:rPr>
      </w:pPr>
    </w:p>
    <w:p w14:paraId="2143296F" w14:textId="1754FC9B" w:rsidR="00A50D73" w:rsidRPr="00A04CEF" w:rsidRDefault="00A50D73" w:rsidP="003B7AFA">
      <w:pPr>
        <w:pStyle w:val="Nadpis1"/>
        <w:rPr>
          <w:sz w:val="2"/>
          <w:szCs w:val="2"/>
        </w:rPr>
      </w:pPr>
      <w:bookmarkStart w:id="2" w:name="_GoBack"/>
      <w:bookmarkEnd w:id="1"/>
      <w:bookmarkEnd w:id="2"/>
    </w:p>
    <w:sectPr w:rsidR="00A50D73" w:rsidRPr="00A04CEF" w:rsidSect="00355F7D">
      <w:headerReference w:type="even" r:id="rId16"/>
      <w:headerReference w:type="default" r:id="rId17"/>
      <w:footerReference w:type="even" r:id="rId18"/>
      <w:footerReference w:type="default" r:id="rId19"/>
      <w:pgSz w:w="11906" w:h="16838" w:code="9"/>
      <w:pgMar w:top="1134" w:right="1134" w:bottom="1418" w:left="1134" w:header="680" w:footer="680"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2EF3C" w14:textId="77777777" w:rsidR="00A04CEF" w:rsidRDefault="00A04CEF" w:rsidP="00E71A58">
      <w:r>
        <w:separator/>
      </w:r>
    </w:p>
  </w:endnote>
  <w:endnote w:type="continuationSeparator" w:id="0">
    <w:p w14:paraId="70B7E2B6" w14:textId="77777777" w:rsidR="00A04CEF" w:rsidRDefault="00A04CEF"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362E7" w14:textId="1A2F864A" w:rsidR="00A04CEF" w:rsidRPr="00932443" w:rsidRDefault="00A04CEF" w:rsidP="00A418BC">
    <w:pPr>
      <w:pStyle w:val="Zpat"/>
      <w:rPr>
        <w:szCs w:val="16"/>
      </w:rPr>
    </w:pPr>
    <w:r>
      <w:rPr>
        <w:szCs w:val="16"/>
        <w:lang w:eastAsia="cs-CZ"/>
      </w:rPr>
      <w:drawing>
        <wp:anchor distT="0" distB="0" distL="114300" distR="114300" simplePos="0" relativeHeight="251658240"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355F7D">
      <w:rPr>
        <w:szCs w:val="16"/>
      </w:rPr>
      <w:t>20</w:t>
    </w:r>
    <w:r w:rsidRPr="00932443">
      <w:rPr>
        <w:szCs w:val="16"/>
      </w:rPr>
      <w:fldChar w:fldCharType="end"/>
    </w:r>
    <w:r w:rsidRPr="00932443">
      <w:rPr>
        <w:szCs w:val="16"/>
      </w:rPr>
      <w:tab/>
    </w:r>
    <w:r>
      <w:rPr>
        <w:szCs w:val="16"/>
      </w:rPr>
      <w:t>1. čtvrtletí 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9" w14:textId="556DFAD9" w:rsidR="00A04CEF" w:rsidRPr="00932443" w:rsidRDefault="00A04CEF" w:rsidP="00A418BC">
    <w:pPr>
      <w:pStyle w:val="Zpat"/>
      <w:rPr>
        <w:szCs w:val="16"/>
      </w:rPr>
    </w:pPr>
    <w:r>
      <w:rPr>
        <w:szCs w:val="16"/>
        <w:lang w:eastAsia="cs-CZ"/>
      </w:rPr>
      <w:drawing>
        <wp:anchor distT="0" distB="0" distL="114300" distR="114300" simplePos="0" relativeHeight="251657216" behindDoc="0" locked="0" layoutInCell="1" allowOverlap="1" wp14:anchorId="2143298C" wp14:editId="2143298D">
          <wp:simplePos x="0" y="0"/>
          <wp:positionH relativeFrom="column">
            <wp:align>left</wp:align>
          </wp:positionH>
          <wp:positionV relativeFrom="paragraph">
            <wp:posOffset>-122555</wp:posOffset>
          </wp:positionV>
          <wp:extent cx="510540" cy="272415"/>
          <wp:effectExtent l="0" t="0" r="0" b="6985"/>
          <wp:wrapNone/>
          <wp:docPr id="22" name="Picture 16"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szCs w:val="16"/>
      </w:rPr>
      <w:t>1. čtvrtletí 2025</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355F7D">
      <w:rPr>
        <w:rStyle w:val="ZpatChar"/>
        <w:szCs w:val="16"/>
      </w:rPr>
      <w:t>19</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0D8F6" w14:textId="77777777" w:rsidR="00A04CEF" w:rsidRDefault="00A04CEF" w:rsidP="00EA4302">
      <w:pPr>
        <w:spacing w:after="0"/>
      </w:pPr>
      <w:r>
        <w:separator/>
      </w:r>
    </w:p>
  </w:footnote>
  <w:footnote w:type="continuationSeparator" w:id="0">
    <w:p w14:paraId="70CDBF0C" w14:textId="77777777" w:rsidR="00A04CEF" w:rsidRDefault="00A04CEF" w:rsidP="00E71A58">
      <w:r>
        <w:continuationSeparator/>
      </w:r>
    </w:p>
  </w:footnote>
  <w:footnote w:id="1">
    <w:p w14:paraId="0A63BF98" w14:textId="77777777" w:rsidR="000C004E" w:rsidRDefault="000C004E" w:rsidP="000C004E">
      <w:pPr>
        <w:pStyle w:val="Textpoznpodarou"/>
        <w:jc w:val="both"/>
        <w:rPr>
          <w:rFonts w:cs="Arial"/>
          <w:color w:val="0D0D0D" w:themeColor="text1" w:themeTint="F2"/>
          <w:spacing w:val="-2"/>
          <w:sz w:val="16"/>
          <w:szCs w:val="16"/>
        </w:rPr>
      </w:pPr>
      <w:r>
        <w:rPr>
          <w:rStyle w:val="Znakapoznpodarou"/>
          <w:rFonts w:cs="Arial"/>
          <w:color w:val="0D0D0D" w:themeColor="text1" w:themeTint="F2"/>
          <w:spacing w:val="-2"/>
          <w:sz w:val="16"/>
          <w:szCs w:val="16"/>
        </w:rPr>
        <w:footnoteRef/>
      </w:r>
      <w:r>
        <w:rPr>
          <w:rFonts w:cs="Arial"/>
          <w:color w:val="0D0D0D" w:themeColor="text1" w:themeTint="F2"/>
          <w:spacing w:val="-2"/>
          <w:sz w:val="16"/>
          <w:szCs w:val="16"/>
        </w:rPr>
        <w:t xml:space="preserve"> Údaje o HPH jsou vyjádřeny ve stálých cenách a v očištění o sezónní a kalendářní vlivy.</w:t>
      </w:r>
    </w:p>
  </w:footnote>
  <w:footnote w:id="2">
    <w:p w14:paraId="2FB9D35B"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Tato skupení dlouhodobě vytváří skoro 40 % HPH celé tuzemské ekonomiky. </w:t>
      </w:r>
    </w:p>
  </w:footnote>
  <w:footnote w:id="3">
    <w:p w14:paraId="06EE1930"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V informačních a komunikačních činnostech převýšila HPH předkrizovou úroveň o 32 %, v peněžnictví a pojišťovnictví o 22 % </w:t>
      </w:r>
      <w:r>
        <w:rPr>
          <w:sz w:val="16"/>
          <w:szCs w:val="16"/>
        </w:rPr>
        <w:br/>
        <w:t xml:space="preserve">a v podnikových službách (profesní, vědecké, technické a administrativní činnosti) o 8 %. Naopak výkon průmyslu za 4. čtvrtletím 2019 zaostával o 5 %, primárního sektoru ekonomiky o 8 % a stavebnictví o 13 %. </w:t>
      </w:r>
    </w:p>
  </w:footnote>
  <w:footnote w:id="4">
    <w:p w14:paraId="7748F2B8" w14:textId="77777777" w:rsidR="000C004E" w:rsidRDefault="000C004E" w:rsidP="000C004E">
      <w:pPr>
        <w:pStyle w:val="paragraph"/>
        <w:spacing w:before="0" w:beforeAutospacing="0" w:after="0" w:afterAutospacing="0"/>
        <w:jc w:val="both"/>
        <w:textAlignment w:val="baseline"/>
        <w:rPr>
          <w:rFonts w:ascii="Arial" w:eastAsia="Calibri" w:hAnsi="Arial"/>
          <w:sz w:val="16"/>
          <w:szCs w:val="16"/>
        </w:rPr>
      </w:pPr>
      <w:r>
        <w:rPr>
          <w:rStyle w:val="Znakapoznpodarou"/>
          <w:rFonts w:ascii="Arial" w:eastAsia="Calibri" w:hAnsi="Arial"/>
          <w:sz w:val="16"/>
          <w:szCs w:val="16"/>
        </w:rPr>
        <w:footnoteRef/>
      </w:r>
      <w:r>
        <w:rPr>
          <w:rStyle w:val="Znakapoznpodarou"/>
          <w:rFonts w:ascii="Arial" w:eastAsia="Calibri" w:hAnsi="Arial"/>
          <w:sz w:val="16"/>
          <w:szCs w:val="16"/>
        </w:rPr>
        <w:t xml:space="preserve"> </w:t>
      </w:r>
      <w:r>
        <w:rPr>
          <w:rFonts w:ascii="Arial" w:eastAsia="Calibri" w:hAnsi="Arial"/>
          <w:sz w:val="16"/>
          <w:szCs w:val="16"/>
        </w:rPr>
        <w:t>Z tuzemských chovů bylo na jatka v Česku či v zahraničí v 1. čtvrtletí 2025 dodáno meziročně větší množství jatečného skotu, prasat i</w:t>
      </w:r>
      <w:r>
        <w:rPr>
          <w:rFonts w:cs="Arial"/>
          <w:color w:val="0D0D0D" w:themeColor="text1" w:themeTint="F2"/>
          <w:spacing w:val="-2"/>
          <w:sz w:val="16"/>
          <w:szCs w:val="16"/>
        </w:rPr>
        <w:t> </w:t>
      </w:r>
      <w:r>
        <w:rPr>
          <w:rFonts w:ascii="Arial" w:eastAsia="Calibri" w:hAnsi="Arial"/>
          <w:sz w:val="16"/>
          <w:szCs w:val="16"/>
        </w:rPr>
        <w:t>drůbeže Hrubá tuzemská produkce (vyjádřená v jatečné hmotnosti masa) tak vzrostla u hovězího o 2,0 % (na 25 tis. tun), vepřového o</w:t>
      </w:r>
      <w:r>
        <w:rPr>
          <w:rFonts w:cs="Arial"/>
          <w:color w:val="0D0D0D" w:themeColor="text1" w:themeTint="F2"/>
          <w:spacing w:val="-2"/>
          <w:sz w:val="16"/>
          <w:szCs w:val="16"/>
        </w:rPr>
        <w:t> </w:t>
      </w:r>
      <w:r>
        <w:rPr>
          <w:rFonts w:ascii="Arial" w:eastAsia="Calibri" w:hAnsi="Arial"/>
          <w:sz w:val="16"/>
          <w:szCs w:val="16"/>
        </w:rPr>
        <w:t xml:space="preserve">3,7 % (60 tis. tun) a drůbežího o 8,1 % (53 tis. tun). Ve všech případech (vyjma vepřového masa) jde ve srovnání s tempem za celý rok 2024 o zrychlení růstu. Trend dlouhodobě mírně rostoucí výroby mléka se zastavil, což je v meziročním srovnání patrné již od poloviny loňského roku. Přímý nákup mléka od tuzemských producentů (prvními kupujícími) činil letos v 1. čtvrtletí 806 mil. litrů, téměř stejně jako o rok dříve. Z toho nákup mlékárnami dosáhl 684 mil. litrů a meziročně klesl o 2 % (nejvíce za posledních pět a půl roku). </w:t>
      </w:r>
    </w:p>
    <w:p w14:paraId="44946418" w14:textId="77777777" w:rsidR="000C004E" w:rsidRDefault="000C004E" w:rsidP="000C004E">
      <w:pPr>
        <w:pStyle w:val="paragraph"/>
        <w:spacing w:before="0" w:beforeAutospacing="0" w:after="0" w:afterAutospacing="0"/>
        <w:jc w:val="both"/>
        <w:textAlignment w:val="baseline"/>
        <w:rPr>
          <w:rFonts w:ascii="Arial" w:eastAsia="Calibri" w:hAnsi="Arial"/>
          <w:sz w:val="16"/>
          <w:szCs w:val="16"/>
        </w:rPr>
      </w:pPr>
      <w:r>
        <w:rPr>
          <w:rFonts w:ascii="Arial" w:eastAsia="Calibri" w:hAnsi="Arial"/>
          <w:sz w:val="16"/>
          <w:szCs w:val="16"/>
        </w:rPr>
        <w:t>Tradičně kladná bilance Česka u zahraničního obchodu s živými zvířaty u drůbeže i skotu díky vyšším vývozům meziročně vzrostla (vyvezla se celá čtvrtina v Česku vykrmeného skotu, hlavně do Rakouska), u prasat se snížila (vývoz klesal rychleji než dovoz).  Dlouhodobý schodek Česka v obchodu s masem se významně nezměnil, a to přesto, že dovoz hovězího (v tunách) se meziročně snížil o pětinu (plošný pokles, hlavně z Německa) a u vepřového a drůbežího zhruba stagnoval. Hovězí maso se do Česka dováží hlavně z Polska a Nizozemska, vepřové z Německa a Španělska a drůbeží z Polska (až 2/3 importu). U všech tří druhů mas převládal v exportu směr na Slovensko. Po započítání bilance dovozu a vývozu masa se předběžně kalkulovaná spotřeba masa v ČR v 1. čtvrtletí 2025 meziročně propadla u hovězího (−8 %, po stagnaci v roce 2024), naopak u vepřového a drůbežího mírně rostla (shodně o 3 %) a navázala na trend z loňského roku. Spotřebu masa ovlivňují dlouhodobé preference tuzemských konzumentů i krátkodobější výkyvy dané např. reakcí domácností na vývoj spotřebitelských cen masa. </w:t>
      </w:r>
    </w:p>
  </w:footnote>
  <w:footnote w:id="5">
    <w:p w14:paraId="0BD0D240" w14:textId="77777777" w:rsidR="000C004E" w:rsidRDefault="000C004E" w:rsidP="000C004E">
      <w:pPr>
        <w:spacing w:after="0" w:line="240" w:lineRule="auto"/>
        <w:rPr>
          <w:rFonts w:cs="Arial"/>
          <w:color w:val="0D0D0D" w:themeColor="text1" w:themeTint="F2"/>
          <w:spacing w:val="-4"/>
          <w:sz w:val="16"/>
          <w:szCs w:val="16"/>
        </w:rPr>
      </w:pPr>
      <w:r>
        <w:rPr>
          <w:rStyle w:val="Znakapoznpodarou"/>
          <w:spacing w:val="-4"/>
          <w:sz w:val="16"/>
          <w:szCs w:val="16"/>
        </w:rPr>
        <w:footnoteRef/>
      </w:r>
      <w:r>
        <w:rPr>
          <w:spacing w:val="-4"/>
          <w:sz w:val="16"/>
          <w:szCs w:val="16"/>
        </w:rPr>
        <w:t xml:space="preserve"> </w:t>
      </w:r>
      <w:r>
        <w:rPr>
          <w:rFonts w:cs="Arial"/>
          <w:color w:val="0D0D0D" w:themeColor="text1" w:themeTint="F2"/>
          <w:spacing w:val="-4"/>
          <w:sz w:val="16"/>
          <w:szCs w:val="16"/>
        </w:rPr>
        <w:t>Zahrnuje odvětví těžby a dobývání, zpracovatelského průmyslu a také energetiky (zde pojímané jako odvětví výroby a rozvodu elektřiny, plynu, tepla a klimatizovaného vzduchu). Všechna meziroční tempa produkce jsou očištěna o kalendářní vlivy, mezičtvrtletní tempa i o vliv sezónnosti.</w:t>
      </w:r>
    </w:p>
  </w:footnote>
  <w:footnote w:id="6">
    <w:p w14:paraId="651E9972" w14:textId="77777777" w:rsidR="000C004E" w:rsidRDefault="000C004E" w:rsidP="000C004E">
      <w:pPr>
        <w:pStyle w:val="Textpoznpodarou"/>
        <w:rPr>
          <w:color w:val="0D0D0D" w:themeColor="text1" w:themeTint="F2"/>
          <w:spacing w:val="-1"/>
          <w:sz w:val="16"/>
          <w:szCs w:val="16"/>
        </w:rPr>
      </w:pPr>
      <w:r>
        <w:rPr>
          <w:rStyle w:val="Znakapoznpodarou"/>
          <w:sz w:val="16"/>
          <w:szCs w:val="16"/>
        </w:rPr>
        <w:footnoteRef/>
      </w:r>
      <w:r>
        <w:rPr>
          <w:sz w:val="16"/>
          <w:szCs w:val="16"/>
        </w:rPr>
        <w:t xml:space="preserve"> </w:t>
      </w:r>
      <w:r>
        <w:rPr>
          <w:color w:val="0D0D0D" w:themeColor="text1" w:themeTint="F2"/>
          <w:spacing w:val="-1"/>
          <w:sz w:val="16"/>
          <w:szCs w:val="16"/>
        </w:rPr>
        <w:t>Za svým vrcholem z období let 2015 až 2019 letos v 1. čtvrtletí zaostávaly více než dvě třetiny hlavních průmyslových oborů – hlavně ty provázané s výrobou energií (</w:t>
      </w:r>
      <w:r>
        <w:rPr>
          <w:color w:val="0D0D0D" w:themeColor="text1" w:themeTint="F2"/>
          <w:spacing w:val="-4"/>
          <w:sz w:val="16"/>
          <w:szCs w:val="16"/>
        </w:rPr>
        <w:t>−</w:t>
      </w:r>
      <w:r>
        <w:rPr>
          <w:color w:val="0D0D0D" w:themeColor="text1" w:themeTint="F2"/>
          <w:spacing w:val="-1"/>
          <w:sz w:val="16"/>
          <w:szCs w:val="16"/>
        </w:rPr>
        <w:t>18 %) a ty zaměřené na produkci dlouhodobé spotřeby (</w:t>
      </w:r>
      <w:r>
        <w:rPr>
          <w:color w:val="0D0D0D" w:themeColor="text1" w:themeTint="F2"/>
          <w:spacing w:val="-4"/>
          <w:sz w:val="16"/>
          <w:szCs w:val="16"/>
        </w:rPr>
        <w:t>−</w:t>
      </w:r>
      <w:r>
        <w:rPr>
          <w:color w:val="0D0D0D" w:themeColor="text1" w:themeTint="F2"/>
          <w:spacing w:val="-1"/>
          <w:sz w:val="16"/>
          <w:szCs w:val="16"/>
        </w:rPr>
        <w:t>16 %). Na úrovni jednotlivých oborů šlo v prvé řadě o těžbu uhlí (</w:t>
      </w:r>
      <w:r>
        <w:rPr>
          <w:rFonts w:cs="Arial"/>
          <w:color w:val="0D0D0D" w:themeColor="text1" w:themeTint="F2"/>
          <w:spacing w:val="-1"/>
          <w:sz w:val="16"/>
          <w:szCs w:val="16"/>
        </w:rPr>
        <w:t>o </w:t>
      </w:r>
      <w:r>
        <w:rPr>
          <w:color w:val="0D0D0D" w:themeColor="text1" w:themeTint="F2"/>
          <w:spacing w:val="-1"/>
          <w:sz w:val="16"/>
          <w:szCs w:val="16"/>
        </w:rPr>
        <w:t>56</w:t>
      </w:r>
      <w:r>
        <w:rPr>
          <w:rFonts w:cs="Arial"/>
          <w:color w:val="0D0D0D" w:themeColor="text1" w:themeTint="F2"/>
          <w:spacing w:val="-1"/>
          <w:sz w:val="16"/>
          <w:szCs w:val="16"/>
        </w:rPr>
        <w:t> </w:t>
      </w:r>
      <w:r>
        <w:rPr>
          <w:color w:val="0D0D0D" w:themeColor="text1" w:themeTint="F2"/>
          <w:spacing w:val="-1"/>
          <w:sz w:val="16"/>
          <w:szCs w:val="16"/>
        </w:rPr>
        <w:t>%), výrobu kovů, hutnictví a slévárenství (−29 %), obuvnický a kožedělný průmysl (−28</w:t>
      </w:r>
      <w:r>
        <w:rPr>
          <w:rFonts w:cs="Arial"/>
          <w:color w:val="0D0D0D" w:themeColor="text1" w:themeTint="F2"/>
          <w:spacing w:val="-1"/>
          <w:sz w:val="16"/>
          <w:szCs w:val="16"/>
        </w:rPr>
        <w:t> </w:t>
      </w:r>
      <w:r>
        <w:rPr>
          <w:color w:val="0D0D0D" w:themeColor="text1" w:themeTint="F2"/>
          <w:spacing w:val="-1"/>
          <w:sz w:val="16"/>
          <w:szCs w:val="16"/>
        </w:rPr>
        <w:t>%), textilní průmysl (−24 %), tiskárenství (−23 %) a těžbu stavebních materiálů (−22 %). Z větších oborů šlo dále o chemický průmysl (−15 %), energetiku (−13</w:t>
      </w:r>
      <w:r>
        <w:rPr>
          <w:rFonts w:cs="Arial"/>
          <w:color w:val="0D0D0D" w:themeColor="text1" w:themeTint="F2"/>
          <w:spacing w:val="-1"/>
          <w:sz w:val="16"/>
          <w:szCs w:val="16"/>
        </w:rPr>
        <w:t> </w:t>
      </w:r>
      <w:r>
        <w:rPr>
          <w:color w:val="0D0D0D" w:themeColor="text1" w:themeTint="F2"/>
          <w:spacing w:val="-1"/>
          <w:sz w:val="16"/>
          <w:szCs w:val="16"/>
        </w:rPr>
        <w:t>%), strojírenský a elektronický průmysl (shodně −10 %), gumárenství a plastikářství (−7</w:t>
      </w:r>
      <w:r>
        <w:rPr>
          <w:rFonts w:cs="Arial"/>
          <w:color w:val="0D0D0D" w:themeColor="text1" w:themeTint="F2"/>
          <w:spacing w:val="-1"/>
          <w:sz w:val="16"/>
          <w:szCs w:val="16"/>
        </w:rPr>
        <w:t> </w:t>
      </w:r>
      <w:r>
        <w:rPr>
          <w:color w:val="0D0D0D" w:themeColor="text1" w:themeTint="F2"/>
          <w:spacing w:val="-1"/>
          <w:sz w:val="16"/>
          <w:szCs w:val="16"/>
        </w:rPr>
        <w:t>%) či kovodělný průmysl (−5 %). Naopak nad předkrizovou úrovní produkce se aktuálně nacházely obory vyrábějící investiční produkty a také ty s produkty krátkodobé spotřeby (shodně +7 %). Z jednotlivých oborů šlo především o farmacii (+16 %), ostatní zpracovatelský průmysl (+14 %), automobilový průmysl (+13 %), papírenství (+13 %), elektrotechniku (+12 %) a dále např. potravinářství (+7 %).</w:t>
      </w:r>
    </w:p>
  </w:footnote>
  <w:footnote w:id="7">
    <w:p w14:paraId="61F18D18" w14:textId="77777777" w:rsidR="000C004E" w:rsidRDefault="000C004E" w:rsidP="000C004E">
      <w:pPr>
        <w:pStyle w:val="Textpoznpodarou"/>
        <w:rPr>
          <w:spacing w:val="-2"/>
          <w:sz w:val="16"/>
          <w:szCs w:val="16"/>
        </w:rPr>
      </w:pPr>
      <w:r>
        <w:rPr>
          <w:rStyle w:val="Znakapoznpodarou"/>
          <w:sz w:val="16"/>
          <w:szCs w:val="16"/>
        </w:rPr>
        <w:footnoteRef/>
      </w:r>
      <w:r>
        <w:rPr>
          <w:sz w:val="16"/>
          <w:szCs w:val="16"/>
        </w:rPr>
        <w:t xml:space="preserve"> </w:t>
      </w:r>
      <w:r>
        <w:rPr>
          <w:spacing w:val="-2"/>
          <w:sz w:val="16"/>
          <w:szCs w:val="16"/>
        </w:rPr>
        <w:t>Celková čistá výroba elektřiny (tj. bez mezispotřeby, vč. ztrát při výrobě) dosáhla dle předběžných údajů Energetického regulačního úřadu v 1. čtvrtletí 2025 v Česku 20,7 TWh (nejvíce ve shodném období za poslední tři roky) a meziročně se zvýšila o 9,6 %. Zasloužil se o to zejména růst produkce z parních elektráren (</w:t>
      </w:r>
      <w:r>
        <w:rPr>
          <w:color w:val="0D0D0D" w:themeColor="text1" w:themeTint="F2"/>
          <w:spacing w:val="-2"/>
          <w:sz w:val="16"/>
          <w:szCs w:val="16"/>
        </w:rPr>
        <w:t>+</w:t>
      </w:r>
      <w:r>
        <w:rPr>
          <w:spacing w:val="-2"/>
          <w:sz w:val="16"/>
          <w:szCs w:val="16"/>
        </w:rPr>
        <w:t xml:space="preserve">23 %), řádově méně pak z paroplynových (+54 %) a fotovoltaických elektráren (+36 %). Vlivem nedostatku srážek naopak klesla výroba ve vodních (−44 %) a přečerpávacích elektrárnách (−4 %). Stagnovala produkce z jaderných zdrojů podílející se na celkové výrobě více než ze třetiny. Celkový instalovaný výkon výroben elektřiny v Česku činil 22,9 GW </w:t>
      </w:r>
      <w:r>
        <w:rPr>
          <w:spacing w:val="-2"/>
          <w:sz w:val="16"/>
          <w:szCs w:val="16"/>
        </w:rPr>
        <w:br/>
        <w:t>a meziročně vzrostl o 2,6 %, hlavně díky plynovým a spalovacím a také fotovoltaickým elektrárnám. Celková tuzemská čistá spotřeba elektřiny činila letos 16,4 TWh. Její meziroční pokles, trvající předchozí tři roky, se zastavil (+2,7 %). K tomu z drtivé části přispěla vyšší spotřeba domácností (+9,1 %), vzrostla však i poptávka od drobných podnikatelů (+2,3 %) i velkoodběratelů (+0,2 %). Oproti počátku roku 2019,</w:t>
      </w:r>
      <w:r>
        <w:rPr>
          <w:sz w:val="16"/>
          <w:szCs w:val="16"/>
        </w:rPr>
        <w:t xml:space="preserve"> kdy se celková čistá spotřeba nacházela blízko dlouhodobého maxima,</w:t>
      </w:r>
      <w:r>
        <w:rPr>
          <w:spacing w:val="-2"/>
          <w:sz w:val="16"/>
          <w:szCs w:val="16"/>
        </w:rPr>
        <w:t xml:space="preserve"> ale celková spotřeba elektřiny klesla (−4,7 %), zejména vlivem velkoodběratelů (−7,5 %) a drobných podnikatelů (−5,4 %), naopak domácnosti odebraly skoro o desetinu více. Rozdíl mezi tuzemskou výrobou a spotřebou elektřiny byl vyrovnán přeshraničními toky. Proto stále převažoval její export nad importem. Hodnota salda se navíc letos proti loňskému 1. čtvrtletí zvýšila z +1,7 TWh na +2,9 TWh, samotný export vzrostl o 36 % na 7,6 TWh.</w:t>
      </w:r>
    </w:p>
  </w:footnote>
  <w:footnote w:id="8">
    <w:p w14:paraId="0ABEB407" w14:textId="77777777" w:rsidR="000C004E" w:rsidRDefault="000C004E" w:rsidP="000C004E">
      <w:pPr>
        <w:pStyle w:val="Bezmezer"/>
      </w:pPr>
      <w:r>
        <w:rPr>
          <w:rStyle w:val="Znakapoznpodarou"/>
          <w:sz w:val="16"/>
          <w:szCs w:val="16"/>
        </w:rPr>
        <w:footnoteRef/>
      </w:r>
      <w:r>
        <w:rPr>
          <w:rStyle w:val="Znakapoznpodarou"/>
          <w:sz w:val="16"/>
          <w:szCs w:val="16"/>
        </w:rPr>
        <w:t xml:space="preserve"> </w:t>
      </w:r>
      <w:r>
        <w:rPr>
          <w:sz w:val="16"/>
          <w:szCs w:val="16"/>
        </w:rPr>
        <w:t xml:space="preserve">Spotřeba plynu vystoupala letos v 1. čtvrtletí na 2,8 mil. </w:t>
      </w:r>
      <w:r>
        <w:rPr>
          <w:rFonts w:cs="Arial"/>
          <w:spacing w:val="3"/>
          <w:sz w:val="16"/>
          <w:szCs w:val="16"/>
          <w:shd w:val="clear" w:color="auto" w:fill="FFFFFF"/>
        </w:rPr>
        <w:t>m</w:t>
      </w:r>
      <w:r>
        <w:rPr>
          <w:rFonts w:cs="Arial"/>
          <w:spacing w:val="3"/>
          <w:sz w:val="16"/>
          <w:szCs w:val="16"/>
          <w:shd w:val="clear" w:color="auto" w:fill="FFFFFF"/>
          <w:vertAlign w:val="superscript"/>
        </w:rPr>
        <w:t>3</w:t>
      </w:r>
      <w:r>
        <w:rPr>
          <w:sz w:val="16"/>
          <w:szCs w:val="16"/>
        </w:rPr>
        <w:t>, meziročně o 14,2 % (po přepočtení spotřeby na dlouhodobý teplotní normál byl růst menší: +3,5 %). Růst spotřeby nastal u všech kategorií odběratelů – u maloodběratelů z řad podnikatelů (+14,6</w:t>
      </w:r>
      <w:r>
        <w:rPr>
          <w:spacing w:val="-2"/>
          <w:sz w:val="16"/>
          <w:szCs w:val="16"/>
        </w:rPr>
        <w:t> </w:t>
      </w:r>
      <w:r>
        <w:rPr>
          <w:sz w:val="16"/>
          <w:szCs w:val="16"/>
        </w:rPr>
        <w:t>%), velkoodběratelů (+14 %), domácností (+13,8 %) i středních odběratelů (+12,3 %). Po přepočtu na teplotní normál je meziroční zvýšení celkové spotřeby zemního plynu patrné již od loňského září a trvá tak nepřetržitě devět měsíců (např. letos v květnu dosáhlo 12,6 %).</w:t>
      </w:r>
    </w:p>
  </w:footnote>
  <w:footnote w:id="9">
    <w:p w14:paraId="510D3002" w14:textId="77777777" w:rsidR="000C004E" w:rsidRDefault="000C004E" w:rsidP="000C004E">
      <w:pPr>
        <w:pStyle w:val="Textpoznpodarou"/>
      </w:pPr>
      <w:r>
        <w:rPr>
          <w:rStyle w:val="Znakapoznpodarou"/>
          <w:sz w:val="16"/>
          <w:szCs w:val="16"/>
        </w:rPr>
        <w:footnoteRef/>
      </w:r>
      <w:r>
        <w:rPr>
          <w:sz w:val="16"/>
          <w:szCs w:val="16"/>
        </w:rPr>
        <w:t xml:space="preserve"> </w:t>
      </w:r>
      <w:r>
        <w:rPr>
          <w:color w:val="0D0D0D" w:themeColor="text1" w:themeTint="F2"/>
          <w:sz w:val="16"/>
          <w:szCs w:val="16"/>
        </w:rPr>
        <w:t xml:space="preserve">Dle údajů </w:t>
      </w:r>
      <w:r>
        <w:rPr>
          <w:color w:val="0D0D0D" w:themeColor="text1" w:themeTint="F2"/>
          <w:spacing w:val="-3"/>
          <w:sz w:val="16"/>
          <w:szCs w:val="16"/>
        </w:rPr>
        <w:t>Sdružení</w:t>
      </w:r>
      <w:r>
        <w:rPr>
          <w:color w:val="0D0D0D" w:themeColor="text1" w:themeTint="F2"/>
          <w:sz w:val="16"/>
          <w:szCs w:val="16"/>
        </w:rPr>
        <w:t xml:space="preserve"> automobilového průmyslu se v 1. čtvrtletí 2025 v tuzemsku vyrobilo 367 tis. osobních automobilů, což bylo ve srovnání s rekordním výsledkem ze stejného období loňského roku o 7 % méně (v samotném březnu ale výroba již nezaostávala). </w:t>
      </w:r>
      <w:r>
        <w:rPr>
          <w:sz w:val="16"/>
          <w:szCs w:val="16"/>
        </w:rPr>
        <w:t xml:space="preserve">Po loňském poklesu ovšem výrazně ožil segment výroby </w:t>
      </w:r>
      <w:r>
        <w:rPr>
          <w:color w:val="0D0D0D" w:themeColor="text1" w:themeTint="F2"/>
          <w:spacing w:val="-3"/>
          <w:sz w:val="16"/>
          <w:szCs w:val="16"/>
        </w:rPr>
        <w:t>elektrických vozidel (vč. vozů s</w:t>
      </w:r>
      <w:r>
        <w:rPr>
          <w:sz w:val="16"/>
          <w:szCs w:val="16"/>
        </w:rPr>
        <w:t> </w:t>
      </w:r>
      <w:r>
        <w:rPr>
          <w:color w:val="0D0D0D" w:themeColor="text1" w:themeTint="F2"/>
          <w:spacing w:val="-3"/>
          <w:sz w:val="16"/>
          <w:szCs w:val="16"/>
        </w:rPr>
        <w:t xml:space="preserve">hybridním pohonem), který se letos na celkové produkci automobilů podílel celou šestinou. Vedle osobních aut zaznamenala letos pokles výroby i většina producentů ostatních druhů motorových vozidel. </w:t>
      </w:r>
    </w:p>
  </w:footnote>
  <w:footnote w:id="10">
    <w:p w14:paraId="01F790CD"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Ve srovnání s 2. čtvrtletím 2021 byla letošní produkce v tomto oboru o 26 % nižší.</w:t>
      </w:r>
    </w:p>
  </w:footnote>
  <w:footnote w:id="11">
    <w:p w14:paraId="117AB44F"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V tomto oboru došlo v rámci 1. čtvrtletí k meziročnímu poklesu produkce naposledy v roce 2015.</w:t>
      </w:r>
    </w:p>
  </w:footnote>
  <w:footnote w:id="12">
    <w:p w14:paraId="2B63F825" w14:textId="77777777" w:rsidR="000C004E" w:rsidRDefault="000C004E" w:rsidP="000C004E">
      <w:pPr>
        <w:pStyle w:val="Textpoznpodarou"/>
        <w:jc w:val="both"/>
        <w:rPr>
          <w:rFonts w:cs="Arial"/>
          <w:color w:val="0D0D0D" w:themeColor="text1" w:themeTint="F2"/>
          <w:spacing w:val="-2"/>
          <w:sz w:val="16"/>
          <w:szCs w:val="16"/>
        </w:rPr>
      </w:pPr>
      <w:r>
        <w:rPr>
          <w:rStyle w:val="Znakapoznpodarou"/>
          <w:rFonts w:cs="Arial"/>
          <w:color w:val="0D0D0D" w:themeColor="text1" w:themeTint="F2"/>
          <w:spacing w:val="-2"/>
          <w:sz w:val="16"/>
          <w:szCs w:val="16"/>
        </w:rPr>
        <w:footnoteRef/>
      </w:r>
      <w:r>
        <w:rPr>
          <w:rFonts w:cs="Arial"/>
          <w:color w:val="0D0D0D" w:themeColor="text1" w:themeTint="F2"/>
          <w:spacing w:val="-2"/>
          <w:sz w:val="16"/>
          <w:szCs w:val="16"/>
        </w:rPr>
        <w:t xml:space="preserve"> Zjišťování zakázek probíhá ve dvanácti zpracovatelských odvětvích vyrábějících převážně na zakázku, s dlouhodobějším výrobním cyklem a s většími zásobami zakázek. Meziroční tempa zakázek jsou očištěna o kalendářní vlivy, mezikvartální tempa také o vliv sezónnosti.</w:t>
      </w:r>
    </w:p>
  </w:footnote>
  <w:footnote w:id="13">
    <w:p w14:paraId="35336BD3"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Dle květnového šetření očekávalo v tříměsíčním horizontu růst výroby 14 % podniků, 8 % naopak útlum.</w:t>
      </w:r>
    </w:p>
  </w:footnote>
  <w:footnote w:id="14">
    <w:p w14:paraId="10BC42F7"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V některých oborech (potravinářský, nápojový a kovodělný průmysl či subdodavatelská odvětví výroby motorových vozidel) se však stále jednalo o významnou bariéru, výjimečně šlo o dominantní růstové omezení (kožedělný průmysl, výroba ostatních dopravních prostředků, oprava a instalace strojů a zařízení).</w:t>
      </w:r>
    </w:p>
  </w:footnote>
  <w:footnote w:id="15">
    <w:p w14:paraId="2161B1E2"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Tato bariéra se v posledních měsících nejvíce projevovala v chemickém a petrochemickém průmyslu, s občasnými výpadky výrobních komponent se stále potýkali i výrobci motorových vozidel.</w:t>
      </w:r>
    </w:p>
  </w:footnote>
  <w:footnote w:id="16">
    <w:p w14:paraId="3BF1EEC3"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w:t>
      </w:r>
      <w:r>
        <w:rPr>
          <w:color w:val="0D0D0D" w:themeColor="text1" w:themeTint="F2"/>
          <w:spacing w:val="-3"/>
          <w:sz w:val="16"/>
          <w:szCs w:val="16"/>
        </w:rPr>
        <w:t>V krátkodobém horizontu předpokládalo zvyšování cen své produkce 15 % podniků, pokles pak 2 %.</w:t>
      </w:r>
    </w:p>
  </w:footnote>
  <w:footnote w:id="17">
    <w:p w14:paraId="4B618981"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Letos v květnu plánovalo v tříměsíčním horizontu propouštět pracovníky 17 % firem, nabírat pak pouze 7 % (nejméně z hlavních odvětví ekonomiky).</w:t>
      </w:r>
    </w:p>
  </w:footnote>
  <w:footnote w:id="18">
    <w:p w14:paraId="77E4EB75" w14:textId="77777777" w:rsidR="000C004E" w:rsidRDefault="000C004E" w:rsidP="000C004E">
      <w:pPr>
        <w:pStyle w:val="Textpoznpodarou"/>
        <w:jc w:val="both"/>
        <w:rPr>
          <w:sz w:val="16"/>
          <w:szCs w:val="16"/>
        </w:rPr>
      </w:pPr>
      <w:r>
        <w:rPr>
          <w:rStyle w:val="Znakapoznpodarou"/>
          <w:rFonts w:cs="Arial"/>
          <w:color w:val="0D0D0D" w:themeColor="text1" w:themeTint="F2"/>
          <w:sz w:val="16"/>
          <w:szCs w:val="16"/>
        </w:rPr>
        <w:footnoteRef/>
      </w:r>
      <w:r>
        <w:rPr>
          <w:rFonts w:cs="Arial"/>
          <w:color w:val="0D0D0D" w:themeColor="text1" w:themeTint="F2"/>
          <w:sz w:val="16"/>
          <w:szCs w:val="16"/>
        </w:rPr>
        <w:t xml:space="preserve"> Údaje o stavební produkci jsou ve stálých cenách, meziroční tempa jsou očištěna o kalendářní vlivy, mezičtvrtletní též o vliv sezónnosti.</w:t>
      </w:r>
    </w:p>
  </w:footnote>
  <w:footnote w:id="19">
    <w:p w14:paraId="2429E04A" w14:textId="77777777" w:rsidR="000C004E" w:rsidRDefault="000C004E" w:rsidP="000C004E">
      <w:pPr>
        <w:pStyle w:val="Textpoznpodarou"/>
      </w:pPr>
      <w:r>
        <w:rPr>
          <w:rStyle w:val="Znakapoznpodarou"/>
          <w:sz w:val="16"/>
          <w:szCs w:val="16"/>
        </w:rPr>
        <w:footnoteRef/>
      </w:r>
      <w:r>
        <w:rPr>
          <w:sz w:val="16"/>
          <w:szCs w:val="16"/>
        </w:rPr>
        <w:t xml:space="preserve"> Letos v květnu plánovalo v tříměsíčním horizontu nabírat pracovníky 16 % firem, propouštět pak 6 % (v obou případech jsou očekávání příznivější než ve stejném období loni). Nejvíce optimistické byly v tomto ohledu podniky v inženýrském stavitelství.</w:t>
      </w:r>
    </w:p>
  </w:footnote>
  <w:footnote w:id="20">
    <w:p w14:paraId="758E493A" w14:textId="77777777" w:rsidR="000C004E" w:rsidRDefault="000C004E" w:rsidP="000C004E">
      <w:pPr>
        <w:spacing w:after="0" w:line="240" w:lineRule="auto"/>
        <w:rPr>
          <w:spacing w:val="-2"/>
        </w:rPr>
      </w:pPr>
      <w:r>
        <w:rPr>
          <w:rStyle w:val="Znakapoznpodarou"/>
          <w:color w:val="0D0D0D" w:themeColor="text1" w:themeTint="F2"/>
          <w:spacing w:val="-2"/>
          <w:sz w:val="16"/>
          <w:szCs w:val="16"/>
        </w:rPr>
        <w:footnoteRef/>
      </w:r>
      <w:r>
        <w:rPr>
          <w:color w:val="0D0D0D" w:themeColor="text1" w:themeTint="F2"/>
          <w:spacing w:val="-2"/>
          <w:sz w:val="16"/>
          <w:szCs w:val="16"/>
        </w:rPr>
        <w:t xml:space="preserve"> Bez obchodu, peněžnictví, pojišťovnictví, vědy, výzkumu a veřejných služeb. Všechny údaje za tržby ve službách jsou ve stálých cenách, meziroční data jsou očištěna o kalendářní vlivy, mezičtvrtletní jsou očištěna o sezónní vlivy (včetně vlivu počtu pracovních dnů).</w:t>
      </w:r>
    </w:p>
  </w:footnote>
  <w:footnote w:id="21">
    <w:p w14:paraId="6E9C27CF"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Oproti 2. čtvrtletí 2019 byly celkové tržby na počátku letošního roku vyšší o 4,1 %. Z hlavních odvětví služeb překonaly úroveň z  2. čtvrtletí zejména informační a komunikační činnosti (+15,6 %) a profesní, vědecké a technické činnosti (+6,2 %). Naopak nejvíce stále zaostávalo ubytování, stravování a pohostinství (</w:t>
      </w:r>
      <w:r>
        <w:rPr>
          <w:color w:val="0D0D0D" w:themeColor="text1" w:themeTint="F2"/>
          <w:spacing w:val="-5"/>
          <w:sz w:val="16"/>
          <w:szCs w:val="16"/>
        </w:rPr>
        <w:t>−</w:t>
      </w:r>
      <w:r>
        <w:rPr>
          <w:sz w:val="16"/>
          <w:szCs w:val="16"/>
        </w:rPr>
        <w:t>14,6 %) a administrativní a podpůrné činnosti (</w:t>
      </w:r>
      <w:r>
        <w:rPr>
          <w:color w:val="0D0D0D" w:themeColor="text1" w:themeTint="F2"/>
          <w:spacing w:val="-5"/>
          <w:sz w:val="16"/>
          <w:szCs w:val="16"/>
        </w:rPr>
        <w:t>−</w:t>
      </w:r>
      <w:r>
        <w:rPr>
          <w:sz w:val="16"/>
          <w:szCs w:val="16"/>
        </w:rPr>
        <w:t>5,9 %).</w:t>
      </w:r>
    </w:p>
  </w:footnote>
  <w:footnote w:id="22">
    <w:p w14:paraId="77B02635" w14:textId="77777777" w:rsidR="000C004E" w:rsidRDefault="000C004E" w:rsidP="000C004E">
      <w:pPr>
        <w:pStyle w:val="Textpoznpodarou"/>
      </w:pPr>
      <w:r>
        <w:rPr>
          <w:rStyle w:val="Znakapoznpodarou"/>
          <w:sz w:val="16"/>
          <w:szCs w:val="16"/>
        </w:rPr>
        <w:footnoteRef/>
      </w:r>
      <w:r>
        <w:rPr>
          <w:sz w:val="16"/>
          <w:szCs w:val="16"/>
        </w:rPr>
        <w:t xml:space="preserve"> Jde především o činnosti webových portálů, zpravodajských tiskových kanceláří a agentur či zpracování dat a hosting.</w:t>
      </w:r>
    </w:p>
  </w:footnote>
  <w:footnote w:id="23">
    <w:p w14:paraId="3BB6C2C1"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Ty </w:t>
      </w:r>
      <w:r>
        <w:rPr>
          <w:color w:val="0D0D0D" w:themeColor="text1" w:themeTint="F2"/>
          <w:spacing w:val="-6"/>
          <w:sz w:val="16"/>
          <w:szCs w:val="16"/>
        </w:rPr>
        <w:t>zahrnují zejména programování, poradenství v oblasti informačních technologií či správu počítačového vybavení.</w:t>
      </w:r>
    </w:p>
  </w:footnote>
  <w:footnote w:id="24">
    <w:p w14:paraId="6D5A378F"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Loňský propad poptávky zde mohl souviset s dozvuky </w:t>
      </w:r>
      <w:r>
        <w:rPr>
          <w:rFonts w:cs="Arial"/>
          <w:color w:val="0D0D0D" w:themeColor="text1" w:themeTint="F2"/>
          <w:spacing w:val="-6"/>
          <w:sz w:val="16"/>
          <w:szCs w:val="16"/>
        </w:rPr>
        <w:t>delší stávky v Hollywoodu (z druhé poloviny roku 2023). Vývoj tržeb filmového hudebního průmyslu v tuzemsku je obecně dosti rozkolísaný, což souvisí s nepravidelnými fakturacemi.</w:t>
      </w:r>
    </w:p>
  </w:footnote>
  <w:footnote w:id="25">
    <w:p w14:paraId="391253CC"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Toto dílčí odvětví, v němž hrají významnou roli drobní podnikatelé, zahrnuje především zprostředkovatelské činnosti, návrhářské, překladatelské a fotografické služby nebo činnosti stavebního dozoru.</w:t>
      </w:r>
    </w:p>
  </w:footnote>
  <w:footnote w:id="26">
    <w:p w14:paraId="0F2593DA"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Ty zahrnují např. pořádání konferencí a výstav, inkasní činnosti, ověřování solventnosti zákazníka, ale také např. činnosti call center. </w:t>
      </w:r>
    </w:p>
  </w:footnote>
  <w:footnote w:id="27">
    <w:p w14:paraId="2FA5C466"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Meziročně se nejvíce zvyšovaly tržby za pronájem a leasing výrobků pro osobní potřebu a převážně pro domácnost, zahrnující např. </w:t>
      </w:r>
      <w:r>
        <w:rPr>
          <w:color w:val="0D0D0D" w:themeColor="text1" w:themeTint="F2"/>
          <w:spacing w:val="-4"/>
          <w:sz w:val="16"/>
          <w:szCs w:val="16"/>
        </w:rPr>
        <w:t>rekreační a sportovní potřeby</w:t>
      </w:r>
      <w:r>
        <w:rPr>
          <w:sz w:val="16"/>
          <w:szCs w:val="16"/>
        </w:rPr>
        <w:t xml:space="preserve"> (+9 %) o Pronájem a leasing ostatních strojů, zařízení a nákladních automobilů (+6 %). Oproti tomu pronájem a leasing automobilů letos, stejně jako v předešlých dvou letech, spíše stagnoval.</w:t>
      </w:r>
    </w:p>
  </w:footnote>
  <w:footnote w:id="28">
    <w:p w14:paraId="056C4B5C"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K poklesu tržeb zde došlo i při vysokém růstu počtu pracujících cizinců v ČR. Na něm se v posledních třech letech významně podíleli uprchlíci z Ukrajiny. Vzhledem ke statutu dočasné ochrany, který byl těmto osobám přiznán, je jejich zaměstnávání v tuzemsku administrativně jednodušší (oproti ostatním skupinám migrantů z tzv. třetích zemí) a ti tak mohou snáze nalézt práci „napřímo“ (bez zprostředkovatele). Kromě výše uvedeného se na poklesu tržeb může podílet i snížená poptávka pracovních agentur ze strany klíčových výrobních oborů průmyslu.</w:t>
      </w:r>
    </w:p>
  </w:footnote>
  <w:footnote w:id="29">
    <w:p w14:paraId="2693B4C8"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V 1. čtvrtletí 2025 se zvýšily ceny ubytovacích služeb meziročně o 8,5 % a stravovacích služeb o 4,9 %. Proti roku 2015 byly v letos březnu v úhrnu za oba segmenty vyšší o 95 %, kdežto ceny v celém spotřebitelském koši se za stejné období navýšily „jen“ o 54 %.</w:t>
      </w:r>
    </w:p>
  </w:footnote>
  <w:footnote w:id="30">
    <w:p w14:paraId="0B8B2484" w14:textId="77777777" w:rsidR="000C004E" w:rsidRDefault="000C004E" w:rsidP="000C004E">
      <w:pPr>
        <w:pStyle w:val="paragraph"/>
        <w:spacing w:before="0" w:beforeAutospacing="0" w:after="0" w:afterAutospacing="0"/>
        <w:jc w:val="both"/>
        <w:textAlignment w:val="baseline"/>
        <w:rPr>
          <w:rStyle w:val="normaltextrun"/>
          <w:rFonts w:ascii="Arial" w:hAnsi="Arial" w:cs="Arial"/>
        </w:rPr>
      </w:pPr>
      <w:r>
        <w:rPr>
          <w:rStyle w:val="Znakapoznpodarou"/>
          <w:rFonts w:ascii="Arial" w:hAnsi="Arial" w:cs="Arial"/>
          <w:sz w:val="16"/>
          <w:szCs w:val="16"/>
        </w:rPr>
        <w:footnoteRef/>
      </w:r>
      <w:r>
        <w:rPr>
          <w:rFonts w:ascii="Arial" w:hAnsi="Arial" w:cs="Arial"/>
          <w:sz w:val="16"/>
          <w:szCs w:val="16"/>
        </w:rPr>
        <w:t xml:space="preserve"> </w:t>
      </w:r>
      <w:r>
        <w:rPr>
          <w:rStyle w:val="normaltextrun"/>
          <w:rFonts w:eastAsia="MS Gothic" w:cs="Arial"/>
          <w:sz w:val="16"/>
          <w:szCs w:val="16"/>
        </w:rPr>
        <w:t>Cestovní ruch v Česku se v 1. čtvrtletí 2025 nadále rozvíjel, byť méně dynamicky než na konci loňského roku. Tuzemští poskytovatelé hromadného ubytování (HUZ) registrovali letos meziročně o 1,4 % ubytovaných hostů více (bez významného rozdílu tempa mezi domácí a zahraniční klientelou) a počet jejich přenocování se zvýšil o 0,6 %. Přijelo 4,1 mil. hostů, kteří v tuzemsku strávili 10,5 milionu nocí. Oproti shodnému období roku 2019 to bylo o 4 % hostů více, avšak o 1,6 % nocí méně. Poptávka samotných nerezidentů ale stále nedosáhla úrovně z roku 2019 (hosté: −1,8 %, přenocování: −5,4 %).</w:t>
      </w:r>
      <w:r>
        <w:rPr>
          <w:rFonts w:ascii="Arial" w:hAnsi="Arial" w:cs="Arial"/>
          <w:sz w:val="16"/>
          <w:szCs w:val="16"/>
        </w:rPr>
        <w:t xml:space="preserve"> </w:t>
      </w:r>
      <w:r>
        <w:rPr>
          <w:rStyle w:val="normaltextrun"/>
          <w:rFonts w:eastAsia="MS Gothic" w:cs="Arial"/>
          <w:sz w:val="16"/>
          <w:szCs w:val="16"/>
        </w:rPr>
        <w:t>Relativně skromný letošní růst návštěvnosti souvisí s posunutými Velikonocemi (ty loni začaly již na konci března, což spolu s nezvykle teplým počasím v tomto měsíci tehdy přilákalo více turistů). Vliv vyšší loňské základny je patrný na návštěvnosti hotelů – v březnu 2025 zde počet přenocování klesl meziročně o 7 %, ale v předchozích měsících poptávka hostů stabilně rostla (vyjma září 2024 – vliv povodní a dubna 2024 – efekt pozdějšího startu Velikonoc v roce 2023).</w:t>
      </w:r>
    </w:p>
    <w:p w14:paraId="740496D8" w14:textId="77777777" w:rsidR="000C004E" w:rsidRDefault="000C004E" w:rsidP="000C004E">
      <w:pPr>
        <w:pStyle w:val="paragraph"/>
        <w:spacing w:before="0" w:beforeAutospacing="0" w:after="0" w:afterAutospacing="0"/>
        <w:jc w:val="both"/>
        <w:textAlignment w:val="baseline"/>
        <w:rPr>
          <w:rStyle w:val="normaltextrun"/>
          <w:rFonts w:eastAsia="MS Gothic"/>
          <w:sz w:val="16"/>
          <w:szCs w:val="16"/>
        </w:rPr>
      </w:pPr>
      <w:r>
        <w:rPr>
          <w:rStyle w:val="normaltextrun"/>
          <w:rFonts w:eastAsia="MS Gothic" w:cs="Arial"/>
          <w:sz w:val="16"/>
          <w:szCs w:val="16"/>
        </w:rPr>
        <w:t>Počet hostů v HUZ klesl oproti 1. loňskému kvartálu jen ve čtyřech krajích (Středočeském, Jihočeském, Plzeňském a Jihomoravském, vždy v rozmezí 2–4 %), rostl naopak zejména v Pardubickém kraji (11 %) a také v dalších krajích s významnými horskými středisky (mezi 6–7 %). Na rozdíl od loňského roku letošní únor i březen umožnil hladký a přívětivý průběh zimní lyžařské sezóny. Počet přenocování hostů klesl v 1. čtvrtletí 2025 meziročně skoro v polovině krajů – nejvíce ve Středočeském (−6,5 %). Z toho poptávka domácích hostů celkově mírně klesla (−0,8 %), nejvíce v Jihomoravském kraji (−7 %) a rostla jen v pěti krajích – nejvíce v Ústeckém (+12 %).</w:t>
      </w:r>
      <w:r>
        <w:rPr>
          <w:rStyle w:val="normaltextrun"/>
          <w:rFonts w:eastAsia="MS Gothic"/>
          <w:sz w:val="16"/>
          <w:szCs w:val="16"/>
        </w:rPr>
        <w:t> </w:t>
      </w:r>
    </w:p>
    <w:p w14:paraId="6F1BD3D4" w14:textId="77777777" w:rsidR="000C004E" w:rsidRDefault="000C004E" w:rsidP="000C004E">
      <w:pPr>
        <w:pStyle w:val="Textpoznpodarou"/>
        <w:rPr>
          <w:rFonts w:cs="Arial"/>
        </w:rPr>
      </w:pPr>
      <w:r>
        <w:rPr>
          <w:rStyle w:val="normaltextrun"/>
          <w:rFonts w:eastAsia="MS Gothic" w:cs="Arial"/>
          <w:sz w:val="16"/>
          <w:szCs w:val="16"/>
        </w:rPr>
        <w:t xml:space="preserve">Zahraničních hostů se letos v HUZ ubytovalo meziročně o 1,9 % více (podobně rostl i počet jejich přenocování). Skoro polovina (43 %) ze všech nerezidentů i jejich přenocování realizovaných v Česku připadala v 1. čtvrtletí na občany ze sousedních států. Z této klíčové skupiny klientely ovšem vykázali růst poptávky jen Poláci, jejichž přenocování v Česku přibylo o 31 % (vedle Prahy rostl jejich zájem hlavně o regiony s horskými středisky). Relativně nejvíce se celkově zvýšila přenocování hostů z Izraele (+67 %, zčásti efektem nižší loňské základny kvůli válce), z významné klientely dále z Ukrajiny (+20 %) a Velké Británie, vč. S. Irska (+17 %). Z dříve důležité asijské klientely aktuálně svižně vzrostla přenocování jen Číňanům (+51 %), skromněji Japoncům (+12 %) a z J. Korey dokonce poptávka mírně klesla (−3 %). V Česku ale posilují nové dynamické vzdálené trhy </w:t>
      </w:r>
      <w:r>
        <w:rPr>
          <w:rStyle w:val="normaltextrun"/>
          <w:rFonts w:cs="Arial"/>
          <w:sz w:val="16"/>
          <w:szCs w:val="16"/>
        </w:rPr>
        <w:t>–</w:t>
      </w:r>
      <w:r>
        <w:rPr>
          <w:rStyle w:val="normaltextrun"/>
          <w:rFonts w:eastAsia="MS Gothic" w:cs="Arial"/>
          <w:sz w:val="16"/>
          <w:szCs w:val="16"/>
        </w:rPr>
        <w:t xml:space="preserve"> Saúdská Arábie (+33 %), SAE (+29 %), Thajsko (+25 %), Indie (+16 %) či Argentina (+26 %). Na druhou stranu u nerezidentů skoro z poloviny všech sledovaných států a uskupení počet přenocování meziročně klesl. Klíčový byl úbytek poptávky z Německa (−8 %, přitom za celý rok 2024 rostla jejich poptávka v Česku slabě +3 %, oproti +9 % za všechny nerezidenty), velmi podobně je na tom i poptávka ze Slovenska. Hlubší pokles přenocování nastal u Maďarů (</w:t>
      </w:r>
      <w:r>
        <w:rPr>
          <w:rStyle w:val="normaltextrun"/>
          <w:rFonts w:cs="Arial"/>
          <w:sz w:val="16"/>
          <w:szCs w:val="16"/>
        </w:rPr>
        <w:t>−</w:t>
      </w:r>
      <w:r>
        <w:rPr>
          <w:rStyle w:val="normaltextrun"/>
          <w:rFonts w:eastAsia="MS Gothic" w:cs="Arial"/>
          <w:sz w:val="16"/>
          <w:szCs w:val="16"/>
        </w:rPr>
        <w:t> 21 %), Švýcarů (</w:t>
      </w:r>
      <w:r>
        <w:rPr>
          <w:rStyle w:val="normaltextrun"/>
          <w:rFonts w:cs="Arial"/>
          <w:sz w:val="16"/>
          <w:szCs w:val="16"/>
        </w:rPr>
        <w:t>−</w:t>
      </w:r>
      <w:r>
        <w:rPr>
          <w:rStyle w:val="normaltextrun"/>
          <w:rFonts w:eastAsia="MS Gothic" w:cs="Arial"/>
          <w:sz w:val="16"/>
          <w:szCs w:val="16"/>
        </w:rPr>
        <w:t>17 %) či Rakušanů (</w:t>
      </w:r>
      <w:r>
        <w:rPr>
          <w:rStyle w:val="normaltextrun"/>
          <w:rFonts w:cs="Arial"/>
          <w:sz w:val="16"/>
          <w:szCs w:val="16"/>
        </w:rPr>
        <w:t>−</w:t>
      </w:r>
      <w:r>
        <w:rPr>
          <w:rStyle w:val="normaltextrun"/>
          <w:rFonts w:eastAsia="MS Gothic" w:cs="Arial"/>
          <w:sz w:val="16"/>
          <w:szCs w:val="16"/>
        </w:rPr>
        <w:t xml:space="preserve">11 %). Z předchozích let silný růst poptávky Španělů se na počátku roku 2025 zastavil. </w:t>
      </w:r>
      <w:r>
        <w:rPr>
          <w:rStyle w:val="normaltextrun"/>
          <w:rFonts w:cs="Arial"/>
          <w:sz w:val="16"/>
          <w:szCs w:val="16"/>
        </w:rPr>
        <w:t>Ve srovnání s počátkem roku 2019 byl aktuální počet přenocování v Česku vyšší skoro ve dvou třetinách sledovaných zdrojových států, např. z Polska, Velké Británie, Itálie či Španělska okolo 20 %, ze Slovenska o 14 %, Německa o 4 % a z USA o 2 %. Naopak chybí 96</w:t>
      </w:r>
      <w:r>
        <w:rPr>
          <w:rStyle w:val="normaltextrun"/>
          <w:rFonts w:eastAsia="MS Gothic" w:cs="Arial"/>
          <w:sz w:val="16"/>
          <w:szCs w:val="16"/>
        </w:rPr>
        <w:t> </w:t>
      </w:r>
      <w:r>
        <w:rPr>
          <w:rStyle w:val="normaltextrun"/>
          <w:rFonts w:cs="Arial"/>
          <w:sz w:val="16"/>
          <w:szCs w:val="16"/>
        </w:rPr>
        <w:t>% předkrizové poptávky z Ruska, 59 % z Číny, okolo 45 % z Japonska a J. Korey a dále stále vázne poptávka z celé Skandinávie (např. Švédsko −41 %), většiny států Beneluxu a dále také z Maďarska i Francie (shodně o necelých 10 %).</w:t>
      </w:r>
    </w:p>
  </w:footnote>
  <w:footnote w:id="31">
    <w:p w14:paraId="199A537F"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Saldo důvěry spotřebitelů tak dosáhlo </w:t>
      </w:r>
      <w:r>
        <w:rPr>
          <w:rStyle w:val="normaltextrun"/>
          <w:rFonts w:cs="Arial"/>
          <w:sz w:val="16"/>
          <w:szCs w:val="16"/>
        </w:rPr>
        <w:t>−</w:t>
      </w:r>
      <w:r>
        <w:rPr>
          <w:sz w:val="16"/>
          <w:szCs w:val="16"/>
        </w:rPr>
        <w:t>9,8 bodu, což bylo horší než v jakýkoli měsíc z období poslední konjunktury (2015 až 2019), ale současně lepší než za celé období let 2022 až 2023.</w:t>
      </w:r>
    </w:p>
  </w:footnote>
  <w:footnote w:id="32">
    <w:p w14:paraId="5081DCC4" w14:textId="77777777" w:rsidR="000C004E" w:rsidRDefault="000C004E" w:rsidP="000C004E">
      <w:pPr>
        <w:spacing w:after="0" w:line="240" w:lineRule="auto"/>
        <w:rPr>
          <w:spacing w:val="-2"/>
        </w:rPr>
      </w:pPr>
      <w:r>
        <w:rPr>
          <w:rStyle w:val="Znakapoznpodarou"/>
          <w:color w:val="0D0D0D" w:themeColor="text1" w:themeTint="F2"/>
          <w:spacing w:val="-2"/>
          <w:sz w:val="16"/>
          <w:szCs w:val="16"/>
        </w:rPr>
        <w:footnoteRef/>
      </w:r>
      <w:r>
        <w:rPr>
          <w:color w:val="0D0D0D" w:themeColor="text1" w:themeTint="F2"/>
          <w:spacing w:val="-2"/>
          <w:sz w:val="16"/>
          <w:szCs w:val="16"/>
        </w:rPr>
        <w:t xml:space="preserve"> Všechna meziroční tempa tržeb za maloobchod jsou uvedena ve stálých cenách a očištěna o kalendářní vlivy, mezičtvrtletní tempa jsou očištěna o sezónní vlivy (včetně vlivu počtu pracovních dnů). Maloobchod zahrnuje pouze odvětví CZ−NACE 47.</w:t>
      </w:r>
    </w:p>
  </w:footnote>
  <w:footnote w:id="33">
    <w:p w14:paraId="20FF3CCC"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Výjimkou byl maloobchod s ostatními výrobky převážně pro domácnost ve specializovaných prodejnách (</w:t>
      </w:r>
      <w:r>
        <w:rPr>
          <w:rStyle w:val="normaltextrun"/>
          <w:rFonts w:cs="Arial"/>
          <w:sz w:val="16"/>
          <w:szCs w:val="16"/>
        </w:rPr>
        <w:t>−</w:t>
      </w:r>
      <w:r>
        <w:rPr>
          <w:sz w:val="16"/>
          <w:szCs w:val="16"/>
        </w:rPr>
        <w:t xml:space="preserve">1,8 %). Ten zahrnuje hlavně </w:t>
      </w:r>
      <w:r>
        <w:rPr>
          <w:rStyle w:val="normaltextrun"/>
          <w:rFonts w:eastAsia="MS Gothic" w:cs="Arial"/>
          <w:spacing w:val="-3"/>
          <w:sz w:val="16"/>
          <w:szCs w:val="16"/>
        </w:rPr>
        <w:t>železářské zboží, stavebniny, barvy, sklo, potřeby pro kutily, elektrospotřebiče, elektroniku, nábytek,</w:t>
      </w:r>
      <w:r>
        <w:rPr>
          <w:rFonts w:cs="Arial"/>
          <w:color w:val="0D0D0D" w:themeColor="text1" w:themeTint="F2"/>
          <w:spacing w:val="-3"/>
          <w:sz w:val="16"/>
          <w:szCs w:val="16"/>
        </w:rPr>
        <w:t> </w:t>
      </w:r>
      <w:r>
        <w:rPr>
          <w:rStyle w:val="normaltextrun"/>
          <w:rFonts w:eastAsia="MS Gothic" w:cs="Arial"/>
          <w:spacing w:val="-3"/>
          <w:sz w:val="16"/>
          <w:szCs w:val="16"/>
        </w:rPr>
        <w:t xml:space="preserve">svítidla, </w:t>
      </w:r>
      <w:r>
        <w:rPr>
          <w:rFonts w:cs="Arial"/>
          <w:color w:val="0D0D0D" w:themeColor="text1" w:themeTint="F2"/>
          <w:sz w:val="16"/>
          <w:szCs w:val="16"/>
        </w:rPr>
        <w:t>koberce či bytový textil.</w:t>
      </w:r>
    </w:p>
  </w:footnote>
  <w:footnote w:id="34">
    <w:p w14:paraId="7ACC1FAB"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To souvisí primárně s propadem tržeb za potraviny (</w:t>
      </w:r>
      <w:r>
        <w:rPr>
          <w:color w:val="0D0D0D" w:themeColor="text1" w:themeTint="F2"/>
          <w:spacing w:val="-2"/>
          <w:sz w:val="16"/>
          <w:szCs w:val="16"/>
        </w:rPr>
        <w:t>−</w:t>
      </w:r>
      <w:r>
        <w:rPr>
          <w:sz w:val="16"/>
          <w:szCs w:val="16"/>
        </w:rPr>
        <w:t>8,9 %) a některých sortimentních skupin nepotravinářského zboží ve</w:t>
      </w:r>
      <w:r>
        <w:rPr>
          <w:color w:val="0D0D0D" w:themeColor="text1" w:themeTint="F2"/>
          <w:spacing w:val="-2"/>
          <w:sz w:val="16"/>
          <w:szCs w:val="16"/>
        </w:rPr>
        <w:t xml:space="preserve"> </w:t>
      </w:r>
      <w:r>
        <w:rPr>
          <w:sz w:val="16"/>
          <w:szCs w:val="16"/>
        </w:rPr>
        <w:t>specializovaných prodejnách: zejména s oděvy, obuví a koženým zbožím (</w:t>
      </w:r>
      <w:r>
        <w:rPr>
          <w:color w:val="0D0D0D" w:themeColor="text1" w:themeTint="F2"/>
          <w:spacing w:val="-2"/>
          <w:sz w:val="16"/>
          <w:szCs w:val="16"/>
        </w:rPr>
        <w:t>−</w:t>
      </w:r>
      <w:r>
        <w:rPr>
          <w:sz w:val="16"/>
          <w:szCs w:val="16"/>
        </w:rPr>
        <w:t>24,5 %), výrobky převážně pro domácnost (</w:t>
      </w:r>
      <w:r>
        <w:rPr>
          <w:color w:val="0D0D0D" w:themeColor="text1" w:themeTint="F2"/>
          <w:spacing w:val="-2"/>
          <w:sz w:val="16"/>
          <w:szCs w:val="16"/>
        </w:rPr>
        <w:t>−</w:t>
      </w:r>
      <w:r>
        <w:rPr>
          <w:sz w:val="16"/>
          <w:szCs w:val="16"/>
        </w:rPr>
        <w:t>15,2 %) a</w:t>
      </w:r>
      <w:r>
        <w:rPr>
          <w:color w:val="0D0D0D" w:themeColor="text1" w:themeTint="F2"/>
          <w:spacing w:val="-2"/>
          <w:sz w:val="16"/>
          <w:szCs w:val="16"/>
        </w:rPr>
        <w:t> </w:t>
      </w:r>
      <w:r>
        <w:rPr>
          <w:sz w:val="16"/>
          <w:szCs w:val="16"/>
        </w:rPr>
        <w:t>výrobky pro kulturu a rekreaci (</w:t>
      </w:r>
      <w:r>
        <w:rPr>
          <w:color w:val="0D0D0D" w:themeColor="text1" w:themeTint="F2"/>
          <w:spacing w:val="-2"/>
          <w:sz w:val="16"/>
          <w:szCs w:val="16"/>
        </w:rPr>
        <w:t>−</w:t>
      </w:r>
      <w:r>
        <w:rPr>
          <w:sz w:val="16"/>
          <w:szCs w:val="16"/>
        </w:rPr>
        <w:t>9,4 %). Naopak aktuální souhrnná poptávka po nepotravinářském zboží se nachází mírně nad úrovní 4.</w:t>
      </w:r>
      <w:r>
        <w:rPr>
          <w:color w:val="0D0D0D" w:themeColor="text1" w:themeTint="F2"/>
          <w:spacing w:val="-2"/>
          <w:sz w:val="16"/>
          <w:szCs w:val="16"/>
        </w:rPr>
        <w:t> </w:t>
      </w:r>
      <w:r>
        <w:rPr>
          <w:sz w:val="16"/>
          <w:szCs w:val="16"/>
        </w:rPr>
        <w:t>čtvrtletí 2019 (+4,1 %), hlavně zásluhou prodeje prostřednictvím internetu nebo zásilkové služby (+51,2 %) a specializovaných prodejen s kosmetickými a toaletními výrobky (+34,6 %) a farmaceutickým a zdravotnickým zbožím (+24,3 %). Vedle toho byl vyšší rovněž prodej pohonných hmot (+9,8 %).</w:t>
      </w:r>
    </w:p>
  </w:footnote>
  <w:footnote w:id="35">
    <w:p w14:paraId="03E7E0DB"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Vedle toho pokračoval čtvrtým rokem v řadě růst tržeb v okrajovém segmentu </w:t>
      </w:r>
      <w:r>
        <w:rPr>
          <w:rFonts w:cs="Arial"/>
          <w:color w:val="0D0D0D" w:themeColor="text1" w:themeTint="F2"/>
          <w:spacing w:val="-4"/>
          <w:sz w:val="16"/>
          <w:szCs w:val="16"/>
        </w:rPr>
        <w:t>nespecializovaných prodejen s převahou nepotravinářského zboží (v 1. čtvrtletí: +6,4 %). Ten se zaměřuje typicky na nabídku různorodého zboží za diskontní ceny.</w:t>
      </w:r>
    </w:p>
  </w:footnote>
  <w:footnote w:id="36">
    <w:p w14:paraId="71A9DD3D"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Tato sortimentní skupina vykazuje nejvyšší růst mezi specializovanými prodejnami již sedmý kvartál v řadě. </w:t>
      </w:r>
    </w:p>
  </w:footnote>
  <w:footnote w:id="37">
    <w:p w14:paraId="1C996965" w14:textId="77777777" w:rsidR="000C004E" w:rsidRDefault="000C004E" w:rsidP="000C004E">
      <w:pPr>
        <w:pStyle w:val="Textpoznpodarou"/>
      </w:pPr>
      <w:r>
        <w:rPr>
          <w:rStyle w:val="Znakapoznpodarou"/>
          <w:sz w:val="16"/>
          <w:szCs w:val="16"/>
        </w:rPr>
        <w:footnoteRef/>
      </w:r>
      <w:r>
        <w:rPr>
          <w:sz w:val="16"/>
          <w:szCs w:val="16"/>
        </w:rPr>
        <w:t xml:space="preserve"> Ty zahrnují např. masné výrobky, pečivo, cukrářské výrobky či nápoje. Největší váhu zde však mají prodejny s tabákovými výrobky. Celkové tržby zde letos vzrostly poprvé za posledních dvanáct čtvrtletí.</w:t>
      </w:r>
    </w:p>
  </w:footnote>
  <w:footnote w:id="38">
    <w:p w14:paraId="446D0176" w14:textId="77777777" w:rsidR="000C004E" w:rsidRDefault="000C004E" w:rsidP="000C004E">
      <w:pPr>
        <w:pStyle w:val="Textpoznpodarou"/>
        <w:rPr>
          <w:rFonts w:cs="Arial"/>
          <w:color w:val="0D0D0D" w:themeColor="text1" w:themeTint="F2"/>
          <w:sz w:val="16"/>
          <w:szCs w:val="16"/>
        </w:rPr>
      </w:pPr>
      <w:r>
        <w:rPr>
          <w:rStyle w:val="Znakapoznpodarou"/>
          <w:sz w:val="16"/>
          <w:szCs w:val="16"/>
        </w:rPr>
        <w:footnoteRef/>
      </w:r>
      <w:r>
        <w:rPr>
          <w:sz w:val="16"/>
          <w:szCs w:val="16"/>
        </w:rPr>
        <w:t xml:space="preserve"> </w:t>
      </w:r>
      <w:r>
        <w:rPr>
          <w:rFonts w:cs="Arial"/>
          <w:color w:val="0D0D0D" w:themeColor="text1" w:themeTint="F2"/>
          <w:sz w:val="16"/>
          <w:szCs w:val="16"/>
        </w:rPr>
        <w:t>Spotřebitelská cena nafty dosahovala letos v květnu</w:t>
      </w:r>
      <w:r>
        <w:rPr>
          <w:iCs/>
          <w:color w:val="0D0D0D" w:themeColor="text1" w:themeTint="F2"/>
          <w:sz w:val="16"/>
          <w:szCs w:val="16"/>
        </w:rPr>
        <w:t xml:space="preserve"> v průměru 32,70 korun/l a benzín Natural 95 se na čerpacích stanicích prodával přibližně za 33,90 korun/l. V případě nafty to byla nejnižší hodnota od června roku 2023 a u benzinu Natural 95 dokonce od září roku 2021.</w:t>
      </w:r>
      <w:r>
        <w:rPr>
          <w:rFonts w:cs="Arial"/>
          <w:color w:val="0D0D0D" w:themeColor="text1" w:themeTint="F2"/>
          <w:sz w:val="16"/>
          <w:szCs w:val="16"/>
        </w:rPr>
        <w:t xml:space="preserve"> Na tento vývoj kromě tuzemských domácností i firem patrně reagovali také zahraniční dopravci, již přes Česko realizují tranzitní dopravu.</w:t>
      </w:r>
    </w:p>
  </w:footnote>
  <w:footnote w:id="39">
    <w:p w14:paraId="24DDE76E" w14:textId="77777777" w:rsidR="000C004E" w:rsidRDefault="000C004E" w:rsidP="000C004E">
      <w:pPr>
        <w:pStyle w:val="Textpoznpodarou"/>
        <w:rPr>
          <w:sz w:val="16"/>
          <w:szCs w:val="16"/>
        </w:rPr>
      </w:pPr>
      <w:r>
        <w:rPr>
          <w:rStyle w:val="Znakapoznpodarou"/>
          <w:sz w:val="16"/>
          <w:szCs w:val="16"/>
        </w:rPr>
        <w:footnoteRef/>
      </w:r>
      <w:r>
        <w:rPr>
          <w:sz w:val="16"/>
          <w:szCs w:val="16"/>
        </w:rPr>
        <w:t xml:space="preserve"> Tržby v běžných cenách se ovšem v 1. čtvrtletí 2025 zvýšily pouze o 2,9 %.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6" w14:textId="3C11EE3B" w:rsidR="00A04CEF" w:rsidRPr="00C27E4F" w:rsidRDefault="00A04CEF" w:rsidP="00C27E4F">
    <w:pPr>
      <w:pStyle w:val="Zhlav"/>
    </w:pPr>
    <w:r>
      <w:t>Vývoj ekonomiky České republiky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7" w14:textId="4F78F164" w:rsidR="00A04CEF" w:rsidRPr="006F5416" w:rsidRDefault="00A04CEF" w:rsidP="00937AE2">
    <w:pPr>
      <w:pStyle w:val="Zhlav"/>
    </w:pPr>
    <w:r>
      <w:t>Vývoj ekonomiky České republiky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6"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29"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3"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651B2D"/>
    <w:multiLevelType w:val="hybridMultilevel"/>
    <w:tmpl w:val="E4A2DC0E"/>
    <w:lvl w:ilvl="0" w:tplc="B4A838D0">
      <w:start w:val="1"/>
      <w:numFmt w:val="bullet"/>
      <w:pStyle w:val="Normalodrka"/>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3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33"/>
  </w:num>
  <w:num w:numId="14">
    <w:abstractNumId w:val="15"/>
  </w:num>
  <w:num w:numId="15">
    <w:abstractNumId w:val="23"/>
  </w:num>
  <w:num w:numId="16">
    <w:abstractNumId w:val="18"/>
  </w:num>
  <w:num w:numId="17">
    <w:abstractNumId w:val="34"/>
  </w:num>
  <w:num w:numId="18">
    <w:abstractNumId w:val="24"/>
  </w:num>
  <w:num w:numId="19">
    <w:abstractNumId w:val="37"/>
  </w:num>
  <w:num w:numId="20">
    <w:abstractNumId w:val="42"/>
  </w:num>
  <w:num w:numId="21">
    <w:abstractNumId w:val="32"/>
  </w:num>
  <w:num w:numId="22">
    <w:abstractNumId w:val="22"/>
  </w:num>
  <w:num w:numId="23">
    <w:abstractNumId w:val="20"/>
  </w:num>
  <w:num w:numId="24">
    <w:abstractNumId w:val="21"/>
  </w:num>
  <w:num w:numId="25">
    <w:abstractNumId w:val="40"/>
  </w:num>
  <w:num w:numId="26">
    <w:abstractNumId w:val="41"/>
  </w:num>
  <w:num w:numId="27">
    <w:abstractNumId w:val="42"/>
  </w:num>
  <w:num w:numId="28">
    <w:abstractNumId w:val="13"/>
  </w:num>
  <w:num w:numId="29">
    <w:abstractNumId w:val="26"/>
  </w:num>
  <w:num w:numId="30">
    <w:abstractNumId w:val="25"/>
  </w:num>
  <w:num w:numId="31">
    <w:abstractNumId w:val="10"/>
  </w:num>
  <w:num w:numId="32">
    <w:abstractNumId w:val="27"/>
  </w:num>
  <w:num w:numId="33">
    <w:abstractNumId w:val="12"/>
  </w:num>
  <w:num w:numId="34">
    <w:abstractNumId w:val="44"/>
  </w:num>
  <w:num w:numId="35">
    <w:abstractNumId w:val="11"/>
  </w:num>
  <w:num w:numId="36">
    <w:abstractNumId w:val="36"/>
  </w:num>
  <w:num w:numId="37">
    <w:abstractNumId w:val="29"/>
  </w:num>
  <w:num w:numId="38">
    <w:abstractNumId w:val="28"/>
  </w:num>
  <w:num w:numId="39">
    <w:abstractNumId w:val="38"/>
  </w:num>
  <w:num w:numId="40">
    <w:abstractNumId w:val="43"/>
  </w:num>
  <w:num w:numId="41">
    <w:abstractNumId w:val="39"/>
  </w:num>
  <w:num w:numId="42">
    <w:abstractNumId w:val="31"/>
  </w:num>
  <w:num w:numId="43">
    <w:abstractNumId w:val="19"/>
  </w:num>
  <w:num w:numId="44">
    <w:abstractNumId w:val="14"/>
  </w:num>
  <w:num w:numId="45">
    <w:abstractNumId w:val="35"/>
  </w:num>
  <w:num w:numId="46">
    <w:abstractNumId w:val="16"/>
  </w:num>
  <w:num w:numId="47">
    <w:abstractNumId w:val="42"/>
  </w:num>
  <w:num w:numId="48">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8673">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62"/>
    <w:rsid w:val="0000209D"/>
    <w:rsid w:val="00004D5A"/>
    <w:rsid w:val="000056D5"/>
    <w:rsid w:val="00006ABD"/>
    <w:rsid w:val="0000767A"/>
    <w:rsid w:val="00010256"/>
    <w:rsid w:val="00010702"/>
    <w:rsid w:val="00011912"/>
    <w:rsid w:val="0002195D"/>
    <w:rsid w:val="000234D6"/>
    <w:rsid w:val="00023D29"/>
    <w:rsid w:val="00026389"/>
    <w:rsid w:val="00031AE0"/>
    <w:rsid w:val="000322EF"/>
    <w:rsid w:val="00033FCD"/>
    <w:rsid w:val="00040D10"/>
    <w:rsid w:val="00041CEC"/>
    <w:rsid w:val="0004694F"/>
    <w:rsid w:val="000522E4"/>
    <w:rsid w:val="000610E1"/>
    <w:rsid w:val="00062EC5"/>
    <w:rsid w:val="00062F22"/>
    <w:rsid w:val="000712B3"/>
    <w:rsid w:val="0008263E"/>
    <w:rsid w:val="00082C19"/>
    <w:rsid w:val="00085395"/>
    <w:rsid w:val="00087634"/>
    <w:rsid w:val="00087F2B"/>
    <w:rsid w:val="000912CC"/>
    <w:rsid w:val="00095135"/>
    <w:rsid w:val="000974D1"/>
    <w:rsid w:val="0009799E"/>
    <w:rsid w:val="000A1183"/>
    <w:rsid w:val="000A256D"/>
    <w:rsid w:val="000A3A2C"/>
    <w:rsid w:val="000A5265"/>
    <w:rsid w:val="000A57D4"/>
    <w:rsid w:val="000B7C8D"/>
    <w:rsid w:val="000C004E"/>
    <w:rsid w:val="000C3408"/>
    <w:rsid w:val="000C6AFD"/>
    <w:rsid w:val="000D5637"/>
    <w:rsid w:val="000E6FBD"/>
    <w:rsid w:val="00100F5C"/>
    <w:rsid w:val="00101CDA"/>
    <w:rsid w:val="00102C41"/>
    <w:rsid w:val="00104C4C"/>
    <w:rsid w:val="00117623"/>
    <w:rsid w:val="0012192F"/>
    <w:rsid w:val="001224E5"/>
    <w:rsid w:val="00124940"/>
    <w:rsid w:val="00125D69"/>
    <w:rsid w:val="001405FA"/>
    <w:rsid w:val="001425C3"/>
    <w:rsid w:val="001476BD"/>
    <w:rsid w:val="001612F4"/>
    <w:rsid w:val="0016256B"/>
    <w:rsid w:val="00163793"/>
    <w:rsid w:val="001706D6"/>
    <w:rsid w:val="001714F2"/>
    <w:rsid w:val="00175B9F"/>
    <w:rsid w:val="00181BBC"/>
    <w:rsid w:val="00184B08"/>
    <w:rsid w:val="00185010"/>
    <w:rsid w:val="0019143B"/>
    <w:rsid w:val="001A0487"/>
    <w:rsid w:val="001A552F"/>
    <w:rsid w:val="001B2CA9"/>
    <w:rsid w:val="001B3110"/>
    <w:rsid w:val="001B4729"/>
    <w:rsid w:val="001B6310"/>
    <w:rsid w:val="001B6C09"/>
    <w:rsid w:val="001B73E6"/>
    <w:rsid w:val="001C05CD"/>
    <w:rsid w:val="001C3924"/>
    <w:rsid w:val="001D40D7"/>
    <w:rsid w:val="001D48D4"/>
    <w:rsid w:val="001D68B2"/>
    <w:rsid w:val="001E1C2E"/>
    <w:rsid w:val="001E504C"/>
    <w:rsid w:val="001E6062"/>
    <w:rsid w:val="001E6753"/>
    <w:rsid w:val="001F4597"/>
    <w:rsid w:val="00203DA4"/>
    <w:rsid w:val="002118B9"/>
    <w:rsid w:val="00213E46"/>
    <w:rsid w:val="00214CF7"/>
    <w:rsid w:val="00217C5B"/>
    <w:rsid w:val="0022139E"/>
    <w:rsid w:val="00222729"/>
    <w:rsid w:val="002252E0"/>
    <w:rsid w:val="002255F6"/>
    <w:rsid w:val="00227850"/>
    <w:rsid w:val="00227A53"/>
    <w:rsid w:val="00230C6E"/>
    <w:rsid w:val="00233CD7"/>
    <w:rsid w:val="00236443"/>
    <w:rsid w:val="00241B06"/>
    <w:rsid w:val="00242C10"/>
    <w:rsid w:val="002436BA"/>
    <w:rsid w:val="00244A15"/>
    <w:rsid w:val="0024661A"/>
    <w:rsid w:val="00247319"/>
    <w:rsid w:val="0024799E"/>
    <w:rsid w:val="00247EE7"/>
    <w:rsid w:val="00253C0F"/>
    <w:rsid w:val="002558C1"/>
    <w:rsid w:val="00261A17"/>
    <w:rsid w:val="00271465"/>
    <w:rsid w:val="00275385"/>
    <w:rsid w:val="0028207A"/>
    <w:rsid w:val="00285412"/>
    <w:rsid w:val="00291407"/>
    <w:rsid w:val="00291640"/>
    <w:rsid w:val="00295A5D"/>
    <w:rsid w:val="002A1407"/>
    <w:rsid w:val="002A16D4"/>
    <w:rsid w:val="002A230C"/>
    <w:rsid w:val="002A66B0"/>
    <w:rsid w:val="002B2299"/>
    <w:rsid w:val="002B4845"/>
    <w:rsid w:val="002B48B4"/>
    <w:rsid w:val="002C2FE9"/>
    <w:rsid w:val="002C43BD"/>
    <w:rsid w:val="002D0E59"/>
    <w:rsid w:val="002E02A1"/>
    <w:rsid w:val="002E42AC"/>
    <w:rsid w:val="002E4E4C"/>
    <w:rsid w:val="00302ADD"/>
    <w:rsid w:val="00304771"/>
    <w:rsid w:val="0030495D"/>
    <w:rsid w:val="003052D4"/>
    <w:rsid w:val="00306C5B"/>
    <w:rsid w:val="003103E0"/>
    <w:rsid w:val="00314F9F"/>
    <w:rsid w:val="003209D6"/>
    <w:rsid w:val="00321924"/>
    <w:rsid w:val="0032656E"/>
    <w:rsid w:val="00332190"/>
    <w:rsid w:val="00343182"/>
    <w:rsid w:val="0034335E"/>
    <w:rsid w:val="00344668"/>
    <w:rsid w:val="003462D9"/>
    <w:rsid w:val="00355F7D"/>
    <w:rsid w:val="00360C86"/>
    <w:rsid w:val="00360FBC"/>
    <w:rsid w:val="00362E90"/>
    <w:rsid w:val="00364FA0"/>
    <w:rsid w:val="003657F3"/>
    <w:rsid w:val="00366591"/>
    <w:rsid w:val="0038123E"/>
    <w:rsid w:val="003818DC"/>
    <w:rsid w:val="00384327"/>
    <w:rsid w:val="00385D98"/>
    <w:rsid w:val="003A2B4D"/>
    <w:rsid w:val="003A2B5E"/>
    <w:rsid w:val="003A2D12"/>
    <w:rsid w:val="003A478C"/>
    <w:rsid w:val="003A5525"/>
    <w:rsid w:val="003A6B38"/>
    <w:rsid w:val="003B461F"/>
    <w:rsid w:val="003B5A32"/>
    <w:rsid w:val="003B7AFA"/>
    <w:rsid w:val="003C3490"/>
    <w:rsid w:val="003C6550"/>
    <w:rsid w:val="003C7E62"/>
    <w:rsid w:val="003D6920"/>
    <w:rsid w:val="003E48F2"/>
    <w:rsid w:val="003E4C91"/>
    <w:rsid w:val="003E62A5"/>
    <w:rsid w:val="003F313C"/>
    <w:rsid w:val="003F37FC"/>
    <w:rsid w:val="003F4B2C"/>
    <w:rsid w:val="003F551C"/>
    <w:rsid w:val="003F62B0"/>
    <w:rsid w:val="003F72ED"/>
    <w:rsid w:val="003F7D23"/>
    <w:rsid w:val="00400DF4"/>
    <w:rsid w:val="00407C13"/>
    <w:rsid w:val="0041041D"/>
    <w:rsid w:val="00410638"/>
    <w:rsid w:val="0041501E"/>
    <w:rsid w:val="004159C3"/>
    <w:rsid w:val="00416EB7"/>
    <w:rsid w:val="00432A58"/>
    <w:rsid w:val="00434617"/>
    <w:rsid w:val="00440900"/>
    <w:rsid w:val="00441BF6"/>
    <w:rsid w:val="00443556"/>
    <w:rsid w:val="004441A0"/>
    <w:rsid w:val="004455BA"/>
    <w:rsid w:val="0045078A"/>
    <w:rsid w:val="0045086D"/>
    <w:rsid w:val="00451504"/>
    <w:rsid w:val="00456339"/>
    <w:rsid w:val="004607BF"/>
    <w:rsid w:val="00460FB3"/>
    <w:rsid w:val="0046627E"/>
    <w:rsid w:val="00476240"/>
    <w:rsid w:val="00476439"/>
    <w:rsid w:val="0047735C"/>
    <w:rsid w:val="004776BC"/>
    <w:rsid w:val="0048139F"/>
    <w:rsid w:val="00481E40"/>
    <w:rsid w:val="00484ECE"/>
    <w:rsid w:val="00485567"/>
    <w:rsid w:val="004915CB"/>
    <w:rsid w:val="004924DC"/>
    <w:rsid w:val="004A14E4"/>
    <w:rsid w:val="004A3212"/>
    <w:rsid w:val="004A5494"/>
    <w:rsid w:val="004A61C5"/>
    <w:rsid w:val="004A77DF"/>
    <w:rsid w:val="004B1417"/>
    <w:rsid w:val="004B55B7"/>
    <w:rsid w:val="004B5A60"/>
    <w:rsid w:val="004B6468"/>
    <w:rsid w:val="004B7125"/>
    <w:rsid w:val="004C384C"/>
    <w:rsid w:val="004C3867"/>
    <w:rsid w:val="004C4CD0"/>
    <w:rsid w:val="004C5B81"/>
    <w:rsid w:val="004C70DC"/>
    <w:rsid w:val="004D0211"/>
    <w:rsid w:val="004D0794"/>
    <w:rsid w:val="004D5C93"/>
    <w:rsid w:val="004E1288"/>
    <w:rsid w:val="004E7C6B"/>
    <w:rsid w:val="004F06F5"/>
    <w:rsid w:val="004F2C1B"/>
    <w:rsid w:val="004F33A0"/>
    <w:rsid w:val="0050689D"/>
    <w:rsid w:val="005108C0"/>
    <w:rsid w:val="00511873"/>
    <w:rsid w:val="00512A2F"/>
    <w:rsid w:val="00513B7E"/>
    <w:rsid w:val="00515C74"/>
    <w:rsid w:val="0051713B"/>
    <w:rsid w:val="0052007E"/>
    <w:rsid w:val="0052337A"/>
    <w:rsid w:val="00525137"/>
    <w:rsid w:val="005251DD"/>
    <w:rsid w:val="00532CE7"/>
    <w:rsid w:val="00532E62"/>
    <w:rsid w:val="0053324C"/>
    <w:rsid w:val="00534A28"/>
    <w:rsid w:val="00541508"/>
    <w:rsid w:val="00543498"/>
    <w:rsid w:val="00545512"/>
    <w:rsid w:val="00553016"/>
    <w:rsid w:val="0055599F"/>
    <w:rsid w:val="00556995"/>
    <w:rsid w:val="00556D68"/>
    <w:rsid w:val="00563EB8"/>
    <w:rsid w:val="005647BF"/>
    <w:rsid w:val="00564AF1"/>
    <w:rsid w:val="0057364B"/>
    <w:rsid w:val="00574773"/>
    <w:rsid w:val="0058308D"/>
    <w:rsid w:val="00583FFD"/>
    <w:rsid w:val="005911BE"/>
    <w:rsid w:val="00593152"/>
    <w:rsid w:val="005A10F2"/>
    <w:rsid w:val="005A21E0"/>
    <w:rsid w:val="005A28FF"/>
    <w:rsid w:val="005A3DF8"/>
    <w:rsid w:val="005A5113"/>
    <w:rsid w:val="005A5549"/>
    <w:rsid w:val="005A7038"/>
    <w:rsid w:val="005B121D"/>
    <w:rsid w:val="005C06ED"/>
    <w:rsid w:val="005C2609"/>
    <w:rsid w:val="005C6CF0"/>
    <w:rsid w:val="005D5802"/>
    <w:rsid w:val="005D7119"/>
    <w:rsid w:val="005D7890"/>
    <w:rsid w:val="005E705E"/>
    <w:rsid w:val="005E7C78"/>
    <w:rsid w:val="005F18C5"/>
    <w:rsid w:val="005F3EB1"/>
    <w:rsid w:val="005F46D8"/>
    <w:rsid w:val="005F5469"/>
    <w:rsid w:val="00603FF5"/>
    <w:rsid w:val="00604307"/>
    <w:rsid w:val="0060487F"/>
    <w:rsid w:val="00604EAD"/>
    <w:rsid w:val="006104FB"/>
    <w:rsid w:val="00612A2F"/>
    <w:rsid w:val="00616E05"/>
    <w:rsid w:val="00622275"/>
    <w:rsid w:val="00624093"/>
    <w:rsid w:val="00625F8F"/>
    <w:rsid w:val="006350D5"/>
    <w:rsid w:val="006404A7"/>
    <w:rsid w:val="006451E4"/>
    <w:rsid w:val="00645B33"/>
    <w:rsid w:val="006516CB"/>
    <w:rsid w:val="00656FC8"/>
    <w:rsid w:val="00657E87"/>
    <w:rsid w:val="00664803"/>
    <w:rsid w:val="0066504F"/>
    <w:rsid w:val="00665BA4"/>
    <w:rsid w:val="00667AF2"/>
    <w:rsid w:val="006710C9"/>
    <w:rsid w:val="006741AC"/>
    <w:rsid w:val="00674D89"/>
    <w:rsid w:val="00675E37"/>
    <w:rsid w:val="0068174E"/>
    <w:rsid w:val="00681DCE"/>
    <w:rsid w:val="0068260E"/>
    <w:rsid w:val="00693FEC"/>
    <w:rsid w:val="00695BEF"/>
    <w:rsid w:val="006977F6"/>
    <w:rsid w:val="00697A13"/>
    <w:rsid w:val="006A109C"/>
    <w:rsid w:val="006B0F92"/>
    <w:rsid w:val="006B173A"/>
    <w:rsid w:val="006B344A"/>
    <w:rsid w:val="006B759B"/>
    <w:rsid w:val="006B78D8"/>
    <w:rsid w:val="006C113F"/>
    <w:rsid w:val="006C123E"/>
    <w:rsid w:val="006C1752"/>
    <w:rsid w:val="006C4460"/>
    <w:rsid w:val="006C56D4"/>
    <w:rsid w:val="006C6924"/>
    <w:rsid w:val="006C7CA6"/>
    <w:rsid w:val="006D3E8A"/>
    <w:rsid w:val="006D61F6"/>
    <w:rsid w:val="006E279A"/>
    <w:rsid w:val="006E313B"/>
    <w:rsid w:val="006E4254"/>
    <w:rsid w:val="006E7227"/>
    <w:rsid w:val="006F438E"/>
    <w:rsid w:val="006F5416"/>
    <w:rsid w:val="006F7076"/>
    <w:rsid w:val="00705242"/>
    <w:rsid w:val="00706AD4"/>
    <w:rsid w:val="00707150"/>
    <w:rsid w:val="007140BE"/>
    <w:rsid w:val="007143B4"/>
    <w:rsid w:val="007211F5"/>
    <w:rsid w:val="00723946"/>
    <w:rsid w:val="007240E2"/>
    <w:rsid w:val="00725BB5"/>
    <w:rsid w:val="00730AE8"/>
    <w:rsid w:val="00730F1B"/>
    <w:rsid w:val="007342AC"/>
    <w:rsid w:val="00741493"/>
    <w:rsid w:val="00752180"/>
    <w:rsid w:val="00753CAB"/>
    <w:rsid w:val="00755202"/>
    <w:rsid w:val="00755D3A"/>
    <w:rsid w:val="007578D3"/>
    <w:rsid w:val="007609C6"/>
    <w:rsid w:val="00760EA4"/>
    <w:rsid w:val="0076175D"/>
    <w:rsid w:val="00763B85"/>
    <w:rsid w:val="00764744"/>
    <w:rsid w:val="0076521E"/>
    <w:rsid w:val="007661E9"/>
    <w:rsid w:val="00773220"/>
    <w:rsid w:val="00776169"/>
    <w:rsid w:val="00776527"/>
    <w:rsid w:val="00776EAB"/>
    <w:rsid w:val="00780EF1"/>
    <w:rsid w:val="00790711"/>
    <w:rsid w:val="00790764"/>
    <w:rsid w:val="0079124F"/>
    <w:rsid w:val="0079453C"/>
    <w:rsid w:val="00794677"/>
    <w:rsid w:val="00797445"/>
    <w:rsid w:val="007A516D"/>
    <w:rsid w:val="007B6689"/>
    <w:rsid w:val="007C6BBD"/>
    <w:rsid w:val="007D293C"/>
    <w:rsid w:val="007D40DF"/>
    <w:rsid w:val="007E29B4"/>
    <w:rsid w:val="007E435A"/>
    <w:rsid w:val="007E7E61"/>
    <w:rsid w:val="007E7FCE"/>
    <w:rsid w:val="007F0845"/>
    <w:rsid w:val="007F708D"/>
    <w:rsid w:val="00800216"/>
    <w:rsid w:val="00801E13"/>
    <w:rsid w:val="00807C82"/>
    <w:rsid w:val="00810C82"/>
    <w:rsid w:val="00814B15"/>
    <w:rsid w:val="00816905"/>
    <w:rsid w:val="00821777"/>
    <w:rsid w:val="00821FF6"/>
    <w:rsid w:val="00822574"/>
    <w:rsid w:val="00825C4D"/>
    <w:rsid w:val="008304D1"/>
    <w:rsid w:val="0083143E"/>
    <w:rsid w:val="00831CDE"/>
    <w:rsid w:val="00834304"/>
    <w:rsid w:val="00834FAA"/>
    <w:rsid w:val="0083516C"/>
    <w:rsid w:val="00836086"/>
    <w:rsid w:val="00846121"/>
    <w:rsid w:val="008462A8"/>
    <w:rsid w:val="0084708F"/>
    <w:rsid w:val="008477C8"/>
    <w:rsid w:val="0085114D"/>
    <w:rsid w:val="00852217"/>
    <w:rsid w:val="00855408"/>
    <w:rsid w:val="00855712"/>
    <w:rsid w:val="00856D65"/>
    <w:rsid w:val="00861B41"/>
    <w:rsid w:val="00861BE3"/>
    <w:rsid w:val="00863434"/>
    <w:rsid w:val="00865E4C"/>
    <w:rsid w:val="008701E4"/>
    <w:rsid w:val="00871069"/>
    <w:rsid w:val="00875A32"/>
    <w:rsid w:val="00876086"/>
    <w:rsid w:val="008825B0"/>
    <w:rsid w:val="00884AD6"/>
    <w:rsid w:val="008873D4"/>
    <w:rsid w:val="0089126C"/>
    <w:rsid w:val="0089296D"/>
    <w:rsid w:val="00893E85"/>
    <w:rsid w:val="00894031"/>
    <w:rsid w:val="00895508"/>
    <w:rsid w:val="008A6CB4"/>
    <w:rsid w:val="008B5CF6"/>
    <w:rsid w:val="008B7C02"/>
    <w:rsid w:val="008B7D2B"/>
    <w:rsid w:val="008C0049"/>
    <w:rsid w:val="008C0E88"/>
    <w:rsid w:val="008C53CB"/>
    <w:rsid w:val="008D1E6A"/>
    <w:rsid w:val="008D2A16"/>
    <w:rsid w:val="008D6B35"/>
    <w:rsid w:val="008E2C57"/>
    <w:rsid w:val="008E31FF"/>
    <w:rsid w:val="008E6F06"/>
    <w:rsid w:val="008E7FC9"/>
    <w:rsid w:val="008F029B"/>
    <w:rsid w:val="008F3FC9"/>
    <w:rsid w:val="008F585B"/>
    <w:rsid w:val="009003A8"/>
    <w:rsid w:val="00902500"/>
    <w:rsid w:val="00902EFF"/>
    <w:rsid w:val="00906401"/>
    <w:rsid w:val="0091155E"/>
    <w:rsid w:val="00912A92"/>
    <w:rsid w:val="0091728D"/>
    <w:rsid w:val="0092180B"/>
    <w:rsid w:val="00921F14"/>
    <w:rsid w:val="009231A3"/>
    <w:rsid w:val="00924AC8"/>
    <w:rsid w:val="0092597A"/>
    <w:rsid w:val="00925E75"/>
    <w:rsid w:val="00930FB1"/>
    <w:rsid w:val="0093139F"/>
    <w:rsid w:val="00932443"/>
    <w:rsid w:val="00937AE2"/>
    <w:rsid w:val="0094427A"/>
    <w:rsid w:val="00945245"/>
    <w:rsid w:val="00957309"/>
    <w:rsid w:val="0095759C"/>
    <w:rsid w:val="009721DB"/>
    <w:rsid w:val="0097239B"/>
    <w:rsid w:val="00974923"/>
    <w:rsid w:val="009808F7"/>
    <w:rsid w:val="00980D3D"/>
    <w:rsid w:val="009855E1"/>
    <w:rsid w:val="00987A30"/>
    <w:rsid w:val="00992CF3"/>
    <w:rsid w:val="00994868"/>
    <w:rsid w:val="0099574A"/>
    <w:rsid w:val="009968D6"/>
    <w:rsid w:val="009A1CAB"/>
    <w:rsid w:val="009A60D1"/>
    <w:rsid w:val="009B6FD3"/>
    <w:rsid w:val="009C1750"/>
    <w:rsid w:val="009C2E29"/>
    <w:rsid w:val="009C554B"/>
    <w:rsid w:val="009C719E"/>
    <w:rsid w:val="009C7A10"/>
    <w:rsid w:val="009D1120"/>
    <w:rsid w:val="009D3ACD"/>
    <w:rsid w:val="009E5273"/>
    <w:rsid w:val="009E5DDB"/>
    <w:rsid w:val="009E7F05"/>
    <w:rsid w:val="009F46B7"/>
    <w:rsid w:val="009F4CA7"/>
    <w:rsid w:val="00A04CEF"/>
    <w:rsid w:val="00A10D66"/>
    <w:rsid w:val="00A14114"/>
    <w:rsid w:val="00A1537C"/>
    <w:rsid w:val="00A16413"/>
    <w:rsid w:val="00A16E1D"/>
    <w:rsid w:val="00A17D5B"/>
    <w:rsid w:val="00A17EB2"/>
    <w:rsid w:val="00A206E5"/>
    <w:rsid w:val="00A23447"/>
    <w:rsid w:val="00A23E43"/>
    <w:rsid w:val="00A25216"/>
    <w:rsid w:val="00A30F65"/>
    <w:rsid w:val="00A33A89"/>
    <w:rsid w:val="00A40EAC"/>
    <w:rsid w:val="00A40EDD"/>
    <w:rsid w:val="00A418BC"/>
    <w:rsid w:val="00A4206C"/>
    <w:rsid w:val="00A46DE0"/>
    <w:rsid w:val="00A472EB"/>
    <w:rsid w:val="00A47FCA"/>
    <w:rsid w:val="00A50D73"/>
    <w:rsid w:val="00A52CAD"/>
    <w:rsid w:val="00A53FC7"/>
    <w:rsid w:val="00A62CE1"/>
    <w:rsid w:val="00A668A3"/>
    <w:rsid w:val="00A6741E"/>
    <w:rsid w:val="00A754EA"/>
    <w:rsid w:val="00A75E40"/>
    <w:rsid w:val="00A77D1D"/>
    <w:rsid w:val="00A84A6A"/>
    <w:rsid w:val="00A857C0"/>
    <w:rsid w:val="00A90FED"/>
    <w:rsid w:val="00AA2996"/>
    <w:rsid w:val="00AA2A70"/>
    <w:rsid w:val="00AA52BF"/>
    <w:rsid w:val="00AA559A"/>
    <w:rsid w:val="00AB2AF1"/>
    <w:rsid w:val="00AB535B"/>
    <w:rsid w:val="00AC45BD"/>
    <w:rsid w:val="00AD168E"/>
    <w:rsid w:val="00AD306C"/>
    <w:rsid w:val="00AD4F16"/>
    <w:rsid w:val="00AD68C4"/>
    <w:rsid w:val="00AE09B3"/>
    <w:rsid w:val="00AE0ED3"/>
    <w:rsid w:val="00AE1A83"/>
    <w:rsid w:val="00AE31A7"/>
    <w:rsid w:val="00AF6128"/>
    <w:rsid w:val="00B00913"/>
    <w:rsid w:val="00B01593"/>
    <w:rsid w:val="00B023F2"/>
    <w:rsid w:val="00B04705"/>
    <w:rsid w:val="00B07BBB"/>
    <w:rsid w:val="00B10A4D"/>
    <w:rsid w:val="00B14BC1"/>
    <w:rsid w:val="00B17E71"/>
    <w:rsid w:val="00B17FDE"/>
    <w:rsid w:val="00B2379C"/>
    <w:rsid w:val="00B25189"/>
    <w:rsid w:val="00B2687D"/>
    <w:rsid w:val="00B26897"/>
    <w:rsid w:val="00B32DDB"/>
    <w:rsid w:val="00B34528"/>
    <w:rsid w:val="00B34CC9"/>
    <w:rsid w:val="00B402FC"/>
    <w:rsid w:val="00B439DA"/>
    <w:rsid w:val="00B46604"/>
    <w:rsid w:val="00B530CD"/>
    <w:rsid w:val="00B55F5E"/>
    <w:rsid w:val="00B5752E"/>
    <w:rsid w:val="00B63A11"/>
    <w:rsid w:val="00B63B6A"/>
    <w:rsid w:val="00B64C24"/>
    <w:rsid w:val="00B6608F"/>
    <w:rsid w:val="00B67768"/>
    <w:rsid w:val="00B679FB"/>
    <w:rsid w:val="00B71EF7"/>
    <w:rsid w:val="00B7665A"/>
    <w:rsid w:val="00B76D1E"/>
    <w:rsid w:val="00B8028A"/>
    <w:rsid w:val="00B80EC6"/>
    <w:rsid w:val="00B84CF6"/>
    <w:rsid w:val="00B92D1D"/>
    <w:rsid w:val="00B938C5"/>
    <w:rsid w:val="00B95940"/>
    <w:rsid w:val="00BA6C2B"/>
    <w:rsid w:val="00BB46F3"/>
    <w:rsid w:val="00BB4CB1"/>
    <w:rsid w:val="00BB4F98"/>
    <w:rsid w:val="00BC5C12"/>
    <w:rsid w:val="00BC7154"/>
    <w:rsid w:val="00BC731E"/>
    <w:rsid w:val="00BD366B"/>
    <w:rsid w:val="00BD6D50"/>
    <w:rsid w:val="00BE18B9"/>
    <w:rsid w:val="00BE2495"/>
    <w:rsid w:val="00BF1578"/>
    <w:rsid w:val="00BF723F"/>
    <w:rsid w:val="00C21F94"/>
    <w:rsid w:val="00C27913"/>
    <w:rsid w:val="00C27E4F"/>
    <w:rsid w:val="00C32964"/>
    <w:rsid w:val="00C33B68"/>
    <w:rsid w:val="00C36A79"/>
    <w:rsid w:val="00C401D2"/>
    <w:rsid w:val="00C405D4"/>
    <w:rsid w:val="00C4431F"/>
    <w:rsid w:val="00C4513B"/>
    <w:rsid w:val="00C5390B"/>
    <w:rsid w:val="00C53E5D"/>
    <w:rsid w:val="00C54697"/>
    <w:rsid w:val="00C65535"/>
    <w:rsid w:val="00C71E85"/>
    <w:rsid w:val="00C72884"/>
    <w:rsid w:val="00C73885"/>
    <w:rsid w:val="00C747B1"/>
    <w:rsid w:val="00C82191"/>
    <w:rsid w:val="00C83134"/>
    <w:rsid w:val="00C85545"/>
    <w:rsid w:val="00C90CF4"/>
    <w:rsid w:val="00C92EB6"/>
    <w:rsid w:val="00C93389"/>
    <w:rsid w:val="00CA0914"/>
    <w:rsid w:val="00CA6AB4"/>
    <w:rsid w:val="00CA7BE7"/>
    <w:rsid w:val="00CB4930"/>
    <w:rsid w:val="00CC2E7D"/>
    <w:rsid w:val="00CD10A5"/>
    <w:rsid w:val="00CD2076"/>
    <w:rsid w:val="00CD29B5"/>
    <w:rsid w:val="00CD6331"/>
    <w:rsid w:val="00CE670B"/>
    <w:rsid w:val="00CF39C9"/>
    <w:rsid w:val="00CF4908"/>
    <w:rsid w:val="00CF51EC"/>
    <w:rsid w:val="00CF73AE"/>
    <w:rsid w:val="00D040DD"/>
    <w:rsid w:val="00D075BE"/>
    <w:rsid w:val="00D13986"/>
    <w:rsid w:val="00D21D83"/>
    <w:rsid w:val="00D235B7"/>
    <w:rsid w:val="00D23C02"/>
    <w:rsid w:val="00D25F28"/>
    <w:rsid w:val="00D26071"/>
    <w:rsid w:val="00D27973"/>
    <w:rsid w:val="00D35E1A"/>
    <w:rsid w:val="00D42211"/>
    <w:rsid w:val="00D50F46"/>
    <w:rsid w:val="00D567C6"/>
    <w:rsid w:val="00D57677"/>
    <w:rsid w:val="00D66223"/>
    <w:rsid w:val="00D71625"/>
    <w:rsid w:val="00D751DA"/>
    <w:rsid w:val="00D8084C"/>
    <w:rsid w:val="00D915EA"/>
    <w:rsid w:val="00D96855"/>
    <w:rsid w:val="00DA48C1"/>
    <w:rsid w:val="00DA7C0C"/>
    <w:rsid w:val="00DB08A9"/>
    <w:rsid w:val="00DB2EC8"/>
    <w:rsid w:val="00DB5FC0"/>
    <w:rsid w:val="00DB6566"/>
    <w:rsid w:val="00DC1E84"/>
    <w:rsid w:val="00DC48F1"/>
    <w:rsid w:val="00DC5B3B"/>
    <w:rsid w:val="00DD129F"/>
    <w:rsid w:val="00DD4EFE"/>
    <w:rsid w:val="00DE02BD"/>
    <w:rsid w:val="00DF42FF"/>
    <w:rsid w:val="00DF5908"/>
    <w:rsid w:val="00E01C0E"/>
    <w:rsid w:val="00E03F9A"/>
    <w:rsid w:val="00E0465E"/>
    <w:rsid w:val="00E04694"/>
    <w:rsid w:val="00E063CE"/>
    <w:rsid w:val="00E12B1E"/>
    <w:rsid w:val="00E17262"/>
    <w:rsid w:val="00E253A2"/>
    <w:rsid w:val="00E3309D"/>
    <w:rsid w:val="00E43C1C"/>
    <w:rsid w:val="00E47EBA"/>
    <w:rsid w:val="00E50156"/>
    <w:rsid w:val="00E51643"/>
    <w:rsid w:val="00E53470"/>
    <w:rsid w:val="00E53874"/>
    <w:rsid w:val="00E539F6"/>
    <w:rsid w:val="00E6519D"/>
    <w:rsid w:val="00E67696"/>
    <w:rsid w:val="00E71A58"/>
    <w:rsid w:val="00E72A7A"/>
    <w:rsid w:val="00E75C94"/>
    <w:rsid w:val="00E920F4"/>
    <w:rsid w:val="00E93820"/>
    <w:rsid w:val="00E94A86"/>
    <w:rsid w:val="00E96143"/>
    <w:rsid w:val="00EA0987"/>
    <w:rsid w:val="00EA0C68"/>
    <w:rsid w:val="00EA32BC"/>
    <w:rsid w:val="00EA4302"/>
    <w:rsid w:val="00EB39C7"/>
    <w:rsid w:val="00EB3D8F"/>
    <w:rsid w:val="00EB4511"/>
    <w:rsid w:val="00EC03D7"/>
    <w:rsid w:val="00ED62C6"/>
    <w:rsid w:val="00ED64C1"/>
    <w:rsid w:val="00EE3446"/>
    <w:rsid w:val="00EE3E78"/>
    <w:rsid w:val="00EE4B1B"/>
    <w:rsid w:val="00EE7F19"/>
    <w:rsid w:val="00EF150D"/>
    <w:rsid w:val="00EF1F5A"/>
    <w:rsid w:val="00EF47BF"/>
    <w:rsid w:val="00EF6DB3"/>
    <w:rsid w:val="00F04811"/>
    <w:rsid w:val="00F0488C"/>
    <w:rsid w:val="00F10F11"/>
    <w:rsid w:val="00F15AAA"/>
    <w:rsid w:val="00F15BEF"/>
    <w:rsid w:val="00F24407"/>
    <w:rsid w:val="00F24931"/>
    <w:rsid w:val="00F24FAA"/>
    <w:rsid w:val="00F3364D"/>
    <w:rsid w:val="00F437CC"/>
    <w:rsid w:val="00F44537"/>
    <w:rsid w:val="00F44B6A"/>
    <w:rsid w:val="00F47067"/>
    <w:rsid w:val="00F50FC3"/>
    <w:rsid w:val="00F52106"/>
    <w:rsid w:val="00F525EB"/>
    <w:rsid w:val="00F63DDE"/>
    <w:rsid w:val="00F63FB7"/>
    <w:rsid w:val="00F6421B"/>
    <w:rsid w:val="00F649D2"/>
    <w:rsid w:val="00F6602B"/>
    <w:rsid w:val="00F66FD9"/>
    <w:rsid w:val="00F67C4E"/>
    <w:rsid w:val="00F73A0C"/>
    <w:rsid w:val="00F756DB"/>
    <w:rsid w:val="00F84E7D"/>
    <w:rsid w:val="00F85066"/>
    <w:rsid w:val="00F87A4D"/>
    <w:rsid w:val="00F9785E"/>
    <w:rsid w:val="00FA5D4D"/>
    <w:rsid w:val="00FA60AD"/>
    <w:rsid w:val="00FA7115"/>
    <w:rsid w:val="00FB0EE2"/>
    <w:rsid w:val="00FB4423"/>
    <w:rsid w:val="00FB542E"/>
    <w:rsid w:val="00FC0E5F"/>
    <w:rsid w:val="00FC1A95"/>
    <w:rsid w:val="00FC56DE"/>
    <w:rsid w:val="00FC684B"/>
    <w:rsid w:val="00FD3265"/>
    <w:rsid w:val="00FD5F92"/>
    <w:rsid w:val="00FD66F9"/>
    <w:rsid w:val="00FE2F78"/>
    <w:rsid w:val="00FF4082"/>
    <w:rsid w:val="00FF7090"/>
    <w:rsid w:val="00FF7B96"/>
    <w:rsid w:val="010E6CF6"/>
    <w:rsid w:val="0274CEEB"/>
    <w:rsid w:val="11D0C0D9"/>
    <w:rsid w:val="1C7F89FF"/>
    <w:rsid w:val="304DB734"/>
    <w:rsid w:val="30D0B3BE"/>
    <w:rsid w:val="52CC52E2"/>
    <w:rsid w:val="55C2456F"/>
    <w:rsid w:val="614CA75B"/>
    <w:rsid w:val="6B2670A5"/>
    <w:rsid w:val="6E1EAC99"/>
    <w:rsid w:val="7BDB84E4"/>
    <w:rsid w:val="7DB22EB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colormru v:ext="edit" colors="#ecf4dd,#eaecee,#fcec0a,#fcecdb,#f1daf5"/>
    </o:shapedefaults>
    <o:shapelayout v:ext="edit">
      <o:idmap v:ext="edit" data="2"/>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uiPriority w:val="34"/>
    <w:qFormat/>
    <w:rsid w:val="006B0F92"/>
    <w:pPr>
      <w:ind w:left="720"/>
      <w:contextualSpacing/>
    </w:pPr>
  </w:style>
  <w:style w:type="paragraph" w:customStyle="1" w:styleId="Normalodrka">
    <w:name w:val="Normal odrážka"/>
    <w:qFormat/>
    <w:rsid w:val="006B0F92"/>
    <w:pPr>
      <w:numPr>
        <w:numId w:val="47"/>
      </w:numPr>
      <w:spacing w:after="240" w:line="276" w:lineRule="auto"/>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styleId="Odkaznakoment">
    <w:name w:val="annotation reference"/>
    <w:basedOn w:val="Standardnpsmoodstavce"/>
    <w:uiPriority w:val="99"/>
    <w:semiHidden/>
    <w:unhideWhenUsed/>
    <w:rsid w:val="00545512"/>
    <w:rPr>
      <w:sz w:val="16"/>
      <w:szCs w:val="16"/>
    </w:rPr>
  </w:style>
  <w:style w:type="paragraph" w:styleId="Textkomente">
    <w:name w:val="annotation text"/>
    <w:basedOn w:val="Normln"/>
    <w:link w:val="TextkomenteChar"/>
    <w:uiPriority w:val="99"/>
    <w:unhideWhenUsed/>
    <w:rsid w:val="00545512"/>
    <w:pPr>
      <w:spacing w:line="240" w:lineRule="auto"/>
    </w:pPr>
    <w:rPr>
      <w:szCs w:val="20"/>
    </w:rPr>
  </w:style>
  <w:style w:type="character" w:customStyle="1" w:styleId="TextkomenteChar">
    <w:name w:val="Text komentáře Char"/>
    <w:basedOn w:val="Standardnpsmoodstavce"/>
    <w:link w:val="Textkomente"/>
    <w:uiPriority w:val="99"/>
    <w:rsid w:val="00545512"/>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545512"/>
    <w:rPr>
      <w:b/>
      <w:bCs/>
    </w:rPr>
  </w:style>
  <w:style w:type="character" w:customStyle="1" w:styleId="PedmtkomenteChar">
    <w:name w:val="Předmět komentáře Char"/>
    <w:basedOn w:val="TextkomenteChar"/>
    <w:link w:val="Pedmtkomente"/>
    <w:uiPriority w:val="99"/>
    <w:semiHidden/>
    <w:rsid w:val="00545512"/>
    <w:rPr>
      <w:rFonts w:ascii="Arial" w:eastAsia="Times New Roman" w:hAnsi="Arial"/>
      <w:b/>
      <w:bCs/>
      <w:lang w:eastAsia="cs-CZ"/>
    </w:rPr>
  </w:style>
  <w:style w:type="paragraph" w:styleId="Rozloendokumentu">
    <w:name w:val="Document Map"/>
    <w:basedOn w:val="Normln"/>
    <w:link w:val="RozloendokumentuChar"/>
    <w:uiPriority w:val="99"/>
    <w:semiHidden/>
    <w:rsid w:val="00545512"/>
    <w:pPr>
      <w:spacing w:after="0" w:line="288" w:lineRule="auto"/>
      <w:jc w:val="left"/>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545512"/>
    <w:rPr>
      <w:rFonts w:ascii="Tahoma" w:hAnsi="Tahoma" w:cs="Tahoma"/>
      <w:sz w:val="16"/>
      <w:szCs w:val="16"/>
      <w:lang w:eastAsia="cs-CZ"/>
    </w:rPr>
  </w:style>
  <w:style w:type="paragraph" w:customStyle="1" w:styleId="Nadpis12">
    <w:name w:val="Nadpis 12"/>
    <w:basedOn w:val="Normln"/>
    <w:uiPriority w:val="9"/>
    <w:qFormat/>
    <w:rsid w:val="00545512"/>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545512"/>
  </w:style>
  <w:style w:type="paragraph" w:styleId="Revize">
    <w:name w:val="Revision"/>
    <w:hidden/>
    <w:uiPriority w:val="99"/>
    <w:semiHidden/>
    <w:rsid w:val="00545512"/>
    <w:rPr>
      <w:rFonts w:ascii="Arial" w:eastAsia="Times New Roman" w:hAnsi="Arial"/>
      <w:szCs w:val="24"/>
      <w:lang w:eastAsia="cs-CZ"/>
    </w:rPr>
  </w:style>
  <w:style w:type="character" w:customStyle="1" w:styleId="odkaz-style-wrapper">
    <w:name w:val="odkaz-style-wrapper"/>
    <w:basedOn w:val="Standardnpsmoodstavce"/>
    <w:rsid w:val="00545512"/>
  </w:style>
  <w:style w:type="character" w:customStyle="1" w:styleId="tabulka">
    <w:name w:val="tabulka"/>
    <w:basedOn w:val="Standardnpsmoodstavce"/>
    <w:rsid w:val="00545512"/>
  </w:style>
  <w:style w:type="paragraph" w:customStyle="1" w:styleId="Default">
    <w:name w:val="Default"/>
    <w:rsid w:val="00545512"/>
    <w:pPr>
      <w:autoSpaceDE w:val="0"/>
      <w:autoSpaceDN w:val="0"/>
      <w:adjustRightInd w:val="0"/>
    </w:pPr>
    <w:rPr>
      <w:rFonts w:cs="Calibri"/>
      <w:color w:val="000000"/>
      <w:sz w:val="24"/>
      <w:szCs w:val="24"/>
    </w:rPr>
  </w:style>
  <w:style w:type="paragraph" w:styleId="Normlnweb">
    <w:name w:val="Normal (Web)"/>
    <w:basedOn w:val="Normln"/>
    <w:uiPriority w:val="99"/>
    <w:semiHidden/>
    <w:unhideWhenUsed/>
    <w:rsid w:val="00545512"/>
    <w:pPr>
      <w:spacing w:before="100" w:beforeAutospacing="1" w:after="100" w:afterAutospacing="1" w:line="240" w:lineRule="auto"/>
      <w:jc w:val="left"/>
    </w:pPr>
    <w:rPr>
      <w:rFonts w:ascii="Times New Roman" w:hAnsi="Times New Roman"/>
      <w:sz w:val="24"/>
    </w:rPr>
  </w:style>
  <w:style w:type="paragraph" w:styleId="FormtovanvHTML">
    <w:name w:val="HTML Preformatted"/>
    <w:basedOn w:val="Normln"/>
    <w:link w:val="FormtovanvHTMLChar"/>
    <w:uiPriority w:val="99"/>
    <w:semiHidden/>
    <w:unhideWhenUsed/>
    <w:rsid w:val="0054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545512"/>
    <w:rPr>
      <w:rFonts w:ascii="Courier New" w:eastAsia="Times New Roman" w:hAnsi="Courier New" w:cs="Courier New"/>
      <w:lang w:eastAsia="cs-CZ"/>
    </w:rPr>
  </w:style>
  <w:style w:type="paragraph" w:customStyle="1" w:styleId="cay">
    <w:name w:val="c_ay"/>
    <w:basedOn w:val="Normln"/>
    <w:rsid w:val="00545512"/>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545512"/>
  </w:style>
  <w:style w:type="character" w:styleId="Sledovanodkaz">
    <w:name w:val="FollowedHyperlink"/>
    <w:basedOn w:val="Standardnpsmoodstavce"/>
    <w:uiPriority w:val="99"/>
    <w:semiHidden/>
    <w:unhideWhenUsed/>
    <w:rsid w:val="005455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6344914">
      <w:bodyDiv w:val="1"/>
      <w:marLeft w:val="0"/>
      <w:marRight w:val="0"/>
      <w:marTop w:val="0"/>
      <w:marBottom w:val="0"/>
      <w:divBdr>
        <w:top w:val="none" w:sz="0" w:space="0" w:color="auto"/>
        <w:left w:val="none" w:sz="0" w:space="0" w:color="auto"/>
        <w:bottom w:val="none" w:sz="0" w:space="0" w:color="auto"/>
        <w:right w:val="none" w:sz="0" w:space="0" w:color="auto"/>
      </w:divBdr>
    </w:div>
    <w:div w:id="11051791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3370128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639457441">
      <w:bodyDiv w:val="1"/>
      <w:marLeft w:val="0"/>
      <w:marRight w:val="0"/>
      <w:marTop w:val="0"/>
      <w:marBottom w:val="0"/>
      <w:divBdr>
        <w:top w:val="none" w:sz="0" w:space="0" w:color="auto"/>
        <w:left w:val="none" w:sz="0" w:space="0" w:color="auto"/>
        <w:bottom w:val="none" w:sz="0" w:space="0" w:color="auto"/>
        <w:right w:val="none" w:sz="0" w:space="0" w:color="auto"/>
      </w:divBdr>
    </w:div>
    <w:div w:id="1716924412">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06206753">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chart" Target="charts/chart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F:\Qmakro-2025\Odv&#283;tv&#237;\ODV&#282;TV&#205;_grafy_1q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Qmakro-2025\Odv&#283;tv&#237;\ODV&#282;TV&#205;_grafy_1q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Qmakro-2025\Odv&#283;tv&#237;\ODV&#282;TV&#205;_grafy_1q20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Qmakro-2025\Odv&#283;tv&#237;\ODV&#282;TV&#205;_grafy_1q20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Qmakro-2025\Odv&#283;tv&#237;\ODV&#282;TV&#205;_grafy_1q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610992424025054E-2"/>
          <c:y val="1.5804777005479873E-2"/>
          <c:w val="0.84144249386957193"/>
          <c:h val="0.69135712481071809"/>
        </c:manualLayout>
      </c:layout>
      <c:barChart>
        <c:barDir val="col"/>
        <c:grouping val="stacked"/>
        <c:varyColors val="0"/>
        <c:ser>
          <c:idx val="0"/>
          <c:order val="0"/>
          <c:tx>
            <c:strRef>
              <c:f>'GRAF příspěvky IPP'!$A$27</c:f>
              <c:strCache>
                <c:ptCount val="1"/>
                <c:pt idx="0">
                  <c:v>Výroba dopravních prostředků (29, 30)</c:v>
                </c:pt>
              </c:strCache>
            </c:strRef>
          </c:tx>
          <c:spPr>
            <a:solidFill>
              <a:srgbClr val="E8AFB2"/>
            </a:solidFill>
          </c:spPr>
          <c:invertIfNegative val="0"/>
          <c:cat>
            <c:multiLvlStrRef>
              <c:f>'GRAF příspěvky IPP'!$Z$25:$BF$26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IPP'!$Z$27:$BF$27</c:f>
              <c:numCache>
                <c:formatCode>0.0</c:formatCode>
                <c:ptCount val="33"/>
                <c:pt idx="0">
                  <c:v>1.7408920839398754</c:v>
                </c:pt>
                <c:pt idx="1">
                  <c:v>2.1378802528812932</c:v>
                </c:pt>
                <c:pt idx="2">
                  <c:v>1.5935135243788106</c:v>
                </c:pt>
                <c:pt idx="3">
                  <c:v>1.6791873092801739</c:v>
                </c:pt>
                <c:pt idx="4">
                  <c:v>0.75268647024158142</c:v>
                </c:pt>
                <c:pt idx="5">
                  <c:v>0.54211789515047693</c:v>
                </c:pt>
                <c:pt idx="6">
                  <c:v>0.24127576647979335</c:v>
                </c:pt>
                <c:pt idx="7">
                  <c:v>0.97863378627142206</c:v>
                </c:pt>
                <c:pt idx="8">
                  <c:v>-0.2260516552234422</c:v>
                </c:pt>
                <c:pt idx="9">
                  <c:v>0.44759183220264459</c:v>
                </c:pt>
                <c:pt idx="10">
                  <c:v>0.76878503294695455</c:v>
                </c:pt>
                <c:pt idx="11">
                  <c:v>-1.0091759236462883</c:v>
                </c:pt>
                <c:pt idx="12">
                  <c:v>-1.5334709251303915</c:v>
                </c:pt>
                <c:pt idx="13">
                  <c:v>-9.3844961095672232</c:v>
                </c:pt>
                <c:pt idx="14">
                  <c:v>-0.1831246423410012</c:v>
                </c:pt>
                <c:pt idx="15">
                  <c:v>2.0633116605855042</c:v>
                </c:pt>
                <c:pt idx="16">
                  <c:v>1.8997387545770597</c:v>
                </c:pt>
                <c:pt idx="17">
                  <c:v>10.955421852395933</c:v>
                </c:pt>
                <c:pt idx="18">
                  <c:v>-3.7787094742012259</c:v>
                </c:pt>
                <c:pt idx="19">
                  <c:v>-3.2457223772922283</c:v>
                </c:pt>
                <c:pt idx="20">
                  <c:v>-1.9052561459791306</c:v>
                </c:pt>
                <c:pt idx="21">
                  <c:v>9.7533525981177593E-2</c:v>
                </c:pt>
                <c:pt idx="22">
                  <c:v>5.6036391826337058</c:v>
                </c:pt>
                <c:pt idx="23">
                  <c:v>4.0034292332887835</c:v>
                </c:pt>
                <c:pt idx="24">
                  <c:v>5.2674675434816658</c:v>
                </c:pt>
                <c:pt idx="25">
                  <c:v>5.0856173634785273</c:v>
                </c:pt>
                <c:pt idx="26">
                  <c:v>1.348222655554894</c:v>
                </c:pt>
                <c:pt idx="27">
                  <c:v>3.1921960853219438</c:v>
                </c:pt>
                <c:pt idx="28">
                  <c:v>0.46244753121160664</c:v>
                </c:pt>
                <c:pt idx="29">
                  <c:v>-1.0901824230085269</c:v>
                </c:pt>
                <c:pt idx="30">
                  <c:v>0.65054000775709109</c:v>
                </c:pt>
                <c:pt idx="31">
                  <c:v>-1.4437322871535998</c:v>
                </c:pt>
                <c:pt idx="32">
                  <c:v>-0.59093882918656626</c:v>
                </c:pt>
              </c:numCache>
            </c:numRef>
          </c:val>
          <c:extLst>
            <c:ext xmlns:c16="http://schemas.microsoft.com/office/drawing/2014/chart" uri="{C3380CC4-5D6E-409C-BE32-E72D297353CC}">
              <c16:uniqueId val="{00000000-181C-4F1E-BC38-3CF3D26B32E5}"/>
            </c:ext>
          </c:extLst>
        </c:ser>
        <c:ser>
          <c:idx val="1"/>
          <c:order val="1"/>
          <c:tx>
            <c:strRef>
              <c:f>'GRAF příspěvky IPP'!$A$28</c:f>
              <c:strCache>
                <c:ptCount val="1"/>
                <c:pt idx="0">
                  <c:v>Gumárenství, elektrotechnický pr. (22, 27)</c:v>
                </c:pt>
              </c:strCache>
            </c:strRef>
          </c:tx>
          <c:spPr>
            <a:solidFill>
              <a:srgbClr val="BD1B21"/>
            </a:solidFill>
          </c:spPr>
          <c:invertIfNegative val="0"/>
          <c:cat>
            <c:multiLvlStrRef>
              <c:f>'GRAF příspěvky IPP'!$Z$25:$BF$26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IPP'!$Z$28:$BF$28</c:f>
              <c:numCache>
                <c:formatCode>0.0</c:formatCode>
                <c:ptCount val="33"/>
                <c:pt idx="0">
                  <c:v>0.79334952879496901</c:v>
                </c:pt>
                <c:pt idx="1">
                  <c:v>1.468356537050969</c:v>
                </c:pt>
                <c:pt idx="2">
                  <c:v>0.87390949425966125</c:v>
                </c:pt>
                <c:pt idx="3">
                  <c:v>1.644368824210785</c:v>
                </c:pt>
                <c:pt idx="4">
                  <c:v>1.0040337375607471</c:v>
                </c:pt>
                <c:pt idx="5">
                  <c:v>0.3253925650201499</c:v>
                </c:pt>
                <c:pt idx="6">
                  <c:v>0.43133954445298106</c:v>
                </c:pt>
                <c:pt idx="7">
                  <c:v>-5.9899261699036116E-2</c:v>
                </c:pt>
                <c:pt idx="8">
                  <c:v>0.52608733581744893</c:v>
                </c:pt>
                <c:pt idx="9">
                  <c:v>0.44070570288166666</c:v>
                </c:pt>
                <c:pt idx="10">
                  <c:v>0.16703875787161085</c:v>
                </c:pt>
                <c:pt idx="11">
                  <c:v>0.41508771908448316</c:v>
                </c:pt>
                <c:pt idx="12">
                  <c:v>-0.55255281731107375</c:v>
                </c:pt>
                <c:pt idx="13">
                  <c:v>-4.0630399723550301</c:v>
                </c:pt>
                <c:pt idx="14">
                  <c:v>-0.43874587338548932</c:v>
                </c:pt>
                <c:pt idx="15">
                  <c:v>0.53060699318837878</c:v>
                </c:pt>
                <c:pt idx="16">
                  <c:v>0.71110891487419103</c:v>
                </c:pt>
                <c:pt idx="17">
                  <c:v>5.4816318903177557</c:v>
                </c:pt>
                <c:pt idx="18">
                  <c:v>0.62156579793214761</c:v>
                </c:pt>
                <c:pt idx="19">
                  <c:v>-0.42373500367708428</c:v>
                </c:pt>
                <c:pt idx="20">
                  <c:v>8.5578218294965147E-2</c:v>
                </c:pt>
                <c:pt idx="21">
                  <c:v>0.1401306506282671</c:v>
                </c:pt>
                <c:pt idx="22">
                  <c:v>0.54141713833742922</c:v>
                </c:pt>
                <c:pt idx="23">
                  <c:v>0.61574845521959132</c:v>
                </c:pt>
                <c:pt idx="24">
                  <c:v>0.24662190671890649</c:v>
                </c:pt>
                <c:pt idx="25">
                  <c:v>0.13268933083095191</c:v>
                </c:pt>
                <c:pt idx="26">
                  <c:v>-0.41966750434866668</c:v>
                </c:pt>
                <c:pt idx="27">
                  <c:v>1.8258514070271403E-2</c:v>
                </c:pt>
                <c:pt idx="28">
                  <c:v>3.5405349127009184E-2</c:v>
                </c:pt>
                <c:pt idx="29">
                  <c:v>-0.1882520012950486</c:v>
                </c:pt>
                <c:pt idx="30">
                  <c:v>0.14853770339690467</c:v>
                </c:pt>
                <c:pt idx="31">
                  <c:v>-0.54232453718576323</c:v>
                </c:pt>
                <c:pt idx="32">
                  <c:v>5.084075111251906E-2</c:v>
                </c:pt>
              </c:numCache>
            </c:numRef>
          </c:val>
          <c:extLst>
            <c:ext xmlns:c16="http://schemas.microsoft.com/office/drawing/2014/chart" uri="{C3380CC4-5D6E-409C-BE32-E72D297353CC}">
              <c16:uniqueId val="{00000001-181C-4F1E-BC38-3CF3D26B32E5}"/>
            </c:ext>
          </c:extLst>
        </c:ser>
        <c:ser>
          <c:idx val="2"/>
          <c:order val="2"/>
          <c:tx>
            <c:strRef>
              <c:f>'GRAF příspěvky IPP'!$A$29</c:f>
              <c:strCache>
                <c:ptCount val="1"/>
                <c:pt idx="0">
                  <c:v>Strojírenství (28)</c:v>
                </c:pt>
              </c:strCache>
            </c:strRef>
          </c:tx>
          <c:spPr>
            <a:solidFill>
              <a:srgbClr val="BFE3F7"/>
            </a:solidFill>
          </c:spPr>
          <c:invertIfNegative val="0"/>
          <c:cat>
            <c:multiLvlStrRef>
              <c:f>'GRAF příspěvky IPP'!$Z$25:$BF$26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IPP'!$Z$29:$BF$29</c:f>
              <c:numCache>
                <c:formatCode>0.0</c:formatCode>
                <c:ptCount val="33"/>
                <c:pt idx="0">
                  <c:v>0.3345178851347928</c:v>
                </c:pt>
                <c:pt idx="1">
                  <c:v>1.1003694908923236</c:v>
                </c:pt>
                <c:pt idx="2">
                  <c:v>0.85805445400541835</c:v>
                </c:pt>
                <c:pt idx="3">
                  <c:v>0.80055944660911171</c:v>
                </c:pt>
                <c:pt idx="4">
                  <c:v>0.48868169907415326</c:v>
                </c:pt>
                <c:pt idx="5">
                  <c:v>0.13868742792561028</c:v>
                </c:pt>
                <c:pt idx="6">
                  <c:v>0.18638853797251198</c:v>
                </c:pt>
                <c:pt idx="7">
                  <c:v>-0.20071677551985512</c:v>
                </c:pt>
                <c:pt idx="8">
                  <c:v>0.20262845642032346</c:v>
                </c:pt>
                <c:pt idx="9">
                  <c:v>-9.1482438382696971E-3</c:v>
                </c:pt>
                <c:pt idx="10">
                  <c:v>-0.3267936607108648</c:v>
                </c:pt>
                <c:pt idx="11">
                  <c:v>-0.14957125605699437</c:v>
                </c:pt>
                <c:pt idx="12">
                  <c:v>-0.7072452096320988</c:v>
                </c:pt>
                <c:pt idx="13">
                  <c:v>-2.1308377913469609</c:v>
                </c:pt>
                <c:pt idx="14">
                  <c:v>-0.8017096029334061</c:v>
                </c:pt>
                <c:pt idx="15">
                  <c:v>-0.54797142039304825</c:v>
                </c:pt>
                <c:pt idx="16">
                  <c:v>7.071075311965476E-2</c:v>
                </c:pt>
                <c:pt idx="17">
                  <c:v>2.0591893686566833</c:v>
                </c:pt>
                <c:pt idx="18">
                  <c:v>0.54760348442666185</c:v>
                </c:pt>
                <c:pt idx="19">
                  <c:v>0.28149123540193455</c:v>
                </c:pt>
                <c:pt idx="20">
                  <c:v>0.35831400866009239</c:v>
                </c:pt>
                <c:pt idx="21">
                  <c:v>9.1653610478272973E-2</c:v>
                </c:pt>
                <c:pt idx="22">
                  <c:v>0.48964826234283909</c:v>
                </c:pt>
                <c:pt idx="23">
                  <c:v>0.65393841377005146</c:v>
                </c:pt>
                <c:pt idx="24">
                  <c:v>0.47438210329327696</c:v>
                </c:pt>
                <c:pt idx="25">
                  <c:v>0.39142019259988403</c:v>
                </c:pt>
                <c:pt idx="26">
                  <c:v>-0.58037699823600597</c:v>
                </c:pt>
                <c:pt idx="27">
                  <c:v>-0.75561649875478309</c:v>
                </c:pt>
                <c:pt idx="28">
                  <c:v>-0.97165233507761617</c:v>
                </c:pt>
                <c:pt idx="29">
                  <c:v>-0.79811763846195949</c:v>
                </c:pt>
                <c:pt idx="30">
                  <c:v>-0.38735440015536027</c:v>
                </c:pt>
                <c:pt idx="31">
                  <c:v>-0.52572237232048669</c:v>
                </c:pt>
                <c:pt idx="32">
                  <c:v>7.0349164740198381E-2</c:v>
                </c:pt>
              </c:numCache>
            </c:numRef>
          </c:val>
          <c:extLst>
            <c:ext xmlns:c16="http://schemas.microsoft.com/office/drawing/2014/chart" uri="{C3380CC4-5D6E-409C-BE32-E72D297353CC}">
              <c16:uniqueId val="{00000002-181C-4F1E-BC38-3CF3D26B32E5}"/>
            </c:ext>
          </c:extLst>
        </c:ser>
        <c:ser>
          <c:idx val="3"/>
          <c:order val="3"/>
          <c:tx>
            <c:strRef>
              <c:f>'GRAF příspěvky IPP'!$A$30</c:f>
              <c:strCache>
                <c:ptCount val="1"/>
                <c:pt idx="0">
                  <c:v>Kovodělný průmysl (25)</c:v>
                </c:pt>
              </c:strCache>
            </c:strRef>
          </c:tx>
          <c:spPr>
            <a:solidFill>
              <a:srgbClr val="48AEE7"/>
            </a:solidFill>
          </c:spPr>
          <c:invertIfNegative val="0"/>
          <c:cat>
            <c:multiLvlStrRef>
              <c:f>'GRAF příspěvky IPP'!$Z$25:$BF$26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IPP'!$Z$30:$BF$30</c:f>
              <c:numCache>
                <c:formatCode>0.0</c:formatCode>
                <c:ptCount val="33"/>
                <c:pt idx="0">
                  <c:v>0.38676361423749528</c:v>
                </c:pt>
                <c:pt idx="1">
                  <c:v>0.95166355765299349</c:v>
                </c:pt>
                <c:pt idx="2">
                  <c:v>0.86091550298549102</c:v>
                </c:pt>
                <c:pt idx="3">
                  <c:v>0.96020285266505589</c:v>
                </c:pt>
                <c:pt idx="4">
                  <c:v>0.67147421279246411</c:v>
                </c:pt>
                <c:pt idx="5">
                  <c:v>0.46338675111775501</c:v>
                </c:pt>
                <c:pt idx="6">
                  <c:v>0.40465307945227347</c:v>
                </c:pt>
                <c:pt idx="7">
                  <c:v>0.13991647838864771</c:v>
                </c:pt>
                <c:pt idx="8">
                  <c:v>0.23284119938910905</c:v>
                </c:pt>
                <c:pt idx="9">
                  <c:v>-2.3018109664658163E-3</c:v>
                </c:pt>
                <c:pt idx="10">
                  <c:v>-0.27902616348258918</c:v>
                </c:pt>
                <c:pt idx="11">
                  <c:v>-0.28921256974210446</c:v>
                </c:pt>
                <c:pt idx="12">
                  <c:v>-0.59705730498174525</c:v>
                </c:pt>
                <c:pt idx="13">
                  <c:v>-2.0768472147616719</c:v>
                </c:pt>
                <c:pt idx="14">
                  <c:v>-0.62165835195312102</c:v>
                </c:pt>
                <c:pt idx="15">
                  <c:v>4.661253810289321E-2</c:v>
                </c:pt>
                <c:pt idx="16">
                  <c:v>0.43209266660267148</c:v>
                </c:pt>
                <c:pt idx="17">
                  <c:v>2.9903394886596479</c:v>
                </c:pt>
                <c:pt idx="18">
                  <c:v>0.8006709979521881</c:v>
                </c:pt>
                <c:pt idx="19">
                  <c:v>1.7780556757177931E-2</c:v>
                </c:pt>
                <c:pt idx="20">
                  <c:v>0.22687398176815188</c:v>
                </c:pt>
                <c:pt idx="21">
                  <c:v>-0.40390354624492114</c:v>
                </c:pt>
                <c:pt idx="22">
                  <c:v>-0.3152398078229795</c:v>
                </c:pt>
                <c:pt idx="23">
                  <c:v>-0.21572078603281947</c:v>
                </c:pt>
                <c:pt idx="24">
                  <c:v>-0.35320216692355311</c:v>
                </c:pt>
                <c:pt idx="25">
                  <c:v>-9.8651580993161181E-2</c:v>
                </c:pt>
                <c:pt idx="26">
                  <c:v>-0.21028524627986339</c:v>
                </c:pt>
                <c:pt idx="27">
                  <c:v>-0.2758116961966387</c:v>
                </c:pt>
                <c:pt idx="28">
                  <c:v>-0.19968672806362917</c:v>
                </c:pt>
                <c:pt idx="29">
                  <c:v>-3.7138815848100311E-2</c:v>
                </c:pt>
                <c:pt idx="30">
                  <c:v>0.34439016016659313</c:v>
                </c:pt>
                <c:pt idx="31">
                  <c:v>0.21350833517791346</c:v>
                </c:pt>
                <c:pt idx="32">
                  <c:v>7.4352283293433644E-2</c:v>
                </c:pt>
              </c:numCache>
            </c:numRef>
          </c:val>
          <c:extLst>
            <c:ext xmlns:c16="http://schemas.microsoft.com/office/drawing/2014/chart" uri="{C3380CC4-5D6E-409C-BE32-E72D297353CC}">
              <c16:uniqueId val="{00000003-181C-4F1E-BC38-3CF3D26B32E5}"/>
            </c:ext>
          </c:extLst>
        </c:ser>
        <c:ser>
          <c:idx val="4"/>
          <c:order val="4"/>
          <c:tx>
            <c:strRef>
              <c:f>'GRAF příspěvky IPP'!$A$31</c:f>
              <c:strCache>
                <c:ptCount val="1"/>
                <c:pt idx="0">
                  <c:v>Výroba PC, elektronic. a optic. přístr. (26)</c:v>
                </c:pt>
              </c:strCache>
            </c:strRef>
          </c:tx>
          <c:spPr>
            <a:solidFill>
              <a:srgbClr val="FDDEB3"/>
            </a:solidFill>
          </c:spPr>
          <c:invertIfNegative val="0"/>
          <c:cat>
            <c:multiLvlStrRef>
              <c:f>'GRAF příspěvky IPP'!$Z$25:$BF$26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IPP'!$Z$31:$BF$31</c:f>
              <c:numCache>
                <c:formatCode>0.0</c:formatCode>
                <c:ptCount val="33"/>
                <c:pt idx="0">
                  <c:v>0.1517960019133566</c:v>
                </c:pt>
                <c:pt idx="1">
                  <c:v>0.35040742405813147</c:v>
                </c:pt>
                <c:pt idx="2">
                  <c:v>0.22701547985990286</c:v>
                </c:pt>
                <c:pt idx="3">
                  <c:v>0.23483306705633769</c:v>
                </c:pt>
                <c:pt idx="4">
                  <c:v>0.38575845909308681</c:v>
                </c:pt>
                <c:pt idx="5">
                  <c:v>0.1585479563430445</c:v>
                </c:pt>
                <c:pt idx="6">
                  <c:v>0.63604123808561219</c:v>
                </c:pt>
                <c:pt idx="7">
                  <c:v>0.3169722012936107</c:v>
                </c:pt>
                <c:pt idx="8">
                  <c:v>-0.10335857004416719</c:v>
                </c:pt>
                <c:pt idx="9">
                  <c:v>-3.5698176267711781E-2</c:v>
                </c:pt>
                <c:pt idx="10">
                  <c:v>-0.60934912550064046</c:v>
                </c:pt>
                <c:pt idx="11">
                  <c:v>-0.3641176829939205</c:v>
                </c:pt>
                <c:pt idx="12">
                  <c:v>-0.1013700779981392</c:v>
                </c:pt>
                <c:pt idx="13">
                  <c:v>-0.31920945262277456</c:v>
                </c:pt>
                <c:pt idx="14">
                  <c:v>3.1049160053994794E-2</c:v>
                </c:pt>
                <c:pt idx="15">
                  <c:v>2.2349038466741165E-2</c:v>
                </c:pt>
                <c:pt idx="16">
                  <c:v>0.12974126135304581</c:v>
                </c:pt>
                <c:pt idx="17">
                  <c:v>0.21422357551280832</c:v>
                </c:pt>
                <c:pt idx="18">
                  <c:v>0.19312918844191593</c:v>
                </c:pt>
                <c:pt idx="19">
                  <c:v>-0.23737487029842844</c:v>
                </c:pt>
                <c:pt idx="20">
                  <c:v>2.4318321448204623E-2</c:v>
                </c:pt>
                <c:pt idx="21">
                  <c:v>-1.8745158606211298E-2</c:v>
                </c:pt>
                <c:pt idx="22">
                  <c:v>5.9915179375252613E-2</c:v>
                </c:pt>
                <c:pt idx="23">
                  <c:v>0.43366398703574471</c:v>
                </c:pt>
                <c:pt idx="24">
                  <c:v>0.1469041062964056</c:v>
                </c:pt>
                <c:pt idx="25">
                  <c:v>8.4982984427206462E-2</c:v>
                </c:pt>
                <c:pt idx="26">
                  <c:v>-7.1083952341557538E-2</c:v>
                </c:pt>
                <c:pt idx="27">
                  <c:v>-6.5680804191665693E-2</c:v>
                </c:pt>
                <c:pt idx="28">
                  <c:v>-1.2760774083956091E-2</c:v>
                </c:pt>
                <c:pt idx="29">
                  <c:v>0.2213558264814702</c:v>
                </c:pt>
                <c:pt idx="30">
                  <c:v>0.29494563702634596</c:v>
                </c:pt>
                <c:pt idx="31">
                  <c:v>9.5600883504881704E-2</c:v>
                </c:pt>
                <c:pt idx="32">
                  <c:v>-6.8997764115326932E-2</c:v>
                </c:pt>
              </c:numCache>
            </c:numRef>
          </c:val>
          <c:extLst>
            <c:ext xmlns:c16="http://schemas.microsoft.com/office/drawing/2014/chart" uri="{C3380CC4-5D6E-409C-BE32-E72D297353CC}">
              <c16:uniqueId val="{00000004-181C-4F1E-BC38-3CF3D26B32E5}"/>
            </c:ext>
          </c:extLst>
        </c:ser>
        <c:ser>
          <c:idx val="5"/>
          <c:order val="5"/>
          <c:tx>
            <c:strRef>
              <c:f>'GRAF příspěvky IPP'!$A$32</c:f>
              <c:strCache>
                <c:ptCount val="1"/>
                <c:pt idx="0">
                  <c:v>Chemický a farmaceutický pr. (20, 21)</c:v>
                </c:pt>
              </c:strCache>
            </c:strRef>
          </c:tx>
          <c:spPr>
            <a:solidFill>
              <a:srgbClr val="F8A124"/>
            </a:solidFill>
            <a:ln>
              <a:noFill/>
            </a:ln>
          </c:spPr>
          <c:invertIfNegative val="0"/>
          <c:cat>
            <c:multiLvlStrRef>
              <c:f>'GRAF příspěvky IPP'!$Z$25:$BF$26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IPP'!$Z$32:$BF$32</c:f>
              <c:numCache>
                <c:formatCode>0.0</c:formatCode>
                <c:ptCount val="33"/>
                <c:pt idx="0">
                  <c:v>0.51439307947726998</c:v>
                </c:pt>
                <c:pt idx="1">
                  <c:v>0.83289717197907565</c:v>
                </c:pt>
                <c:pt idx="2">
                  <c:v>0.65310318202327911</c:v>
                </c:pt>
                <c:pt idx="3">
                  <c:v>0.50440121167449548</c:v>
                </c:pt>
                <c:pt idx="4">
                  <c:v>0.40911320927322647</c:v>
                </c:pt>
                <c:pt idx="5">
                  <c:v>7.7633111380155301E-2</c:v>
                </c:pt>
                <c:pt idx="6">
                  <c:v>-5.3190732776962651E-2</c:v>
                </c:pt>
                <c:pt idx="7">
                  <c:v>-7.1103221110709838E-2</c:v>
                </c:pt>
                <c:pt idx="8">
                  <c:v>9.3101613350728932E-2</c:v>
                </c:pt>
                <c:pt idx="9">
                  <c:v>6.1474211824515262E-2</c:v>
                </c:pt>
                <c:pt idx="10">
                  <c:v>0.2229684142187896</c:v>
                </c:pt>
                <c:pt idx="11">
                  <c:v>3.2130190492489386E-2</c:v>
                </c:pt>
                <c:pt idx="12">
                  <c:v>-3.6216479616950112E-2</c:v>
                </c:pt>
                <c:pt idx="13">
                  <c:v>-0.57135666895590331</c:v>
                </c:pt>
                <c:pt idx="14">
                  <c:v>-0.22076865898667289</c:v>
                </c:pt>
                <c:pt idx="15">
                  <c:v>0.42176753383241716</c:v>
                </c:pt>
                <c:pt idx="16">
                  <c:v>0.28423562625497262</c:v>
                </c:pt>
                <c:pt idx="17">
                  <c:v>0.8243016205164263</c:v>
                </c:pt>
                <c:pt idx="18">
                  <c:v>0.31940492364228334</c:v>
                </c:pt>
                <c:pt idx="19">
                  <c:v>8.8200760767163586E-2</c:v>
                </c:pt>
                <c:pt idx="20">
                  <c:v>0.24963952033469641</c:v>
                </c:pt>
                <c:pt idx="21">
                  <c:v>0.15903325443980132</c:v>
                </c:pt>
                <c:pt idx="22">
                  <c:v>-9.926468553089618E-2</c:v>
                </c:pt>
                <c:pt idx="23">
                  <c:v>-0.29165716203786041</c:v>
                </c:pt>
                <c:pt idx="24">
                  <c:v>-0.5997480875200103</c:v>
                </c:pt>
                <c:pt idx="25">
                  <c:v>-0.17864965921137443</c:v>
                </c:pt>
                <c:pt idx="26">
                  <c:v>-7.4282500835351109E-2</c:v>
                </c:pt>
                <c:pt idx="27">
                  <c:v>-0.125360538158273</c:v>
                </c:pt>
                <c:pt idx="28">
                  <c:v>0.26591077461700263</c:v>
                </c:pt>
                <c:pt idx="29">
                  <c:v>0.14556037689053306</c:v>
                </c:pt>
                <c:pt idx="30">
                  <c:v>-6.9956123727375752E-2</c:v>
                </c:pt>
                <c:pt idx="31">
                  <c:v>-7.0258369575785684E-2</c:v>
                </c:pt>
                <c:pt idx="32">
                  <c:v>-0.16076110803796617</c:v>
                </c:pt>
              </c:numCache>
            </c:numRef>
          </c:val>
          <c:extLst>
            <c:ext xmlns:c16="http://schemas.microsoft.com/office/drawing/2014/chart" uri="{C3380CC4-5D6E-409C-BE32-E72D297353CC}">
              <c16:uniqueId val="{00000005-181C-4F1E-BC38-3CF3D26B32E5}"/>
            </c:ext>
          </c:extLst>
        </c:ser>
        <c:ser>
          <c:idx val="6"/>
          <c:order val="6"/>
          <c:tx>
            <c:strRef>
              <c:f>'GRAF příspěvky IPP'!$A$33</c:f>
              <c:strCache>
                <c:ptCount val="1"/>
                <c:pt idx="0">
                  <c:v>Zbývající zpracovatelský průmysl*</c:v>
                </c:pt>
              </c:strCache>
            </c:strRef>
          </c:tx>
          <c:spPr>
            <a:solidFill>
              <a:schemeClr val="bg1">
                <a:lumMod val="85000"/>
              </a:schemeClr>
            </a:solidFill>
          </c:spPr>
          <c:invertIfNegative val="0"/>
          <c:cat>
            <c:multiLvlStrRef>
              <c:f>'GRAF příspěvky IPP'!$Z$25:$BF$26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IPP'!$Z$33:$BF$33</c:f>
              <c:numCache>
                <c:formatCode>0.0</c:formatCode>
                <c:ptCount val="33"/>
                <c:pt idx="0">
                  <c:v>-0.13802711444318691</c:v>
                </c:pt>
                <c:pt idx="1">
                  <c:v>1.4520150527939983</c:v>
                </c:pt>
                <c:pt idx="2">
                  <c:v>0.65687676657011995</c:v>
                </c:pt>
                <c:pt idx="3">
                  <c:v>0.76186639439852744</c:v>
                </c:pt>
                <c:pt idx="4">
                  <c:v>1.1768838940724016</c:v>
                </c:pt>
                <c:pt idx="5">
                  <c:v>0.73260991135089881</c:v>
                </c:pt>
                <c:pt idx="6">
                  <c:v>1.1309843102453647</c:v>
                </c:pt>
                <c:pt idx="7">
                  <c:v>0.15993804771029091</c:v>
                </c:pt>
                <c:pt idx="8">
                  <c:v>-0.32185268974320136</c:v>
                </c:pt>
                <c:pt idx="9">
                  <c:v>-0.30512916964802844</c:v>
                </c:pt>
                <c:pt idx="10">
                  <c:v>-0.97407463154620033</c:v>
                </c:pt>
                <c:pt idx="11">
                  <c:v>-3.9701171551173531E-2</c:v>
                </c:pt>
                <c:pt idx="12">
                  <c:v>0.31377104389497573</c:v>
                </c:pt>
                <c:pt idx="13">
                  <c:v>-1.6010940767108721</c:v>
                </c:pt>
                <c:pt idx="14">
                  <c:v>-5.0886354263985356E-3</c:v>
                </c:pt>
                <c:pt idx="15">
                  <c:v>-0.12175513984550231</c:v>
                </c:pt>
                <c:pt idx="16">
                  <c:v>-3.4554823400566315E-3</c:v>
                </c:pt>
                <c:pt idx="17">
                  <c:v>3.2123239094135592</c:v>
                </c:pt>
                <c:pt idx="18">
                  <c:v>1.5257042154045264</c:v>
                </c:pt>
                <c:pt idx="19">
                  <c:v>1.168868249340322</c:v>
                </c:pt>
                <c:pt idx="20">
                  <c:v>1.6917596177541252</c:v>
                </c:pt>
                <c:pt idx="21">
                  <c:v>0.27476479486685779</c:v>
                </c:pt>
                <c:pt idx="22">
                  <c:v>-1.6665062344549622</c:v>
                </c:pt>
                <c:pt idx="23">
                  <c:v>-1.5223662615722116</c:v>
                </c:pt>
                <c:pt idx="24">
                  <c:v>-3.3301496278709903</c:v>
                </c:pt>
                <c:pt idx="25">
                  <c:v>-3.5813702692639939</c:v>
                </c:pt>
                <c:pt idx="26">
                  <c:v>-1.803048635797329</c:v>
                </c:pt>
                <c:pt idx="27">
                  <c:v>-1.6141812680092777</c:v>
                </c:pt>
                <c:pt idx="28">
                  <c:v>0.14066292046774689</c:v>
                </c:pt>
                <c:pt idx="29">
                  <c:v>0.273678384768551</c:v>
                </c:pt>
                <c:pt idx="30">
                  <c:v>-0.20954720713504232</c:v>
                </c:pt>
                <c:pt idx="31">
                  <c:v>0.2592493514005399</c:v>
                </c:pt>
                <c:pt idx="32">
                  <c:v>0.34933310944713386</c:v>
                </c:pt>
              </c:numCache>
            </c:numRef>
          </c:val>
          <c:extLst>
            <c:ext xmlns:c16="http://schemas.microsoft.com/office/drawing/2014/chart" uri="{C3380CC4-5D6E-409C-BE32-E72D297353CC}">
              <c16:uniqueId val="{00000006-181C-4F1E-BC38-3CF3D26B32E5}"/>
            </c:ext>
          </c:extLst>
        </c:ser>
        <c:ser>
          <c:idx val="7"/>
          <c:order val="7"/>
          <c:tx>
            <c:strRef>
              <c:f>'GRAF příspěvky IPP'!$A$34</c:f>
              <c:strCache>
                <c:ptCount val="1"/>
                <c:pt idx="0">
                  <c:v>Těžba a energetika (B, D)</c:v>
                </c:pt>
              </c:strCache>
            </c:strRef>
          </c:tx>
          <c:spPr>
            <a:solidFill>
              <a:srgbClr val="808080"/>
            </a:solidFill>
          </c:spPr>
          <c:invertIfNegative val="0"/>
          <c:cat>
            <c:multiLvlStrRef>
              <c:f>'GRAF příspěvky IPP'!$Z$25:$BF$26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IPP'!$Z$34:$BF$34</c:f>
              <c:numCache>
                <c:formatCode>0.0</c:formatCode>
                <c:ptCount val="33"/>
                <c:pt idx="0">
                  <c:v>0.68579685044543348</c:v>
                </c:pt>
                <c:pt idx="1">
                  <c:v>-0.21786071250878586</c:v>
                </c:pt>
                <c:pt idx="2">
                  <c:v>0.74762012671732325</c:v>
                </c:pt>
                <c:pt idx="3">
                  <c:v>0.67922569430551583</c:v>
                </c:pt>
                <c:pt idx="4">
                  <c:v>-0.54241645010765449</c:v>
                </c:pt>
                <c:pt idx="5">
                  <c:v>-1.8631527880888649E-3</c:v>
                </c:pt>
                <c:pt idx="6">
                  <c:v>0.78670127678843149</c:v>
                </c:pt>
                <c:pt idx="7">
                  <c:v>0.32960713526562863</c:v>
                </c:pt>
                <c:pt idx="8">
                  <c:v>6.8904910133199077E-2</c:v>
                </c:pt>
                <c:pt idx="9">
                  <c:v>0.12170682001164354</c:v>
                </c:pt>
                <c:pt idx="10">
                  <c:v>-0.5109816723970585</c:v>
                </c:pt>
                <c:pt idx="11">
                  <c:v>-0.36784640528649537</c:v>
                </c:pt>
                <c:pt idx="12">
                  <c:v>-1.0379724863245821</c:v>
                </c:pt>
                <c:pt idx="13">
                  <c:v>-1.638329285379571</c:v>
                </c:pt>
                <c:pt idx="14">
                  <c:v>-0.82494325172790062</c:v>
                </c:pt>
                <c:pt idx="15">
                  <c:v>-0.74239007583737793</c:v>
                </c:pt>
                <c:pt idx="16">
                  <c:v>0.59169189725846227</c:v>
                </c:pt>
                <c:pt idx="17">
                  <c:v>0.52602802212718636</c:v>
                </c:pt>
                <c:pt idx="18">
                  <c:v>0.31402438140150823</c:v>
                </c:pt>
                <c:pt idx="19">
                  <c:v>0.81668518390114664</c:v>
                </c:pt>
                <c:pt idx="20">
                  <c:v>-0.20916825928110211</c:v>
                </c:pt>
                <c:pt idx="21">
                  <c:v>0.24264291225676068</c:v>
                </c:pt>
                <c:pt idx="22">
                  <c:v>0.41438960441960515</c:v>
                </c:pt>
                <c:pt idx="23">
                  <c:v>-1.2876349181712765</c:v>
                </c:pt>
                <c:pt idx="24">
                  <c:v>-1.3047375768756986</c:v>
                </c:pt>
                <c:pt idx="25">
                  <c:v>-1.5784043842680466</c:v>
                </c:pt>
                <c:pt idx="26">
                  <c:v>-1.6274670851161197</c:v>
                </c:pt>
                <c:pt idx="27">
                  <c:v>-1.1080126817815836</c:v>
                </c:pt>
                <c:pt idx="28">
                  <c:v>-0.77571671759816851</c:v>
                </c:pt>
                <c:pt idx="29">
                  <c:v>-8.1098783626912641E-2</c:v>
                </c:pt>
                <c:pt idx="30">
                  <c:v>3.6641856708415632E-3</c:v>
                </c:pt>
                <c:pt idx="31">
                  <c:v>-0.18706406114770238</c:v>
                </c:pt>
                <c:pt idx="32">
                  <c:v>0.96832493314657409</c:v>
                </c:pt>
              </c:numCache>
            </c:numRef>
          </c:val>
          <c:extLst>
            <c:ext xmlns:c16="http://schemas.microsoft.com/office/drawing/2014/chart" uri="{C3380CC4-5D6E-409C-BE32-E72D297353CC}">
              <c16:uniqueId val="{00000007-181C-4F1E-BC38-3CF3D26B32E5}"/>
            </c:ext>
          </c:extLst>
        </c:ser>
        <c:dLbls>
          <c:showLegendKey val="0"/>
          <c:showVal val="0"/>
          <c:showCatName val="0"/>
          <c:showSerName val="0"/>
          <c:showPercent val="0"/>
          <c:showBubbleSize val="0"/>
        </c:dLbls>
        <c:gapWidth val="15"/>
        <c:overlap val="100"/>
        <c:axId val="112768128"/>
        <c:axId val="112769664"/>
      </c:barChart>
      <c:lineChart>
        <c:grouping val="standard"/>
        <c:varyColors val="0"/>
        <c:ser>
          <c:idx val="8"/>
          <c:order val="8"/>
          <c:tx>
            <c:strRef>
              <c:f>'GRAF příspěvky IPP'!$A$35</c:f>
              <c:strCache>
                <c:ptCount val="1"/>
                <c:pt idx="0">
                  <c:v>Průmysl celkem (NACE B až D)</c:v>
                </c:pt>
              </c:strCache>
            </c:strRef>
          </c:tx>
          <c:spPr>
            <a:ln w="19050">
              <a:noFill/>
            </a:ln>
          </c:spPr>
          <c:marker>
            <c:symbol val="circle"/>
            <c:size val="4"/>
            <c:spPr>
              <a:solidFill>
                <a:srgbClr val="FFFF00"/>
              </a:solidFill>
              <a:ln>
                <a:solidFill>
                  <a:schemeClr val="tx1">
                    <a:lumMod val="95000"/>
                    <a:lumOff val="5000"/>
                  </a:schemeClr>
                </a:solidFill>
              </a:ln>
            </c:spPr>
          </c:marker>
          <c:cat>
            <c:multiLvlStrRef>
              <c:f>'GRAF příspěvky IPP'!$Z$25:$BF$26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IPP'!$Z$35:$BF$35</c:f>
              <c:numCache>
                <c:formatCode>0.0</c:formatCode>
                <c:ptCount val="33"/>
                <c:pt idx="0">
                  <c:v>4.4694819295000059</c:v>
                </c:pt>
                <c:pt idx="1">
                  <c:v>8.0757287747999982</c:v>
                </c:pt>
                <c:pt idx="2">
                  <c:v>6.471008530800006</c:v>
                </c:pt>
                <c:pt idx="3">
                  <c:v>7.2646448002000028</c:v>
                </c:pt>
                <c:pt idx="4">
                  <c:v>4.3462152320000058</c:v>
                </c:pt>
                <c:pt idx="5">
                  <c:v>2.4365124655000017</c:v>
                </c:pt>
                <c:pt idx="6">
                  <c:v>3.7641930207000058</c:v>
                </c:pt>
                <c:pt idx="7">
                  <c:v>1.5933483905999992</c:v>
                </c:pt>
                <c:pt idx="8">
                  <c:v>0.47230060009999875</c:v>
                </c:pt>
                <c:pt idx="9">
                  <c:v>0.71920116619999419</c:v>
                </c:pt>
                <c:pt idx="10">
                  <c:v>-1.5414330485999983</c:v>
                </c:pt>
                <c:pt idx="11">
                  <c:v>-1.7724070997000041</c:v>
                </c:pt>
                <c:pt idx="12">
                  <c:v>-4.2521142571000041</c:v>
                </c:pt>
                <c:pt idx="13">
                  <c:v>-21.785210571700006</c:v>
                </c:pt>
                <c:pt idx="14">
                  <c:v>-3.0649898566999951</c:v>
                </c:pt>
                <c:pt idx="15">
                  <c:v>1.6725311281000046</c:v>
                </c:pt>
                <c:pt idx="16">
                  <c:v>4.1158643917000006</c:v>
                </c:pt>
                <c:pt idx="17">
                  <c:v>26.263459727599994</c:v>
                </c:pt>
                <c:pt idx="18">
                  <c:v>0.54339351500000532</c:v>
                </c:pt>
                <c:pt idx="19">
                  <c:v>-1.5338062650999973</c:v>
                </c:pt>
                <c:pt idx="20">
                  <c:v>0.52205926300000272</c:v>
                </c:pt>
                <c:pt idx="21">
                  <c:v>0.58311004380000497</c:v>
                </c:pt>
                <c:pt idx="22">
                  <c:v>5.0279986392999945</c:v>
                </c:pt>
                <c:pt idx="23">
                  <c:v>2.3894009615000016</c:v>
                </c:pt>
                <c:pt idx="24">
                  <c:v>0.5475382006000018</c:v>
                </c:pt>
                <c:pt idx="25">
                  <c:v>0.25763397759999407</c:v>
                </c:pt>
                <c:pt idx="26">
                  <c:v>-3.437989267399999</c:v>
                </c:pt>
                <c:pt idx="27">
                  <c:v>-0.73420888770000658</c:v>
                </c:pt>
                <c:pt idx="28">
                  <c:v>-1.0553899794000046</c:v>
                </c:pt>
                <c:pt idx="29">
                  <c:v>-1.5541950740999937</c:v>
                </c:pt>
                <c:pt idx="30">
                  <c:v>0.77521996299999785</c:v>
                </c:pt>
                <c:pt idx="31">
                  <c:v>-2.2007430573000022</c:v>
                </c:pt>
                <c:pt idx="32">
                  <c:v>0.73867768540000611</c:v>
                </c:pt>
              </c:numCache>
            </c:numRef>
          </c:val>
          <c:smooth val="0"/>
          <c:extLst>
            <c:ext xmlns:c16="http://schemas.microsoft.com/office/drawing/2014/chart" uri="{C3380CC4-5D6E-409C-BE32-E72D297353CC}">
              <c16:uniqueId val="{00000008-181C-4F1E-BC38-3CF3D26B32E5}"/>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9"/>
          <c:order val="9"/>
          <c:tx>
            <c:strRef>
              <c:f>'GRAF příspěvky IPP'!$A$36</c:f>
              <c:strCache>
                <c:ptCount val="1"/>
              </c:strCache>
            </c:strRef>
          </c:tx>
          <c:spPr>
            <a:ln w="15875">
              <a:noFill/>
              <a:prstDash val="sysDot"/>
            </a:ln>
          </c:spPr>
          <c:marker>
            <c:symbol val="none"/>
          </c:marker>
          <c:cat>
            <c:multiLvlStrRef>
              <c:f>'GRAF příspěvky IPP'!$Z$25:$BF$26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IPP'!$Z$36:$BF$36</c:f>
              <c:numCache>
                <c:formatCode>General</c:formatCode>
                <c:ptCount val="33"/>
              </c:numCache>
            </c:numRef>
          </c:val>
          <c:smooth val="0"/>
          <c:extLst>
            <c:ext xmlns:c16="http://schemas.microsoft.com/office/drawing/2014/chart" uri="{C3380CC4-5D6E-409C-BE32-E72D297353CC}">
              <c16:uniqueId val="{00000009-181C-4F1E-BC38-3CF3D26B32E5}"/>
            </c:ext>
          </c:extLst>
        </c:ser>
        <c:ser>
          <c:idx val="10"/>
          <c:order val="10"/>
          <c:tx>
            <c:strRef>
              <c:f>'GRAF příspěvky IPP'!$A$37</c:f>
              <c:strCache>
                <c:ptCount val="1"/>
                <c:pt idx="0">
                  <c:v>Produkce, prům. v ČR celkem (2021=100)</c:v>
                </c:pt>
              </c:strCache>
            </c:strRef>
          </c:tx>
          <c:spPr>
            <a:ln w="15875">
              <a:solidFill>
                <a:schemeClr val="tx1">
                  <a:lumMod val="95000"/>
                  <a:lumOff val="5000"/>
                </a:schemeClr>
              </a:solidFill>
            </a:ln>
          </c:spPr>
          <c:marker>
            <c:symbol val="none"/>
          </c:marker>
          <c:cat>
            <c:multiLvlStrRef>
              <c:f>'GRAF příspěvky IPP'!$Z$25:$BF$26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IPP'!$Z$37:$BF$37</c:f>
              <c:numCache>
                <c:formatCode>##0.0</c:formatCode>
                <c:ptCount val="33"/>
                <c:pt idx="0">
                  <c:v>95.6</c:v>
                </c:pt>
                <c:pt idx="1">
                  <c:v>98.6</c:v>
                </c:pt>
                <c:pt idx="2">
                  <c:v>98.2</c:v>
                </c:pt>
                <c:pt idx="3">
                  <c:v>100.1</c:v>
                </c:pt>
                <c:pt idx="4">
                  <c:v>100.1</c:v>
                </c:pt>
                <c:pt idx="5">
                  <c:v>101.1</c:v>
                </c:pt>
                <c:pt idx="6">
                  <c:v>102</c:v>
                </c:pt>
                <c:pt idx="7">
                  <c:v>101.3</c:v>
                </c:pt>
                <c:pt idx="8">
                  <c:v>100.6</c:v>
                </c:pt>
                <c:pt idx="9">
                  <c:v>102.2</c:v>
                </c:pt>
                <c:pt idx="10">
                  <c:v>100.1</c:v>
                </c:pt>
                <c:pt idx="11">
                  <c:v>99.4</c:v>
                </c:pt>
                <c:pt idx="12">
                  <c:v>96.7</c:v>
                </c:pt>
                <c:pt idx="13">
                  <c:v>80.2</c:v>
                </c:pt>
                <c:pt idx="14">
                  <c:v>97</c:v>
                </c:pt>
                <c:pt idx="15">
                  <c:v>101.1</c:v>
                </c:pt>
                <c:pt idx="16">
                  <c:v>99.6</c:v>
                </c:pt>
                <c:pt idx="17">
                  <c:v>100.5</c:v>
                </c:pt>
                <c:pt idx="18">
                  <c:v>98.5</c:v>
                </c:pt>
                <c:pt idx="19">
                  <c:v>99.3</c:v>
                </c:pt>
                <c:pt idx="20">
                  <c:v>100.8</c:v>
                </c:pt>
                <c:pt idx="21">
                  <c:v>101.2</c:v>
                </c:pt>
                <c:pt idx="22">
                  <c:v>102.8</c:v>
                </c:pt>
                <c:pt idx="23">
                  <c:v>101.9</c:v>
                </c:pt>
                <c:pt idx="24">
                  <c:v>101.3</c:v>
                </c:pt>
                <c:pt idx="25">
                  <c:v>101.3</c:v>
                </c:pt>
                <c:pt idx="26">
                  <c:v>99.2</c:v>
                </c:pt>
                <c:pt idx="27">
                  <c:v>101.5</c:v>
                </c:pt>
                <c:pt idx="28">
                  <c:v>100.3</c:v>
                </c:pt>
                <c:pt idx="29">
                  <c:v>99.7</c:v>
                </c:pt>
                <c:pt idx="30">
                  <c:v>99.9</c:v>
                </c:pt>
                <c:pt idx="31">
                  <c:v>99.3</c:v>
                </c:pt>
                <c:pt idx="32">
                  <c:v>100.8</c:v>
                </c:pt>
              </c:numCache>
            </c:numRef>
          </c:val>
          <c:smooth val="0"/>
          <c:extLst>
            <c:ext xmlns:c16="http://schemas.microsoft.com/office/drawing/2014/chart" uri="{C3380CC4-5D6E-409C-BE32-E72D297353CC}">
              <c16:uniqueId val="{0000000A-181C-4F1E-BC38-3CF3D26B32E5}"/>
            </c:ext>
          </c:extLst>
        </c:ser>
        <c:ser>
          <c:idx val="11"/>
          <c:order val="11"/>
          <c:tx>
            <c:strRef>
              <c:f>'GRAF příspěvky IPP'!$A$38</c:f>
              <c:strCache>
                <c:ptCount val="1"/>
                <c:pt idx="0">
                  <c:v>Produkce, prům. v EU27 celkem (2021=100)</c:v>
                </c:pt>
              </c:strCache>
            </c:strRef>
          </c:tx>
          <c:spPr>
            <a:ln w="15875">
              <a:solidFill>
                <a:schemeClr val="tx1">
                  <a:lumMod val="50000"/>
                  <a:lumOff val="50000"/>
                </a:schemeClr>
              </a:solidFill>
              <a:prstDash val="sysDash"/>
            </a:ln>
          </c:spPr>
          <c:marker>
            <c:symbol val="none"/>
          </c:marker>
          <c:cat>
            <c:multiLvlStrRef>
              <c:f>'GRAF příspěvky IPP'!$Z$25:$BF$26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IPP'!$Z$38:$BF$38</c:f>
              <c:numCache>
                <c:formatCode>#\ ##0.##########</c:formatCode>
                <c:ptCount val="33"/>
                <c:pt idx="0">
                  <c:v>96.1</c:v>
                </c:pt>
                <c:pt idx="1">
                  <c:v>97.3</c:v>
                </c:pt>
                <c:pt idx="2">
                  <c:v>98.7</c:v>
                </c:pt>
                <c:pt idx="3">
                  <c:v>100.6</c:v>
                </c:pt>
                <c:pt idx="4">
                  <c:v>99.2</c:v>
                </c:pt>
                <c:pt idx="5">
                  <c:v>99.7</c:v>
                </c:pt>
                <c:pt idx="6">
                  <c:v>99.4</c:v>
                </c:pt>
                <c:pt idx="7">
                  <c:v>99.1</c:v>
                </c:pt>
                <c:pt idx="8">
                  <c:v>99.4</c:v>
                </c:pt>
                <c:pt idx="9">
                  <c:v>99.3</c:v>
                </c:pt>
                <c:pt idx="10">
                  <c:v>98.7</c:v>
                </c:pt>
                <c:pt idx="11">
                  <c:v>98</c:v>
                </c:pt>
                <c:pt idx="12">
                  <c:v>95</c:v>
                </c:pt>
                <c:pt idx="13">
                  <c:v>80.3</c:v>
                </c:pt>
                <c:pt idx="14">
                  <c:v>93.5</c:v>
                </c:pt>
                <c:pt idx="15">
                  <c:v>98</c:v>
                </c:pt>
                <c:pt idx="16">
                  <c:v>99.5</c:v>
                </c:pt>
                <c:pt idx="17">
                  <c:v>100.1</c:v>
                </c:pt>
                <c:pt idx="18">
                  <c:v>99.7</c:v>
                </c:pt>
                <c:pt idx="19">
                  <c:v>100.8</c:v>
                </c:pt>
                <c:pt idx="20">
                  <c:v>101.8</c:v>
                </c:pt>
                <c:pt idx="21">
                  <c:v>102.5</c:v>
                </c:pt>
                <c:pt idx="22">
                  <c:v>102.9</c:v>
                </c:pt>
                <c:pt idx="23">
                  <c:v>102.7</c:v>
                </c:pt>
                <c:pt idx="24">
                  <c:v>102.9</c:v>
                </c:pt>
                <c:pt idx="25">
                  <c:v>102.2</c:v>
                </c:pt>
                <c:pt idx="26">
                  <c:v>99.6</c:v>
                </c:pt>
                <c:pt idx="27">
                  <c:v>99.7</c:v>
                </c:pt>
                <c:pt idx="28">
                  <c:v>98.8</c:v>
                </c:pt>
                <c:pt idx="29">
                  <c:v>98.8</c:v>
                </c:pt>
                <c:pt idx="30" formatCode="General">
                  <c:v>98.4</c:v>
                </c:pt>
                <c:pt idx="31" formatCode="General">
                  <c:v>98.4</c:v>
                </c:pt>
                <c:pt idx="32" formatCode="General">
                  <c:v>99.9</c:v>
                </c:pt>
              </c:numCache>
            </c:numRef>
          </c:val>
          <c:smooth val="0"/>
          <c:extLst>
            <c:ext xmlns:c16="http://schemas.microsoft.com/office/drawing/2014/chart" uri="{C3380CC4-5D6E-409C-BE32-E72D297353CC}">
              <c16:uniqueId val="{0000000B-181C-4F1E-BC38-3CF3D26B32E5}"/>
            </c:ext>
          </c:extLst>
        </c:ser>
        <c:ser>
          <c:idx val="12"/>
          <c:order val="12"/>
          <c:tx>
            <c:strRef>
              <c:f>'GRAF příspěvky IPP'!$A$39</c:f>
              <c:strCache>
                <c:ptCount val="1"/>
                <c:pt idx="0">
                  <c:v>Produkce, prům. v Německu (2021=100)</c:v>
                </c:pt>
              </c:strCache>
            </c:strRef>
          </c:tx>
          <c:spPr>
            <a:ln w="15875">
              <a:solidFill>
                <a:srgbClr val="996633"/>
              </a:solidFill>
              <a:prstDash val="dash"/>
            </a:ln>
          </c:spPr>
          <c:marker>
            <c:symbol val="none"/>
          </c:marker>
          <c:cat>
            <c:multiLvlStrRef>
              <c:f>'GRAF příspěvky IPP'!$Z$25:$BF$26</c:f>
              <c:multiLvlStrCache>
                <c:ptCount val="33"/>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'GRAF příspěvky IPP'!$Z$39:$BF$39</c:f>
              <c:numCache>
                <c:formatCode>#\ ##0.##########</c:formatCode>
                <c:ptCount val="33"/>
                <c:pt idx="0">
                  <c:v>105</c:v>
                </c:pt>
                <c:pt idx="1">
                  <c:v>107</c:v>
                </c:pt>
                <c:pt idx="2">
                  <c:v>108.8</c:v>
                </c:pt>
                <c:pt idx="3">
                  <c:v>109.6</c:v>
                </c:pt>
                <c:pt idx="4">
                  <c:v>109</c:v>
                </c:pt>
                <c:pt idx="5">
                  <c:v>109.8</c:v>
                </c:pt>
                <c:pt idx="6">
                  <c:v>108.8</c:v>
                </c:pt>
                <c:pt idx="7">
                  <c:v>107.2</c:v>
                </c:pt>
                <c:pt idx="8">
                  <c:v>107</c:v>
                </c:pt>
                <c:pt idx="9">
                  <c:v>105.8</c:v>
                </c:pt>
                <c:pt idx="10">
                  <c:v>104.6</c:v>
                </c:pt>
                <c:pt idx="11">
                  <c:v>102.9</c:v>
                </c:pt>
                <c:pt idx="12">
                  <c:v>101.3</c:v>
                </c:pt>
                <c:pt idx="13">
                  <c:v>82.9</c:v>
                </c:pt>
                <c:pt idx="14">
                  <c:v>94.8</c:v>
                </c:pt>
                <c:pt idx="15">
                  <c:v>100.9</c:v>
                </c:pt>
                <c:pt idx="16">
                  <c:v>100.7</c:v>
                </c:pt>
                <c:pt idx="17">
                  <c:v>99.9</c:v>
                </c:pt>
                <c:pt idx="18">
                  <c:v>97</c:v>
                </c:pt>
                <c:pt idx="19">
                  <c:v>100</c:v>
                </c:pt>
                <c:pt idx="20">
                  <c:v>99.2</c:v>
                </c:pt>
                <c:pt idx="21">
                  <c:v>98.8</c:v>
                </c:pt>
                <c:pt idx="22">
                  <c:v>99.4</c:v>
                </c:pt>
                <c:pt idx="23">
                  <c:v>99</c:v>
                </c:pt>
                <c:pt idx="24">
                  <c:v>99.9</c:v>
                </c:pt>
                <c:pt idx="25">
                  <c:v>98.4</c:v>
                </c:pt>
                <c:pt idx="26">
                  <c:v>96</c:v>
                </c:pt>
                <c:pt idx="27">
                  <c:v>94.6</c:v>
                </c:pt>
                <c:pt idx="28">
                  <c:v>94.4</c:v>
                </c:pt>
                <c:pt idx="29">
                  <c:v>93.2</c:v>
                </c:pt>
                <c:pt idx="30" formatCode="General">
                  <c:v>92</c:v>
                </c:pt>
                <c:pt idx="31" formatCode="General">
                  <c:v>91.4</c:v>
                </c:pt>
                <c:pt idx="32" formatCode="General">
                  <c:v>92.2</c:v>
                </c:pt>
              </c:numCache>
            </c:numRef>
          </c:val>
          <c:smooth val="0"/>
          <c:extLst>
            <c:ext xmlns:c16="http://schemas.microsoft.com/office/drawing/2014/chart" uri="{C3380CC4-5D6E-409C-BE32-E72D297353CC}">
              <c16:uniqueId val="{0000000C-181C-4F1E-BC38-3CF3D26B32E5}"/>
            </c:ext>
          </c:extLst>
        </c:ser>
        <c:dLbls>
          <c:showLegendKey val="0"/>
          <c:showVal val="0"/>
          <c:showCatName val="0"/>
          <c:showSerName val="0"/>
          <c:showPercent val="0"/>
          <c:showBubbleSize val="0"/>
        </c:dLbls>
        <c:marker val="1"/>
        <c:smooth val="0"/>
        <c:axId val="1513731104"/>
        <c:axId val="1513729024"/>
      </c:lineChart>
      <c:catAx>
        <c:axId val="112768128"/>
        <c:scaling>
          <c:orientation val="minMax"/>
        </c:scaling>
        <c:delete val="0"/>
        <c:axPos val="b"/>
        <c:numFmt formatCode="General" sourceLinked="1"/>
        <c:majorTickMark val="none"/>
        <c:minorTickMark val="none"/>
        <c:tickLblPos val="low"/>
        <c:txPr>
          <a:bodyPr/>
          <a:lstStyle/>
          <a:p>
            <a:pPr>
              <a:defRPr sz="800">
                <a:latin typeface="Arial" pitchFamily="34" charset="0"/>
                <a:cs typeface="Arial" pitchFamily="34" charset="0"/>
              </a:defRPr>
            </a:pPr>
            <a:endParaRPr lang="cs-CZ"/>
          </a:p>
        </c:txPr>
        <c:crossAx val="112769664"/>
        <c:crosses val="autoZero"/>
        <c:auto val="1"/>
        <c:lblAlgn val="ctr"/>
        <c:lblOffset val="0"/>
        <c:noMultiLvlLbl val="0"/>
      </c:catAx>
      <c:valAx>
        <c:axId val="112769664"/>
        <c:scaling>
          <c:orientation val="minMax"/>
          <c:max val="30"/>
          <c:min val="-25"/>
        </c:scaling>
        <c:delete val="0"/>
        <c:axPos val="l"/>
        <c:majorGridlines>
          <c:spPr>
            <a:ln>
              <a:solidFill>
                <a:srgbClr val="BEBEBE"/>
              </a:solidFill>
            </a:ln>
          </c:spPr>
        </c:majorGridlines>
        <c:title>
          <c:tx>
            <c:rich>
              <a:bodyPr/>
              <a:lstStyle/>
              <a:p>
                <a:pPr>
                  <a:defRPr sz="700" b="0" i="1">
                    <a:latin typeface="Arial" panose="020B0604020202020204" pitchFamily="34" charset="0"/>
                    <a:cs typeface="Arial" panose="020B0604020202020204" pitchFamily="34" charset="0"/>
                  </a:defRPr>
                </a:pPr>
                <a:r>
                  <a:rPr lang="cs-CZ" sz="700" b="0" i="1" u="none" strike="noStrike" baseline="0">
                    <a:effectLst/>
                  </a:rPr>
                  <a:t>Prům. produkce (příspěvky  k meziroč. změně)</a:t>
                </a:r>
                <a:endParaRPr lang="cs-CZ" sz="700" b="0" i="1">
                  <a:latin typeface="Arial" panose="020B0604020202020204" pitchFamily="34" charset="0"/>
                  <a:cs typeface="Arial" panose="020B0604020202020204" pitchFamily="34" charset="0"/>
                </a:endParaRPr>
              </a:p>
            </c:rich>
          </c:tx>
          <c:layout>
            <c:manualLayout>
              <c:xMode val="edge"/>
              <c:yMode val="edge"/>
              <c:x val="0"/>
              <c:y val="0.1165198004318692"/>
            </c:manualLayout>
          </c:layout>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cs-CZ"/>
          </a:p>
        </c:txPr>
        <c:crossAx val="112768128"/>
        <c:crosses val="autoZero"/>
        <c:crossBetween val="between"/>
        <c:majorUnit val="5"/>
      </c:valAx>
      <c:valAx>
        <c:axId val="1513729024"/>
        <c:scaling>
          <c:orientation val="minMax"/>
          <c:max val="118"/>
          <c:min val="52"/>
        </c:scaling>
        <c:delete val="0"/>
        <c:axPos val="r"/>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Produkce</a:t>
                </a:r>
                <a:r>
                  <a:rPr lang="cs-CZ" sz="700" b="0" i="1" baseline="0">
                    <a:latin typeface="Arial" panose="020B0604020202020204" pitchFamily="34" charset="0"/>
                    <a:cs typeface="Arial" panose="020B0604020202020204" pitchFamily="34" charset="0"/>
                  </a:rPr>
                  <a:t> </a:t>
                </a:r>
                <a:r>
                  <a:rPr lang="cs-CZ" sz="700" b="0" i="1">
                    <a:latin typeface="Arial" panose="020B0604020202020204" pitchFamily="34" charset="0"/>
                    <a:cs typeface="Arial" panose="020B0604020202020204" pitchFamily="34" charset="0"/>
                  </a:rPr>
                  <a:t>v průmyslu (báze 2021=100)</a:t>
                </a:r>
              </a:p>
            </c:rich>
          </c:tx>
          <c:layout>
            <c:manualLayout>
              <c:xMode val="edge"/>
              <c:yMode val="edge"/>
              <c:x val="0.97040158454025283"/>
              <c:y val="0.16649922312229412"/>
            </c:manualLayout>
          </c:layout>
          <c:overlay val="0"/>
        </c:title>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cs-CZ"/>
          </a:p>
        </c:txPr>
        <c:crossAx val="1513731104"/>
        <c:crosses val="max"/>
        <c:crossBetween val="between"/>
        <c:majorUnit val="6"/>
      </c:valAx>
      <c:catAx>
        <c:axId val="1513731104"/>
        <c:scaling>
          <c:orientation val="minMax"/>
        </c:scaling>
        <c:delete val="1"/>
        <c:axPos val="b"/>
        <c:numFmt formatCode="General" sourceLinked="1"/>
        <c:majorTickMark val="out"/>
        <c:minorTickMark val="none"/>
        <c:tickLblPos val="nextTo"/>
        <c:crossAx val="1513729024"/>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7.9971508545710578E-3"/>
          <c:y val="0.78956518157248545"/>
          <c:w val="0.97852638170448147"/>
          <c:h val="0.20355147830569023"/>
        </c:manualLayout>
      </c:layout>
      <c:overlay val="0"/>
      <c:spPr>
        <a:ln w="6350">
          <a:solidFill>
            <a:prstClr val="black">
              <a:lumMod val="95000"/>
              <a:lumOff val="5000"/>
            </a:prstClr>
          </a:solidFill>
        </a:ln>
      </c:spPr>
      <c:txPr>
        <a:bodyPr/>
        <a:lstStyle/>
        <a:p>
          <a:pPr>
            <a:defRPr sz="720">
              <a:latin typeface="Arial" pitchFamily="34" charset="0"/>
              <a:cs typeface="Arial" pitchFamily="34" charset="0"/>
            </a:defRPr>
          </a:pPr>
          <a:endParaRPr lang="cs-CZ"/>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88042665536843E-2"/>
          <c:y val="1.5647041011259352E-2"/>
          <c:w val="0.84974974879787502"/>
          <c:h val="0.750636022143085"/>
        </c:manualLayout>
      </c:layout>
      <c:barChart>
        <c:barDir val="col"/>
        <c:grouping val="clustered"/>
        <c:varyColors val="0"/>
        <c:ser>
          <c:idx val="0"/>
          <c:order val="0"/>
          <c:tx>
            <c:strRef>
              <c:f>'výkonnost odvětví 2'!$A$36</c:f>
              <c:strCache>
                <c:ptCount val="1"/>
                <c:pt idx="0">
                  <c:v>Průmyslové zakázky celkem</c:v>
                </c:pt>
              </c:strCache>
            </c:strRef>
          </c:tx>
          <c:spPr>
            <a:solidFill>
              <a:schemeClr val="bg1">
                <a:lumMod val="75000"/>
              </a:schemeClr>
            </a:solidFill>
            <a:ln>
              <a:noFill/>
            </a:ln>
          </c:spPr>
          <c:invertIfNegative val="0"/>
          <c:cat>
            <c:multiLvlStrRef>
              <c:f>'výkonnost odvětví 2'!$AD$34:$BG$35</c:f>
              <c:multiLvlStrCache>
                <c:ptCount val="3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2'!$AD$36:$BG$36</c:f>
              <c:numCache>
                <c:formatCode>##0.0</c:formatCode>
                <c:ptCount val="30"/>
                <c:pt idx="0">
                  <c:v>3.2993551214999997</c:v>
                </c:pt>
                <c:pt idx="1">
                  <c:v>2.9773571834000023</c:v>
                </c:pt>
                <c:pt idx="2">
                  <c:v>3.5300064828000046</c:v>
                </c:pt>
                <c:pt idx="3">
                  <c:v>2.4324207204000032</c:v>
                </c:pt>
                <c:pt idx="4">
                  <c:v>3.2234606388999936</c:v>
                </c:pt>
                <c:pt idx="5">
                  <c:v>2.1291359181000047</c:v>
                </c:pt>
                <c:pt idx="6">
                  <c:v>-1.1496242270000039</c:v>
                </c:pt>
                <c:pt idx="7">
                  <c:v>-2.8233445845000062</c:v>
                </c:pt>
                <c:pt idx="8">
                  <c:v>-4.1421474552000035</c:v>
                </c:pt>
                <c:pt idx="9">
                  <c:v>-27.261303375300002</c:v>
                </c:pt>
                <c:pt idx="10">
                  <c:v>-0.61408028729999842</c:v>
                </c:pt>
                <c:pt idx="11">
                  <c:v>6.5219093458999993</c:v>
                </c:pt>
                <c:pt idx="12">
                  <c:v>10.306191522199995</c:v>
                </c:pt>
                <c:pt idx="13">
                  <c:v>46.985935721200008</c:v>
                </c:pt>
                <c:pt idx="14">
                  <c:v>7.4299366855999978</c:v>
                </c:pt>
                <c:pt idx="15">
                  <c:v>4.132152200500002</c:v>
                </c:pt>
                <c:pt idx="16">
                  <c:v>6.8384110660000061</c:v>
                </c:pt>
                <c:pt idx="17">
                  <c:v>10.081964469900001</c:v>
                </c:pt>
                <c:pt idx="18">
                  <c:v>15.313367123600003</c:v>
                </c:pt>
                <c:pt idx="19">
                  <c:v>12.447311224100005</c:v>
                </c:pt>
                <c:pt idx="20">
                  <c:v>2.8906130032000021</c:v>
                </c:pt>
                <c:pt idx="21">
                  <c:v>-2.3640533153999996</c:v>
                </c:pt>
                <c:pt idx="22">
                  <c:v>-4.8552771436000057</c:v>
                </c:pt>
                <c:pt idx="23">
                  <c:v>-1.0052440055000034</c:v>
                </c:pt>
                <c:pt idx="24">
                  <c:v>4.0312720833999975</c:v>
                </c:pt>
                <c:pt idx="25">
                  <c:v>3.9650105958999973</c:v>
                </c:pt>
                <c:pt idx="26">
                  <c:v>4.8745783802000062</c:v>
                </c:pt>
                <c:pt idx="27">
                  <c:v>1.1525136496999977</c:v>
                </c:pt>
                <c:pt idx="28">
                  <c:v>-0.50000737089999348</c:v>
                </c:pt>
              </c:numCache>
            </c:numRef>
          </c:val>
          <c:extLst>
            <c:ext xmlns:c16="http://schemas.microsoft.com/office/drawing/2014/chart" uri="{C3380CC4-5D6E-409C-BE32-E72D297353CC}">
              <c16:uniqueId val="{00000000-C4BA-4D3D-A976-9A5E8D73B1A8}"/>
            </c:ext>
          </c:extLst>
        </c:ser>
        <c:dLbls>
          <c:showLegendKey val="0"/>
          <c:showVal val="0"/>
          <c:showCatName val="0"/>
          <c:showSerName val="0"/>
          <c:showPercent val="0"/>
          <c:showBubbleSize val="0"/>
        </c:dLbls>
        <c:gapWidth val="30"/>
        <c:axId val="112768128"/>
        <c:axId val="112769664"/>
      </c:barChart>
      <c:lineChart>
        <c:grouping val="standard"/>
        <c:varyColors val="0"/>
        <c:ser>
          <c:idx val="1"/>
          <c:order val="1"/>
          <c:tx>
            <c:strRef>
              <c:f>'výkonnost odvětví 2'!$A$37</c:f>
              <c:strCache>
                <c:ptCount val="1"/>
                <c:pt idx="0">
                  <c:v>z toho: zakázky z tuzemska</c:v>
                </c:pt>
              </c:strCache>
            </c:strRef>
          </c:tx>
          <c:spPr>
            <a:ln w="15875">
              <a:noFill/>
              <a:prstDash val="sysDot"/>
            </a:ln>
          </c:spPr>
          <c:marker>
            <c:symbol val="diamond"/>
            <c:size val="5"/>
            <c:spPr>
              <a:solidFill>
                <a:srgbClr val="984807"/>
              </a:solidFill>
              <a:ln>
                <a:noFill/>
              </a:ln>
            </c:spPr>
          </c:marker>
          <c:cat>
            <c:multiLvlStrRef>
              <c:f>'výkonnost odvětví 2'!$AD$34:$BG$35</c:f>
              <c:multiLvlStrCache>
                <c:ptCount val="3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2'!$AD$37:$BG$37</c:f>
              <c:numCache>
                <c:formatCode>##0.0</c:formatCode>
                <c:ptCount val="30"/>
                <c:pt idx="0">
                  <c:v>2.1530605192999985</c:v>
                </c:pt>
                <c:pt idx="1">
                  <c:v>2.440306231799994</c:v>
                </c:pt>
                <c:pt idx="2">
                  <c:v>4.7510172912000002</c:v>
                </c:pt>
                <c:pt idx="3">
                  <c:v>3.3084884759999937</c:v>
                </c:pt>
                <c:pt idx="4">
                  <c:v>7.6964313707999992</c:v>
                </c:pt>
                <c:pt idx="5">
                  <c:v>5.9656126075999936</c:v>
                </c:pt>
                <c:pt idx="6">
                  <c:v>0.2850715043000065</c:v>
                </c:pt>
                <c:pt idx="7">
                  <c:v>-0.84674153630000148</c:v>
                </c:pt>
                <c:pt idx="8">
                  <c:v>0.84542569580000304</c:v>
                </c:pt>
                <c:pt idx="9">
                  <c:v>-25.680778364399998</c:v>
                </c:pt>
                <c:pt idx="10">
                  <c:v>-3.379983194199994</c:v>
                </c:pt>
                <c:pt idx="11">
                  <c:v>5.566224000099993</c:v>
                </c:pt>
                <c:pt idx="12">
                  <c:v>2.1974604896000045</c:v>
                </c:pt>
                <c:pt idx="13">
                  <c:v>42.25480147670001</c:v>
                </c:pt>
                <c:pt idx="14">
                  <c:v>9.2559519131000059</c:v>
                </c:pt>
                <c:pt idx="15">
                  <c:v>5.7872937478999944</c:v>
                </c:pt>
                <c:pt idx="16">
                  <c:v>8.7544734317999939</c:v>
                </c:pt>
                <c:pt idx="17">
                  <c:v>15.456172620700002</c:v>
                </c:pt>
                <c:pt idx="18">
                  <c:v>26.229187009100002</c:v>
                </c:pt>
                <c:pt idx="19">
                  <c:v>19.258212151699993</c:v>
                </c:pt>
                <c:pt idx="20">
                  <c:v>12.006916020299997</c:v>
                </c:pt>
                <c:pt idx="21">
                  <c:v>2.3167058517999948</c:v>
                </c:pt>
                <c:pt idx="22">
                  <c:v>-6.7984334614999966</c:v>
                </c:pt>
                <c:pt idx="23">
                  <c:v>-0.66746203850000541</c:v>
                </c:pt>
                <c:pt idx="24">
                  <c:v>3.4248518778999966</c:v>
                </c:pt>
                <c:pt idx="25">
                  <c:v>3.1019785433000067</c:v>
                </c:pt>
                <c:pt idx="26">
                  <c:v>7.9508175347999952</c:v>
                </c:pt>
                <c:pt idx="27">
                  <c:v>2.421379928600004</c:v>
                </c:pt>
                <c:pt idx="28">
                  <c:v>-0.14768039070000327</c:v>
                </c:pt>
              </c:numCache>
            </c:numRef>
          </c:val>
          <c:smooth val="0"/>
          <c:extLst>
            <c:ext xmlns:c16="http://schemas.microsoft.com/office/drawing/2014/chart" uri="{C3380CC4-5D6E-409C-BE32-E72D297353CC}">
              <c16:uniqueId val="{00000001-C4BA-4D3D-A976-9A5E8D73B1A8}"/>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2"/>
          <c:order val="2"/>
          <c:tx>
            <c:strRef>
              <c:f>'výkonnost odvětví 2'!$A$38</c:f>
              <c:strCache>
                <c:ptCount val="1"/>
                <c:pt idx="0">
                  <c:v>Využití výrob. kapacit v průmyslu celkem</c:v>
                </c:pt>
              </c:strCache>
            </c:strRef>
          </c:tx>
          <c:spPr>
            <a:ln w="15875">
              <a:solidFill>
                <a:schemeClr val="accent6">
                  <a:lumMod val="75000"/>
                </a:schemeClr>
              </a:solidFill>
            </a:ln>
          </c:spPr>
          <c:marker>
            <c:symbol val="none"/>
          </c:marker>
          <c:cat>
            <c:multiLvlStrRef>
              <c:f>'výkonnost odvětví 2'!$AD$34:$BG$35</c:f>
              <c:multiLvlStrCache>
                <c:ptCount val="3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2'!$AD$38:$BG$38</c:f>
              <c:numCache>
                <c:formatCode>##0.0</c:formatCode>
                <c:ptCount val="30"/>
                <c:pt idx="0">
                  <c:v>85.33</c:v>
                </c:pt>
                <c:pt idx="1">
                  <c:v>84.89</c:v>
                </c:pt>
                <c:pt idx="2">
                  <c:v>85.13</c:v>
                </c:pt>
                <c:pt idx="3">
                  <c:v>84.76</c:v>
                </c:pt>
                <c:pt idx="4">
                  <c:v>84.93</c:v>
                </c:pt>
                <c:pt idx="5">
                  <c:v>85.19</c:v>
                </c:pt>
                <c:pt idx="6">
                  <c:v>83.6</c:v>
                </c:pt>
                <c:pt idx="7">
                  <c:v>83.7</c:v>
                </c:pt>
                <c:pt idx="8">
                  <c:v>84.2</c:v>
                </c:pt>
                <c:pt idx="9">
                  <c:v>70.400000000000006</c:v>
                </c:pt>
                <c:pt idx="10">
                  <c:v>76.3</c:v>
                </c:pt>
                <c:pt idx="11">
                  <c:v>82.7</c:v>
                </c:pt>
                <c:pt idx="12">
                  <c:v>85.8</c:v>
                </c:pt>
                <c:pt idx="13">
                  <c:v>84.4</c:v>
                </c:pt>
                <c:pt idx="14">
                  <c:v>86.41</c:v>
                </c:pt>
                <c:pt idx="15">
                  <c:v>77.599999999999994</c:v>
                </c:pt>
                <c:pt idx="16">
                  <c:v>83.6</c:v>
                </c:pt>
                <c:pt idx="17">
                  <c:v>82.17</c:v>
                </c:pt>
                <c:pt idx="18">
                  <c:v>83.5</c:v>
                </c:pt>
                <c:pt idx="19">
                  <c:v>81.099999999999994</c:v>
                </c:pt>
                <c:pt idx="20">
                  <c:v>81.400000000000006</c:v>
                </c:pt>
                <c:pt idx="21">
                  <c:v>83.7</c:v>
                </c:pt>
                <c:pt idx="22">
                  <c:v>83.5</c:v>
                </c:pt>
                <c:pt idx="23">
                  <c:v>83.6</c:v>
                </c:pt>
                <c:pt idx="24">
                  <c:v>83.1</c:v>
                </c:pt>
                <c:pt idx="25">
                  <c:v>83</c:v>
                </c:pt>
                <c:pt idx="26">
                  <c:v>80.599999999999994</c:v>
                </c:pt>
                <c:pt idx="27">
                  <c:v>82.47</c:v>
                </c:pt>
                <c:pt idx="28">
                  <c:v>82.7</c:v>
                </c:pt>
                <c:pt idx="29">
                  <c:v>83.36</c:v>
                </c:pt>
              </c:numCache>
            </c:numRef>
          </c:val>
          <c:smooth val="0"/>
          <c:extLst>
            <c:ext xmlns:c16="http://schemas.microsoft.com/office/drawing/2014/chart" uri="{C3380CC4-5D6E-409C-BE32-E72D297353CC}">
              <c16:uniqueId val="{00000002-C4BA-4D3D-A976-9A5E8D73B1A8}"/>
            </c:ext>
          </c:extLst>
        </c:ser>
        <c:ser>
          <c:idx val="3"/>
          <c:order val="3"/>
          <c:tx>
            <c:strRef>
              <c:f>'výkonnost odvětví 2'!$A$39</c:f>
              <c:strCache>
                <c:ptCount val="1"/>
                <c:pt idx="0">
                  <c:v>Využití výrob. kapacit v automobil. prům.</c:v>
                </c:pt>
              </c:strCache>
            </c:strRef>
          </c:tx>
          <c:spPr>
            <a:ln w="15875">
              <a:solidFill>
                <a:schemeClr val="accent6">
                  <a:lumMod val="75000"/>
                </a:schemeClr>
              </a:solidFill>
              <a:prstDash val="sysDash"/>
            </a:ln>
          </c:spPr>
          <c:marker>
            <c:symbol val="none"/>
          </c:marker>
          <c:cat>
            <c:multiLvlStrRef>
              <c:f>'výkonnost odvětví 2'!$AD$34:$BG$35</c:f>
              <c:multiLvlStrCache>
                <c:ptCount val="3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2'!$AD$39:$BG$39</c:f>
              <c:numCache>
                <c:formatCode>##0.0</c:formatCode>
                <c:ptCount val="30"/>
                <c:pt idx="0">
                  <c:v>91.4</c:v>
                </c:pt>
                <c:pt idx="1">
                  <c:v>91.3</c:v>
                </c:pt>
                <c:pt idx="2">
                  <c:v>92.9</c:v>
                </c:pt>
                <c:pt idx="3">
                  <c:v>92.5</c:v>
                </c:pt>
                <c:pt idx="4">
                  <c:v>92.9</c:v>
                </c:pt>
                <c:pt idx="5">
                  <c:v>92.7</c:v>
                </c:pt>
                <c:pt idx="6">
                  <c:v>92.8</c:v>
                </c:pt>
                <c:pt idx="7">
                  <c:v>93</c:v>
                </c:pt>
                <c:pt idx="8">
                  <c:v>90.6</c:v>
                </c:pt>
                <c:pt idx="9">
                  <c:v>45</c:v>
                </c:pt>
                <c:pt idx="10">
                  <c:v>79.099999999999994</c:v>
                </c:pt>
                <c:pt idx="11">
                  <c:v>96.9</c:v>
                </c:pt>
                <c:pt idx="12">
                  <c:v>94.9</c:v>
                </c:pt>
                <c:pt idx="13">
                  <c:v>89.6</c:v>
                </c:pt>
                <c:pt idx="14">
                  <c:v>95.3</c:v>
                </c:pt>
                <c:pt idx="15">
                  <c:v>55.8</c:v>
                </c:pt>
                <c:pt idx="16">
                  <c:v>84.5</c:v>
                </c:pt>
                <c:pt idx="17">
                  <c:v>76.7</c:v>
                </c:pt>
                <c:pt idx="18">
                  <c:v>79</c:v>
                </c:pt>
                <c:pt idx="19">
                  <c:v>74.099999999999994</c:v>
                </c:pt>
                <c:pt idx="20">
                  <c:v>79.400000000000006</c:v>
                </c:pt>
                <c:pt idx="21">
                  <c:v>92.7</c:v>
                </c:pt>
                <c:pt idx="22">
                  <c:v>92.2</c:v>
                </c:pt>
                <c:pt idx="23">
                  <c:v>92.2</c:v>
                </c:pt>
                <c:pt idx="24">
                  <c:v>92.7</c:v>
                </c:pt>
                <c:pt idx="25">
                  <c:v>93.5</c:v>
                </c:pt>
                <c:pt idx="26">
                  <c:v>89.9</c:v>
                </c:pt>
                <c:pt idx="27">
                  <c:v>92.9</c:v>
                </c:pt>
                <c:pt idx="28">
                  <c:v>93.100000000000009</c:v>
                </c:pt>
                <c:pt idx="29">
                  <c:v>91.5</c:v>
                </c:pt>
              </c:numCache>
            </c:numRef>
          </c:val>
          <c:smooth val="0"/>
          <c:extLst>
            <c:ext xmlns:c16="http://schemas.microsoft.com/office/drawing/2014/chart" uri="{C3380CC4-5D6E-409C-BE32-E72D297353CC}">
              <c16:uniqueId val="{00000003-C4BA-4D3D-A976-9A5E8D73B1A8}"/>
            </c:ext>
          </c:extLst>
        </c:ser>
        <c:ser>
          <c:idx val="4"/>
          <c:order val="4"/>
          <c:tx>
            <c:strRef>
              <c:f>'výkonnost odvětví 2'!$A$40</c:f>
              <c:strCache>
                <c:ptCount val="1"/>
                <c:pt idx="0">
                  <c:v>Bariéra růstu: nedostatečná poptávka</c:v>
                </c:pt>
              </c:strCache>
            </c:strRef>
          </c:tx>
          <c:spPr>
            <a:ln w="15875">
              <a:solidFill>
                <a:srgbClr val="00B050"/>
              </a:solidFill>
              <a:prstDash val="solid"/>
            </a:ln>
          </c:spPr>
          <c:marker>
            <c:symbol val="none"/>
          </c:marker>
          <c:cat>
            <c:multiLvlStrRef>
              <c:f>'výkonnost odvětví 2'!$AD$34:$BG$35</c:f>
              <c:multiLvlStrCache>
                <c:ptCount val="3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2'!$AD$40:$BG$40</c:f>
              <c:numCache>
                <c:formatCode>#\ ##0.0</c:formatCode>
                <c:ptCount val="30"/>
                <c:pt idx="0">
                  <c:v>35.4</c:v>
                </c:pt>
                <c:pt idx="1">
                  <c:v>36.299999999999997</c:v>
                </c:pt>
                <c:pt idx="2">
                  <c:v>32.4</c:v>
                </c:pt>
                <c:pt idx="3">
                  <c:v>32.9</c:v>
                </c:pt>
                <c:pt idx="4">
                  <c:v>33.799999999999997</c:v>
                </c:pt>
                <c:pt idx="5">
                  <c:v>36.200000000000003</c:v>
                </c:pt>
                <c:pt idx="6">
                  <c:v>41</c:v>
                </c:pt>
                <c:pt idx="7">
                  <c:v>47.1</c:v>
                </c:pt>
                <c:pt idx="8">
                  <c:v>49.8</c:v>
                </c:pt>
                <c:pt idx="9">
                  <c:v>58.8</c:v>
                </c:pt>
                <c:pt idx="10">
                  <c:v>63</c:v>
                </c:pt>
                <c:pt idx="11">
                  <c:v>44.4</c:v>
                </c:pt>
                <c:pt idx="12">
                  <c:v>46.9</c:v>
                </c:pt>
                <c:pt idx="13">
                  <c:v>38.700000000000003</c:v>
                </c:pt>
                <c:pt idx="14">
                  <c:v>25.4</c:v>
                </c:pt>
                <c:pt idx="15">
                  <c:v>27.9</c:v>
                </c:pt>
                <c:pt idx="16">
                  <c:v>29.9</c:v>
                </c:pt>
                <c:pt idx="17">
                  <c:v>21.3</c:v>
                </c:pt>
                <c:pt idx="18">
                  <c:v>18.7</c:v>
                </c:pt>
                <c:pt idx="19">
                  <c:v>29.4</c:v>
                </c:pt>
                <c:pt idx="20">
                  <c:v>42.5</c:v>
                </c:pt>
                <c:pt idx="21">
                  <c:v>42</c:v>
                </c:pt>
                <c:pt idx="22">
                  <c:v>44.3</c:v>
                </c:pt>
                <c:pt idx="23">
                  <c:v>46.2</c:v>
                </c:pt>
                <c:pt idx="24">
                  <c:v>47.5</c:v>
                </c:pt>
                <c:pt idx="25">
                  <c:v>49.8</c:v>
                </c:pt>
                <c:pt idx="26">
                  <c:v>52</c:v>
                </c:pt>
                <c:pt idx="27">
                  <c:v>49</c:v>
                </c:pt>
                <c:pt idx="28">
                  <c:v>63.5</c:v>
                </c:pt>
                <c:pt idx="29">
                  <c:v>51.7</c:v>
                </c:pt>
              </c:numCache>
            </c:numRef>
          </c:val>
          <c:smooth val="0"/>
          <c:extLst>
            <c:ext xmlns:c16="http://schemas.microsoft.com/office/drawing/2014/chart" uri="{C3380CC4-5D6E-409C-BE32-E72D297353CC}">
              <c16:uniqueId val="{00000004-C4BA-4D3D-A976-9A5E8D73B1A8}"/>
            </c:ext>
          </c:extLst>
        </c:ser>
        <c:ser>
          <c:idx val="5"/>
          <c:order val="5"/>
          <c:tx>
            <c:strRef>
              <c:f>'výkonnost odvětví 2'!$A$41</c:f>
              <c:strCache>
                <c:ptCount val="1"/>
                <c:pt idx="0">
                  <c:v>Bariéra růstu: nedostatek pracovníků</c:v>
                </c:pt>
              </c:strCache>
            </c:strRef>
          </c:tx>
          <c:spPr>
            <a:ln w="15875">
              <a:solidFill>
                <a:srgbClr val="6FE772"/>
              </a:solidFill>
              <a:prstDash val="solid"/>
            </a:ln>
          </c:spPr>
          <c:marker>
            <c:symbol val="none"/>
          </c:marker>
          <c:cat>
            <c:multiLvlStrRef>
              <c:f>'výkonnost odvětví 2'!$AD$34:$BG$35</c:f>
              <c:multiLvlStrCache>
                <c:ptCount val="3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2'!$AD$41:$BG$41</c:f>
              <c:numCache>
                <c:formatCode>#\ ##0.0</c:formatCode>
                <c:ptCount val="30"/>
                <c:pt idx="0">
                  <c:v>43.5</c:v>
                </c:pt>
                <c:pt idx="1">
                  <c:v>42.3</c:v>
                </c:pt>
                <c:pt idx="2">
                  <c:v>43.2</c:v>
                </c:pt>
                <c:pt idx="3">
                  <c:v>46.3</c:v>
                </c:pt>
                <c:pt idx="4">
                  <c:v>39</c:v>
                </c:pt>
                <c:pt idx="5">
                  <c:v>35.1</c:v>
                </c:pt>
                <c:pt idx="6">
                  <c:v>40.200000000000003</c:v>
                </c:pt>
                <c:pt idx="7">
                  <c:v>39.200000000000003</c:v>
                </c:pt>
                <c:pt idx="8">
                  <c:v>27.7</c:v>
                </c:pt>
                <c:pt idx="9">
                  <c:v>13.5</c:v>
                </c:pt>
                <c:pt idx="10">
                  <c:v>16.7</c:v>
                </c:pt>
                <c:pt idx="11">
                  <c:v>17.600000000000001</c:v>
                </c:pt>
                <c:pt idx="12">
                  <c:v>22</c:v>
                </c:pt>
                <c:pt idx="13">
                  <c:v>18.399999999999999</c:v>
                </c:pt>
                <c:pt idx="14">
                  <c:v>27.6</c:v>
                </c:pt>
                <c:pt idx="15">
                  <c:v>22.6</c:v>
                </c:pt>
                <c:pt idx="16">
                  <c:v>24.9</c:v>
                </c:pt>
                <c:pt idx="17">
                  <c:v>18.600000000000001</c:v>
                </c:pt>
                <c:pt idx="18">
                  <c:v>26.1</c:v>
                </c:pt>
                <c:pt idx="19">
                  <c:v>24.9</c:v>
                </c:pt>
                <c:pt idx="20">
                  <c:v>16.600000000000001</c:v>
                </c:pt>
                <c:pt idx="21">
                  <c:v>20.6</c:v>
                </c:pt>
                <c:pt idx="22">
                  <c:v>18.899999999999999</c:v>
                </c:pt>
                <c:pt idx="23">
                  <c:v>22.5</c:v>
                </c:pt>
                <c:pt idx="24">
                  <c:v>14.6</c:v>
                </c:pt>
                <c:pt idx="25">
                  <c:v>11.8</c:v>
                </c:pt>
                <c:pt idx="26">
                  <c:v>12.8</c:v>
                </c:pt>
                <c:pt idx="27">
                  <c:v>17.8</c:v>
                </c:pt>
                <c:pt idx="28">
                  <c:v>13.2</c:v>
                </c:pt>
                <c:pt idx="29">
                  <c:v>10.6</c:v>
                </c:pt>
              </c:numCache>
            </c:numRef>
          </c:val>
          <c:smooth val="0"/>
          <c:extLst>
            <c:ext xmlns:c16="http://schemas.microsoft.com/office/drawing/2014/chart" uri="{C3380CC4-5D6E-409C-BE32-E72D297353CC}">
              <c16:uniqueId val="{00000005-C4BA-4D3D-A976-9A5E8D73B1A8}"/>
            </c:ext>
          </c:extLst>
        </c:ser>
        <c:ser>
          <c:idx val="6"/>
          <c:order val="6"/>
          <c:tx>
            <c:strRef>
              <c:f>'výkonnost odvětví 2'!$A$42</c:f>
              <c:strCache>
                <c:ptCount val="1"/>
                <c:pt idx="0">
                  <c:v>Bariéra růstu: nedost. materiálu a zařízení</c:v>
                </c:pt>
              </c:strCache>
            </c:strRef>
          </c:tx>
          <c:spPr>
            <a:ln w="15875">
              <a:solidFill>
                <a:schemeClr val="accent3">
                  <a:lumMod val="75000"/>
                </a:schemeClr>
              </a:solidFill>
              <a:prstDash val="dash"/>
            </a:ln>
          </c:spPr>
          <c:marker>
            <c:symbol val="none"/>
          </c:marker>
          <c:cat>
            <c:multiLvlStrRef>
              <c:f>'výkonnost odvětví 2'!$AD$34:$BG$35</c:f>
              <c:multiLvlStrCache>
                <c:ptCount val="3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2'!$AD$42:$BG$42</c:f>
              <c:numCache>
                <c:formatCode>#\ ##0.0</c:formatCode>
                <c:ptCount val="30"/>
                <c:pt idx="0">
                  <c:v>11.9</c:v>
                </c:pt>
                <c:pt idx="1">
                  <c:v>11.7</c:v>
                </c:pt>
                <c:pt idx="2">
                  <c:v>13.9</c:v>
                </c:pt>
                <c:pt idx="3">
                  <c:v>23.5</c:v>
                </c:pt>
                <c:pt idx="4">
                  <c:v>26.4</c:v>
                </c:pt>
                <c:pt idx="5">
                  <c:v>24.7</c:v>
                </c:pt>
                <c:pt idx="6">
                  <c:v>22</c:v>
                </c:pt>
                <c:pt idx="7">
                  <c:v>10.5</c:v>
                </c:pt>
                <c:pt idx="8">
                  <c:v>17.899999999999999</c:v>
                </c:pt>
                <c:pt idx="9">
                  <c:v>10.199999999999999</c:v>
                </c:pt>
                <c:pt idx="10">
                  <c:v>6.7</c:v>
                </c:pt>
                <c:pt idx="11">
                  <c:v>10.9</c:v>
                </c:pt>
                <c:pt idx="12">
                  <c:v>23.1</c:v>
                </c:pt>
                <c:pt idx="13">
                  <c:v>32.1</c:v>
                </c:pt>
                <c:pt idx="14">
                  <c:v>45.9</c:v>
                </c:pt>
                <c:pt idx="15">
                  <c:v>41.2</c:v>
                </c:pt>
                <c:pt idx="16">
                  <c:v>39.299999999999997</c:v>
                </c:pt>
                <c:pt idx="17">
                  <c:v>47.8</c:v>
                </c:pt>
                <c:pt idx="18">
                  <c:v>53.4</c:v>
                </c:pt>
                <c:pt idx="19">
                  <c:v>46.4</c:v>
                </c:pt>
                <c:pt idx="20">
                  <c:v>37.4</c:v>
                </c:pt>
                <c:pt idx="21">
                  <c:v>32.5</c:v>
                </c:pt>
                <c:pt idx="22">
                  <c:v>20.6</c:v>
                </c:pt>
                <c:pt idx="23">
                  <c:v>17.100000000000001</c:v>
                </c:pt>
                <c:pt idx="24">
                  <c:v>32.700000000000003</c:v>
                </c:pt>
                <c:pt idx="25">
                  <c:v>28.1</c:v>
                </c:pt>
                <c:pt idx="26">
                  <c:v>13</c:v>
                </c:pt>
                <c:pt idx="27">
                  <c:v>24.7</c:v>
                </c:pt>
                <c:pt idx="28">
                  <c:v>11.9</c:v>
                </c:pt>
                <c:pt idx="29">
                  <c:v>25</c:v>
                </c:pt>
              </c:numCache>
            </c:numRef>
          </c:val>
          <c:smooth val="0"/>
          <c:extLst>
            <c:ext xmlns:c16="http://schemas.microsoft.com/office/drawing/2014/chart" uri="{C3380CC4-5D6E-409C-BE32-E72D297353CC}">
              <c16:uniqueId val="{00000006-C4BA-4D3D-A976-9A5E8D73B1A8}"/>
            </c:ext>
          </c:extLst>
        </c:ser>
        <c:ser>
          <c:idx val="7"/>
          <c:order val="7"/>
          <c:tx>
            <c:strRef>
              <c:f>'výkonnost odvětví 2'!$A$43</c:f>
              <c:strCache>
                <c:ptCount val="1"/>
                <c:pt idx="0">
                  <c:v>Saldo souhrn. indik. důvěry v průmyslu</c:v>
                </c:pt>
              </c:strCache>
            </c:strRef>
          </c:tx>
          <c:spPr>
            <a:ln w="15875">
              <a:solidFill>
                <a:schemeClr val="bg1">
                  <a:lumMod val="65000"/>
                </a:schemeClr>
              </a:solidFill>
              <a:prstDash val="sysDot"/>
            </a:ln>
          </c:spPr>
          <c:marker>
            <c:symbol val="circle"/>
            <c:size val="5"/>
            <c:spPr>
              <a:solidFill>
                <a:srgbClr val="FFFF00"/>
              </a:solidFill>
              <a:ln>
                <a:solidFill>
                  <a:schemeClr val="tx1">
                    <a:lumMod val="50000"/>
                    <a:lumOff val="50000"/>
                  </a:schemeClr>
                </a:solidFill>
              </a:ln>
            </c:spPr>
          </c:marker>
          <c:cat>
            <c:multiLvlStrRef>
              <c:f>'výkonnost odvětví 2'!$AD$34:$BG$35</c:f>
              <c:multiLvlStrCache>
                <c:ptCount val="30"/>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lvl>
                <c:lvl>
                  <c:pt idx="0">
                    <c:v>2018</c:v>
                  </c:pt>
                  <c:pt idx="4">
                    <c:v>2019</c:v>
                  </c:pt>
                  <c:pt idx="8">
                    <c:v>2020</c:v>
                  </c:pt>
                  <c:pt idx="12">
                    <c:v>2021</c:v>
                  </c:pt>
                  <c:pt idx="16">
                    <c:v>2022</c:v>
                  </c:pt>
                  <c:pt idx="20">
                    <c:v>2023</c:v>
                  </c:pt>
                  <c:pt idx="24">
                    <c:v>2024</c:v>
                  </c:pt>
                  <c:pt idx="28">
                    <c:v>2025</c:v>
                  </c:pt>
                </c:lvl>
              </c:multiLvlStrCache>
            </c:multiLvlStrRef>
          </c:cat>
          <c:val>
            <c:numRef>
              <c:f>'výkonnost odvětví 2'!$AD$43:$BG$43</c:f>
              <c:numCache>
                <c:formatCode>#\ ##0.0</c:formatCode>
                <c:ptCount val="30"/>
                <c:pt idx="0">
                  <c:v>3.7</c:v>
                </c:pt>
                <c:pt idx="1">
                  <c:v>2</c:v>
                </c:pt>
                <c:pt idx="2">
                  <c:v>2.2999999999999998</c:v>
                </c:pt>
                <c:pt idx="3">
                  <c:v>2.2999999999999998</c:v>
                </c:pt>
                <c:pt idx="4">
                  <c:v>0.3</c:v>
                </c:pt>
                <c:pt idx="5">
                  <c:v>-2</c:v>
                </c:pt>
                <c:pt idx="6">
                  <c:v>-3</c:v>
                </c:pt>
                <c:pt idx="7">
                  <c:v>-6.7</c:v>
                </c:pt>
                <c:pt idx="8">
                  <c:v>-5</c:v>
                </c:pt>
                <c:pt idx="9">
                  <c:v>-25</c:v>
                </c:pt>
                <c:pt idx="10">
                  <c:v>-6.3</c:v>
                </c:pt>
                <c:pt idx="11">
                  <c:v>-10</c:v>
                </c:pt>
                <c:pt idx="12">
                  <c:v>-1.3</c:v>
                </c:pt>
                <c:pt idx="13">
                  <c:v>5.3</c:v>
                </c:pt>
                <c:pt idx="14">
                  <c:v>-1.3</c:v>
                </c:pt>
                <c:pt idx="15">
                  <c:v>-5.3</c:v>
                </c:pt>
                <c:pt idx="16">
                  <c:v>-0.3</c:v>
                </c:pt>
                <c:pt idx="17">
                  <c:v>8.3000000000000007</c:v>
                </c:pt>
                <c:pt idx="18">
                  <c:v>-1.7</c:v>
                </c:pt>
                <c:pt idx="19">
                  <c:v>-8.3000000000000007</c:v>
                </c:pt>
                <c:pt idx="20">
                  <c:v>-10.1</c:v>
                </c:pt>
                <c:pt idx="21">
                  <c:v>-7</c:v>
                </c:pt>
                <c:pt idx="22">
                  <c:v>-7</c:v>
                </c:pt>
                <c:pt idx="23">
                  <c:v>-6</c:v>
                </c:pt>
                <c:pt idx="24">
                  <c:v>-14</c:v>
                </c:pt>
                <c:pt idx="25">
                  <c:v>-8.6999999999999993</c:v>
                </c:pt>
                <c:pt idx="26">
                  <c:v>-7.7</c:v>
                </c:pt>
                <c:pt idx="27">
                  <c:v>-8.3000000000000007</c:v>
                </c:pt>
                <c:pt idx="28">
                  <c:v>-6</c:v>
                </c:pt>
                <c:pt idx="29">
                  <c:v>-5.3</c:v>
                </c:pt>
              </c:numCache>
            </c:numRef>
          </c:val>
          <c:smooth val="0"/>
          <c:extLst>
            <c:ext xmlns:c16="http://schemas.microsoft.com/office/drawing/2014/chart" uri="{C3380CC4-5D6E-409C-BE32-E72D297353CC}">
              <c16:uniqueId val="{00000007-C4BA-4D3D-A976-9A5E8D73B1A8}"/>
            </c:ext>
          </c:extLst>
        </c:ser>
        <c:dLbls>
          <c:showLegendKey val="0"/>
          <c:showVal val="0"/>
          <c:showCatName val="0"/>
          <c:showSerName val="0"/>
          <c:showPercent val="0"/>
          <c:showBubbleSize val="0"/>
        </c:dLbls>
        <c:marker val="1"/>
        <c:smooth val="0"/>
        <c:axId val="1239819375"/>
        <c:axId val="1239826863"/>
      </c:lineChart>
      <c:catAx>
        <c:axId val="112768128"/>
        <c:scaling>
          <c:orientation val="minMax"/>
        </c:scaling>
        <c:delete val="0"/>
        <c:axPos val="b"/>
        <c:numFmt formatCode="General" sourceLinked="1"/>
        <c:majorTickMark val="out"/>
        <c:minorTickMark val="none"/>
        <c:tickLblPos val="low"/>
        <c:crossAx val="112769664"/>
        <c:crosses val="autoZero"/>
        <c:auto val="1"/>
        <c:lblAlgn val="ctr"/>
        <c:lblOffset val="0"/>
        <c:noMultiLvlLbl val="0"/>
      </c:catAx>
      <c:valAx>
        <c:axId val="112769664"/>
        <c:scaling>
          <c:orientation val="minMax"/>
          <c:max val="90"/>
          <c:min val="-40"/>
        </c:scaling>
        <c:delete val="0"/>
        <c:axPos val="l"/>
        <c:majorGridlines>
          <c:spPr>
            <a:ln>
              <a:solidFill>
                <a:srgbClr val="BEBEBE"/>
              </a:solidFill>
            </a:ln>
          </c:spPr>
        </c:majorGridlines>
        <c:title>
          <c:tx>
            <c:rich>
              <a:bodyPr/>
              <a:lstStyle/>
              <a:p>
                <a:pPr>
                  <a:defRPr sz="700" b="0" i="1"/>
                </a:pPr>
                <a:r>
                  <a:rPr lang="cs-CZ" sz="700" b="0" i="1"/>
                  <a:t>Zakázky</a:t>
                </a:r>
              </a:p>
            </c:rich>
          </c:tx>
          <c:layout/>
          <c:overlay val="0"/>
        </c:title>
        <c:numFmt formatCode="0" sourceLinked="0"/>
        <c:majorTickMark val="out"/>
        <c:minorTickMark val="none"/>
        <c:tickLblPos val="nextTo"/>
        <c:crossAx val="112768128"/>
        <c:crosses val="autoZero"/>
        <c:crossBetween val="between"/>
        <c:majorUnit val="10"/>
      </c:valAx>
      <c:valAx>
        <c:axId val="1239826863"/>
        <c:scaling>
          <c:orientation val="minMax"/>
          <c:max val="100"/>
          <c:min val="-30"/>
        </c:scaling>
        <c:delete val="0"/>
        <c:axPos val="r"/>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700" b="0" i="1"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cs-CZ" sz="700" b="0" i="1"/>
                  <a:t>Využití výrob.</a:t>
                </a:r>
                <a:r>
                  <a:rPr lang="cs-CZ" sz="700" b="0" i="1" baseline="0"/>
                  <a:t> </a:t>
                </a:r>
                <a:r>
                  <a:rPr lang="cs-CZ" sz="700" b="0" i="1"/>
                  <a:t>kapacit, bariéry růstu, </a:t>
                </a:r>
                <a:r>
                  <a:rPr lang="cs-CZ" sz="700" b="0" i="1" baseline="0">
                    <a:effectLst/>
                  </a:rPr>
                  <a:t>saldo důvěry</a:t>
                </a:r>
                <a:endParaRPr lang="cs-CZ" sz="700" i="1">
                  <a:effectLst/>
                </a:endParaRPr>
              </a:p>
            </c:rich>
          </c:tx>
          <c:layout/>
          <c:overlay val="0"/>
        </c:title>
        <c:numFmt formatCode="#,##0" sourceLinked="0"/>
        <c:majorTickMark val="out"/>
        <c:minorTickMark val="none"/>
        <c:tickLblPos val="nextTo"/>
        <c:crossAx val="1239819375"/>
        <c:crosses val="max"/>
        <c:crossBetween val="between"/>
        <c:majorUnit val="10"/>
      </c:valAx>
      <c:catAx>
        <c:axId val="1239819375"/>
        <c:scaling>
          <c:orientation val="minMax"/>
        </c:scaling>
        <c:delete val="1"/>
        <c:axPos val="b"/>
        <c:numFmt formatCode="General" sourceLinked="1"/>
        <c:majorTickMark val="out"/>
        <c:minorTickMark val="none"/>
        <c:tickLblPos val="nextTo"/>
        <c:crossAx val="1239826863"/>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5.0624233317308007E-3"/>
          <c:y val="0.85586452851148542"/>
          <c:w val="0.99016081878579243"/>
          <c:h val="0.13715127117944995"/>
        </c:manualLayout>
      </c:layout>
      <c:overlay val="0"/>
      <c:spPr>
        <a:ln w="6350">
          <a:solidFill>
            <a:prstClr val="black">
              <a:lumMod val="95000"/>
              <a:lumOff val="5000"/>
            </a:prstClr>
          </a:solidFill>
        </a:ln>
      </c:spPr>
      <c:txPr>
        <a:bodyPr/>
        <a:lstStyle/>
        <a:p>
          <a:pPr>
            <a:defRPr sz="78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95346289980312E-2"/>
          <c:y val="1.5663550999370279E-2"/>
          <c:w val="0.85237839893753009"/>
          <c:h val="0.75413191483370345"/>
        </c:manualLayout>
      </c:layout>
      <c:barChart>
        <c:barDir val="col"/>
        <c:grouping val="stacked"/>
        <c:varyColors val="0"/>
        <c:ser>
          <c:idx val="1"/>
          <c:order val="1"/>
          <c:tx>
            <c:strRef>
              <c:f>'výkonnost odvětví 3'!$Y$10</c:f>
              <c:strCache>
                <c:ptCount val="1"/>
                <c:pt idx="0">
                  <c:v>Pozemní stavitelství (příspěvek v p. b.)</c:v>
                </c:pt>
              </c:strCache>
            </c:strRef>
          </c:tx>
          <c:spPr>
            <a:solidFill>
              <a:schemeClr val="accent5">
                <a:lumMod val="60000"/>
                <a:lumOff val="40000"/>
              </a:schemeClr>
            </a:solidFill>
            <a:ln>
              <a:noFill/>
            </a:ln>
          </c:spPr>
          <c:invertIfNegative val="0"/>
          <c:cat>
            <c:multiLvlStrRef>
              <c:f>'výkonnost odvětví 3'!$V$39:$W$72</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3'!$Y$39:$Y$72</c:f>
              <c:numCache>
                <c:formatCode>0.0</c:formatCode>
                <c:ptCount val="34"/>
                <c:pt idx="0">
                  <c:v>1.818439140996319</c:v>
                </c:pt>
                <c:pt idx="1">
                  <c:v>9.5161866462127662</c:v>
                </c:pt>
                <c:pt idx="2">
                  <c:v>3.2650480956647083</c:v>
                </c:pt>
                <c:pt idx="3">
                  <c:v>2.30805126241866</c:v>
                </c:pt>
                <c:pt idx="4">
                  <c:v>13.039459362857237</c:v>
                </c:pt>
                <c:pt idx="5">
                  <c:v>5.6850806062932753</c:v>
                </c:pt>
                <c:pt idx="6">
                  <c:v>7.036028465591686</c:v>
                </c:pt>
                <c:pt idx="7">
                  <c:v>2.3869078764089537</c:v>
                </c:pt>
                <c:pt idx="8">
                  <c:v>2.4727635166988868</c:v>
                </c:pt>
                <c:pt idx="9">
                  <c:v>2.9341574628565144</c:v>
                </c:pt>
                <c:pt idx="10">
                  <c:v>-0.67535503037810629</c:v>
                </c:pt>
                <c:pt idx="11">
                  <c:v>1.7116954805541678</c:v>
                </c:pt>
                <c:pt idx="12">
                  <c:v>-0.69584807703082285</c:v>
                </c:pt>
                <c:pt idx="13">
                  <c:v>-7.7523651483361782</c:v>
                </c:pt>
                <c:pt idx="14">
                  <c:v>-7.0746219815718145</c:v>
                </c:pt>
                <c:pt idx="15">
                  <c:v>-7.7412314636348389</c:v>
                </c:pt>
                <c:pt idx="16">
                  <c:v>-5.0539292235061861</c:v>
                </c:pt>
                <c:pt idx="17">
                  <c:v>2.4865808366808313</c:v>
                </c:pt>
                <c:pt idx="18">
                  <c:v>2.6946045955303819</c:v>
                </c:pt>
                <c:pt idx="19">
                  <c:v>5.4044217734935511</c:v>
                </c:pt>
                <c:pt idx="20">
                  <c:v>7.2807115698045832</c:v>
                </c:pt>
                <c:pt idx="21">
                  <c:v>3.5238839285832766</c:v>
                </c:pt>
                <c:pt idx="22">
                  <c:v>-0.75968306106850436</c:v>
                </c:pt>
                <c:pt idx="23">
                  <c:v>-1.4637584519464966</c:v>
                </c:pt>
                <c:pt idx="24">
                  <c:v>2.1012015934473456</c:v>
                </c:pt>
                <c:pt idx="25">
                  <c:v>-1.8360311266233653</c:v>
                </c:pt>
                <c:pt idx="26">
                  <c:v>-0.46734144058513133</c:v>
                </c:pt>
                <c:pt idx="27">
                  <c:v>-2.3406753344723099</c:v>
                </c:pt>
                <c:pt idx="28">
                  <c:v>-5.2233662988080329</c:v>
                </c:pt>
                <c:pt idx="29">
                  <c:v>-3.132066680680627</c:v>
                </c:pt>
                <c:pt idx="30">
                  <c:v>-1.8237576192061364</c:v>
                </c:pt>
                <c:pt idx="31">
                  <c:v>1.6843533400760768</c:v>
                </c:pt>
                <c:pt idx="32">
                  <c:v>5.1718044403199617</c:v>
                </c:pt>
              </c:numCache>
            </c:numRef>
          </c:val>
          <c:extLst>
            <c:ext xmlns:c16="http://schemas.microsoft.com/office/drawing/2014/chart" uri="{C3380CC4-5D6E-409C-BE32-E72D297353CC}">
              <c16:uniqueId val="{00000000-16BD-481C-8982-B29B4B30AF12}"/>
            </c:ext>
          </c:extLst>
        </c:ser>
        <c:ser>
          <c:idx val="2"/>
          <c:order val="2"/>
          <c:tx>
            <c:strRef>
              <c:f>'výkonnost odvětví 3'!$Z$10</c:f>
              <c:strCache>
                <c:ptCount val="1"/>
                <c:pt idx="0">
                  <c:v>Inženýrské stavitelství (příspěvek v p. b.)</c:v>
                </c:pt>
              </c:strCache>
            </c:strRef>
          </c:tx>
          <c:spPr>
            <a:solidFill>
              <a:schemeClr val="accent2">
                <a:lumMod val="60000"/>
                <a:lumOff val="40000"/>
              </a:schemeClr>
            </a:solidFill>
            <a:ln>
              <a:noFill/>
            </a:ln>
          </c:spPr>
          <c:invertIfNegative val="0"/>
          <c:cat>
            <c:multiLvlStrRef>
              <c:f>'výkonnost odvětví 3'!$V$39:$W$72</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3'!$Z$39:$Z$72</c:f>
              <c:numCache>
                <c:formatCode>0.0</c:formatCode>
                <c:ptCount val="34"/>
                <c:pt idx="0">
                  <c:v>-4.1473356084740605</c:v>
                </c:pt>
                <c:pt idx="1">
                  <c:v>-1.1362269417632547</c:v>
                </c:pt>
                <c:pt idx="2">
                  <c:v>-1.6997694917449739</c:v>
                </c:pt>
                <c:pt idx="3">
                  <c:v>0.18912136047288933</c:v>
                </c:pt>
                <c:pt idx="4">
                  <c:v>2.313855161184069</c:v>
                </c:pt>
                <c:pt idx="5">
                  <c:v>1.4433818342413158</c:v>
                </c:pt>
                <c:pt idx="6">
                  <c:v>5.805340800033207</c:v>
                </c:pt>
                <c:pt idx="7">
                  <c:v>2.0257219814852485</c:v>
                </c:pt>
                <c:pt idx="8">
                  <c:v>2.8832113797347176</c:v>
                </c:pt>
                <c:pt idx="9">
                  <c:v>2.2916559515195796</c:v>
                </c:pt>
                <c:pt idx="10">
                  <c:v>0.1275103650053056</c:v>
                </c:pt>
                <c:pt idx="11">
                  <c:v>0.80716183036284428</c:v>
                </c:pt>
                <c:pt idx="12">
                  <c:v>2.6239699221333534</c:v>
                </c:pt>
                <c:pt idx="13">
                  <c:v>0.26317252359280197</c:v>
                </c:pt>
                <c:pt idx="14">
                  <c:v>-3.3347591135837273</c:v>
                </c:pt>
                <c:pt idx="15">
                  <c:v>-0.42839192125115316</c:v>
                </c:pt>
                <c:pt idx="16">
                  <c:v>-0.40015113950465764</c:v>
                </c:pt>
                <c:pt idx="17">
                  <c:v>1.8498894558184362</c:v>
                </c:pt>
                <c:pt idx="18">
                  <c:v>0.52645242002623938</c:v>
                </c:pt>
                <c:pt idx="19">
                  <c:v>-1.0593646577217053</c:v>
                </c:pt>
                <c:pt idx="20">
                  <c:v>5.3468381276166594</c:v>
                </c:pt>
                <c:pt idx="21">
                  <c:v>1.3467689752632395</c:v>
                </c:pt>
                <c:pt idx="22">
                  <c:v>0.66666512746475126</c:v>
                </c:pt>
                <c:pt idx="23">
                  <c:v>1.4258650441000595</c:v>
                </c:pt>
                <c:pt idx="24">
                  <c:v>-3.8445215573967073</c:v>
                </c:pt>
                <c:pt idx="25">
                  <c:v>-2.3468373421599518</c:v>
                </c:pt>
                <c:pt idx="26">
                  <c:v>-0.12146120541727029</c:v>
                </c:pt>
                <c:pt idx="27">
                  <c:v>-0.57085430930878567</c:v>
                </c:pt>
                <c:pt idx="28">
                  <c:v>1.1802728503645525</c:v>
                </c:pt>
                <c:pt idx="29">
                  <c:v>-1.460937175682947</c:v>
                </c:pt>
                <c:pt idx="30">
                  <c:v>0.2804382352831713</c:v>
                </c:pt>
                <c:pt idx="31">
                  <c:v>1.5105680199159426</c:v>
                </c:pt>
                <c:pt idx="32">
                  <c:v>2.0157205881259377</c:v>
                </c:pt>
              </c:numCache>
            </c:numRef>
          </c:val>
          <c:extLst>
            <c:ext xmlns:c16="http://schemas.microsoft.com/office/drawing/2014/chart" uri="{C3380CC4-5D6E-409C-BE32-E72D297353CC}">
              <c16:uniqueId val="{00000001-16BD-481C-8982-B29B4B30AF12}"/>
            </c:ext>
          </c:extLst>
        </c:ser>
        <c:dLbls>
          <c:showLegendKey val="0"/>
          <c:showVal val="0"/>
          <c:showCatName val="0"/>
          <c:showSerName val="0"/>
          <c:showPercent val="0"/>
          <c:showBubbleSize val="0"/>
        </c:dLbls>
        <c:gapWidth val="30"/>
        <c:overlap val="100"/>
        <c:axId val="112768128"/>
        <c:axId val="112769664"/>
      </c:barChart>
      <c:lineChart>
        <c:grouping val="standard"/>
        <c:varyColors val="0"/>
        <c:ser>
          <c:idx val="0"/>
          <c:order val="0"/>
          <c:tx>
            <c:strRef>
              <c:f>'výkonnost odvětví 3'!$X$10</c:f>
              <c:strCache>
                <c:ptCount val="1"/>
                <c:pt idx="0">
                  <c:v>Celková stavební produkce</c:v>
                </c:pt>
              </c:strCache>
            </c:strRef>
          </c:tx>
          <c:spPr>
            <a:ln>
              <a:noFill/>
            </a:ln>
          </c:spPr>
          <c:marker>
            <c:symbol val="dash"/>
            <c:size val="5"/>
            <c:spPr>
              <a:solidFill>
                <a:schemeClr val="bg1"/>
              </a:solidFill>
              <a:ln>
                <a:solidFill>
                  <a:schemeClr val="tx1">
                    <a:lumMod val="95000"/>
                    <a:lumOff val="5000"/>
                  </a:schemeClr>
                </a:solidFill>
              </a:ln>
            </c:spPr>
          </c:marker>
          <c:cat>
            <c:multiLvlStrRef>
              <c:f>'výkonnost odvětví 3'!$V$39:$W$72</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3'!$X$39:$X$72</c:f>
              <c:numCache>
                <c:formatCode>0.0</c:formatCode>
                <c:ptCount val="34"/>
                <c:pt idx="0">
                  <c:v>-2.3288964674777333</c:v>
                </c:pt>
                <c:pt idx="1">
                  <c:v>8.3799597044495187</c:v>
                </c:pt>
                <c:pt idx="2">
                  <c:v>1.5652786039197082</c:v>
                </c:pt>
                <c:pt idx="3">
                  <c:v>2.4971726228915543</c:v>
                </c:pt>
                <c:pt idx="4">
                  <c:v>15.353314524041323</c:v>
                </c:pt>
                <c:pt idx="5">
                  <c:v>7.1284624405346051</c:v>
                </c:pt>
                <c:pt idx="6">
                  <c:v>12.84136926562492</c:v>
                </c:pt>
                <c:pt idx="7">
                  <c:v>4.4126298578942169</c:v>
                </c:pt>
                <c:pt idx="8">
                  <c:v>5.355974896433608</c:v>
                </c:pt>
                <c:pt idx="9">
                  <c:v>5.2258134143760628</c:v>
                </c:pt>
                <c:pt idx="10">
                  <c:v>-0.54784466537280707</c:v>
                </c:pt>
                <c:pt idx="11">
                  <c:v>2.5188573109169852</c:v>
                </c:pt>
                <c:pt idx="12">
                  <c:v>1.9281218451025097</c:v>
                </c:pt>
                <c:pt idx="13">
                  <c:v>-7.4891926247433389</c:v>
                </c:pt>
                <c:pt idx="14">
                  <c:v>-10.409381095155538</c:v>
                </c:pt>
                <c:pt idx="15">
                  <c:v>-8.1696233848859805</c:v>
                </c:pt>
                <c:pt idx="16">
                  <c:v>-5.4458057309511361</c:v>
                </c:pt>
                <c:pt idx="17">
                  <c:v>4.3456017930412685</c:v>
                </c:pt>
                <c:pt idx="18">
                  <c:v>3.230090891938147</c:v>
                </c:pt>
                <c:pt idx="19">
                  <c:v>4.3541893665775149</c:v>
                </c:pt>
                <c:pt idx="20">
                  <c:v>12.627549701080227</c:v>
                </c:pt>
                <c:pt idx="21">
                  <c:v>4.8706529041971294</c:v>
                </c:pt>
                <c:pt idx="22">
                  <c:v>-9.3017933737669978E-2</c:v>
                </c:pt>
                <c:pt idx="23">
                  <c:v>-3.7893409606866157E-2</c:v>
                </c:pt>
                <c:pt idx="24">
                  <c:v>-1.743319961848357</c:v>
                </c:pt>
                <c:pt idx="25">
                  <c:v>-4.182868473690263</c:v>
                </c:pt>
                <c:pt idx="26">
                  <c:v>-0.58880264849905473</c:v>
                </c:pt>
                <c:pt idx="27">
                  <c:v>-2.9115296427945481</c:v>
                </c:pt>
                <c:pt idx="28">
                  <c:v>-4.0430934542884103</c:v>
                </c:pt>
                <c:pt idx="29">
                  <c:v>-4.5930038541579563</c:v>
                </c:pt>
                <c:pt idx="30">
                  <c:v>-1.5433193771210654</c:v>
                </c:pt>
                <c:pt idx="31">
                  <c:v>3.1949213595404018</c:v>
                </c:pt>
                <c:pt idx="32">
                  <c:v>7.1875250278086895</c:v>
                </c:pt>
              </c:numCache>
            </c:numRef>
          </c:val>
          <c:smooth val="0"/>
          <c:extLst>
            <c:ext xmlns:c16="http://schemas.microsoft.com/office/drawing/2014/chart" uri="{C3380CC4-5D6E-409C-BE32-E72D297353CC}">
              <c16:uniqueId val="{00000002-16BD-481C-8982-B29B4B30AF12}"/>
            </c:ext>
          </c:extLst>
        </c:ser>
        <c:ser>
          <c:idx val="3"/>
          <c:order val="3"/>
          <c:tx>
            <c:strRef>
              <c:f>'výkonnost odvětví 3'!$AA$10</c:f>
              <c:strCache>
                <c:ptCount val="1"/>
                <c:pt idx="0">
                  <c:v>Nové stavební zakázky v tuzemsku</c:v>
                </c:pt>
              </c:strCache>
            </c:strRef>
          </c:tx>
          <c:spPr>
            <a:ln w="9525">
              <a:solidFill>
                <a:srgbClr val="984807"/>
              </a:solidFill>
              <a:prstDash val="sysDot"/>
            </a:ln>
          </c:spPr>
          <c:marker>
            <c:symbol val="diamond"/>
            <c:size val="4"/>
            <c:spPr>
              <a:solidFill>
                <a:srgbClr val="996633"/>
              </a:solidFill>
              <a:ln>
                <a:solidFill>
                  <a:srgbClr val="984807"/>
                </a:solidFill>
              </a:ln>
            </c:spPr>
          </c:marker>
          <c:cat>
            <c:multiLvlStrRef>
              <c:f>'výkonnost odvětví 3'!$V$39:$W$72</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3'!$AA$39:$AA$72</c:f>
              <c:numCache>
                <c:formatCode>0.0</c:formatCode>
                <c:ptCount val="34"/>
                <c:pt idx="0">
                  <c:v>16.177217458847437</c:v>
                </c:pt>
                <c:pt idx="1">
                  <c:v>9.5350878984013008</c:v>
                </c:pt>
                <c:pt idx="2">
                  <c:v>-1.2817324431350698</c:v>
                </c:pt>
                <c:pt idx="3">
                  <c:v>15.620806693503823</c:v>
                </c:pt>
                <c:pt idx="4">
                  <c:v>30.10697387368856</c:v>
                </c:pt>
                <c:pt idx="5">
                  <c:v>32.836878110611963</c:v>
                </c:pt>
                <c:pt idx="6">
                  <c:v>5.2768249907951201</c:v>
                </c:pt>
                <c:pt idx="7">
                  <c:v>1.8944565811032277</c:v>
                </c:pt>
                <c:pt idx="8">
                  <c:v>14.157245632065781</c:v>
                </c:pt>
                <c:pt idx="9">
                  <c:v>-9.3849543241233135</c:v>
                </c:pt>
                <c:pt idx="10">
                  <c:v>17.407871000993993</c:v>
                </c:pt>
                <c:pt idx="11">
                  <c:v>5.8323004254463768</c:v>
                </c:pt>
                <c:pt idx="12">
                  <c:v>-12.441635069859245</c:v>
                </c:pt>
                <c:pt idx="13">
                  <c:v>7.497345722028669</c:v>
                </c:pt>
                <c:pt idx="14">
                  <c:v>2.0599736606932879</c:v>
                </c:pt>
                <c:pt idx="15">
                  <c:v>7.5507850088630164</c:v>
                </c:pt>
                <c:pt idx="16">
                  <c:v>28.856340981154403</c:v>
                </c:pt>
                <c:pt idx="17">
                  <c:v>22.047871359987184</c:v>
                </c:pt>
                <c:pt idx="18">
                  <c:v>10.015015612184257</c:v>
                </c:pt>
                <c:pt idx="19">
                  <c:v>1.0053213537781147</c:v>
                </c:pt>
                <c:pt idx="20">
                  <c:v>13.067478460417874</c:v>
                </c:pt>
                <c:pt idx="21">
                  <c:v>17.619163607261129</c:v>
                </c:pt>
                <c:pt idx="22">
                  <c:v>12.421954480552543</c:v>
                </c:pt>
                <c:pt idx="23">
                  <c:v>13.031852753748723</c:v>
                </c:pt>
                <c:pt idx="24">
                  <c:v>-10.144501025957553</c:v>
                </c:pt>
                <c:pt idx="25">
                  <c:v>-18.697561390531931</c:v>
                </c:pt>
                <c:pt idx="26">
                  <c:v>27.514816854662854</c:v>
                </c:pt>
                <c:pt idx="27">
                  <c:v>9.3063425617587683</c:v>
                </c:pt>
                <c:pt idx="28">
                  <c:v>30.48574840110382</c:v>
                </c:pt>
                <c:pt idx="29">
                  <c:v>24.810378988741093</c:v>
                </c:pt>
                <c:pt idx="30">
                  <c:v>-2.1445567903011948</c:v>
                </c:pt>
                <c:pt idx="31">
                  <c:v>17.246427278094785</c:v>
                </c:pt>
                <c:pt idx="32">
                  <c:v>14.276535255230854</c:v>
                </c:pt>
              </c:numCache>
            </c:numRef>
          </c:val>
          <c:smooth val="0"/>
          <c:extLst>
            <c:ext xmlns:c16="http://schemas.microsoft.com/office/drawing/2014/chart" uri="{C3380CC4-5D6E-409C-BE32-E72D297353CC}">
              <c16:uniqueId val="{00000003-16BD-481C-8982-B29B4B30AF12}"/>
            </c:ext>
          </c:extLst>
        </c:ser>
        <c:dLbls>
          <c:showLegendKey val="0"/>
          <c:showVal val="0"/>
          <c:showCatName val="0"/>
          <c:showSerName val="0"/>
          <c:showPercent val="0"/>
          <c:showBubbleSize val="0"/>
        </c:dLbls>
        <c:marker val="1"/>
        <c:smooth val="0"/>
        <c:axId val="112768128"/>
        <c:axId val="112769664"/>
      </c:lineChart>
      <c:lineChart>
        <c:grouping val="standard"/>
        <c:varyColors val="0"/>
        <c:ser>
          <c:idx val="4"/>
          <c:order val="4"/>
          <c:tx>
            <c:strRef>
              <c:f>'výkonnost odvětví 3'!$AB$10</c:f>
              <c:strCache>
                <c:ptCount val="1"/>
                <c:pt idx="0">
                  <c:v>Bariéra růstu: nedostatečná poptávka</c:v>
                </c:pt>
              </c:strCache>
            </c:strRef>
          </c:tx>
          <c:spPr>
            <a:ln w="15875">
              <a:solidFill>
                <a:srgbClr val="00B050"/>
              </a:solidFill>
              <a:prstDash val="solid"/>
            </a:ln>
          </c:spPr>
          <c:marker>
            <c:symbol val="none"/>
          </c:marker>
          <c:cat>
            <c:multiLvlStrRef>
              <c:f>'výkonnost odvětví 3'!$V$39:$W$72</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3'!$AB$39:$AB$72</c:f>
              <c:numCache>
                <c:formatCode>#\ ##0.0</c:formatCode>
                <c:ptCount val="34"/>
                <c:pt idx="0">
                  <c:v>55.7</c:v>
                </c:pt>
                <c:pt idx="1">
                  <c:v>54.8</c:v>
                </c:pt>
                <c:pt idx="2">
                  <c:v>49.1</c:v>
                </c:pt>
                <c:pt idx="3">
                  <c:v>47.1</c:v>
                </c:pt>
                <c:pt idx="4">
                  <c:v>40.1</c:v>
                </c:pt>
                <c:pt idx="5">
                  <c:v>39.4</c:v>
                </c:pt>
                <c:pt idx="6">
                  <c:v>33</c:v>
                </c:pt>
                <c:pt idx="7">
                  <c:v>23.3</c:v>
                </c:pt>
                <c:pt idx="8">
                  <c:v>26.5</c:v>
                </c:pt>
                <c:pt idx="9">
                  <c:v>26.7</c:v>
                </c:pt>
                <c:pt idx="10">
                  <c:v>18.899999999999999</c:v>
                </c:pt>
                <c:pt idx="11">
                  <c:v>19.600000000000001</c:v>
                </c:pt>
                <c:pt idx="12">
                  <c:v>31.6</c:v>
                </c:pt>
                <c:pt idx="13">
                  <c:v>31.3</c:v>
                </c:pt>
                <c:pt idx="14">
                  <c:v>38.6</c:v>
                </c:pt>
                <c:pt idx="15" formatCode="General">
                  <c:v>39.200000000000003</c:v>
                </c:pt>
                <c:pt idx="16">
                  <c:v>30.8</c:v>
                </c:pt>
                <c:pt idx="17">
                  <c:v>35.9</c:v>
                </c:pt>
                <c:pt idx="18">
                  <c:v>23.2</c:v>
                </c:pt>
                <c:pt idx="19">
                  <c:v>19.5</c:v>
                </c:pt>
                <c:pt idx="20">
                  <c:v>21.3</c:v>
                </c:pt>
                <c:pt idx="21">
                  <c:v>21.1</c:v>
                </c:pt>
                <c:pt idx="22">
                  <c:v>19.3</c:v>
                </c:pt>
                <c:pt idx="23">
                  <c:v>20.6</c:v>
                </c:pt>
                <c:pt idx="24">
                  <c:v>31.9</c:v>
                </c:pt>
                <c:pt idx="25">
                  <c:v>32.299999999999997</c:v>
                </c:pt>
                <c:pt idx="26">
                  <c:v>36.299999999999997</c:v>
                </c:pt>
                <c:pt idx="27">
                  <c:v>29.2</c:v>
                </c:pt>
                <c:pt idx="28" formatCode="0.0">
                  <c:v>20.5</c:v>
                </c:pt>
                <c:pt idx="29" formatCode="0.0">
                  <c:v>22.3</c:v>
                </c:pt>
                <c:pt idx="30" formatCode="0.0">
                  <c:v>24</c:v>
                </c:pt>
                <c:pt idx="31" formatCode="0.0">
                  <c:v>25.3</c:v>
                </c:pt>
                <c:pt idx="32" formatCode="0.0">
                  <c:v>24.1</c:v>
                </c:pt>
                <c:pt idx="33" formatCode="General">
                  <c:v>34.9</c:v>
                </c:pt>
              </c:numCache>
            </c:numRef>
          </c:val>
          <c:smooth val="0"/>
          <c:extLst>
            <c:ext xmlns:c16="http://schemas.microsoft.com/office/drawing/2014/chart" uri="{C3380CC4-5D6E-409C-BE32-E72D297353CC}">
              <c16:uniqueId val="{00000004-16BD-481C-8982-B29B4B30AF12}"/>
            </c:ext>
          </c:extLst>
        </c:ser>
        <c:ser>
          <c:idx val="5"/>
          <c:order val="5"/>
          <c:tx>
            <c:strRef>
              <c:f>'výkonnost odvětví 3'!$AC$10</c:f>
              <c:strCache>
                <c:ptCount val="1"/>
                <c:pt idx="0">
                  <c:v>Bariéra růstu: nedostatek pracovníků</c:v>
                </c:pt>
              </c:strCache>
            </c:strRef>
          </c:tx>
          <c:spPr>
            <a:ln w="15875">
              <a:solidFill>
                <a:schemeClr val="accent3">
                  <a:lumMod val="75000"/>
                </a:schemeClr>
              </a:solidFill>
              <a:prstDash val="dash"/>
            </a:ln>
          </c:spPr>
          <c:marker>
            <c:symbol val="none"/>
          </c:marker>
          <c:cat>
            <c:multiLvlStrRef>
              <c:f>'výkonnost odvětví 3'!$V$39:$W$72</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3'!$AC$39:$AC$72</c:f>
              <c:numCache>
                <c:formatCode>#\ ##0.0</c:formatCode>
                <c:ptCount val="34"/>
                <c:pt idx="0">
                  <c:v>13.7</c:v>
                </c:pt>
                <c:pt idx="1">
                  <c:v>14.9</c:v>
                </c:pt>
                <c:pt idx="2">
                  <c:v>21.8</c:v>
                </c:pt>
                <c:pt idx="3">
                  <c:v>21.3</c:v>
                </c:pt>
                <c:pt idx="4">
                  <c:v>26.7</c:v>
                </c:pt>
                <c:pt idx="5">
                  <c:v>30.2</c:v>
                </c:pt>
                <c:pt idx="6">
                  <c:v>28.6</c:v>
                </c:pt>
                <c:pt idx="7">
                  <c:v>38.6</c:v>
                </c:pt>
                <c:pt idx="8">
                  <c:v>36</c:v>
                </c:pt>
                <c:pt idx="9">
                  <c:v>43.4</c:v>
                </c:pt>
                <c:pt idx="10">
                  <c:v>50.7</c:v>
                </c:pt>
                <c:pt idx="11">
                  <c:v>46.7</c:v>
                </c:pt>
                <c:pt idx="12">
                  <c:v>51.2</c:v>
                </c:pt>
                <c:pt idx="13">
                  <c:v>46</c:v>
                </c:pt>
                <c:pt idx="14">
                  <c:v>36.1</c:v>
                </c:pt>
                <c:pt idx="15" formatCode="0.0">
                  <c:v>32.299999999999997</c:v>
                </c:pt>
                <c:pt idx="16">
                  <c:v>47.3</c:v>
                </c:pt>
                <c:pt idx="17">
                  <c:v>31.7</c:v>
                </c:pt>
                <c:pt idx="18">
                  <c:v>41.7</c:v>
                </c:pt>
                <c:pt idx="19">
                  <c:v>42.8</c:v>
                </c:pt>
                <c:pt idx="20">
                  <c:v>56.4</c:v>
                </c:pt>
                <c:pt idx="21">
                  <c:v>44.3</c:v>
                </c:pt>
                <c:pt idx="22">
                  <c:v>39.799999999999997</c:v>
                </c:pt>
                <c:pt idx="23">
                  <c:v>47.7</c:v>
                </c:pt>
                <c:pt idx="24">
                  <c:v>39</c:v>
                </c:pt>
                <c:pt idx="25">
                  <c:v>35.5</c:v>
                </c:pt>
                <c:pt idx="26">
                  <c:v>30.6</c:v>
                </c:pt>
                <c:pt idx="27">
                  <c:v>31.2</c:v>
                </c:pt>
                <c:pt idx="28" formatCode="0.0">
                  <c:v>53.5</c:v>
                </c:pt>
                <c:pt idx="29" formatCode="0.0">
                  <c:v>46.7</c:v>
                </c:pt>
                <c:pt idx="30" formatCode="0.0">
                  <c:v>42.5</c:v>
                </c:pt>
                <c:pt idx="31" formatCode="0.0">
                  <c:v>42.2</c:v>
                </c:pt>
                <c:pt idx="32" formatCode="0.0">
                  <c:v>54.4</c:v>
                </c:pt>
                <c:pt idx="33" formatCode="General">
                  <c:v>49.5</c:v>
                </c:pt>
              </c:numCache>
            </c:numRef>
          </c:val>
          <c:smooth val="0"/>
          <c:extLst>
            <c:ext xmlns:c16="http://schemas.microsoft.com/office/drawing/2014/chart" uri="{C3380CC4-5D6E-409C-BE32-E72D297353CC}">
              <c16:uniqueId val="{00000005-16BD-481C-8982-B29B4B30AF12}"/>
            </c:ext>
          </c:extLst>
        </c:ser>
        <c:ser>
          <c:idx val="6"/>
          <c:order val="6"/>
          <c:tx>
            <c:strRef>
              <c:f>'výkonnost odvětví 3'!$AD$10</c:f>
              <c:strCache>
                <c:ptCount val="1"/>
                <c:pt idx="0">
                  <c:v>Bariéra růstu: nedost. materiálu a vybavení</c:v>
                </c:pt>
              </c:strCache>
            </c:strRef>
          </c:tx>
          <c:spPr>
            <a:ln w="15875">
              <a:solidFill>
                <a:srgbClr val="37DD3B"/>
              </a:solidFill>
              <a:prstDash val="sysDash"/>
            </a:ln>
          </c:spPr>
          <c:marker>
            <c:symbol val="none"/>
          </c:marker>
          <c:cat>
            <c:multiLvlStrRef>
              <c:f>'výkonnost odvětví 3'!$V$39:$W$72</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3'!$AD$39:$AD$72</c:f>
              <c:numCache>
                <c:formatCode>#\ ##0.0</c:formatCode>
                <c:ptCount val="34"/>
                <c:pt idx="0">
                  <c:v>0.3</c:v>
                </c:pt>
                <c:pt idx="1">
                  <c:v>0.3</c:v>
                </c:pt>
                <c:pt idx="2">
                  <c:v>3.3</c:v>
                </c:pt>
                <c:pt idx="3">
                  <c:v>4.2</c:v>
                </c:pt>
                <c:pt idx="4">
                  <c:v>5.5</c:v>
                </c:pt>
                <c:pt idx="5">
                  <c:v>1.2</c:v>
                </c:pt>
                <c:pt idx="6">
                  <c:v>6.8</c:v>
                </c:pt>
                <c:pt idx="7">
                  <c:v>3.5</c:v>
                </c:pt>
                <c:pt idx="8">
                  <c:v>4.3</c:v>
                </c:pt>
                <c:pt idx="9">
                  <c:v>5.7</c:v>
                </c:pt>
                <c:pt idx="10">
                  <c:v>5.3</c:v>
                </c:pt>
                <c:pt idx="11">
                  <c:v>4</c:v>
                </c:pt>
                <c:pt idx="12">
                  <c:v>1.9</c:v>
                </c:pt>
                <c:pt idx="13">
                  <c:v>3.4</c:v>
                </c:pt>
                <c:pt idx="14">
                  <c:v>1.3</c:v>
                </c:pt>
                <c:pt idx="15">
                  <c:v>0.8</c:v>
                </c:pt>
                <c:pt idx="16">
                  <c:v>1.3</c:v>
                </c:pt>
                <c:pt idx="17">
                  <c:v>4.3</c:v>
                </c:pt>
                <c:pt idx="18">
                  <c:v>16.3</c:v>
                </c:pt>
                <c:pt idx="19">
                  <c:v>22.8</c:v>
                </c:pt>
                <c:pt idx="20">
                  <c:v>24.7</c:v>
                </c:pt>
                <c:pt idx="21">
                  <c:v>41.3</c:v>
                </c:pt>
                <c:pt idx="22">
                  <c:v>38.6</c:v>
                </c:pt>
                <c:pt idx="23">
                  <c:v>23.4</c:v>
                </c:pt>
                <c:pt idx="24">
                  <c:v>19.5</c:v>
                </c:pt>
                <c:pt idx="25">
                  <c:v>17</c:v>
                </c:pt>
                <c:pt idx="26">
                  <c:v>13</c:v>
                </c:pt>
                <c:pt idx="27">
                  <c:v>13.9</c:v>
                </c:pt>
                <c:pt idx="28" formatCode="0.0">
                  <c:v>22.5</c:v>
                </c:pt>
                <c:pt idx="29" formatCode="0.0">
                  <c:v>22.2</c:v>
                </c:pt>
                <c:pt idx="30" formatCode="0.0">
                  <c:v>22.2</c:v>
                </c:pt>
                <c:pt idx="31" formatCode="0.0">
                  <c:v>18</c:v>
                </c:pt>
                <c:pt idx="32" formatCode="0.0">
                  <c:v>15.5</c:v>
                </c:pt>
                <c:pt idx="33" formatCode="General">
                  <c:v>5.3</c:v>
                </c:pt>
              </c:numCache>
            </c:numRef>
          </c:val>
          <c:smooth val="0"/>
          <c:extLst>
            <c:ext xmlns:c16="http://schemas.microsoft.com/office/drawing/2014/chart" uri="{C3380CC4-5D6E-409C-BE32-E72D297353CC}">
              <c16:uniqueId val="{00000006-16BD-481C-8982-B29B4B30AF12}"/>
            </c:ext>
          </c:extLst>
        </c:ser>
        <c:ser>
          <c:idx val="7"/>
          <c:order val="7"/>
          <c:tx>
            <c:strRef>
              <c:f>'výkonnost odvětví 3'!$AE$10</c:f>
              <c:strCache>
                <c:ptCount val="1"/>
                <c:pt idx="0">
                  <c:v>Saldo indikátoru důvěry ve stavebnictví</c:v>
                </c:pt>
              </c:strCache>
            </c:strRef>
          </c:tx>
          <c:spPr>
            <a:ln w="15875">
              <a:solidFill>
                <a:schemeClr val="bg1">
                  <a:lumMod val="65000"/>
                </a:schemeClr>
              </a:solidFill>
              <a:prstDash val="sysDot"/>
            </a:ln>
          </c:spPr>
          <c:marker>
            <c:symbol val="circle"/>
            <c:size val="5"/>
            <c:spPr>
              <a:solidFill>
                <a:srgbClr val="FFFF00"/>
              </a:solidFill>
              <a:ln>
                <a:solidFill>
                  <a:schemeClr val="tx1">
                    <a:lumMod val="50000"/>
                    <a:lumOff val="50000"/>
                  </a:schemeClr>
                </a:solidFill>
              </a:ln>
            </c:spPr>
          </c:marker>
          <c:cat>
            <c:multiLvlStrRef>
              <c:f>'výkonnost odvětví 3'!$V$39:$W$72</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3'!$AE$39:$AE$72</c:f>
              <c:numCache>
                <c:formatCode>0.0</c:formatCode>
                <c:ptCount val="34"/>
                <c:pt idx="0">
                  <c:v>-22.5</c:v>
                </c:pt>
                <c:pt idx="1">
                  <c:v>-24.5</c:v>
                </c:pt>
                <c:pt idx="2">
                  <c:v>-18.5</c:v>
                </c:pt>
                <c:pt idx="3">
                  <c:v>-15</c:v>
                </c:pt>
                <c:pt idx="4">
                  <c:v>-9</c:v>
                </c:pt>
                <c:pt idx="5">
                  <c:v>-6</c:v>
                </c:pt>
                <c:pt idx="6">
                  <c:v>-2</c:v>
                </c:pt>
                <c:pt idx="7">
                  <c:v>1</c:v>
                </c:pt>
                <c:pt idx="8">
                  <c:v>3.5</c:v>
                </c:pt>
                <c:pt idx="9">
                  <c:v>4</c:v>
                </c:pt>
                <c:pt idx="10">
                  <c:v>-1</c:v>
                </c:pt>
                <c:pt idx="11">
                  <c:v>1</c:v>
                </c:pt>
                <c:pt idx="12">
                  <c:v>-3</c:v>
                </c:pt>
                <c:pt idx="13">
                  <c:v>-15</c:v>
                </c:pt>
                <c:pt idx="14">
                  <c:v>-13</c:v>
                </c:pt>
                <c:pt idx="15">
                  <c:v>-11.5</c:v>
                </c:pt>
                <c:pt idx="16">
                  <c:v>-6</c:v>
                </c:pt>
                <c:pt idx="17">
                  <c:v>-5.5</c:v>
                </c:pt>
                <c:pt idx="18">
                  <c:v>-4.5</c:v>
                </c:pt>
                <c:pt idx="19">
                  <c:v>-6.5</c:v>
                </c:pt>
                <c:pt idx="20">
                  <c:v>6.5</c:v>
                </c:pt>
                <c:pt idx="21">
                  <c:v>-2</c:v>
                </c:pt>
                <c:pt idx="22">
                  <c:v>-9</c:v>
                </c:pt>
                <c:pt idx="23">
                  <c:v>-4.5</c:v>
                </c:pt>
                <c:pt idx="24">
                  <c:v>-11.5</c:v>
                </c:pt>
                <c:pt idx="25">
                  <c:v>-15.5</c:v>
                </c:pt>
                <c:pt idx="26">
                  <c:v>-16.5</c:v>
                </c:pt>
                <c:pt idx="27">
                  <c:v>-11</c:v>
                </c:pt>
                <c:pt idx="28">
                  <c:v>-7</c:v>
                </c:pt>
                <c:pt idx="29">
                  <c:v>-14</c:v>
                </c:pt>
                <c:pt idx="30">
                  <c:v>-12</c:v>
                </c:pt>
                <c:pt idx="31">
                  <c:v>-5</c:v>
                </c:pt>
                <c:pt idx="32">
                  <c:v>-4</c:v>
                </c:pt>
                <c:pt idx="33">
                  <c:v>-4</c:v>
                </c:pt>
              </c:numCache>
            </c:numRef>
          </c:val>
          <c:smooth val="0"/>
          <c:extLst>
            <c:ext xmlns:c16="http://schemas.microsoft.com/office/drawing/2014/chart" uri="{C3380CC4-5D6E-409C-BE32-E72D297353CC}">
              <c16:uniqueId val="{00000007-16BD-481C-8982-B29B4B30AF12}"/>
            </c:ext>
          </c:extLst>
        </c:ser>
        <c:dLbls>
          <c:showLegendKey val="0"/>
          <c:showVal val="0"/>
          <c:showCatName val="0"/>
          <c:showSerName val="0"/>
          <c:showPercent val="0"/>
          <c:showBubbleSize val="0"/>
        </c:dLbls>
        <c:marker val="1"/>
        <c:smooth val="0"/>
        <c:axId val="1118074639"/>
        <c:axId val="1118080463"/>
      </c:lineChart>
      <c:catAx>
        <c:axId val="112768128"/>
        <c:scaling>
          <c:orientation val="minMax"/>
        </c:scaling>
        <c:delete val="0"/>
        <c:axPos val="b"/>
        <c:numFmt formatCode="General" sourceLinked="1"/>
        <c:majorTickMark val="out"/>
        <c:minorTickMark val="none"/>
        <c:tickLblPos val="low"/>
        <c:txPr>
          <a:bodyPr/>
          <a:lstStyle/>
          <a:p>
            <a:pPr>
              <a:defRPr sz="800">
                <a:latin typeface="Arial" pitchFamily="34" charset="0"/>
                <a:cs typeface="Arial" pitchFamily="34" charset="0"/>
              </a:defRPr>
            </a:pPr>
            <a:endParaRPr lang="cs-CZ"/>
          </a:p>
        </c:txPr>
        <c:crossAx val="112769664"/>
        <c:crosses val="autoZero"/>
        <c:auto val="1"/>
        <c:lblAlgn val="ctr"/>
        <c:lblOffset val="0"/>
        <c:noMultiLvlLbl val="0"/>
      </c:catAx>
      <c:valAx>
        <c:axId val="112769664"/>
        <c:scaling>
          <c:orientation val="minMax"/>
          <c:max val="70"/>
          <c:min val="-20"/>
        </c:scaling>
        <c:delete val="0"/>
        <c:axPos val="l"/>
        <c:majorGridlines>
          <c:spPr>
            <a:ln>
              <a:solidFill>
                <a:srgbClr val="BEBEBE"/>
              </a:solidFill>
            </a:ln>
          </c:spPr>
        </c:majorGridlines>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Zakázky, příspěvky k změně stavební produkce</a:t>
                </a:r>
              </a:p>
            </c:rich>
          </c:tx>
          <c:layout/>
          <c:overlay val="0"/>
        </c:title>
        <c:numFmt formatCode="0" sourceLinked="0"/>
        <c:majorTickMark val="out"/>
        <c:minorTickMark val="none"/>
        <c:tickLblPos val="nextTo"/>
        <c:txPr>
          <a:bodyPr/>
          <a:lstStyle/>
          <a:p>
            <a:pPr>
              <a:defRPr sz="800">
                <a:latin typeface="Arial" pitchFamily="34" charset="0"/>
                <a:cs typeface="Arial" pitchFamily="34" charset="0"/>
              </a:defRPr>
            </a:pPr>
            <a:endParaRPr lang="cs-CZ"/>
          </a:p>
        </c:txPr>
        <c:crossAx val="112768128"/>
        <c:crosses val="autoZero"/>
        <c:crossBetween val="between"/>
        <c:majorUnit val="10"/>
      </c:valAx>
      <c:valAx>
        <c:axId val="1118080463"/>
        <c:scaling>
          <c:orientation val="minMax"/>
          <c:max val="80"/>
          <c:min val="-100"/>
        </c:scaling>
        <c:delete val="0"/>
        <c:axPos val="r"/>
        <c:title>
          <c:tx>
            <c:rich>
              <a:bodyPr/>
              <a:lstStyle/>
              <a:p>
                <a:pPr>
                  <a:defRPr sz="700" b="0" i="1">
                    <a:latin typeface="Arial" panose="020B0604020202020204" pitchFamily="34" charset="0"/>
                    <a:cs typeface="Arial" panose="020B0604020202020204" pitchFamily="34" charset="0"/>
                  </a:defRPr>
                </a:pPr>
                <a:r>
                  <a:rPr lang="cs-CZ" sz="700" b="0" i="1">
                    <a:latin typeface="Arial" panose="020B0604020202020204" pitchFamily="34" charset="0"/>
                    <a:cs typeface="Arial" panose="020B0604020202020204" pitchFamily="34" charset="0"/>
                  </a:rPr>
                  <a:t>Saldo důvěry, bariéry růstu</a:t>
                </a:r>
              </a:p>
            </c:rich>
          </c:tx>
          <c:layout/>
          <c:overlay val="0"/>
        </c:title>
        <c:numFmt formatCode="0" sourceLinked="0"/>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cs-CZ"/>
          </a:p>
        </c:txPr>
        <c:crossAx val="1118074639"/>
        <c:crosses val="max"/>
        <c:crossBetween val="between"/>
        <c:majorUnit val="20"/>
      </c:valAx>
      <c:catAx>
        <c:axId val="1118074639"/>
        <c:scaling>
          <c:orientation val="minMax"/>
        </c:scaling>
        <c:delete val="1"/>
        <c:axPos val="b"/>
        <c:numFmt formatCode="General" sourceLinked="1"/>
        <c:majorTickMark val="out"/>
        <c:minorTickMark val="none"/>
        <c:tickLblPos val="nextTo"/>
        <c:crossAx val="1118080463"/>
        <c:crosses val="autoZero"/>
        <c:auto val="1"/>
        <c:lblAlgn val="ctr"/>
        <c:lblOffset val="100"/>
        <c:noMultiLvlLbl val="0"/>
      </c:catAx>
      <c:spPr>
        <a:noFill/>
        <a:ln w="6350">
          <a:solidFill>
            <a:prstClr val="black">
              <a:lumMod val="95000"/>
              <a:lumOff val="5000"/>
            </a:prstClr>
          </a:solidFill>
        </a:ln>
      </c:spPr>
    </c:plotArea>
    <c:legend>
      <c:legendPos val="r"/>
      <c:layout>
        <c:manualLayout>
          <c:xMode val="edge"/>
          <c:yMode val="edge"/>
          <c:x val="7.6126793553942364E-3"/>
          <c:y val="0.85936703322638608"/>
          <c:w val="0.9801437714811797"/>
          <c:h val="0.13362821778942557"/>
        </c:manualLayout>
      </c:layout>
      <c:overlay val="0"/>
      <c:spPr>
        <a:ln w="6350">
          <a:solidFill>
            <a:prstClr val="black">
              <a:lumMod val="95000"/>
              <a:lumOff val="5000"/>
            </a:prstClr>
          </a:solidFill>
        </a:ln>
      </c:spPr>
      <c:txPr>
        <a:bodyPr/>
        <a:lstStyle/>
        <a:p>
          <a:pPr>
            <a:defRPr sz="750">
              <a:latin typeface="Arial" pitchFamily="34" charset="0"/>
              <a:cs typeface="Arial" pitchFamily="34" charset="0"/>
            </a:defRPr>
          </a:pPr>
          <a:endParaRPr lang="cs-CZ"/>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385677352723435E-2"/>
          <c:y val="1.5803328678987455E-2"/>
          <c:w val="0.83979584077702996"/>
          <c:h val="0.69902590308489432"/>
        </c:manualLayout>
      </c:layout>
      <c:barChart>
        <c:barDir val="col"/>
        <c:grouping val="stacked"/>
        <c:varyColors val="0"/>
        <c:ser>
          <c:idx val="0"/>
          <c:order val="1"/>
          <c:tx>
            <c:strRef>
              <c:f>'Služby-příspěvky k růstu-4'!$D$33</c:f>
              <c:strCache>
                <c:ptCount val="1"/>
                <c:pt idx="0">
                  <c:v>Doprava a skladování (p. b.)</c:v>
                </c:pt>
              </c:strCache>
            </c:strRef>
          </c:tx>
          <c:spPr>
            <a:solidFill>
              <a:srgbClr val="92D050"/>
            </a:solidFill>
            <a:ln>
              <a:noFill/>
            </a:ln>
          </c:spPr>
          <c:invertIfNegative val="0"/>
          <c:cat>
            <c:multiLvlStrRef>
              <c:f>'Služby-příspěvky k růstu-4'!$A$54:$B$87</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růstu-4'!$D$54:$D$87</c:f>
              <c:numCache>
                <c:formatCode>0.0</c:formatCode>
                <c:ptCount val="34"/>
                <c:pt idx="0">
                  <c:v>1.5263972119400016</c:v>
                </c:pt>
                <c:pt idx="1">
                  <c:v>1.1521454566619995</c:v>
                </c:pt>
                <c:pt idx="2">
                  <c:v>1.0720497862294982</c:v>
                </c:pt>
                <c:pt idx="3">
                  <c:v>0.58918413629500188</c:v>
                </c:pt>
                <c:pt idx="4">
                  <c:v>1.7082299710979987</c:v>
                </c:pt>
                <c:pt idx="5">
                  <c:v>1.8083069263660012</c:v>
                </c:pt>
                <c:pt idx="6">
                  <c:v>1.4974720441600007</c:v>
                </c:pt>
                <c:pt idx="7">
                  <c:v>0.47561421751099942</c:v>
                </c:pt>
                <c:pt idx="8">
                  <c:v>8.7578802067999673E-2</c:v>
                </c:pt>
                <c:pt idx="9">
                  <c:v>-0.12479570965699863</c:v>
                </c:pt>
                <c:pt idx="10">
                  <c:v>-0.33009412391300075</c:v>
                </c:pt>
                <c:pt idx="11">
                  <c:v>-6.4047576908001405E-2</c:v>
                </c:pt>
                <c:pt idx="12">
                  <c:v>-1.5377184525560006</c:v>
                </c:pt>
                <c:pt idx="13">
                  <c:v>-6.3637634696130005</c:v>
                </c:pt>
                <c:pt idx="14">
                  <c:v>-3.934521076104728</c:v>
                </c:pt>
                <c:pt idx="15">
                  <c:v>-1.3585310721215986</c:v>
                </c:pt>
                <c:pt idx="16">
                  <c:v>0.3485705495405001</c:v>
                </c:pt>
                <c:pt idx="17">
                  <c:v>6.4654016349024008</c:v>
                </c:pt>
                <c:pt idx="18">
                  <c:v>3.6945235606700009</c:v>
                </c:pt>
                <c:pt idx="19">
                  <c:v>3.3121137866018078</c:v>
                </c:pt>
                <c:pt idx="20">
                  <c:v>3.941437873437065</c:v>
                </c:pt>
                <c:pt idx="21">
                  <c:v>4.0146538354025321</c:v>
                </c:pt>
                <c:pt idx="22">
                  <c:v>3.2327008007835936</c:v>
                </c:pt>
                <c:pt idx="23">
                  <c:v>0.6986528346455998</c:v>
                </c:pt>
                <c:pt idx="24">
                  <c:v>-1.2205103635839987</c:v>
                </c:pt>
                <c:pt idx="25">
                  <c:v>-3.0846310875990697</c:v>
                </c:pt>
                <c:pt idx="26">
                  <c:v>-3.4620811413295405</c:v>
                </c:pt>
                <c:pt idx="27">
                  <c:v>-2.6102747168486595</c:v>
                </c:pt>
                <c:pt idx="28">
                  <c:v>0.23136625295890914</c:v>
                </c:pt>
                <c:pt idx="29">
                  <c:v>1.1297570185805759</c:v>
                </c:pt>
                <c:pt idx="30">
                  <c:v>1.5852865187527032</c:v>
                </c:pt>
                <c:pt idx="31">
                  <c:v>1.3972952454802492</c:v>
                </c:pt>
                <c:pt idx="32">
                  <c:v>0.66616000559529998</c:v>
                </c:pt>
              </c:numCache>
            </c:numRef>
          </c:val>
          <c:extLst>
            <c:ext xmlns:c16="http://schemas.microsoft.com/office/drawing/2014/chart" uri="{C3380CC4-5D6E-409C-BE32-E72D297353CC}">
              <c16:uniqueId val="{00000000-7116-4326-BA45-1AF8E00D8FF4}"/>
            </c:ext>
          </c:extLst>
        </c:ser>
        <c:ser>
          <c:idx val="1"/>
          <c:order val="2"/>
          <c:tx>
            <c:strRef>
              <c:f>'Služby-příspěvky k růstu-4'!$E$33</c:f>
              <c:strCache>
                <c:ptCount val="1"/>
                <c:pt idx="0">
                  <c:v>Ubytování, stravování a pohostinství (p. b.)</c:v>
                </c:pt>
              </c:strCache>
            </c:strRef>
          </c:tx>
          <c:spPr>
            <a:solidFill>
              <a:srgbClr val="00B0F0"/>
            </a:solidFill>
            <a:ln>
              <a:noFill/>
            </a:ln>
          </c:spPr>
          <c:invertIfNegative val="0"/>
          <c:cat>
            <c:multiLvlStrRef>
              <c:f>'Služby-příspěvky k růstu-4'!$A$54:$B$87</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růstu-4'!$E$54:$E$87</c:f>
              <c:numCache>
                <c:formatCode>0.0</c:formatCode>
                <c:ptCount val="34"/>
                <c:pt idx="0">
                  <c:v>0.91096663563750013</c:v>
                </c:pt>
                <c:pt idx="1">
                  <c:v>1.2304877458891996</c:v>
                </c:pt>
                <c:pt idx="2">
                  <c:v>0.55493142006040053</c:v>
                </c:pt>
                <c:pt idx="3">
                  <c:v>0.45642475154119982</c:v>
                </c:pt>
                <c:pt idx="4">
                  <c:v>0.20160703635719993</c:v>
                </c:pt>
                <c:pt idx="5">
                  <c:v>5.4186477104800478E-2</c:v>
                </c:pt>
                <c:pt idx="6">
                  <c:v>6.304785530440038E-2</c:v>
                </c:pt>
                <c:pt idx="7">
                  <c:v>-3.5769700815199798E-2</c:v>
                </c:pt>
                <c:pt idx="8">
                  <c:v>-0.36389872223099973</c:v>
                </c:pt>
                <c:pt idx="9">
                  <c:v>-0.67075056773680031</c:v>
                </c:pt>
                <c:pt idx="10">
                  <c:v>0.56238486272900035</c:v>
                </c:pt>
                <c:pt idx="11">
                  <c:v>0.81049357889639961</c:v>
                </c:pt>
                <c:pt idx="12">
                  <c:v>-1.0128920367128378</c:v>
                </c:pt>
                <c:pt idx="13">
                  <c:v>-4.7570396620580002</c:v>
                </c:pt>
                <c:pt idx="14">
                  <c:v>-1.8801498047572016</c:v>
                </c:pt>
                <c:pt idx="15">
                  <c:v>-4.4950874362854814</c:v>
                </c:pt>
                <c:pt idx="16">
                  <c:v>-3.6427251882312501</c:v>
                </c:pt>
                <c:pt idx="17">
                  <c:v>1.4037378448911324</c:v>
                </c:pt>
                <c:pt idx="18">
                  <c:v>0.65956457504429966</c:v>
                </c:pt>
                <c:pt idx="19">
                  <c:v>2.8954177718329572</c:v>
                </c:pt>
                <c:pt idx="20">
                  <c:v>2.8323902906459999</c:v>
                </c:pt>
                <c:pt idx="21">
                  <c:v>2.435136189891193</c:v>
                </c:pt>
                <c:pt idx="22">
                  <c:v>-0.4578613660474572</c:v>
                </c:pt>
                <c:pt idx="23">
                  <c:v>0.56715158973689961</c:v>
                </c:pt>
                <c:pt idx="24">
                  <c:v>0.47226803810000034</c:v>
                </c:pt>
                <c:pt idx="25">
                  <c:v>-2.9181983171386136E-2</c:v>
                </c:pt>
                <c:pt idx="26">
                  <c:v>0.13057911183302909</c:v>
                </c:pt>
                <c:pt idx="27">
                  <c:v>7.6430683538271954E-2</c:v>
                </c:pt>
                <c:pt idx="28">
                  <c:v>0.20156376207540999</c:v>
                </c:pt>
                <c:pt idx="29">
                  <c:v>0.17225875056711848</c:v>
                </c:pt>
                <c:pt idx="30" formatCode="0.00">
                  <c:v>-0.15262614105368355</c:v>
                </c:pt>
                <c:pt idx="31">
                  <c:v>-2.0668311154938869E-3</c:v>
                </c:pt>
                <c:pt idx="32">
                  <c:v>-7.5028071131934729E-2</c:v>
                </c:pt>
              </c:numCache>
            </c:numRef>
          </c:val>
          <c:extLst>
            <c:ext xmlns:c16="http://schemas.microsoft.com/office/drawing/2014/chart" uri="{C3380CC4-5D6E-409C-BE32-E72D297353CC}">
              <c16:uniqueId val="{00000001-7116-4326-BA45-1AF8E00D8FF4}"/>
            </c:ext>
          </c:extLst>
        </c:ser>
        <c:ser>
          <c:idx val="2"/>
          <c:order val="3"/>
          <c:tx>
            <c:strRef>
              <c:f>'Služby-příspěvky k růstu-4'!$F$33</c:f>
              <c:strCache>
                <c:ptCount val="1"/>
                <c:pt idx="0">
                  <c:v>Informační a komunikační činnosti (p. b.)</c:v>
                </c:pt>
              </c:strCache>
            </c:strRef>
          </c:tx>
          <c:spPr>
            <a:solidFill>
              <a:srgbClr val="E6E100"/>
            </a:solidFill>
            <a:ln>
              <a:noFill/>
            </a:ln>
          </c:spPr>
          <c:invertIfNegative val="0"/>
          <c:cat>
            <c:multiLvlStrRef>
              <c:f>'Služby-příspěvky k růstu-4'!$A$54:$B$87</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růstu-4'!$F$54:$F$87</c:f>
              <c:numCache>
                <c:formatCode>0.0</c:formatCode>
                <c:ptCount val="34"/>
                <c:pt idx="0">
                  <c:v>0.79975113924000141</c:v>
                </c:pt>
                <c:pt idx="1">
                  <c:v>0.86680100254300019</c:v>
                </c:pt>
                <c:pt idx="2">
                  <c:v>0.7085217628999998</c:v>
                </c:pt>
                <c:pt idx="3">
                  <c:v>0.58371605800999971</c:v>
                </c:pt>
                <c:pt idx="4">
                  <c:v>1.4561011044459988</c:v>
                </c:pt>
                <c:pt idx="5">
                  <c:v>0.80755492679599916</c:v>
                </c:pt>
                <c:pt idx="6">
                  <c:v>1.4696943404520006</c:v>
                </c:pt>
                <c:pt idx="7">
                  <c:v>1.0851966136360012</c:v>
                </c:pt>
                <c:pt idx="8">
                  <c:v>0.5897957895590008</c:v>
                </c:pt>
                <c:pt idx="9">
                  <c:v>1.4271581528860011</c:v>
                </c:pt>
                <c:pt idx="10">
                  <c:v>1.6628200479000008</c:v>
                </c:pt>
                <c:pt idx="11">
                  <c:v>0.8045399962857992</c:v>
                </c:pt>
                <c:pt idx="12">
                  <c:v>0.70533263821849879</c:v>
                </c:pt>
                <c:pt idx="13">
                  <c:v>-0.13049924960159906</c:v>
                </c:pt>
                <c:pt idx="14">
                  <c:v>-0.44751399710599854</c:v>
                </c:pt>
                <c:pt idx="15">
                  <c:v>-0.76987000599350008</c:v>
                </c:pt>
                <c:pt idx="16">
                  <c:v>0.73358769341499996</c:v>
                </c:pt>
                <c:pt idx="17">
                  <c:v>1.7119328870655743</c:v>
                </c:pt>
                <c:pt idx="18">
                  <c:v>1.7410146380858</c:v>
                </c:pt>
                <c:pt idx="19">
                  <c:v>2.1117441102410957</c:v>
                </c:pt>
                <c:pt idx="20">
                  <c:v>1.7465138285348005</c:v>
                </c:pt>
                <c:pt idx="21">
                  <c:v>0.98444175225600128</c:v>
                </c:pt>
                <c:pt idx="22">
                  <c:v>0.77334822417096716</c:v>
                </c:pt>
                <c:pt idx="23">
                  <c:v>0.38113921743529455</c:v>
                </c:pt>
                <c:pt idx="24">
                  <c:v>0.58132404699840079</c:v>
                </c:pt>
                <c:pt idx="25">
                  <c:v>-5.2521499900483508E-3</c:v>
                </c:pt>
                <c:pt idx="26">
                  <c:v>-0.79116739152140025</c:v>
                </c:pt>
                <c:pt idx="27">
                  <c:v>-0.79112125742080253</c:v>
                </c:pt>
                <c:pt idx="28">
                  <c:v>0.10721773848414559</c:v>
                </c:pt>
                <c:pt idx="29">
                  <c:v>0.47802774306016416</c:v>
                </c:pt>
                <c:pt idx="30">
                  <c:v>0.83818270799786943</c:v>
                </c:pt>
                <c:pt idx="31">
                  <c:v>0.51256005892858814</c:v>
                </c:pt>
                <c:pt idx="32">
                  <c:v>1.085668398347295</c:v>
                </c:pt>
              </c:numCache>
            </c:numRef>
          </c:val>
          <c:extLst>
            <c:ext xmlns:c16="http://schemas.microsoft.com/office/drawing/2014/chart" uri="{C3380CC4-5D6E-409C-BE32-E72D297353CC}">
              <c16:uniqueId val="{00000002-7116-4326-BA45-1AF8E00D8FF4}"/>
            </c:ext>
          </c:extLst>
        </c:ser>
        <c:ser>
          <c:idx val="4"/>
          <c:order val="4"/>
          <c:tx>
            <c:strRef>
              <c:f>'Služby-příspěvky k růstu-4'!$G$33</c:f>
              <c:strCache>
                <c:ptCount val="1"/>
                <c:pt idx="0">
                  <c:v>Činnosti v oblasti nemovitostí (p. b.)</c:v>
                </c:pt>
              </c:strCache>
            </c:strRef>
          </c:tx>
          <c:spPr>
            <a:solidFill>
              <a:schemeClr val="accent5">
                <a:lumMod val="60000"/>
                <a:lumOff val="40000"/>
              </a:schemeClr>
            </a:solidFill>
            <a:ln>
              <a:noFill/>
              <a:prstDash val="sysDash"/>
            </a:ln>
          </c:spPr>
          <c:invertIfNegative val="0"/>
          <c:cat>
            <c:multiLvlStrRef>
              <c:f>'Služby-příspěvky k růstu-4'!$A$54:$B$87</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růstu-4'!$G$54:$G$87</c:f>
              <c:numCache>
                <c:formatCode>0.0</c:formatCode>
                <c:ptCount val="34"/>
                <c:pt idx="0">
                  <c:v>0.21404222779400017</c:v>
                </c:pt>
                <c:pt idx="1">
                  <c:v>0.44428056703740071</c:v>
                </c:pt>
                <c:pt idx="2">
                  <c:v>-2.3313403729999609E-2</c:v>
                </c:pt>
                <c:pt idx="3">
                  <c:v>0.1397148328565998</c:v>
                </c:pt>
                <c:pt idx="4">
                  <c:v>2.4371524468799519E-2</c:v>
                </c:pt>
                <c:pt idx="5">
                  <c:v>-0.24750495341219952</c:v>
                </c:pt>
                <c:pt idx="6">
                  <c:v>-0.12632001451980002</c:v>
                </c:pt>
                <c:pt idx="7">
                  <c:v>-0.22280827277219931</c:v>
                </c:pt>
                <c:pt idx="8">
                  <c:v>-0.59230499212500043</c:v>
                </c:pt>
                <c:pt idx="9">
                  <c:v>-0.14963028671039991</c:v>
                </c:pt>
                <c:pt idx="10">
                  <c:v>0.15919844821020035</c:v>
                </c:pt>
                <c:pt idx="11">
                  <c:v>0.41214543758999994</c:v>
                </c:pt>
                <c:pt idx="12">
                  <c:v>0.4376088325236</c:v>
                </c:pt>
                <c:pt idx="13">
                  <c:v>-0.3129705582585004</c:v>
                </c:pt>
                <c:pt idx="14">
                  <c:v>-0.26042458979333294</c:v>
                </c:pt>
                <c:pt idx="15">
                  <c:v>-0.23202769506919951</c:v>
                </c:pt>
                <c:pt idx="16">
                  <c:v>-0.20493642480289984</c:v>
                </c:pt>
                <c:pt idx="17">
                  <c:v>0.49389763410824949</c:v>
                </c:pt>
                <c:pt idx="18">
                  <c:v>-1.3480794651999375E-2</c:v>
                </c:pt>
                <c:pt idx="19">
                  <c:v>0.25760149947839961</c:v>
                </c:pt>
                <c:pt idx="20">
                  <c:v>0.96345448971199943</c:v>
                </c:pt>
                <c:pt idx="21">
                  <c:v>0.47159042328799955</c:v>
                </c:pt>
                <c:pt idx="22">
                  <c:v>0.2185622188815784</c:v>
                </c:pt>
                <c:pt idx="23">
                  <c:v>0.33309446355833333</c:v>
                </c:pt>
                <c:pt idx="24">
                  <c:v>0.16012954609680044</c:v>
                </c:pt>
                <c:pt idx="25">
                  <c:v>-0.18624032886239958</c:v>
                </c:pt>
                <c:pt idx="26">
                  <c:v>-0.27795457738857821</c:v>
                </c:pt>
                <c:pt idx="27">
                  <c:v>-0.2089599685726716</c:v>
                </c:pt>
                <c:pt idx="28">
                  <c:v>-0.20651327563660776</c:v>
                </c:pt>
                <c:pt idx="29">
                  <c:v>0.27793895598753937</c:v>
                </c:pt>
                <c:pt idx="30">
                  <c:v>-0.11784164354918217</c:v>
                </c:pt>
                <c:pt idx="31">
                  <c:v>-4.2577128381585134E-3</c:v>
                </c:pt>
                <c:pt idx="32">
                  <c:v>0.1818355616434188</c:v>
                </c:pt>
              </c:numCache>
            </c:numRef>
          </c:val>
          <c:extLst>
            <c:ext xmlns:c16="http://schemas.microsoft.com/office/drawing/2014/chart" uri="{C3380CC4-5D6E-409C-BE32-E72D297353CC}">
              <c16:uniqueId val="{00000003-7116-4326-BA45-1AF8E00D8FF4}"/>
            </c:ext>
          </c:extLst>
        </c:ser>
        <c:ser>
          <c:idx val="5"/>
          <c:order val="5"/>
          <c:tx>
            <c:strRef>
              <c:f>'Služby-příspěvky k růstu-4'!$H$33</c:f>
              <c:strCache>
                <c:ptCount val="1"/>
                <c:pt idx="0">
                  <c:v>Profesní, vědecké a technické činnosti (p. b.)</c:v>
                </c:pt>
              </c:strCache>
            </c:strRef>
          </c:tx>
          <c:spPr>
            <a:solidFill>
              <a:schemeClr val="accent6">
                <a:lumMod val="60000"/>
                <a:lumOff val="40000"/>
              </a:schemeClr>
            </a:solidFill>
            <a:ln>
              <a:noFill/>
            </a:ln>
          </c:spPr>
          <c:invertIfNegative val="0"/>
          <c:cat>
            <c:multiLvlStrRef>
              <c:f>'Služby-příspěvky k růstu-4'!$A$54:$B$87</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růstu-4'!$H$54:$H$87</c:f>
              <c:numCache>
                <c:formatCode>0.0</c:formatCode>
                <c:ptCount val="34"/>
                <c:pt idx="0">
                  <c:v>0.98301471473999991</c:v>
                </c:pt>
                <c:pt idx="1">
                  <c:v>0.60289217538800066</c:v>
                </c:pt>
                <c:pt idx="2">
                  <c:v>0.29296090665239971</c:v>
                </c:pt>
                <c:pt idx="3">
                  <c:v>0.39545347720550122</c:v>
                </c:pt>
                <c:pt idx="4">
                  <c:v>1.0377388749657004</c:v>
                </c:pt>
                <c:pt idx="5">
                  <c:v>0.52795912771610132</c:v>
                </c:pt>
                <c:pt idx="6">
                  <c:v>0.33128275319889955</c:v>
                </c:pt>
                <c:pt idx="7">
                  <c:v>-0.32335157261830122</c:v>
                </c:pt>
                <c:pt idx="8">
                  <c:v>-0.22442800317910014</c:v>
                </c:pt>
                <c:pt idx="9">
                  <c:v>0.92864418130900139</c:v>
                </c:pt>
                <c:pt idx="10">
                  <c:v>-1.1905556335669008</c:v>
                </c:pt>
                <c:pt idx="11">
                  <c:v>0.12967121395800008</c:v>
                </c:pt>
                <c:pt idx="12">
                  <c:v>-1.2594010229457007</c:v>
                </c:pt>
                <c:pt idx="13">
                  <c:v>-3.4364785420139987</c:v>
                </c:pt>
                <c:pt idx="14">
                  <c:v>-1.730371529016393</c:v>
                </c:pt>
                <c:pt idx="15">
                  <c:v>-1.6762623702279009</c:v>
                </c:pt>
                <c:pt idx="16">
                  <c:v>-1.8460033079172407</c:v>
                </c:pt>
                <c:pt idx="17">
                  <c:v>2.6347487878244005</c:v>
                </c:pt>
                <c:pt idx="18">
                  <c:v>1.7641259138861987</c:v>
                </c:pt>
                <c:pt idx="19">
                  <c:v>2.2229354426597943</c:v>
                </c:pt>
                <c:pt idx="20">
                  <c:v>2.2737358553676001</c:v>
                </c:pt>
                <c:pt idx="21">
                  <c:v>1.3856227896222229</c:v>
                </c:pt>
                <c:pt idx="22">
                  <c:v>0.99391885813043546</c:v>
                </c:pt>
                <c:pt idx="23">
                  <c:v>0.1421335534285707</c:v>
                </c:pt>
                <c:pt idx="24">
                  <c:v>0.81953126781209973</c:v>
                </c:pt>
                <c:pt idx="25">
                  <c:v>0.82106868193752403</c:v>
                </c:pt>
                <c:pt idx="26">
                  <c:v>0.12923231255105044</c:v>
                </c:pt>
                <c:pt idx="27">
                  <c:v>0.83751215536408319</c:v>
                </c:pt>
                <c:pt idx="28">
                  <c:v>0.47506983729129498</c:v>
                </c:pt>
                <c:pt idx="29">
                  <c:v>0.68160503891420543</c:v>
                </c:pt>
                <c:pt idx="30">
                  <c:v>0.2657026600157707</c:v>
                </c:pt>
                <c:pt idx="31">
                  <c:v>5.2509565434282257E-2</c:v>
                </c:pt>
                <c:pt idx="32">
                  <c:v>1.0187824730555113</c:v>
                </c:pt>
              </c:numCache>
            </c:numRef>
          </c:val>
          <c:extLst>
            <c:ext xmlns:c16="http://schemas.microsoft.com/office/drawing/2014/chart" uri="{C3380CC4-5D6E-409C-BE32-E72D297353CC}">
              <c16:uniqueId val="{00000004-7116-4326-BA45-1AF8E00D8FF4}"/>
            </c:ext>
          </c:extLst>
        </c:ser>
        <c:ser>
          <c:idx val="6"/>
          <c:order val="6"/>
          <c:tx>
            <c:strRef>
              <c:f>'Služby-příspěvky k růstu-4'!$I$33</c:f>
              <c:strCache>
                <c:ptCount val="1"/>
                <c:pt idx="0">
                  <c:v>Administr. a podpůrné čin. (příspěvek v p. b.)</c:v>
                </c:pt>
              </c:strCache>
            </c:strRef>
          </c:tx>
          <c:spPr>
            <a:solidFill>
              <a:schemeClr val="accent1">
                <a:lumMod val="20000"/>
                <a:lumOff val="80000"/>
              </a:schemeClr>
            </a:solidFill>
            <a:ln>
              <a:noFill/>
            </a:ln>
          </c:spPr>
          <c:invertIfNegative val="0"/>
          <c:cat>
            <c:multiLvlStrRef>
              <c:f>'Služby-příspěvky k růstu-4'!$A$54:$B$87</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růstu-4'!$I$54:$I$87</c:f>
              <c:numCache>
                <c:formatCode>0.0</c:formatCode>
                <c:ptCount val="34"/>
                <c:pt idx="0">
                  <c:v>1.2711366665920003</c:v>
                </c:pt>
                <c:pt idx="1">
                  <c:v>1.1146800750025008</c:v>
                </c:pt>
                <c:pt idx="2">
                  <c:v>0.67890344957800031</c:v>
                </c:pt>
                <c:pt idx="3">
                  <c:v>0.27956598839150021</c:v>
                </c:pt>
                <c:pt idx="4">
                  <c:v>0.54934461190249961</c:v>
                </c:pt>
                <c:pt idx="5">
                  <c:v>0.38115955639220078</c:v>
                </c:pt>
                <c:pt idx="6">
                  <c:v>0.39493334022210069</c:v>
                </c:pt>
                <c:pt idx="7">
                  <c:v>-3.4631397924000239E-2</c:v>
                </c:pt>
                <c:pt idx="8">
                  <c:v>-1.2005370156462005</c:v>
                </c:pt>
                <c:pt idx="9">
                  <c:v>0.45407540916639949</c:v>
                </c:pt>
                <c:pt idx="10">
                  <c:v>-0.39889254166379967</c:v>
                </c:pt>
                <c:pt idx="11">
                  <c:v>1.3109329456980003</c:v>
                </c:pt>
                <c:pt idx="12">
                  <c:v>-1.1343690284759997</c:v>
                </c:pt>
                <c:pt idx="13">
                  <c:v>-5.28274232805955</c:v>
                </c:pt>
                <c:pt idx="14">
                  <c:v>-4.9394629012368423</c:v>
                </c:pt>
                <c:pt idx="15">
                  <c:v>-2.9777822451920004</c:v>
                </c:pt>
                <c:pt idx="16">
                  <c:v>-1.4090224874890003</c:v>
                </c:pt>
                <c:pt idx="17">
                  <c:v>2.2489366135893936</c:v>
                </c:pt>
                <c:pt idx="18">
                  <c:v>2.1176111028400002</c:v>
                </c:pt>
                <c:pt idx="19">
                  <c:v>1.4315715582961834</c:v>
                </c:pt>
                <c:pt idx="20">
                  <c:v>1.7141956457703218</c:v>
                </c:pt>
                <c:pt idx="21">
                  <c:v>3.1132718885355142</c:v>
                </c:pt>
                <c:pt idx="22">
                  <c:v>2.2147560104235504</c:v>
                </c:pt>
                <c:pt idx="23">
                  <c:v>0.75873802832519943</c:v>
                </c:pt>
                <c:pt idx="24">
                  <c:v>0.44446992933960033</c:v>
                </c:pt>
                <c:pt idx="25">
                  <c:v>0.17274794169589636</c:v>
                </c:pt>
                <c:pt idx="26">
                  <c:v>-0.14160160109817077</c:v>
                </c:pt>
                <c:pt idx="27">
                  <c:v>-4.4406367348499426E-2</c:v>
                </c:pt>
                <c:pt idx="28">
                  <c:v>0.38639916772040217</c:v>
                </c:pt>
                <c:pt idx="29">
                  <c:v>0.14229025552145014</c:v>
                </c:pt>
                <c:pt idx="30">
                  <c:v>0.42489637821976656</c:v>
                </c:pt>
                <c:pt idx="31">
                  <c:v>0.17528601156412052</c:v>
                </c:pt>
                <c:pt idx="32">
                  <c:v>0.18087243153538646</c:v>
                </c:pt>
              </c:numCache>
            </c:numRef>
          </c:val>
          <c:extLst>
            <c:ext xmlns:c16="http://schemas.microsoft.com/office/drawing/2014/chart" uri="{C3380CC4-5D6E-409C-BE32-E72D297353CC}">
              <c16:uniqueId val="{00000005-7116-4326-BA45-1AF8E00D8FF4}"/>
            </c:ext>
          </c:extLst>
        </c:ser>
        <c:dLbls>
          <c:showLegendKey val="0"/>
          <c:showVal val="0"/>
          <c:showCatName val="0"/>
          <c:showSerName val="0"/>
          <c:showPercent val="0"/>
          <c:showBubbleSize val="0"/>
        </c:dLbls>
        <c:gapWidth val="20"/>
        <c:overlap val="100"/>
        <c:axId val="156100864"/>
        <c:axId val="156573696"/>
      </c:barChart>
      <c:lineChart>
        <c:grouping val="standard"/>
        <c:varyColors val="0"/>
        <c:ser>
          <c:idx val="3"/>
          <c:order val="0"/>
          <c:tx>
            <c:strRef>
              <c:f>'Služby-příspěvky k růstu-4'!$C$33</c:f>
              <c:strCache>
                <c:ptCount val="1"/>
                <c:pt idx="0">
                  <c:v>Služby celkem (meziroční růst v %)</c:v>
                </c:pt>
              </c:strCache>
            </c:strRef>
          </c:tx>
          <c:spPr>
            <a:ln>
              <a:noFill/>
            </a:ln>
          </c:spPr>
          <c:marker>
            <c:symbol val="dash"/>
            <c:size val="7"/>
            <c:spPr>
              <a:solidFill>
                <a:schemeClr val="tx1">
                  <a:lumMod val="95000"/>
                  <a:lumOff val="5000"/>
                </a:schemeClr>
              </a:solidFill>
              <a:ln>
                <a:noFill/>
              </a:ln>
            </c:spPr>
          </c:marker>
          <c:cat>
            <c:multiLvlStrRef>
              <c:f>'Služby-příspěvky k růstu-4'!$A$54:$B$87</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růstu-4'!$C$54:$C$87</c:f>
              <c:numCache>
                <c:formatCode>0.0</c:formatCode>
                <c:ptCount val="34"/>
                <c:pt idx="0">
                  <c:v>5.6487960982999965</c:v>
                </c:pt>
                <c:pt idx="1">
                  <c:v>5.6026545363999958</c:v>
                </c:pt>
                <c:pt idx="2">
                  <c:v>3.3153176139999943</c:v>
                </c:pt>
                <c:pt idx="3">
                  <c:v>2.439509263000005</c:v>
                </c:pt>
                <c:pt idx="4">
                  <c:v>4.8946535392999948</c:v>
                </c:pt>
                <c:pt idx="5">
                  <c:v>3.1352798691000032</c:v>
                </c:pt>
                <c:pt idx="6">
                  <c:v>3.5086986100999979</c:v>
                </c:pt>
                <c:pt idx="7">
                  <c:v>0.94159026420000203</c:v>
                </c:pt>
                <c:pt idx="8" formatCode="##0.0">
                  <c:v>-2.0671054031000011</c:v>
                </c:pt>
                <c:pt idx="9" formatCode="##0.0">
                  <c:v>2.0209180144999976</c:v>
                </c:pt>
                <c:pt idx="10" formatCode="##0.0">
                  <c:v>0.44120109739999691</c:v>
                </c:pt>
                <c:pt idx="11" formatCode="##0.0">
                  <c:v>3.686095991000002</c:v>
                </c:pt>
                <c:pt idx="12" formatCode="##0.0">
                  <c:v>-3.6978715759999972</c:v>
                </c:pt>
                <c:pt idx="13" formatCode="##0.0">
                  <c:v>-20.484078348699995</c:v>
                </c:pt>
                <c:pt idx="14" formatCode="##0.0">
                  <c:v>-13.812204700500004</c:v>
                </c:pt>
                <c:pt idx="15" formatCode="##0.0">
                  <c:v>-12.694419719300001</c:v>
                </c:pt>
                <c:pt idx="16" formatCode="##0.0">
                  <c:v>-6.4687228738000044</c:v>
                </c:pt>
                <c:pt idx="17" formatCode="##0.0">
                  <c:v>14.451370275100004</c:v>
                </c:pt>
                <c:pt idx="18" formatCode="##0.0">
                  <c:v>9.8536325624999961</c:v>
                </c:pt>
                <c:pt idx="19" formatCode="##0.0">
                  <c:v>12.454620942199995</c:v>
                </c:pt>
                <c:pt idx="20" formatCode="##0.0">
                  <c:v>13.596558912000006</c:v>
                </c:pt>
                <c:pt idx="21" formatCode="##0.0">
                  <c:v>12.572966648600001</c:v>
                </c:pt>
                <c:pt idx="22" formatCode="##0.0">
                  <c:v>6.8797967353000047</c:v>
                </c:pt>
                <c:pt idx="23" formatCode="##0.0">
                  <c:v>3.1398287747000069</c:v>
                </c:pt>
                <c:pt idx="24" formatCode="##0.0">
                  <c:v>1.6063797247000053</c:v>
                </c:pt>
                <c:pt idx="25" formatCode="##0.0">
                  <c:v>-1.6359107435999931</c:v>
                </c:pt>
                <c:pt idx="26" formatCode="##0.0">
                  <c:v>-3.8473384750000008</c:v>
                </c:pt>
                <c:pt idx="27" formatCode="##0.0">
                  <c:v>-2.1909684113000054</c:v>
                </c:pt>
                <c:pt idx="28" formatCode="##0.0">
                  <c:v>1.1931789974999987</c:v>
                </c:pt>
                <c:pt idx="29" formatCode="##0.0">
                  <c:v>2.8819790006999995</c:v>
                </c:pt>
                <c:pt idx="30" formatCode="##0.0">
                  <c:v>2.8448000146999988</c:v>
                </c:pt>
                <c:pt idx="31" formatCode="##0.0">
                  <c:v>2.1314936261999975</c:v>
                </c:pt>
                <c:pt idx="32" formatCode="##0.0">
                  <c:v>3.0582907990449768</c:v>
                </c:pt>
              </c:numCache>
            </c:numRef>
          </c:val>
          <c:smooth val="0"/>
          <c:extLst>
            <c:ext xmlns:c16="http://schemas.microsoft.com/office/drawing/2014/chart" uri="{C3380CC4-5D6E-409C-BE32-E72D297353CC}">
              <c16:uniqueId val="{00000006-7116-4326-BA45-1AF8E00D8FF4}"/>
            </c:ext>
          </c:extLst>
        </c:ser>
        <c:dLbls>
          <c:showLegendKey val="0"/>
          <c:showVal val="0"/>
          <c:showCatName val="0"/>
          <c:showSerName val="0"/>
          <c:showPercent val="0"/>
          <c:showBubbleSize val="0"/>
        </c:dLbls>
        <c:marker val="1"/>
        <c:smooth val="0"/>
        <c:axId val="156100864"/>
        <c:axId val="156573696"/>
      </c:lineChart>
      <c:lineChart>
        <c:grouping val="standard"/>
        <c:varyColors val="0"/>
        <c:ser>
          <c:idx val="7"/>
          <c:order val="7"/>
          <c:tx>
            <c:strRef>
              <c:f>'Služby-příspěvky k růstu-4'!$J$33</c:f>
              <c:strCache>
                <c:ptCount val="1"/>
                <c:pt idx="0">
                  <c:v>Saldo indikátoru důvěry ve službách</c:v>
                </c:pt>
              </c:strCache>
            </c:strRef>
          </c:tx>
          <c:spPr>
            <a:ln w="3175">
              <a:solidFill>
                <a:schemeClr val="bg1">
                  <a:lumMod val="50000"/>
                </a:schemeClr>
              </a:solidFill>
              <a:prstDash val="sysDot"/>
            </a:ln>
          </c:spPr>
          <c:marker>
            <c:symbol val="diamond"/>
            <c:size val="5"/>
            <c:spPr>
              <a:solidFill>
                <a:srgbClr val="FFFF00"/>
              </a:solidFill>
              <a:ln w="6350">
                <a:solidFill>
                  <a:schemeClr val="tx1">
                    <a:lumMod val="85000"/>
                    <a:lumOff val="15000"/>
                  </a:schemeClr>
                </a:solidFill>
              </a:ln>
            </c:spPr>
          </c:marker>
          <c:cat>
            <c:multiLvlStrRef>
              <c:f>'Služby-příspěvky k růstu-4'!$A$54:$B$87</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růstu-4'!$J$54:$J$87</c:f>
              <c:numCache>
                <c:formatCode>#\ ##0.0</c:formatCode>
                <c:ptCount val="34"/>
                <c:pt idx="0">
                  <c:v>35.299999999999997</c:v>
                </c:pt>
                <c:pt idx="1">
                  <c:v>37.700000000000003</c:v>
                </c:pt>
                <c:pt idx="2">
                  <c:v>37.299999999999997</c:v>
                </c:pt>
                <c:pt idx="3">
                  <c:v>35.700000000000003</c:v>
                </c:pt>
                <c:pt idx="4">
                  <c:v>38.299999999999997</c:v>
                </c:pt>
                <c:pt idx="5">
                  <c:v>37</c:v>
                </c:pt>
                <c:pt idx="6">
                  <c:v>38.299999999999997</c:v>
                </c:pt>
                <c:pt idx="7">
                  <c:v>40.700000000000003</c:v>
                </c:pt>
                <c:pt idx="8">
                  <c:v>39.299999999999997</c:v>
                </c:pt>
                <c:pt idx="9">
                  <c:v>33.700000000000003</c:v>
                </c:pt>
                <c:pt idx="10">
                  <c:v>35</c:v>
                </c:pt>
                <c:pt idx="11">
                  <c:v>32.700000000000003</c:v>
                </c:pt>
                <c:pt idx="12">
                  <c:v>29</c:v>
                </c:pt>
                <c:pt idx="13">
                  <c:v>-13.3</c:v>
                </c:pt>
                <c:pt idx="14">
                  <c:v>1</c:v>
                </c:pt>
                <c:pt idx="15">
                  <c:v>-5</c:v>
                </c:pt>
                <c:pt idx="16">
                  <c:v>8</c:v>
                </c:pt>
                <c:pt idx="17">
                  <c:v>22.3</c:v>
                </c:pt>
                <c:pt idx="18">
                  <c:v>24.3</c:v>
                </c:pt>
                <c:pt idx="19">
                  <c:v>27</c:v>
                </c:pt>
                <c:pt idx="20">
                  <c:v>31</c:v>
                </c:pt>
                <c:pt idx="21">
                  <c:v>40</c:v>
                </c:pt>
                <c:pt idx="22">
                  <c:v>27.7</c:v>
                </c:pt>
                <c:pt idx="23">
                  <c:v>21.3</c:v>
                </c:pt>
                <c:pt idx="24">
                  <c:v>24</c:v>
                </c:pt>
                <c:pt idx="25" formatCode="0.0">
                  <c:v>28</c:v>
                </c:pt>
                <c:pt idx="26" formatCode="0.0">
                  <c:v>25.7</c:v>
                </c:pt>
                <c:pt idx="27" formatCode="0.0">
                  <c:v>22.7</c:v>
                </c:pt>
                <c:pt idx="28" formatCode="0.0">
                  <c:v>21.3</c:v>
                </c:pt>
                <c:pt idx="29" formatCode="0.0">
                  <c:v>30.1</c:v>
                </c:pt>
                <c:pt idx="30" formatCode="0.0">
                  <c:v>21.7</c:v>
                </c:pt>
                <c:pt idx="31" formatCode="0.0">
                  <c:v>33.700000000000003</c:v>
                </c:pt>
                <c:pt idx="32" formatCode="0.0">
                  <c:v>31.3</c:v>
                </c:pt>
                <c:pt idx="33" formatCode="0.0">
                  <c:v>39.700000000000003</c:v>
                </c:pt>
              </c:numCache>
            </c:numRef>
          </c:val>
          <c:smooth val="0"/>
          <c:extLst>
            <c:ext xmlns:c16="http://schemas.microsoft.com/office/drawing/2014/chart" uri="{C3380CC4-5D6E-409C-BE32-E72D297353CC}">
              <c16:uniqueId val="{00000007-7116-4326-BA45-1AF8E00D8FF4}"/>
            </c:ext>
          </c:extLst>
        </c:ser>
        <c:ser>
          <c:idx val="8"/>
          <c:order val="8"/>
          <c:tx>
            <c:strRef>
              <c:f>'Služby-příspěvky k růstu-4'!$K$33</c:f>
              <c:strCache>
                <c:ptCount val="1"/>
                <c:pt idx="0">
                  <c:v>Bariéra růstu: nedostatečná poptávka</c:v>
                </c:pt>
              </c:strCache>
            </c:strRef>
          </c:tx>
          <c:spPr>
            <a:ln w="15875">
              <a:solidFill>
                <a:srgbClr val="CA945E"/>
              </a:solidFill>
              <a:prstDash val="solid"/>
            </a:ln>
          </c:spPr>
          <c:marker>
            <c:symbol val="none"/>
          </c:marker>
          <c:cat>
            <c:multiLvlStrRef>
              <c:f>'Služby-příspěvky k růstu-4'!$A$54:$B$87</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růstu-4'!$K$54:$K$87</c:f>
              <c:numCache>
                <c:formatCode>#\ ##0.0</c:formatCode>
                <c:ptCount val="34"/>
                <c:pt idx="0">
                  <c:v>25.8</c:v>
                </c:pt>
                <c:pt idx="1">
                  <c:v>20.5</c:v>
                </c:pt>
                <c:pt idx="2">
                  <c:v>18.399999999999999</c:v>
                </c:pt>
                <c:pt idx="3">
                  <c:v>21.6</c:v>
                </c:pt>
                <c:pt idx="4">
                  <c:v>16.899999999999999</c:v>
                </c:pt>
                <c:pt idx="5">
                  <c:v>19.399999999999999</c:v>
                </c:pt>
                <c:pt idx="6">
                  <c:v>17.899999999999999</c:v>
                </c:pt>
                <c:pt idx="7">
                  <c:v>20.7</c:v>
                </c:pt>
                <c:pt idx="8">
                  <c:v>20.6</c:v>
                </c:pt>
                <c:pt idx="9">
                  <c:v>16.899999999999999</c:v>
                </c:pt>
                <c:pt idx="10">
                  <c:v>20.5</c:v>
                </c:pt>
                <c:pt idx="11">
                  <c:v>14.4</c:v>
                </c:pt>
                <c:pt idx="12">
                  <c:v>21.3</c:v>
                </c:pt>
                <c:pt idx="13">
                  <c:v>30.2</c:v>
                </c:pt>
                <c:pt idx="14">
                  <c:v>30.4</c:v>
                </c:pt>
                <c:pt idx="15">
                  <c:v>39.200000000000003</c:v>
                </c:pt>
                <c:pt idx="16">
                  <c:v>34.799999999999997</c:v>
                </c:pt>
                <c:pt idx="17">
                  <c:v>36.799999999999997</c:v>
                </c:pt>
                <c:pt idx="18">
                  <c:v>28.9</c:v>
                </c:pt>
                <c:pt idx="19">
                  <c:v>26.3</c:v>
                </c:pt>
                <c:pt idx="20">
                  <c:v>31.6</c:v>
                </c:pt>
                <c:pt idx="21">
                  <c:v>15</c:v>
                </c:pt>
                <c:pt idx="22">
                  <c:v>30.2</c:v>
                </c:pt>
                <c:pt idx="23">
                  <c:v>17.600000000000001</c:v>
                </c:pt>
                <c:pt idx="24">
                  <c:v>25.4</c:v>
                </c:pt>
                <c:pt idx="25">
                  <c:v>19.100000000000001</c:v>
                </c:pt>
                <c:pt idx="26">
                  <c:v>26</c:v>
                </c:pt>
                <c:pt idx="27">
                  <c:v>23</c:v>
                </c:pt>
                <c:pt idx="28">
                  <c:v>18.5</c:v>
                </c:pt>
                <c:pt idx="29">
                  <c:v>19.2</c:v>
                </c:pt>
                <c:pt idx="30">
                  <c:v>17.8</c:v>
                </c:pt>
                <c:pt idx="31">
                  <c:v>29.6</c:v>
                </c:pt>
                <c:pt idx="32">
                  <c:v>24.4</c:v>
                </c:pt>
                <c:pt idx="33">
                  <c:v>17.5</c:v>
                </c:pt>
              </c:numCache>
            </c:numRef>
          </c:val>
          <c:smooth val="0"/>
          <c:extLst>
            <c:ext xmlns:c16="http://schemas.microsoft.com/office/drawing/2014/chart" uri="{C3380CC4-5D6E-409C-BE32-E72D297353CC}">
              <c16:uniqueId val="{00000008-7116-4326-BA45-1AF8E00D8FF4}"/>
            </c:ext>
          </c:extLst>
        </c:ser>
        <c:ser>
          <c:idx val="9"/>
          <c:order val="9"/>
          <c:tx>
            <c:strRef>
              <c:f>'Služby-příspěvky k růstu-4'!$L$33</c:f>
              <c:strCache>
                <c:ptCount val="1"/>
                <c:pt idx="0">
                  <c:v>Bariéra růstu: nedostatek pracovníků</c:v>
                </c:pt>
              </c:strCache>
            </c:strRef>
          </c:tx>
          <c:spPr>
            <a:ln w="15875">
              <a:solidFill>
                <a:srgbClr val="CA945E"/>
              </a:solidFill>
              <a:prstDash val="sysDash"/>
            </a:ln>
          </c:spPr>
          <c:marker>
            <c:symbol val="none"/>
          </c:marker>
          <c:cat>
            <c:multiLvlStrRef>
              <c:f>'Služby-příspěvky k růstu-4'!$A$54:$B$87</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růstu-4'!$L$54:$L$87</c:f>
              <c:numCache>
                <c:formatCode>#\ ##0.0</c:formatCode>
                <c:ptCount val="34"/>
                <c:pt idx="0">
                  <c:v>9.4</c:v>
                </c:pt>
                <c:pt idx="1">
                  <c:v>9.6999999999999993</c:v>
                </c:pt>
                <c:pt idx="2">
                  <c:v>9.8000000000000007</c:v>
                </c:pt>
                <c:pt idx="3">
                  <c:v>12.8</c:v>
                </c:pt>
                <c:pt idx="4">
                  <c:v>13.9</c:v>
                </c:pt>
                <c:pt idx="5">
                  <c:v>16.3</c:v>
                </c:pt>
                <c:pt idx="6">
                  <c:v>17.5</c:v>
                </c:pt>
                <c:pt idx="7">
                  <c:v>18.899999999999999</c:v>
                </c:pt>
                <c:pt idx="8">
                  <c:v>19.3</c:v>
                </c:pt>
                <c:pt idx="9">
                  <c:v>15</c:v>
                </c:pt>
                <c:pt idx="10">
                  <c:v>21.5</c:v>
                </c:pt>
                <c:pt idx="11">
                  <c:v>19.8</c:v>
                </c:pt>
                <c:pt idx="12">
                  <c:v>19.5</c:v>
                </c:pt>
                <c:pt idx="13">
                  <c:v>10</c:v>
                </c:pt>
                <c:pt idx="14">
                  <c:v>10</c:v>
                </c:pt>
                <c:pt idx="15">
                  <c:v>12.6</c:v>
                </c:pt>
                <c:pt idx="16">
                  <c:v>12.7</c:v>
                </c:pt>
                <c:pt idx="17">
                  <c:v>8.5</c:v>
                </c:pt>
                <c:pt idx="18">
                  <c:v>17.399999999999999</c:v>
                </c:pt>
                <c:pt idx="19">
                  <c:v>20.6</c:v>
                </c:pt>
                <c:pt idx="20">
                  <c:v>20.2</c:v>
                </c:pt>
                <c:pt idx="21">
                  <c:v>10.9</c:v>
                </c:pt>
                <c:pt idx="22">
                  <c:v>17.899999999999999</c:v>
                </c:pt>
                <c:pt idx="23">
                  <c:v>6.6</c:v>
                </c:pt>
                <c:pt idx="24">
                  <c:v>9.3000000000000007</c:v>
                </c:pt>
                <c:pt idx="25">
                  <c:v>9.7000000000000011</c:v>
                </c:pt>
                <c:pt idx="26">
                  <c:v>9.2000000000000011</c:v>
                </c:pt>
                <c:pt idx="27">
                  <c:v>12.3</c:v>
                </c:pt>
                <c:pt idx="28">
                  <c:v>8.3000000000000007</c:v>
                </c:pt>
                <c:pt idx="29">
                  <c:v>8.1</c:v>
                </c:pt>
                <c:pt idx="30">
                  <c:v>8.3000000000000007</c:v>
                </c:pt>
                <c:pt idx="31">
                  <c:v>15.3</c:v>
                </c:pt>
                <c:pt idx="32">
                  <c:v>12.9</c:v>
                </c:pt>
                <c:pt idx="33">
                  <c:v>10.4</c:v>
                </c:pt>
              </c:numCache>
            </c:numRef>
          </c:val>
          <c:smooth val="0"/>
          <c:extLst>
            <c:ext xmlns:c16="http://schemas.microsoft.com/office/drawing/2014/chart" uri="{C3380CC4-5D6E-409C-BE32-E72D297353CC}">
              <c16:uniqueId val="{00000009-7116-4326-BA45-1AF8E00D8FF4}"/>
            </c:ext>
          </c:extLst>
        </c:ser>
        <c:ser>
          <c:idx val="10"/>
          <c:order val="10"/>
          <c:tx>
            <c:strRef>
              <c:f>'Služby-příspěvky k růstu-4'!$M$33</c:f>
              <c:strCache>
                <c:ptCount val="1"/>
                <c:pt idx="0">
                  <c:v>Tržby celkem (báze 2021=100, stálé ceny)</c:v>
                </c:pt>
              </c:strCache>
            </c:strRef>
          </c:tx>
          <c:spPr>
            <a:ln w="15875">
              <a:solidFill>
                <a:schemeClr val="tx1"/>
              </a:solidFill>
            </a:ln>
          </c:spPr>
          <c:marker>
            <c:symbol val="none"/>
          </c:marker>
          <c:cat>
            <c:multiLvlStrRef>
              <c:f>'Služby-příspěvky k růstu-4'!$A$54:$B$87</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růstu-4'!$M$54:$M$87</c:f>
              <c:numCache>
                <c:formatCode>0.0</c:formatCode>
                <c:ptCount val="34"/>
                <c:pt idx="0">
                  <c:v>101.4219604533</c:v>
                </c:pt>
                <c:pt idx="1">
                  <c:v>102.49538191000001</c:v>
                </c:pt>
                <c:pt idx="2">
                  <c:v>102.1840512567</c:v>
                </c:pt>
                <c:pt idx="3">
                  <c:v>103.20163698</c:v>
                </c:pt>
                <c:pt idx="4">
                  <c:v>106.6503331867</c:v>
                </c:pt>
                <c:pt idx="5">
                  <c:v>105.31944761</c:v>
                </c:pt>
                <c:pt idx="6">
                  <c:v>105.3929269967</c:v>
                </c:pt>
                <c:pt idx="7">
                  <c:v>103.7491798467</c:v>
                </c:pt>
                <c:pt idx="8">
                  <c:v>104.6832218533</c:v>
                </c:pt>
                <c:pt idx="9">
                  <c:v>107.16559399330001</c:v>
                </c:pt>
                <c:pt idx="10">
                  <c:v>106.1436901867</c:v>
                </c:pt>
                <c:pt idx="11">
                  <c:v>106.27043888670001</c:v>
                </c:pt>
                <c:pt idx="12">
                  <c:v>100.6979508733</c:v>
                </c:pt>
                <c:pt idx="13">
                  <c:v>86.618830439999996</c:v>
                </c:pt>
                <c:pt idx="14">
                  <c:v>93.9929513867</c:v>
                </c:pt>
                <c:pt idx="15">
                  <c:v>92.232927896700005</c:v>
                </c:pt>
                <c:pt idx="16">
                  <c:v>92.805155896700001</c:v>
                </c:pt>
                <c:pt idx="17">
                  <c:v>97.9701970367</c:v>
                </c:pt>
                <c:pt idx="18">
                  <c:v>102.3745371233</c:v>
                </c:pt>
                <c:pt idx="19">
                  <c:v>104.40597880670001</c:v>
                </c:pt>
                <c:pt idx="20">
                  <c:v>106.2737186433</c:v>
                </c:pt>
                <c:pt idx="21">
                  <c:v>108.9542557867</c:v>
                </c:pt>
                <c:pt idx="22">
                  <c:v>109.4682935367</c:v>
                </c:pt>
                <c:pt idx="23">
                  <c:v>108.85482369</c:v>
                </c:pt>
                <c:pt idx="24">
                  <c:v>107.92439769329999</c:v>
                </c:pt>
                <c:pt idx="25">
                  <c:v>106.58012399</c:v>
                </c:pt>
                <c:pt idx="26">
                  <c:v>105.9635746</c:v>
                </c:pt>
                <c:pt idx="27">
                  <c:v>106.7192864467</c:v>
                </c:pt>
                <c:pt idx="28">
                  <c:v>108.61891412999999</c:v>
                </c:pt>
                <c:pt idx="29">
                  <c:v>109.2937022167</c:v>
                </c:pt>
                <c:pt idx="30">
                  <c:v>109.1590391133</c:v>
                </c:pt>
                <c:pt idx="31">
                  <c:v>109.61096876329999</c:v>
                </c:pt>
                <c:pt idx="32">
                  <c:v>111.6090457467</c:v>
                </c:pt>
              </c:numCache>
            </c:numRef>
          </c:val>
          <c:smooth val="0"/>
          <c:extLst>
            <c:ext xmlns:c16="http://schemas.microsoft.com/office/drawing/2014/chart" uri="{C3380CC4-5D6E-409C-BE32-E72D297353CC}">
              <c16:uniqueId val="{0000000A-7116-4326-BA45-1AF8E00D8FF4}"/>
            </c:ext>
          </c:extLst>
        </c:ser>
        <c:ser>
          <c:idx val="11"/>
          <c:order val="11"/>
          <c:tx>
            <c:strRef>
              <c:f>'Služby-příspěvky k růstu-4'!$N$33</c:f>
              <c:strCache>
                <c:ptCount val="1"/>
                <c:pt idx="0">
                  <c:v>Tržby celkem (báze 2021=100, běžné ceny)</c:v>
                </c:pt>
              </c:strCache>
            </c:strRef>
          </c:tx>
          <c:spPr>
            <a:ln w="15875">
              <a:solidFill>
                <a:schemeClr val="bg2">
                  <a:lumMod val="25000"/>
                </a:schemeClr>
              </a:solidFill>
              <a:prstDash val="sysDash"/>
            </a:ln>
          </c:spPr>
          <c:marker>
            <c:symbol val="none"/>
          </c:marker>
          <c:cat>
            <c:multiLvlStrRef>
              <c:f>'Služby-příspěvky k růstu-4'!$A$54:$B$87</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'Služby-příspěvky k růstu-4'!$N$54:$N$87</c:f>
              <c:numCache>
                <c:formatCode>0.0</c:formatCode>
                <c:ptCount val="34"/>
                <c:pt idx="0">
                  <c:v>92.831140320000003</c:v>
                </c:pt>
                <c:pt idx="1">
                  <c:v>94.084719190000001</c:v>
                </c:pt>
                <c:pt idx="2">
                  <c:v>94.352925536699999</c:v>
                </c:pt>
                <c:pt idx="3">
                  <c:v>95.836781003300004</c:v>
                </c:pt>
                <c:pt idx="4">
                  <c:v>99.320277939999997</c:v>
                </c:pt>
                <c:pt idx="5">
                  <c:v>98.6848122233</c:v>
                </c:pt>
                <c:pt idx="6">
                  <c:v>99.610745516700007</c:v>
                </c:pt>
                <c:pt idx="7">
                  <c:v>98.775679409999995</c:v>
                </c:pt>
                <c:pt idx="8">
                  <c:v>99.816231270000003</c:v>
                </c:pt>
                <c:pt idx="9">
                  <c:v>103.18033488330001</c:v>
                </c:pt>
                <c:pt idx="10">
                  <c:v>102.9398626967</c:v>
                </c:pt>
                <c:pt idx="11">
                  <c:v>103.5312898067</c:v>
                </c:pt>
                <c:pt idx="12">
                  <c:v>98.588248460000003</c:v>
                </c:pt>
                <c:pt idx="13">
                  <c:v>84.899543543299998</c:v>
                </c:pt>
                <c:pt idx="14">
                  <c:v>92.649802966699994</c:v>
                </c:pt>
                <c:pt idx="15">
                  <c:v>91.452913469999999</c:v>
                </c:pt>
                <c:pt idx="16">
                  <c:v>92.163581273299997</c:v>
                </c:pt>
                <c:pt idx="17">
                  <c:v>97.138855239999998</c:v>
                </c:pt>
                <c:pt idx="18">
                  <c:v>102.3639752067</c:v>
                </c:pt>
                <c:pt idx="19">
                  <c:v>105.9497634233</c:v>
                </c:pt>
                <c:pt idx="20">
                  <c:v>109.8553198133</c:v>
                </c:pt>
                <c:pt idx="21">
                  <c:v>114.9659659133</c:v>
                </c:pt>
                <c:pt idx="22">
                  <c:v>118.03167678</c:v>
                </c:pt>
                <c:pt idx="23">
                  <c:v>119.45798805</c:v>
                </c:pt>
                <c:pt idx="24">
                  <c:v>120.6388644533</c:v>
                </c:pt>
                <c:pt idx="25">
                  <c:v>121.1910763333</c:v>
                </c:pt>
                <c:pt idx="26">
                  <c:v>121.8410136033</c:v>
                </c:pt>
                <c:pt idx="27">
                  <c:v>124.05454134670001</c:v>
                </c:pt>
                <c:pt idx="28">
                  <c:v>127.17208728999999</c:v>
                </c:pt>
                <c:pt idx="29">
                  <c:v>128.7493868</c:v>
                </c:pt>
                <c:pt idx="30">
                  <c:v>129.75736211</c:v>
                </c:pt>
                <c:pt idx="31">
                  <c:v>131.40642788330001</c:v>
                </c:pt>
                <c:pt idx="32">
                  <c:v>134.37270574670001</c:v>
                </c:pt>
              </c:numCache>
            </c:numRef>
          </c:val>
          <c:smooth val="0"/>
          <c:extLst>
            <c:ext xmlns:c16="http://schemas.microsoft.com/office/drawing/2014/chart" uri="{C3380CC4-5D6E-409C-BE32-E72D297353CC}">
              <c16:uniqueId val="{0000000B-7116-4326-BA45-1AF8E00D8FF4}"/>
            </c:ext>
          </c:extLst>
        </c:ser>
        <c:dLbls>
          <c:showLegendKey val="0"/>
          <c:showVal val="0"/>
          <c:showCatName val="0"/>
          <c:showSerName val="0"/>
          <c:showPercent val="0"/>
          <c:showBubbleSize val="0"/>
        </c:dLbls>
        <c:marker val="1"/>
        <c:smooth val="0"/>
        <c:axId val="156576768"/>
        <c:axId val="156575232"/>
      </c:lineChart>
      <c:catAx>
        <c:axId val="156100864"/>
        <c:scaling>
          <c:orientation val="minMax"/>
        </c:scaling>
        <c:delete val="0"/>
        <c:axPos val="b"/>
        <c:numFmt formatCode="General" sourceLinked="0"/>
        <c:majorTickMark val="out"/>
        <c:minorTickMark val="none"/>
        <c:tickLblPos val="low"/>
        <c:txPr>
          <a:bodyPr/>
          <a:lstStyle/>
          <a:p>
            <a:pPr>
              <a:defRPr sz="800"/>
            </a:pPr>
            <a:endParaRPr lang="cs-CZ"/>
          </a:p>
        </c:txPr>
        <c:crossAx val="156573696"/>
        <c:crosses val="autoZero"/>
        <c:auto val="1"/>
        <c:lblAlgn val="ctr"/>
        <c:lblOffset val="0"/>
        <c:noMultiLvlLbl val="0"/>
      </c:catAx>
      <c:valAx>
        <c:axId val="156573696"/>
        <c:scaling>
          <c:orientation val="minMax"/>
          <c:max val="15"/>
          <c:min val="-30"/>
        </c:scaling>
        <c:delete val="0"/>
        <c:axPos val="l"/>
        <c:majorGridlines>
          <c:spPr>
            <a:ln w="6350">
              <a:solidFill>
                <a:schemeClr val="bg1">
                  <a:lumMod val="75000"/>
                </a:schemeClr>
              </a:solidFill>
            </a:ln>
          </c:spPr>
        </c:majorGridlines>
        <c:title>
          <c:tx>
            <c:rich>
              <a:bodyPr/>
              <a:lstStyle/>
              <a:p>
                <a:pPr>
                  <a:defRPr sz="700" b="0" i="1"/>
                </a:pPr>
                <a:r>
                  <a:rPr lang="cs-CZ" sz="700" b="0" i="1"/>
                  <a:t>Tržby (příspěvky k</a:t>
                </a:r>
                <a:r>
                  <a:rPr lang="cs-CZ" sz="700" b="0" i="1" baseline="0"/>
                  <a:t> meziroční změně)</a:t>
                </a:r>
                <a:endParaRPr lang="cs-CZ" sz="700" b="0" i="1"/>
              </a:p>
            </c:rich>
          </c:tx>
          <c:layout>
            <c:manualLayout>
              <c:xMode val="edge"/>
              <c:yMode val="edge"/>
              <c:x val="0"/>
              <c:y val="0.1364926551121953"/>
            </c:manualLayout>
          </c:layout>
          <c:overlay val="0"/>
        </c:title>
        <c:numFmt formatCode="0" sourceLinked="0"/>
        <c:majorTickMark val="out"/>
        <c:minorTickMark val="none"/>
        <c:tickLblPos val="nextTo"/>
        <c:txPr>
          <a:bodyPr/>
          <a:lstStyle/>
          <a:p>
            <a:pPr>
              <a:defRPr sz="800"/>
            </a:pPr>
            <a:endParaRPr lang="cs-CZ"/>
          </a:p>
        </c:txPr>
        <c:crossAx val="156100864"/>
        <c:crosses val="autoZero"/>
        <c:crossBetween val="between"/>
        <c:majorUnit val="5"/>
      </c:valAx>
      <c:valAx>
        <c:axId val="156575232"/>
        <c:scaling>
          <c:orientation val="minMax"/>
          <c:max val="150"/>
          <c:min val="-30"/>
        </c:scaling>
        <c:delete val="0"/>
        <c:axPos val="r"/>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700" b="0" i="1" u="none" strike="noStrike" kern="1200" baseline="0">
                    <a:solidFill>
                      <a:sysClr val="windowText" lastClr="000000"/>
                    </a:solidFill>
                    <a:latin typeface="Arial" pitchFamily="34" charset="0"/>
                    <a:ea typeface="+mn-ea"/>
                    <a:cs typeface="+mn-cs"/>
                  </a:defRPr>
                </a:pPr>
                <a:r>
                  <a:rPr lang="cs-CZ" sz="700" b="0" i="1" baseline="0">
                    <a:effectLst/>
                  </a:rPr>
                  <a:t>Tržby (báze 2021=100)</a:t>
                </a:r>
                <a:r>
                  <a:rPr lang="cs-CZ" sz="700" b="0" i="1"/>
                  <a:t>,</a:t>
                </a:r>
                <a:r>
                  <a:rPr lang="cs-CZ" sz="700" b="0" i="1" baseline="0"/>
                  <a:t> s</a:t>
                </a:r>
                <a:r>
                  <a:rPr lang="cs-CZ" sz="700" b="0" i="1"/>
                  <a:t>aldo důvěry, bariéry růstu</a:t>
                </a:r>
              </a:p>
            </c:rich>
          </c:tx>
          <c:layout>
            <c:manualLayout>
              <c:xMode val="edge"/>
              <c:yMode val="edge"/>
              <c:x val="0.97059962406015032"/>
              <c:y val="7.2968499427262329E-2"/>
            </c:manualLayout>
          </c:layout>
          <c:overlay val="0"/>
        </c:title>
        <c:numFmt formatCode="0" sourceLinked="0"/>
        <c:majorTickMark val="out"/>
        <c:minorTickMark val="none"/>
        <c:tickLblPos val="nextTo"/>
        <c:txPr>
          <a:bodyPr/>
          <a:lstStyle/>
          <a:p>
            <a:pPr>
              <a:defRPr sz="800"/>
            </a:pPr>
            <a:endParaRPr lang="cs-CZ"/>
          </a:p>
        </c:txPr>
        <c:crossAx val="156576768"/>
        <c:crosses val="max"/>
        <c:crossBetween val="between"/>
        <c:majorUnit val="20"/>
      </c:valAx>
      <c:catAx>
        <c:axId val="156576768"/>
        <c:scaling>
          <c:orientation val="minMax"/>
        </c:scaling>
        <c:delete val="1"/>
        <c:axPos val="b"/>
        <c:numFmt formatCode="General" sourceLinked="1"/>
        <c:majorTickMark val="out"/>
        <c:minorTickMark val="none"/>
        <c:tickLblPos val="none"/>
        <c:crossAx val="156575232"/>
        <c:crosses val="autoZero"/>
        <c:auto val="1"/>
        <c:lblAlgn val="ctr"/>
        <c:lblOffset val="100"/>
        <c:noMultiLvlLbl val="0"/>
      </c:catAx>
      <c:spPr>
        <a:ln>
          <a:solidFill>
            <a:schemeClr val="tx1">
              <a:lumMod val="75000"/>
              <a:lumOff val="25000"/>
            </a:schemeClr>
          </a:solidFill>
        </a:ln>
      </c:spPr>
    </c:plotArea>
    <c:legend>
      <c:legendPos val="r"/>
      <c:layout>
        <c:manualLayout>
          <c:xMode val="edge"/>
          <c:yMode val="edge"/>
          <c:x val="2.7894149438737266E-3"/>
          <c:y val="0.80683901693256121"/>
          <c:w val="0.99229354112783008"/>
          <c:h val="0.18952404020147029"/>
        </c:manualLayout>
      </c:layout>
      <c:overlay val="0"/>
      <c:spPr>
        <a:ln w="6350">
          <a:solidFill>
            <a:schemeClr val="tx1"/>
          </a:solidFill>
        </a:ln>
      </c:spPr>
      <c:txPr>
        <a:bodyPr/>
        <a:lstStyle/>
        <a:p>
          <a:pPr>
            <a:defRPr sz="720"/>
          </a:pPr>
          <a:endParaRPr lang="cs-CZ"/>
        </a:p>
      </c:txPr>
    </c:legend>
    <c:plotVisOnly val="1"/>
    <c:dispBlanksAs val="gap"/>
    <c:showDLblsOverMax val="0"/>
  </c:chart>
  <c:spPr>
    <a:ln>
      <a:noFill/>
    </a:ln>
  </c:spPr>
  <c:txPr>
    <a:bodyPr/>
    <a:lstStyle/>
    <a:p>
      <a:pPr>
        <a:defRPr sz="1500" baseline="0">
          <a:latin typeface="Arial" pitchFamily="34" charset="0"/>
        </a:defRPr>
      </a:pPr>
      <a:endParaRPr lang="cs-CZ"/>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461666861125732E-2"/>
          <c:y val="1.5803328678987455E-2"/>
          <c:w val="0.85878628700879256"/>
          <c:h val="0.72723143649596989"/>
        </c:manualLayout>
      </c:layout>
      <c:barChart>
        <c:barDir val="col"/>
        <c:grouping val="stacked"/>
        <c:varyColors val="0"/>
        <c:ser>
          <c:idx val="0"/>
          <c:order val="1"/>
          <c:tx>
            <c:strRef>
              <c:f>'výkonnost odvětví 5a'!$E$66</c:f>
              <c:strCache>
                <c:ptCount val="1"/>
                <c:pt idx="0">
                  <c:v>Maloobchod s potravinami (příspěvek)</c:v>
                </c:pt>
              </c:strCache>
            </c:strRef>
          </c:tx>
          <c:spPr>
            <a:solidFill>
              <a:srgbClr val="92D050"/>
            </a:solidFill>
            <a:ln w="15875">
              <a:noFill/>
            </a:ln>
          </c:spPr>
          <c:invertIfNegative val="0"/>
          <c:cat>
            <c:multiLvlStrRef>
              <c:f>'výkonnost odvětví 5a'!$B$75:$C$108</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5a'!$E$75:$E$108</c:f>
              <c:numCache>
                <c:formatCode>#\ ##0.0</c:formatCode>
                <c:ptCount val="34"/>
                <c:pt idx="0">
                  <c:v>0.7787154164630542</c:v>
                </c:pt>
                <c:pt idx="1">
                  <c:v>1.3597766994116862</c:v>
                </c:pt>
                <c:pt idx="2">
                  <c:v>1.1134773635066046</c:v>
                </c:pt>
                <c:pt idx="3">
                  <c:v>0.91970740736417533</c:v>
                </c:pt>
                <c:pt idx="4">
                  <c:v>1.4645333800973857</c:v>
                </c:pt>
                <c:pt idx="5">
                  <c:v>0.53144446548435409</c:v>
                </c:pt>
                <c:pt idx="6">
                  <c:v>0.92792683035692236</c:v>
                </c:pt>
                <c:pt idx="7">
                  <c:v>0.3824919135762459</c:v>
                </c:pt>
                <c:pt idx="8">
                  <c:v>-0.28208291529256013</c:v>
                </c:pt>
                <c:pt idx="9">
                  <c:v>1.4115794519944731</c:v>
                </c:pt>
                <c:pt idx="10">
                  <c:v>0.11831212805240382</c:v>
                </c:pt>
                <c:pt idx="11">
                  <c:v>1.4252185624438525</c:v>
                </c:pt>
                <c:pt idx="12">
                  <c:v>0.67533313612495505</c:v>
                </c:pt>
                <c:pt idx="13">
                  <c:v>-1.8574665817037352</c:v>
                </c:pt>
                <c:pt idx="14">
                  <c:v>-0.62665283397019778</c:v>
                </c:pt>
                <c:pt idx="15">
                  <c:v>-0.29163181920678832</c:v>
                </c:pt>
                <c:pt idx="16">
                  <c:v>-0.59124788205452006</c:v>
                </c:pt>
                <c:pt idx="17">
                  <c:v>0.4839656119634429</c:v>
                </c:pt>
                <c:pt idx="18">
                  <c:v>-0.29778844566171148</c:v>
                </c:pt>
                <c:pt idx="19">
                  <c:v>4.1336822826291359E-3</c:v>
                </c:pt>
                <c:pt idx="20">
                  <c:v>-5.9460626707302566E-2</c:v>
                </c:pt>
                <c:pt idx="21">
                  <c:v>-1.1057068225597677</c:v>
                </c:pt>
                <c:pt idx="22">
                  <c:v>-2.2869716135096678</c:v>
                </c:pt>
                <c:pt idx="23">
                  <c:v>-3.2411090829580149</c:v>
                </c:pt>
                <c:pt idx="24">
                  <c:v>-3.1064419221512631</c:v>
                </c:pt>
                <c:pt idx="25">
                  <c:v>-2.8495086359951731</c:v>
                </c:pt>
                <c:pt idx="26">
                  <c:v>-1.6905708641468127</c:v>
                </c:pt>
                <c:pt idx="27">
                  <c:v>-0.73611529794229535</c:v>
                </c:pt>
                <c:pt idx="28">
                  <c:v>0.871995961199449</c:v>
                </c:pt>
                <c:pt idx="29">
                  <c:v>1.1091406035905247</c:v>
                </c:pt>
                <c:pt idx="30">
                  <c:v>0.86156119991048841</c:v>
                </c:pt>
                <c:pt idx="31">
                  <c:v>0.64928175423417944</c:v>
                </c:pt>
                <c:pt idx="32">
                  <c:v>0.37843531543722064</c:v>
                </c:pt>
              </c:numCache>
            </c:numRef>
          </c:val>
          <c:extLst>
            <c:ext xmlns:c16="http://schemas.microsoft.com/office/drawing/2014/chart" uri="{C3380CC4-5D6E-409C-BE32-E72D297353CC}">
              <c16:uniqueId val="{00000000-83A6-4F80-BB54-33EE3537A950}"/>
            </c:ext>
          </c:extLst>
        </c:ser>
        <c:ser>
          <c:idx val="1"/>
          <c:order val="2"/>
          <c:tx>
            <c:strRef>
              <c:f>'výkonnost odvětví 5a'!$F$66</c:f>
              <c:strCache>
                <c:ptCount val="1"/>
                <c:pt idx="0">
                  <c:v>Mal. s nepotravinářským zbož. (příspěvek)</c:v>
                </c:pt>
              </c:strCache>
            </c:strRef>
          </c:tx>
          <c:spPr>
            <a:solidFill>
              <a:schemeClr val="accent1">
                <a:lumMod val="40000"/>
                <a:lumOff val="60000"/>
              </a:schemeClr>
            </a:solidFill>
            <a:ln w="15875">
              <a:noFill/>
            </a:ln>
          </c:spPr>
          <c:invertIfNegative val="0"/>
          <c:cat>
            <c:multiLvlStrRef>
              <c:f>'výkonnost odvětví 5a'!$B$75:$C$108</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5a'!$F$75:$F$108</c:f>
              <c:numCache>
                <c:formatCode>#\ ##0.0</c:formatCode>
                <c:ptCount val="34"/>
                <c:pt idx="0">
                  <c:v>4.1557103248201761</c:v>
                </c:pt>
                <c:pt idx="1">
                  <c:v>4.4104045377999981</c:v>
                </c:pt>
                <c:pt idx="2">
                  <c:v>4.0615248531372536</c:v>
                </c:pt>
                <c:pt idx="3">
                  <c:v>4.5700952864311759</c:v>
                </c:pt>
                <c:pt idx="4">
                  <c:v>3.9569950425480003</c:v>
                </c:pt>
                <c:pt idx="5">
                  <c:v>3.3604477912859934</c:v>
                </c:pt>
                <c:pt idx="6">
                  <c:v>2.5771913471975827</c:v>
                </c:pt>
                <c:pt idx="7">
                  <c:v>3.7155262619248499</c:v>
                </c:pt>
                <c:pt idx="8">
                  <c:v>1.3112819503208197</c:v>
                </c:pt>
                <c:pt idx="9">
                  <c:v>2.4465088482732695</c:v>
                </c:pt>
                <c:pt idx="10">
                  <c:v>4.2913372796389373</c:v>
                </c:pt>
                <c:pt idx="11">
                  <c:v>5.6716868879358282</c:v>
                </c:pt>
                <c:pt idx="12">
                  <c:v>-3.6631018019599199E-2</c:v>
                </c:pt>
                <c:pt idx="13">
                  <c:v>-0.33215999960599885</c:v>
                </c:pt>
                <c:pt idx="14">
                  <c:v>1.4205055117393666</c:v>
                </c:pt>
                <c:pt idx="15">
                  <c:v>-1.8466010560035075</c:v>
                </c:pt>
                <c:pt idx="16">
                  <c:v>5.4029743770420899E-2</c:v>
                </c:pt>
                <c:pt idx="17">
                  <c:v>5.5742337491085943</c:v>
                </c:pt>
                <c:pt idx="18">
                  <c:v>3.6276471424244705</c:v>
                </c:pt>
                <c:pt idx="19">
                  <c:v>5.6665982848734799</c:v>
                </c:pt>
                <c:pt idx="20">
                  <c:v>5.9891803475537211</c:v>
                </c:pt>
                <c:pt idx="21">
                  <c:v>-0.95229813505306915</c:v>
                </c:pt>
                <c:pt idx="22">
                  <c:v>-3.9413440238596249</c:v>
                </c:pt>
                <c:pt idx="23">
                  <c:v>-5.6373195308595392</c:v>
                </c:pt>
                <c:pt idx="24">
                  <c:v>-4.7876967929179841</c:v>
                </c:pt>
                <c:pt idx="25">
                  <c:v>-4.4874173140978284</c:v>
                </c:pt>
                <c:pt idx="26">
                  <c:v>-2.4565555200653062</c:v>
                </c:pt>
                <c:pt idx="27">
                  <c:v>0.45513862527637328</c:v>
                </c:pt>
                <c:pt idx="28">
                  <c:v>2.793535239278305</c:v>
                </c:pt>
                <c:pt idx="29">
                  <c:v>2.5906061949549422</c:v>
                </c:pt>
                <c:pt idx="30">
                  <c:v>3.3615744099687399</c:v>
                </c:pt>
                <c:pt idx="31">
                  <c:v>3.5078250022696706</c:v>
                </c:pt>
                <c:pt idx="32">
                  <c:v>2.1601266517982176</c:v>
                </c:pt>
              </c:numCache>
            </c:numRef>
          </c:val>
          <c:extLst>
            <c:ext xmlns:c16="http://schemas.microsoft.com/office/drawing/2014/chart" uri="{C3380CC4-5D6E-409C-BE32-E72D297353CC}">
              <c16:uniqueId val="{00000001-83A6-4F80-BB54-33EE3537A950}"/>
            </c:ext>
          </c:extLst>
        </c:ser>
        <c:ser>
          <c:idx val="4"/>
          <c:order val="3"/>
          <c:tx>
            <c:strRef>
              <c:f>'výkonnost odvětví 5a'!$G$66</c:f>
              <c:strCache>
                <c:ptCount val="1"/>
                <c:pt idx="0">
                  <c:v>Maloobchodní prodej PHM (příspěvek)</c:v>
                </c:pt>
              </c:strCache>
            </c:strRef>
          </c:tx>
          <c:spPr>
            <a:solidFill>
              <a:schemeClr val="accent6">
                <a:lumMod val="40000"/>
                <a:lumOff val="60000"/>
              </a:schemeClr>
            </a:solidFill>
            <a:ln w="15875">
              <a:noFill/>
            </a:ln>
          </c:spPr>
          <c:invertIfNegative val="0"/>
          <c:cat>
            <c:multiLvlStrRef>
              <c:f>'výkonnost odvětví 5a'!$B$75:$C$108</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5a'!$G$75:$G$108</c:f>
              <c:numCache>
                <c:formatCode>#\ ##0.0</c:formatCode>
                <c:ptCount val="34"/>
                <c:pt idx="0">
                  <c:v>0.53580078847826029</c:v>
                </c:pt>
                <c:pt idx="1">
                  <c:v>0.7481442662741048</c:v>
                </c:pt>
                <c:pt idx="2">
                  <c:v>0.8417253716696228</c:v>
                </c:pt>
                <c:pt idx="3">
                  <c:v>0.68556061136853796</c:v>
                </c:pt>
                <c:pt idx="4">
                  <c:v>0.66247010505524628</c:v>
                </c:pt>
                <c:pt idx="5">
                  <c:v>0.59636844485642493</c:v>
                </c:pt>
                <c:pt idx="6">
                  <c:v>0.37391568004396541</c:v>
                </c:pt>
                <c:pt idx="7">
                  <c:v>0.43417919027381618</c:v>
                </c:pt>
                <c:pt idx="8">
                  <c:v>0.17803327368097366</c:v>
                </c:pt>
                <c:pt idx="9">
                  <c:v>0.36784802555092327</c:v>
                </c:pt>
                <c:pt idx="10">
                  <c:v>0.27496327062133352</c:v>
                </c:pt>
                <c:pt idx="11">
                  <c:v>0.19541841116417427</c:v>
                </c:pt>
                <c:pt idx="12">
                  <c:v>-0.74276417427034591</c:v>
                </c:pt>
                <c:pt idx="13">
                  <c:v>-1.9735846666989318</c:v>
                </c:pt>
                <c:pt idx="14">
                  <c:v>8.3771201076499296E-2</c:v>
                </c:pt>
                <c:pt idx="15">
                  <c:v>-1.0746973279715013</c:v>
                </c:pt>
                <c:pt idx="16">
                  <c:v>-0.7267129429144159</c:v>
                </c:pt>
                <c:pt idx="17">
                  <c:v>1.0687667159023886</c:v>
                </c:pt>
                <c:pt idx="18">
                  <c:v>0.36939655224499973</c:v>
                </c:pt>
                <c:pt idx="19">
                  <c:v>0.92377434700444716</c:v>
                </c:pt>
                <c:pt idx="20">
                  <c:v>1.2433107434537765</c:v>
                </c:pt>
                <c:pt idx="21">
                  <c:v>-0.71068345918502218</c:v>
                </c:pt>
                <c:pt idx="22">
                  <c:v>-1.449036889253237</c:v>
                </c:pt>
                <c:pt idx="23">
                  <c:v>-0.43073074954824858</c:v>
                </c:pt>
                <c:pt idx="24">
                  <c:v>9.6764714002876506E-2</c:v>
                </c:pt>
                <c:pt idx="25">
                  <c:v>1.0467664527517087</c:v>
                </c:pt>
                <c:pt idx="26">
                  <c:v>1.0248110626516078</c:v>
                </c:pt>
                <c:pt idx="27">
                  <c:v>0.21072245582890298</c:v>
                </c:pt>
                <c:pt idx="28">
                  <c:v>0.6015840576571756</c:v>
                </c:pt>
                <c:pt idx="29">
                  <c:v>0.24965966030720593</c:v>
                </c:pt>
                <c:pt idx="30">
                  <c:v>0.43553730019254372</c:v>
                </c:pt>
                <c:pt idx="31">
                  <c:v>1.077758632826024</c:v>
                </c:pt>
                <c:pt idx="32">
                  <c:v>0.90806214191800128</c:v>
                </c:pt>
              </c:numCache>
            </c:numRef>
          </c:val>
          <c:extLst>
            <c:ext xmlns:c16="http://schemas.microsoft.com/office/drawing/2014/chart" uri="{C3380CC4-5D6E-409C-BE32-E72D297353CC}">
              <c16:uniqueId val="{00000002-83A6-4F80-BB54-33EE3537A950}"/>
            </c:ext>
          </c:extLst>
        </c:ser>
        <c:dLbls>
          <c:showLegendKey val="0"/>
          <c:showVal val="0"/>
          <c:showCatName val="0"/>
          <c:showSerName val="0"/>
          <c:showPercent val="0"/>
          <c:showBubbleSize val="0"/>
        </c:dLbls>
        <c:gapWidth val="31"/>
        <c:overlap val="100"/>
        <c:axId val="156100864"/>
        <c:axId val="156573696"/>
      </c:barChart>
      <c:lineChart>
        <c:grouping val="standard"/>
        <c:varyColors val="0"/>
        <c:ser>
          <c:idx val="3"/>
          <c:order val="0"/>
          <c:tx>
            <c:strRef>
              <c:f>'výkonnost odvětví 5a'!$D$66</c:f>
              <c:strCache>
                <c:ptCount val="1"/>
                <c:pt idx="0">
                  <c:v>Maloobchod celkem (meziroční růst)</c:v>
                </c:pt>
              </c:strCache>
            </c:strRef>
          </c:tx>
          <c:spPr>
            <a:ln>
              <a:noFill/>
            </a:ln>
          </c:spPr>
          <c:marker>
            <c:symbol val="dash"/>
            <c:size val="7"/>
            <c:spPr>
              <a:solidFill>
                <a:schemeClr val="tx1">
                  <a:lumMod val="85000"/>
                  <a:lumOff val="15000"/>
                </a:schemeClr>
              </a:solidFill>
              <a:ln w="6350">
                <a:noFill/>
              </a:ln>
            </c:spPr>
          </c:marker>
          <c:cat>
            <c:multiLvlStrRef>
              <c:f>'výkonnost odvětví 5a'!$B$75:$C$108</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5a'!$D$75:$D$108</c:f>
              <c:numCache>
                <c:formatCode>#\ ##0.0</c:formatCode>
                <c:ptCount val="34"/>
                <c:pt idx="0">
                  <c:v>5.0535287627999992</c:v>
                </c:pt>
                <c:pt idx="1">
                  <c:v>6.1902167670999972</c:v>
                </c:pt>
                <c:pt idx="2">
                  <c:v>5.697321019499995</c:v>
                </c:pt>
                <c:pt idx="3">
                  <c:v>5.817258804399998</c:v>
                </c:pt>
                <c:pt idx="4">
                  <c:v>5.9494249259000043</c:v>
                </c:pt>
                <c:pt idx="5">
                  <c:v>4.3932899649999939</c:v>
                </c:pt>
                <c:pt idx="6">
                  <c:v>3.8341696340999931</c:v>
                </c:pt>
                <c:pt idx="7">
                  <c:v>4.3513172139000034</c:v>
                </c:pt>
                <c:pt idx="8">
                  <c:v>1.1251737248000069</c:v>
                </c:pt>
                <c:pt idx="9">
                  <c:v>4.1948322156000017</c:v>
                </c:pt>
                <c:pt idx="10">
                  <c:v>4.5011575139999991</c:v>
                </c:pt>
                <c:pt idx="11">
                  <c:v>7.2209563681000049</c:v>
                </c:pt>
                <c:pt idx="12">
                  <c:v>-0.13540494859999797</c:v>
                </c:pt>
                <c:pt idx="13">
                  <c:v>-4.2764857787000068</c:v>
                </c:pt>
                <c:pt idx="14">
                  <c:v>0.83746199809999666</c:v>
                </c:pt>
                <c:pt idx="15">
                  <c:v>-3.1481122935000059</c:v>
                </c:pt>
                <c:pt idx="16">
                  <c:v>-1.3285315309999959</c:v>
                </c:pt>
                <c:pt idx="17">
                  <c:v>6.9574766841000013</c:v>
                </c:pt>
                <c:pt idx="18">
                  <c:v>3.5831450535000045</c:v>
                </c:pt>
                <c:pt idx="19">
                  <c:v>6.4952675711000012</c:v>
                </c:pt>
                <c:pt idx="20">
                  <c:v>6.7669831906000013</c:v>
                </c:pt>
                <c:pt idx="21">
                  <c:v>-2.8094420269000011</c:v>
                </c:pt>
                <c:pt idx="22">
                  <c:v>-7.6564866969000036</c:v>
                </c:pt>
                <c:pt idx="23">
                  <c:v>-9.3099523022000028</c:v>
                </c:pt>
                <c:pt idx="24">
                  <c:v>-7.7791631502000058</c:v>
                </c:pt>
                <c:pt idx="25">
                  <c:v>-6.276214944000003</c:v>
                </c:pt>
                <c:pt idx="26">
                  <c:v>-3.1402159043000069</c:v>
                </c:pt>
                <c:pt idx="27">
                  <c:v>-0.1337760827999972</c:v>
                </c:pt>
                <c:pt idx="28">
                  <c:v>4.2636214249999966</c:v>
                </c:pt>
                <c:pt idx="29">
                  <c:v>3.9499605056000036</c:v>
                </c:pt>
                <c:pt idx="30">
                  <c:v>4.6584527212000069</c:v>
                </c:pt>
                <c:pt idx="31">
                  <c:v>5.233865848700006</c:v>
                </c:pt>
                <c:pt idx="32">
                  <c:v>3.4325505445000033</c:v>
                </c:pt>
              </c:numCache>
            </c:numRef>
          </c:val>
          <c:smooth val="0"/>
          <c:extLst>
            <c:ext xmlns:c16="http://schemas.microsoft.com/office/drawing/2014/chart" uri="{C3380CC4-5D6E-409C-BE32-E72D297353CC}">
              <c16:uniqueId val="{00000003-83A6-4F80-BB54-33EE3537A950}"/>
            </c:ext>
          </c:extLst>
        </c:ser>
        <c:dLbls>
          <c:showLegendKey val="0"/>
          <c:showVal val="0"/>
          <c:showCatName val="0"/>
          <c:showSerName val="0"/>
          <c:showPercent val="0"/>
          <c:showBubbleSize val="0"/>
        </c:dLbls>
        <c:marker val="1"/>
        <c:smooth val="0"/>
        <c:axId val="156100864"/>
        <c:axId val="156573696"/>
      </c:lineChart>
      <c:lineChart>
        <c:grouping val="standard"/>
        <c:varyColors val="0"/>
        <c:ser>
          <c:idx val="5"/>
          <c:order val="4"/>
          <c:tx>
            <c:strRef>
              <c:f>'výkonnost odvětví 5a'!$H$66</c:f>
              <c:strCache>
                <c:ptCount val="1"/>
                <c:pt idx="0">
                  <c:v>Maloobchod, bez motor. segm. (2021=100)</c:v>
                </c:pt>
              </c:strCache>
            </c:strRef>
          </c:tx>
          <c:spPr>
            <a:ln w="15875">
              <a:solidFill>
                <a:schemeClr val="tx1">
                  <a:lumMod val="95000"/>
                  <a:lumOff val="5000"/>
                </a:schemeClr>
              </a:solidFill>
              <a:prstDash val="solid"/>
            </a:ln>
          </c:spPr>
          <c:marker>
            <c:symbol val="none"/>
          </c:marker>
          <c:cat>
            <c:multiLvlStrRef>
              <c:f>'výkonnost odvětví 5a'!$B$75:$C$108</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5a'!$H$75:$H$108</c:f>
              <c:numCache>
                <c:formatCode>#\ ##0.0</c:formatCode>
                <c:ptCount val="34"/>
                <c:pt idx="0">
                  <c:v>87.495099866700002</c:v>
                </c:pt>
                <c:pt idx="1">
                  <c:v>89.138431163299998</c:v>
                </c:pt>
                <c:pt idx="2">
                  <c:v>90.161633323299995</c:v>
                </c:pt>
                <c:pt idx="3">
                  <c:v>90.497394953300002</c:v>
                </c:pt>
                <c:pt idx="4">
                  <c:v>93.094801029999999</c:v>
                </c:pt>
                <c:pt idx="5">
                  <c:v>93.18768412</c:v>
                </c:pt>
                <c:pt idx="6">
                  <c:v>93.508700056699993</c:v>
                </c:pt>
                <c:pt idx="7">
                  <c:v>93.474682340000001</c:v>
                </c:pt>
                <c:pt idx="8">
                  <c:v>95.051863356699997</c:v>
                </c:pt>
                <c:pt idx="9">
                  <c:v>97.727929486700006</c:v>
                </c:pt>
                <c:pt idx="10">
                  <c:v>97.382384529999996</c:v>
                </c:pt>
                <c:pt idx="11">
                  <c:v>98.750010893300001</c:v>
                </c:pt>
                <c:pt idx="12">
                  <c:v>95.168453310000004</c:v>
                </c:pt>
                <c:pt idx="13">
                  <c:v>94.223485960000005</c:v>
                </c:pt>
                <c:pt idx="14">
                  <c:v>98.290064009999995</c:v>
                </c:pt>
                <c:pt idx="15">
                  <c:v>95.235280143300002</c:v>
                </c:pt>
                <c:pt idx="16">
                  <c:v>92.936786446699998</c:v>
                </c:pt>
                <c:pt idx="17">
                  <c:v>100.64450039</c:v>
                </c:pt>
                <c:pt idx="18">
                  <c:v>102.0896726133</c:v>
                </c:pt>
                <c:pt idx="19">
                  <c:v>101.60595981</c:v>
                </c:pt>
                <c:pt idx="20">
                  <c:v>99.550098210000002</c:v>
                </c:pt>
                <c:pt idx="21">
                  <c:v>97.724116789999997</c:v>
                </c:pt>
                <c:pt idx="22">
                  <c:v>94.9028601033</c:v>
                </c:pt>
                <c:pt idx="23">
                  <c:v>92.893259369999996</c:v>
                </c:pt>
                <c:pt idx="24">
                  <c:v>91.601528373299999</c:v>
                </c:pt>
                <c:pt idx="25">
                  <c:v>91.308813223300007</c:v>
                </c:pt>
                <c:pt idx="26">
                  <c:v>91.858489843300006</c:v>
                </c:pt>
                <c:pt idx="27">
                  <c:v>92.843242770000003</c:v>
                </c:pt>
                <c:pt idx="28">
                  <c:v>95.015490996699995</c:v>
                </c:pt>
                <c:pt idx="29">
                  <c:v>95.207632043299995</c:v>
                </c:pt>
                <c:pt idx="30">
                  <c:v>96.386744096699999</c:v>
                </c:pt>
                <c:pt idx="31">
                  <c:v>97.382750913300001</c:v>
                </c:pt>
                <c:pt idx="32">
                  <c:v>98.323982323300001</c:v>
                </c:pt>
              </c:numCache>
            </c:numRef>
          </c:val>
          <c:smooth val="0"/>
          <c:extLst>
            <c:ext xmlns:c16="http://schemas.microsoft.com/office/drawing/2014/chart" uri="{C3380CC4-5D6E-409C-BE32-E72D297353CC}">
              <c16:uniqueId val="{00000004-83A6-4F80-BB54-33EE3537A950}"/>
            </c:ext>
          </c:extLst>
        </c:ser>
        <c:ser>
          <c:idx val="2"/>
          <c:order val="5"/>
          <c:tx>
            <c:strRef>
              <c:f>'výkonnost odvětví 5a'!$I$66</c:f>
              <c:strCache>
                <c:ptCount val="1"/>
                <c:pt idx="0">
                  <c:v>z toho: maloobchod.prodej PHM (2021=100)</c:v>
                </c:pt>
              </c:strCache>
            </c:strRef>
          </c:tx>
          <c:spPr>
            <a:ln w="15875">
              <a:solidFill>
                <a:schemeClr val="bg2">
                  <a:lumMod val="50000"/>
                </a:schemeClr>
              </a:solidFill>
              <a:prstDash val="sysDash"/>
            </a:ln>
          </c:spPr>
          <c:marker>
            <c:symbol val="none"/>
          </c:marker>
          <c:cat>
            <c:multiLvlStrRef>
              <c:f>'výkonnost odvětví 5a'!$B$75:$C$108</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5a'!$I$75:$I$108</c:f>
              <c:numCache>
                <c:formatCode>#\ ##0.0</c:formatCode>
                <c:ptCount val="34"/>
                <c:pt idx="0">
                  <c:v>96.055973429999995</c:v>
                </c:pt>
                <c:pt idx="1">
                  <c:v>97.663561083299996</c:v>
                </c:pt>
                <c:pt idx="2">
                  <c:v>99.232546576700003</c:v>
                </c:pt>
                <c:pt idx="3">
                  <c:v>100.27997863669999</c:v>
                </c:pt>
                <c:pt idx="4">
                  <c:v>101.92380869669999</c:v>
                </c:pt>
                <c:pt idx="5">
                  <c:v>102.3573869567</c:v>
                </c:pt>
                <c:pt idx="6">
                  <c:v>101.9803127767</c:v>
                </c:pt>
                <c:pt idx="7">
                  <c:v>101.9116452767</c:v>
                </c:pt>
                <c:pt idx="8">
                  <c:v>105.5158907133</c:v>
                </c:pt>
                <c:pt idx="9">
                  <c:v>106.7628022633</c:v>
                </c:pt>
                <c:pt idx="10">
                  <c:v>102.2787380533</c:v>
                </c:pt>
                <c:pt idx="11">
                  <c:v>102.40340343</c:v>
                </c:pt>
                <c:pt idx="12">
                  <c:v>101.81614777999999</c:v>
                </c:pt>
                <c:pt idx="13">
                  <c:v>89.515623356700004</c:v>
                </c:pt>
                <c:pt idx="14">
                  <c:v>98.569475176699996</c:v>
                </c:pt>
                <c:pt idx="15">
                  <c:v>92.226775443299999</c:v>
                </c:pt>
                <c:pt idx="16">
                  <c:v>96.031828829999995</c:v>
                </c:pt>
                <c:pt idx="17">
                  <c:v>100.95759809</c:v>
                </c:pt>
                <c:pt idx="18">
                  <c:v>102.18692368000001</c:v>
                </c:pt>
                <c:pt idx="19">
                  <c:v>100.0334384367</c:v>
                </c:pt>
                <c:pt idx="20">
                  <c:v>100.55566192329999</c:v>
                </c:pt>
                <c:pt idx="21">
                  <c:v>95.842524453300001</c:v>
                </c:pt>
                <c:pt idx="22">
                  <c:v>95.153175219999994</c:v>
                </c:pt>
                <c:pt idx="23">
                  <c:v>97.9829819367</c:v>
                </c:pt>
                <c:pt idx="24">
                  <c:v>98.912534003299996</c:v>
                </c:pt>
                <c:pt idx="25">
                  <c:v>101.9899073933</c:v>
                </c:pt>
                <c:pt idx="26">
                  <c:v>102.9187584133</c:v>
                </c:pt>
                <c:pt idx="27">
                  <c:v>101.77844038000001</c:v>
                </c:pt>
                <c:pt idx="28">
                  <c:v>104.3204885067</c:v>
                </c:pt>
                <c:pt idx="29">
                  <c:v>104.74668124</c:v>
                </c:pt>
                <c:pt idx="30">
                  <c:v>106.9458482133</c:v>
                </c:pt>
                <c:pt idx="31">
                  <c:v>110.53501823329999</c:v>
                </c:pt>
                <c:pt idx="32">
                  <c:v>112.4500797333</c:v>
                </c:pt>
              </c:numCache>
            </c:numRef>
          </c:val>
          <c:smooth val="0"/>
          <c:extLst>
            <c:ext xmlns:c16="http://schemas.microsoft.com/office/drawing/2014/chart" uri="{C3380CC4-5D6E-409C-BE32-E72D297353CC}">
              <c16:uniqueId val="{00000005-83A6-4F80-BB54-33EE3537A950}"/>
            </c:ext>
          </c:extLst>
        </c:ser>
        <c:ser>
          <c:idx val="6"/>
          <c:order val="6"/>
          <c:tx>
            <c:strRef>
              <c:f>'výkonnost odvětví 5a'!$J$66</c:f>
              <c:strCache>
                <c:ptCount val="1"/>
                <c:pt idx="0">
                  <c:v>Obchod a opravy motor. vozidel (2021=100)</c:v>
                </c:pt>
              </c:strCache>
            </c:strRef>
          </c:tx>
          <c:spPr>
            <a:ln w="15875">
              <a:solidFill>
                <a:srgbClr val="984807"/>
              </a:solidFill>
              <a:prstDash val="solid"/>
            </a:ln>
          </c:spPr>
          <c:marker>
            <c:symbol val="none"/>
          </c:marker>
          <c:cat>
            <c:multiLvlStrRef>
              <c:f>'výkonnost odvětví 5a'!$B$75:$C$108</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5a'!$J$75:$J$108</c:f>
              <c:numCache>
                <c:formatCode>#\ ##0.0</c:formatCode>
                <c:ptCount val="34"/>
                <c:pt idx="0">
                  <c:v>109.6931493133</c:v>
                </c:pt>
                <c:pt idx="1">
                  <c:v>110.1404259533</c:v>
                </c:pt>
                <c:pt idx="2">
                  <c:v>109.35124661330001</c:v>
                </c:pt>
                <c:pt idx="3">
                  <c:v>110.30069229670001</c:v>
                </c:pt>
                <c:pt idx="4">
                  <c:v>108.8070253133</c:v>
                </c:pt>
                <c:pt idx="5">
                  <c:v>108.53626257000001</c:v>
                </c:pt>
                <c:pt idx="6">
                  <c:v>108.41447377999999</c:v>
                </c:pt>
                <c:pt idx="7">
                  <c:v>106.84909192000001</c:v>
                </c:pt>
                <c:pt idx="8">
                  <c:v>108.70853031670001</c:v>
                </c:pt>
                <c:pt idx="9">
                  <c:v>109.27449573</c:v>
                </c:pt>
                <c:pt idx="10">
                  <c:v>107.5435867133</c:v>
                </c:pt>
                <c:pt idx="11">
                  <c:v>107.39297555</c:v>
                </c:pt>
                <c:pt idx="12">
                  <c:v>95.102227563300005</c:v>
                </c:pt>
                <c:pt idx="13">
                  <c:v>78.841400570000005</c:v>
                </c:pt>
                <c:pt idx="14">
                  <c:v>99.650671279999997</c:v>
                </c:pt>
                <c:pt idx="15">
                  <c:v>99.510519133299994</c:v>
                </c:pt>
                <c:pt idx="16">
                  <c:v>101.3786522067</c:v>
                </c:pt>
                <c:pt idx="17">
                  <c:v>101.2385575433</c:v>
                </c:pt>
                <c:pt idx="18">
                  <c:v>98.594019923299996</c:v>
                </c:pt>
                <c:pt idx="19">
                  <c:v>97.3414849567</c:v>
                </c:pt>
                <c:pt idx="20">
                  <c:v>96.555552473299997</c:v>
                </c:pt>
                <c:pt idx="21">
                  <c:v>95.519935136699999</c:v>
                </c:pt>
                <c:pt idx="22">
                  <c:v>95.537536773300005</c:v>
                </c:pt>
                <c:pt idx="23">
                  <c:v>96.022149956700005</c:v>
                </c:pt>
                <c:pt idx="24">
                  <c:v>98.772763029999993</c:v>
                </c:pt>
                <c:pt idx="25">
                  <c:v>99.512744310000002</c:v>
                </c:pt>
                <c:pt idx="26">
                  <c:v>100.9376896667</c:v>
                </c:pt>
                <c:pt idx="27">
                  <c:v>101.45566558669999</c:v>
                </c:pt>
                <c:pt idx="28">
                  <c:v>101.25838905329999</c:v>
                </c:pt>
                <c:pt idx="29">
                  <c:v>100.65591535670001</c:v>
                </c:pt>
                <c:pt idx="30">
                  <c:v>100.8233156467</c:v>
                </c:pt>
                <c:pt idx="31">
                  <c:v>101.7732303933</c:v>
                </c:pt>
                <c:pt idx="32">
                  <c:v>102.7253238333</c:v>
                </c:pt>
              </c:numCache>
            </c:numRef>
          </c:val>
          <c:smooth val="0"/>
          <c:extLst>
            <c:ext xmlns:c16="http://schemas.microsoft.com/office/drawing/2014/chart" uri="{C3380CC4-5D6E-409C-BE32-E72D297353CC}">
              <c16:uniqueId val="{00000006-83A6-4F80-BB54-33EE3537A950}"/>
            </c:ext>
          </c:extLst>
        </c:ser>
        <c:ser>
          <c:idx val="7"/>
          <c:order val="7"/>
          <c:tx>
            <c:strRef>
              <c:f>'výkonnost odvětví 5a'!$K$66</c:f>
              <c:strCache>
                <c:ptCount val="1"/>
              </c:strCache>
            </c:strRef>
          </c:tx>
          <c:spPr>
            <a:ln w="3175">
              <a:noFill/>
              <a:prstDash val="sysDash"/>
            </a:ln>
          </c:spPr>
          <c:marker>
            <c:symbol val="none"/>
          </c:marker>
          <c:cat>
            <c:multiLvlStrRef>
              <c:f>'výkonnost odvětví 5a'!$B$75:$C$108</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5a'!$K$75:$K$108</c:f>
              <c:numCache>
                <c:formatCode>#\ ##0.0</c:formatCode>
                <c:ptCount val="34"/>
                <c:pt idx="0">
                  <c:v>-0.41669776696149152</c:v>
                </c:pt>
                <c:pt idx="1">
                  <c:v>-0.32810873638579163</c:v>
                </c:pt>
                <c:pt idx="2">
                  <c:v>-0.31940656881348628</c:v>
                </c:pt>
                <c:pt idx="3">
                  <c:v>-0.358104500763891</c:v>
                </c:pt>
                <c:pt idx="4">
                  <c:v>-0.13457360180062816</c:v>
                </c:pt>
                <c:pt idx="5">
                  <c:v>-9.4970736626778574E-2</c:v>
                </c:pt>
                <c:pt idx="6">
                  <c:v>-4.4864223498477129E-2</c:v>
                </c:pt>
                <c:pt idx="7">
                  <c:v>-0.18088015187490841</c:v>
                </c:pt>
                <c:pt idx="8">
                  <c:v>-8.2058583909226379E-2</c:v>
                </c:pt>
                <c:pt idx="9">
                  <c:v>-3.110411021866416E-2</c:v>
                </c:pt>
                <c:pt idx="10">
                  <c:v>-0.1834551643126755</c:v>
                </c:pt>
                <c:pt idx="11">
                  <c:v>-7.13674934438501E-2</c:v>
                </c:pt>
                <c:pt idx="12">
                  <c:v>-3.1342892435007874E-2</c:v>
                </c:pt>
                <c:pt idx="13">
                  <c:v>-0.11327453069134075</c:v>
                </c:pt>
                <c:pt idx="14">
                  <c:v>-4.0161880745671424E-2</c:v>
                </c:pt>
                <c:pt idx="15">
                  <c:v>6.4817909681791352E-2</c:v>
                </c:pt>
                <c:pt idx="16">
                  <c:v>-6.460044980148083E-2</c:v>
                </c:pt>
                <c:pt idx="17">
                  <c:v>-0.16948939287442455</c:v>
                </c:pt>
                <c:pt idx="18">
                  <c:v>-0.11611019550775409</c:v>
                </c:pt>
                <c:pt idx="19">
                  <c:v>-9.9238743060554913E-2</c:v>
                </c:pt>
                <c:pt idx="20">
                  <c:v>-0.40604727370019367</c:v>
                </c:pt>
                <c:pt idx="21">
                  <c:v>-4.0753610102142068E-2</c:v>
                </c:pt>
                <c:pt idx="22">
                  <c:v>2.0865829722525708E-2</c:v>
                </c:pt>
                <c:pt idx="23">
                  <c:v>-7.9293883419967459E-4</c:v>
                </c:pt>
                <c:pt idx="24">
                  <c:v>1.8210850866364925E-2</c:v>
                </c:pt>
                <c:pt idx="25">
                  <c:v>1.3944553341289856E-2</c:v>
                </c:pt>
                <c:pt idx="26">
                  <c:v>-1.7900582739495796E-2</c:v>
                </c:pt>
                <c:pt idx="27">
                  <c:v>-6.3521865962978097E-2</c:v>
                </c:pt>
                <c:pt idx="28">
                  <c:v>-3.493833134933011E-3</c:v>
                </c:pt>
                <c:pt idx="29">
                  <c:v>5.5404674733078307E-4</c:v>
                </c:pt>
                <c:pt idx="30">
                  <c:v>-2.2018887176494806E-4</c:v>
                </c:pt>
                <c:pt idx="31">
                  <c:v>-9.9954062986795655E-4</c:v>
                </c:pt>
              </c:numCache>
            </c:numRef>
          </c:val>
          <c:smooth val="0"/>
          <c:extLst>
            <c:ext xmlns:c16="http://schemas.microsoft.com/office/drawing/2014/chart" uri="{C3380CC4-5D6E-409C-BE32-E72D297353CC}">
              <c16:uniqueId val="{00000007-83A6-4F80-BB54-33EE3537A950}"/>
            </c:ext>
          </c:extLst>
        </c:ser>
        <c:ser>
          <c:idx val="8"/>
          <c:order val="8"/>
          <c:tx>
            <c:strRef>
              <c:f>'výkonnost odvětví 5a'!$L$66</c:f>
              <c:strCache>
                <c:ptCount val="1"/>
                <c:pt idx="0">
                  <c:v>Saldo indikátoru důvěry spotřebitelů</c:v>
                </c:pt>
              </c:strCache>
            </c:strRef>
          </c:tx>
          <c:spPr>
            <a:ln w="12700">
              <a:solidFill>
                <a:schemeClr val="bg1">
                  <a:lumMod val="50000"/>
                </a:schemeClr>
              </a:solidFill>
              <a:prstDash val="sysDot"/>
            </a:ln>
          </c:spPr>
          <c:marker>
            <c:symbol val="circle"/>
            <c:size val="5"/>
            <c:spPr>
              <a:solidFill>
                <a:srgbClr val="FFFF00"/>
              </a:solidFill>
              <a:ln>
                <a:solidFill>
                  <a:schemeClr val="bg1">
                    <a:lumMod val="50000"/>
                  </a:schemeClr>
                </a:solidFill>
              </a:ln>
            </c:spPr>
          </c:marker>
          <c:cat>
            <c:multiLvlStrRef>
              <c:f>'výkonnost odvětví 5a'!$B$75:$C$108</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5a'!$L$75:$L$108</c:f>
              <c:numCache>
                <c:formatCode>0.0</c:formatCode>
                <c:ptCount val="34"/>
                <c:pt idx="0">
                  <c:v>1.25</c:v>
                </c:pt>
                <c:pt idx="1">
                  <c:v>-0.5</c:v>
                </c:pt>
                <c:pt idx="2">
                  <c:v>0.5</c:v>
                </c:pt>
                <c:pt idx="3">
                  <c:v>5</c:v>
                </c:pt>
                <c:pt idx="4">
                  <c:v>3.75</c:v>
                </c:pt>
                <c:pt idx="5">
                  <c:v>6</c:v>
                </c:pt>
                <c:pt idx="6">
                  <c:v>4</c:v>
                </c:pt>
                <c:pt idx="7">
                  <c:v>1</c:v>
                </c:pt>
                <c:pt idx="8">
                  <c:v>3.25</c:v>
                </c:pt>
                <c:pt idx="9">
                  <c:v>0</c:v>
                </c:pt>
                <c:pt idx="10">
                  <c:v>2.25</c:v>
                </c:pt>
                <c:pt idx="11">
                  <c:v>-0.5</c:v>
                </c:pt>
                <c:pt idx="12">
                  <c:v>-1.75</c:v>
                </c:pt>
                <c:pt idx="13">
                  <c:v>-9.25</c:v>
                </c:pt>
                <c:pt idx="14">
                  <c:v>-8.75</c:v>
                </c:pt>
                <c:pt idx="15">
                  <c:v>-18.5</c:v>
                </c:pt>
                <c:pt idx="16">
                  <c:v>-16.25</c:v>
                </c:pt>
                <c:pt idx="17">
                  <c:v>-6.75</c:v>
                </c:pt>
                <c:pt idx="18">
                  <c:v>-4.5</c:v>
                </c:pt>
                <c:pt idx="19">
                  <c:v>-17</c:v>
                </c:pt>
                <c:pt idx="20">
                  <c:v>-16.5</c:v>
                </c:pt>
                <c:pt idx="21">
                  <c:v>-31</c:v>
                </c:pt>
                <c:pt idx="22">
                  <c:v>-29.8</c:v>
                </c:pt>
                <c:pt idx="23">
                  <c:v>-30.8</c:v>
                </c:pt>
                <c:pt idx="24">
                  <c:v>-21</c:v>
                </c:pt>
                <c:pt idx="25">
                  <c:v>-20.3</c:v>
                </c:pt>
                <c:pt idx="26">
                  <c:v>-18</c:v>
                </c:pt>
                <c:pt idx="27">
                  <c:v>-18.3</c:v>
                </c:pt>
                <c:pt idx="28">
                  <c:v>-15.8</c:v>
                </c:pt>
                <c:pt idx="29">
                  <c:v>-9</c:v>
                </c:pt>
                <c:pt idx="30">
                  <c:v>-12.8</c:v>
                </c:pt>
                <c:pt idx="31">
                  <c:v>-9</c:v>
                </c:pt>
                <c:pt idx="32">
                  <c:v>-13.5</c:v>
                </c:pt>
                <c:pt idx="33">
                  <c:v>-9.8000000000000007</c:v>
                </c:pt>
              </c:numCache>
            </c:numRef>
          </c:val>
          <c:smooth val="0"/>
          <c:extLst>
            <c:ext xmlns:c16="http://schemas.microsoft.com/office/drawing/2014/chart" uri="{C3380CC4-5D6E-409C-BE32-E72D297353CC}">
              <c16:uniqueId val="{00000008-83A6-4F80-BB54-33EE3537A950}"/>
            </c:ext>
          </c:extLst>
        </c:ser>
        <c:ser>
          <c:idx val="9"/>
          <c:order val="9"/>
          <c:tx>
            <c:strRef>
              <c:f>'výkonnost odvětví 5a'!$M$66</c:f>
              <c:strCache>
                <c:ptCount val="1"/>
                <c:pt idx="0">
                  <c:v>Saldo indikátoru důvěry obchodníků</c:v>
                </c:pt>
              </c:strCache>
            </c:strRef>
          </c:tx>
          <c:spPr>
            <a:ln w="6350">
              <a:solidFill>
                <a:schemeClr val="bg1">
                  <a:lumMod val="50000"/>
                </a:schemeClr>
              </a:solidFill>
              <a:prstDash val="sysDash"/>
            </a:ln>
          </c:spPr>
          <c:marker>
            <c:symbol val="triangle"/>
            <c:size val="5"/>
            <c:spPr>
              <a:solidFill>
                <a:schemeClr val="accent6">
                  <a:lumMod val="40000"/>
                  <a:lumOff val="60000"/>
                </a:schemeClr>
              </a:solidFill>
              <a:ln>
                <a:solidFill>
                  <a:schemeClr val="bg1">
                    <a:lumMod val="50000"/>
                  </a:schemeClr>
                </a:solidFill>
              </a:ln>
            </c:spPr>
          </c:marker>
          <c:cat>
            <c:multiLvlStrRef>
              <c:f>'výkonnost odvětví 5a'!$B$75:$C$108</c:f>
              <c:multiLvlStrCache>
                <c:ptCount val="3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'výkonnost odvětví 5a'!$M$75:$M$108</c:f>
              <c:numCache>
                <c:formatCode>0.0</c:formatCode>
                <c:ptCount val="34"/>
                <c:pt idx="0">
                  <c:v>24.3</c:v>
                </c:pt>
                <c:pt idx="1">
                  <c:v>17.3</c:v>
                </c:pt>
                <c:pt idx="2">
                  <c:v>22.7</c:v>
                </c:pt>
                <c:pt idx="3">
                  <c:v>21.7</c:v>
                </c:pt>
                <c:pt idx="4">
                  <c:v>23.3</c:v>
                </c:pt>
                <c:pt idx="5">
                  <c:v>17.3</c:v>
                </c:pt>
                <c:pt idx="6">
                  <c:v>15.6</c:v>
                </c:pt>
                <c:pt idx="7">
                  <c:v>15</c:v>
                </c:pt>
                <c:pt idx="8">
                  <c:v>12.7</c:v>
                </c:pt>
                <c:pt idx="9">
                  <c:v>12.3</c:v>
                </c:pt>
                <c:pt idx="10">
                  <c:v>14.7</c:v>
                </c:pt>
                <c:pt idx="11">
                  <c:v>14.7</c:v>
                </c:pt>
                <c:pt idx="12">
                  <c:v>18.7</c:v>
                </c:pt>
                <c:pt idx="13">
                  <c:v>-1</c:v>
                </c:pt>
                <c:pt idx="14">
                  <c:v>12</c:v>
                </c:pt>
                <c:pt idx="15">
                  <c:v>7</c:v>
                </c:pt>
                <c:pt idx="16">
                  <c:v>1.3</c:v>
                </c:pt>
                <c:pt idx="17">
                  <c:v>15</c:v>
                </c:pt>
                <c:pt idx="18">
                  <c:v>18.3</c:v>
                </c:pt>
                <c:pt idx="19">
                  <c:v>21.3</c:v>
                </c:pt>
                <c:pt idx="20">
                  <c:v>19.7</c:v>
                </c:pt>
                <c:pt idx="21">
                  <c:v>19.600000000000001</c:v>
                </c:pt>
                <c:pt idx="22">
                  <c:v>10.3</c:v>
                </c:pt>
                <c:pt idx="23">
                  <c:v>14.7</c:v>
                </c:pt>
                <c:pt idx="24">
                  <c:v>9.3000000000000007</c:v>
                </c:pt>
                <c:pt idx="25">
                  <c:v>13.3</c:v>
                </c:pt>
                <c:pt idx="26">
                  <c:v>5.7</c:v>
                </c:pt>
                <c:pt idx="27">
                  <c:v>3.3</c:v>
                </c:pt>
                <c:pt idx="28">
                  <c:v>1.7</c:v>
                </c:pt>
                <c:pt idx="29">
                  <c:v>11.3</c:v>
                </c:pt>
                <c:pt idx="30">
                  <c:v>9.3000000000000007</c:v>
                </c:pt>
                <c:pt idx="31">
                  <c:v>11.3</c:v>
                </c:pt>
                <c:pt idx="32">
                  <c:v>15</c:v>
                </c:pt>
                <c:pt idx="33">
                  <c:v>13.3</c:v>
                </c:pt>
              </c:numCache>
            </c:numRef>
          </c:val>
          <c:smooth val="0"/>
          <c:extLst>
            <c:ext xmlns:c16="http://schemas.microsoft.com/office/drawing/2014/chart" uri="{C3380CC4-5D6E-409C-BE32-E72D297353CC}">
              <c16:uniqueId val="{00000009-83A6-4F80-BB54-33EE3537A950}"/>
            </c:ext>
          </c:extLst>
        </c:ser>
        <c:dLbls>
          <c:showLegendKey val="0"/>
          <c:showVal val="0"/>
          <c:showCatName val="0"/>
          <c:showSerName val="0"/>
          <c:showPercent val="0"/>
          <c:showBubbleSize val="0"/>
        </c:dLbls>
        <c:marker val="1"/>
        <c:smooth val="0"/>
        <c:axId val="1875570767"/>
        <c:axId val="1875563695"/>
      </c:lineChart>
      <c:catAx>
        <c:axId val="156100864"/>
        <c:scaling>
          <c:orientation val="minMax"/>
        </c:scaling>
        <c:delete val="0"/>
        <c:axPos val="b"/>
        <c:numFmt formatCode="General" sourceLinked="0"/>
        <c:majorTickMark val="out"/>
        <c:minorTickMark val="none"/>
        <c:tickLblPos val="low"/>
        <c:txPr>
          <a:bodyPr/>
          <a:lstStyle/>
          <a:p>
            <a:pPr>
              <a:defRPr sz="800"/>
            </a:pPr>
            <a:endParaRPr lang="cs-CZ"/>
          </a:p>
        </c:txPr>
        <c:crossAx val="156573696"/>
        <c:crosses val="autoZero"/>
        <c:auto val="1"/>
        <c:lblAlgn val="ctr"/>
        <c:lblOffset val="0"/>
        <c:noMultiLvlLbl val="0"/>
      </c:catAx>
      <c:valAx>
        <c:axId val="156573696"/>
        <c:scaling>
          <c:orientation val="minMax"/>
          <c:max val="12"/>
          <c:min val="-10"/>
        </c:scaling>
        <c:delete val="0"/>
        <c:axPos val="l"/>
        <c:majorGridlines>
          <c:spPr>
            <a:ln w="6350">
              <a:solidFill>
                <a:schemeClr val="bg1">
                  <a:lumMod val="75000"/>
                </a:schemeClr>
              </a:solidFill>
            </a:ln>
          </c:spPr>
        </c:majorGridlines>
        <c:title>
          <c:tx>
            <c:rich>
              <a:bodyPr/>
              <a:lstStyle/>
              <a:p>
                <a:pPr>
                  <a:defRPr sz="750" b="0" i="1"/>
                </a:pPr>
                <a:r>
                  <a:rPr lang="cs-CZ" sz="750" b="0" i="1"/>
                  <a:t>Tržby</a:t>
                </a:r>
                <a:r>
                  <a:rPr lang="cs-CZ" sz="750" b="0" i="1" baseline="0"/>
                  <a:t> (příspěvky k meziroč. změně)</a:t>
                </a:r>
                <a:endParaRPr lang="cs-CZ" sz="750" b="0" i="1"/>
              </a:p>
            </c:rich>
          </c:tx>
          <c:layout>
            <c:manualLayout>
              <c:xMode val="edge"/>
              <c:yMode val="edge"/>
              <c:x val="2.6086947381477195E-3"/>
              <c:y val="0.16393316671713359"/>
            </c:manualLayout>
          </c:layout>
          <c:overlay val="0"/>
        </c:title>
        <c:numFmt formatCode="0" sourceLinked="0"/>
        <c:majorTickMark val="out"/>
        <c:minorTickMark val="none"/>
        <c:tickLblPos val="nextTo"/>
        <c:txPr>
          <a:bodyPr/>
          <a:lstStyle/>
          <a:p>
            <a:pPr>
              <a:defRPr sz="800"/>
            </a:pPr>
            <a:endParaRPr lang="cs-CZ"/>
          </a:p>
        </c:txPr>
        <c:crossAx val="156100864"/>
        <c:crosses val="autoZero"/>
        <c:crossBetween val="between"/>
        <c:majorUnit val="2"/>
      </c:valAx>
      <c:valAx>
        <c:axId val="1875563695"/>
        <c:scaling>
          <c:orientation val="minMax"/>
          <c:max val="125"/>
          <c:min val="-40"/>
        </c:scaling>
        <c:delete val="0"/>
        <c:axPos val="r"/>
        <c:title>
          <c:tx>
            <c:rich>
              <a:bodyPr/>
              <a:lstStyle/>
              <a:p>
                <a:pPr>
                  <a:defRPr sz="750" b="0" i="1"/>
                </a:pPr>
                <a:r>
                  <a:rPr lang="cs-CZ" sz="750" b="0" i="1">
                    <a:latin typeface="Arial" panose="020B0604020202020204" pitchFamily="34" charset="0"/>
                    <a:cs typeface="Arial" panose="020B0604020202020204" pitchFamily="34" charset="0"/>
                  </a:rPr>
                  <a:t>Tržby</a:t>
                </a:r>
                <a:r>
                  <a:rPr lang="cs-CZ" sz="750" b="0" i="1" baseline="0">
                    <a:latin typeface="Arial" panose="020B0604020202020204" pitchFamily="34" charset="0"/>
                    <a:cs typeface="Arial" panose="020B0604020202020204" pitchFamily="34" charset="0"/>
                  </a:rPr>
                  <a:t> (rok 2021=100), </a:t>
                </a:r>
                <a:r>
                  <a:rPr lang="cs-CZ" sz="750" b="0" i="1" u="none" strike="noStrike" baseline="0">
                    <a:effectLst/>
                    <a:latin typeface="Arial" panose="020B0604020202020204" pitchFamily="34" charset="0"/>
                    <a:cs typeface="Arial" panose="020B0604020202020204" pitchFamily="34" charset="0"/>
                  </a:rPr>
                  <a:t>saldo důvěry</a:t>
                </a:r>
                <a:endParaRPr lang="cs-CZ" sz="750" b="0" i="1">
                  <a:latin typeface="Arial" panose="020B0604020202020204" pitchFamily="34" charset="0"/>
                  <a:cs typeface="Arial" panose="020B0604020202020204" pitchFamily="34" charset="0"/>
                </a:endParaRPr>
              </a:p>
            </c:rich>
          </c:tx>
          <c:layout>
            <c:manualLayout>
              <c:xMode val="edge"/>
              <c:yMode val="edge"/>
              <c:x val="0.96896265019335537"/>
              <c:y val="0.1743397117509615"/>
            </c:manualLayout>
          </c:layout>
          <c:overlay val="0"/>
        </c:title>
        <c:numFmt formatCode="#,##0" sourceLinked="0"/>
        <c:majorTickMark val="out"/>
        <c:minorTickMark val="none"/>
        <c:tickLblPos val="nextTo"/>
        <c:txPr>
          <a:bodyPr/>
          <a:lstStyle/>
          <a:p>
            <a:pPr>
              <a:defRPr sz="800"/>
            </a:pPr>
            <a:endParaRPr lang="cs-CZ"/>
          </a:p>
        </c:txPr>
        <c:crossAx val="1875570767"/>
        <c:crosses val="max"/>
        <c:crossBetween val="between"/>
        <c:majorUnit val="15"/>
      </c:valAx>
      <c:catAx>
        <c:axId val="1875570767"/>
        <c:scaling>
          <c:orientation val="minMax"/>
        </c:scaling>
        <c:delete val="1"/>
        <c:axPos val="b"/>
        <c:numFmt formatCode="General" sourceLinked="1"/>
        <c:majorTickMark val="out"/>
        <c:minorTickMark val="none"/>
        <c:tickLblPos val="nextTo"/>
        <c:crossAx val="1875563695"/>
        <c:crosses val="autoZero"/>
        <c:auto val="1"/>
        <c:lblAlgn val="ctr"/>
        <c:lblOffset val="100"/>
        <c:noMultiLvlLbl val="0"/>
      </c:catAx>
      <c:spPr>
        <a:ln>
          <a:solidFill>
            <a:schemeClr val="tx1"/>
          </a:solidFill>
        </a:ln>
      </c:spPr>
    </c:plotArea>
    <c:legend>
      <c:legendPos val="r"/>
      <c:layout>
        <c:manualLayout>
          <c:xMode val="edge"/>
          <c:yMode val="edge"/>
          <c:x val="2.468684205823891E-3"/>
          <c:y val="0.83019315530312354"/>
          <c:w val="0.98989464522781667"/>
          <c:h val="0.16278392037883976"/>
        </c:manualLayout>
      </c:layout>
      <c:overlay val="0"/>
      <c:spPr>
        <a:ln w="6350">
          <a:solidFill>
            <a:schemeClr val="tx1"/>
          </a:solidFill>
        </a:ln>
      </c:spPr>
      <c:txPr>
        <a:bodyPr/>
        <a:lstStyle/>
        <a:p>
          <a:pPr>
            <a:defRPr sz="750"/>
          </a:pPr>
          <a:endParaRPr lang="cs-CZ"/>
        </a:p>
      </c:txPr>
    </c:legend>
    <c:plotVisOnly val="1"/>
    <c:dispBlanksAs val="gap"/>
    <c:showDLblsOverMax val="0"/>
  </c:chart>
  <c:spPr>
    <a:ln>
      <a:noFill/>
    </a:ln>
  </c:spPr>
  <c:txPr>
    <a:bodyPr/>
    <a:lstStyle/>
    <a:p>
      <a:pPr>
        <a:defRPr sz="1500" baseline="0">
          <a:latin typeface="Arial" pitchFamily="34" charset="0"/>
        </a:defRPr>
      </a:pPr>
      <a:endParaRPr lang="cs-CZ"/>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0204C7C21F48A488F44995C5F8FB06D" ma:contentTypeVersion="11" ma:contentTypeDescription="Vytvoří nový dokument" ma:contentTypeScope="" ma:versionID="1df8c39b067b5d25b5f5e865a8e6deb3">
  <xsd:schema xmlns:xsd="http://www.w3.org/2001/XMLSchema" xmlns:xs="http://www.w3.org/2001/XMLSchema" xmlns:p="http://schemas.microsoft.com/office/2006/metadata/properties" xmlns:ns3="b8c0c86d-151e-4fca-b0d5-747e6692fa1d" targetNamespace="http://schemas.microsoft.com/office/2006/metadata/properties" ma:root="true" ma:fieldsID="0a1e36cc980726b26aea9439dfb6e5b7" ns3:_="">
    <xsd:import namespace="b8c0c86d-151e-4fca-b0d5-747e6692fa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0c86d-151e-4fca-b0d5-747e6692f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2.xml><?xml version="1.0" encoding="utf-8"?>
<ds:datastoreItem xmlns:ds="http://schemas.openxmlformats.org/officeDocument/2006/customXml" ds:itemID="{1E7681AD-41B0-431A-9D34-CF6700A12FAC}">
  <ds:schemaRefs>
    <ds:schemaRef ds:uri="http://purl.org/dc/elements/1.1/"/>
    <ds:schemaRef ds:uri="http://schemas.microsoft.com/office/2006/metadata/properties"/>
    <ds:schemaRef ds:uri="http://purl.org/dc/terms/"/>
    <ds:schemaRef ds:uri="http://purl.org/dc/dcmitype/"/>
    <ds:schemaRef ds:uri="http://schemas.microsoft.com/office/2006/documentManagement/types"/>
    <ds:schemaRef ds:uri="b8c0c86d-151e-4fca-b0d5-747e6692fa1d"/>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5BC6B78-CD4F-4CCE-9179-CFFE2F383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0c86d-151e-4fca-b0d5-747e6692f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5D64DB-DE2D-4DB9-9CF8-A6715D482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4608</Words>
  <Characters>27192</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31737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5</cp:revision>
  <cp:lastPrinted>2014-07-17T14:07:00Z</cp:lastPrinted>
  <dcterms:created xsi:type="dcterms:W3CDTF">2025-06-16T10:26:00Z</dcterms:created>
  <dcterms:modified xsi:type="dcterms:W3CDTF">2025-06-16T10:34:00Z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0x01010070204C7C21F48A488F44995C5F8FB06D</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