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8982" w14:textId="3AF3222A" w:rsidR="001F7008" w:rsidRDefault="001F7008" w:rsidP="002D23AB">
      <w:pPr>
        <w:spacing w:after="0" w:line="240" w:lineRule="auto"/>
      </w:pPr>
      <w:bookmarkStart w:id="0" w:name="_Toc444112494"/>
    </w:p>
    <w:p w14:paraId="1C72731C" w14:textId="77777777" w:rsidR="007D3BFE" w:rsidRDefault="007D3BFE" w:rsidP="002D23AB">
      <w:pPr>
        <w:spacing w:after="0" w:line="240" w:lineRule="auto"/>
      </w:pPr>
    </w:p>
    <w:p w14:paraId="2B095868" w14:textId="21C2D2BA" w:rsidR="00E75E92" w:rsidRPr="002D23AB" w:rsidRDefault="00D80035" w:rsidP="00E75E92">
      <w:pPr>
        <w:spacing w:after="0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Školy a školská zařízení 2022/23</w:t>
      </w:r>
    </w:p>
    <w:p w14:paraId="7352F77D" w14:textId="125FC84F" w:rsidR="002D23AB" w:rsidRDefault="002D23AB" w:rsidP="002D23AB">
      <w:pPr>
        <w:spacing w:after="0"/>
        <w:jc w:val="center"/>
        <w:rPr>
          <w:b/>
          <w:color w:val="C00000"/>
          <w:sz w:val="40"/>
          <w:szCs w:val="40"/>
        </w:rPr>
      </w:pPr>
      <w:r w:rsidRPr="002D23AB">
        <w:rPr>
          <w:b/>
          <w:color w:val="C00000"/>
          <w:sz w:val="40"/>
          <w:szCs w:val="40"/>
        </w:rPr>
        <w:t>Analytická část</w:t>
      </w:r>
    </w:p>
    <w:p w14:paraId="7F9431CC" w14:textId="77777777" w:rsidR="00352AAE" w:rsidRDefault="00352AAE" w:rsidP="002D23AB">
      <w:pPr>
        <w:spacing w:after="0"/>
        <w:jc w:val="center"/>
        <w:rPr>
          <w:b/>
          <w:color w:val="C00000"/>
          <w:sz w:val="40"/>
          <w:szCs w:val="40"/>
        </w:rPr>
      </w:pPr>
    </w:p>
    <w:p w14:paraId="52A19232" w14:textId="44557E8B" w:rsidR="0080256A" w:rsidRPr="00352AAE" w:rsidRDefault="00FA7769" w:rsidP="00352AAE">
      <w:pPr>
        <w:pStyle w:val="Nadpis1"/>
        <w:jc w:val="center"/>
        <w:rPr>
          <w:rFonts w:eastAsia="Times New Roman"/>
          <w:bCs w:val="0"/>
          <w:sz w:val="40"/>
          <w:szCs w:val="40"/>
        </w:rPr>
      </w:pPr>
      <w:bookmarkStart w:id="1" w:name="_Toc142467795"/>
      <w:bookmarkEnd w:id="0"/>
      <w:r w:rsidRPr="00352AAE">
        <w:rPr>
          <w:rFonts w:eastAsia="Times New Roman"/>
          <w:bCs w:val="0"/>
          <w:sz w:val="40"/>
          <w:szCs w:val="40"/>
        </w:rPr>
        <w:t>5. Vyšší odborné školy</w:t>
      </w:r>
      <w:bookmarkEnd w:id="1"/>
    </w:p>
    <w:p w14:paraId="0651FD82" w14:textId="2311CA5A" w:rsidR="00352AAE" w:rsidRDefault="00352AAE" w:rsidP="0080256A">
      <w:pPr>
        <w:pStyle w:val="Nadpis2"/>
        <w:spacing w:after="120"/>
      </w:pPr>
      <w:bookmarkStart w:id="2" w:name="_Toc142467796"/>
    </w:p>
    <w:p w14:paraId="0A152348" w14:textId="0FD1FFE0" w:rsidR="0080256A" w:rsidRDefault="0080256A" w:rsidP="0080256A">
      <w:pPr>
        <w:pStyle w:val="Nadpis2"/>
        <w:spacing w:after="120"/>
      </w:pPr>
      <w:r>
        <w:t>Shrnutí</w:t>
      </w:r>
      <w:bookmarkEnd w:id="2"/>
    </w:p>
    <w:p w14:paraId="35F7B592" w14:textId="601FE6E5" w:rsidR="0080256A" w:rsidRDefault="0080256A" w:rsidP="0080256A">
      <w:pPr>
        <w:spacing w:after="120"/>
        <w:jc w:val="both"/>
        <w:rPr>
          <w:rFonts w:cs="Arial"/>
          <w:szCs w:val="20"/>
        </w:rPr>
      </w:pPr>
      <w:r w:rsidRPr="00BB5AA1">
        <w:rPr>
          <w:rFonts w:cs="Arial"/>
          <w:szCs w:val="20"/>
        </w:rPr>
        <w:t>Ve vyšších odborných</w:t>
      </w:r>
      <w:r>
        <w:rPr>
          <w:rFonts w:cs="Arial"/>
          <w:szCs w:val="20"/>
        </w:rPr>
        <w:t xml:space="preserve"> školách se ve školním roce 2022/23</w:t>
      </w:r>
      <w:r w:rsidRPr="00BB5AA1">
        <w:rPr>
          <w:rFonts w:cs="Arial"/>
          <w:szCs w:val="20"/>
        </w:rPr>
        <w:t xml:space="preserve"> vzdělávalo celkem </w:t>
      </w:r>
      <w:r w:rsidRPr="00B86D8B">
        <w:rPr>
          <w:rFonts w:cs="Arial"/>
          <w:b/>
          <w:szCs w:val="20"/>
        </w:rPr>
        <w:t>20 639 studentů</w:t>
      </w:r>
      <w:r>
        <w:rPr>
          <w:rFonts w:cs="Arial"/>
          <w:szCs w:val="20"/>
        </w:rPr>
        <w:t xml:space="preserve">. </w:t>
      </w:r>
      <w:r w:rsidR="00352AAE">
        <w:rPr>
          <w:rFonts w:cs="Arial"/>
          <w:szCs w:val="20"/>
        </w:rPr>
        <w:t>V předchozích kapitolách bylo</w:t>
      </w:r>
      <w:r w:rsidRPr="00665590">
        <w:rPr>
          <w:rFonts w:cs="Arial"/>
          <w:szCs w:val="20"/>
        </w:rPr>
        <w:t xml:space="preserve"> uvedeno, že počet žáků v základních školách měl v posledních deseti letech vzestupnou tendenci. Počet žáků ve středních školách naopak nejprve klesal, po </w:t>
      </w:r>
      <w:r w:rsidRPr="00E1221E">
        <w:rPr>
          <w:rFonts w:cs="Arial"/>
          <w:szCs w:val="20"/>
        </w:rPr>
        <w:t xml:space="preserve">šesti letech klesání však začal stoupat. Zde lze poznamenat, že ještě výrazněji než počet žáků středních škol </w:t>
      </w:r>
      <w:r w:rsidRPr="00E1221E">
        <w:rPr>
          <w:rFonts w:cs="Arial"/>
          <w:b/>
          <w:szCs w:val="20"/>
        </w:rPr>
        <w:t>klesal</w:t>
      </w:r>
      <w:r w:rsidRPr="008C5E8B">
        <w:rPr>
          <w:rFonts w:cs="Arial"/>
          <w:b/>
          <w:szCs w:val="20"/>
        </w:rPr>
        <w:t xml:space="preserve"> počet studentů vyšších odborných škol</w:t>
      </w:r>
      <w:r>
        <w:rPr>
          <w:rFonts w:cs="Arial"/>
          <w:szCs w:val="20"/>
        </w:rPr>
        <w:t>, a sice z 28 980 studentů ve školním roce 2012/13</w:t>
      </w:r>
      <w:r w:rsidRPr="005210E6">
        <w:rPr>
          <w:rFonts w:cs="Arial"/>
          <w:szCs w:val="20"/>
        </w:rPr>
        <w:t xml:space="preserve"> na 17 954 st</w:t>
      </w:r>
      <w:r>
        <w:rPr>
          <w:rFonts w:cs="Arial"/>
          <w:szCs w:val="20"/>
        </w:rPr>
        <w:t>udentů ve školním roce 2019/20 a teprve v posledních třech školních rocích byl zaznamenán nárůst, celkově o 15,0 % studentů.</w:t>
      </w:r>
    </w:p>
    <w:p w14:paraId="7AFD6AB7" w14:textId="6FA84DD7" w:rsidR="0080256A" w:rsidRDefault="00B02D21" w:rsidP="0080256A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Ve školním roce 2022/23 (</w:t>
      </w:r>
      <w:r w:rsidR="0080256A">
        <w:rPr>
          <w:rFonts w:cs="Arial"/>
          <w:szCs w:val="20"/>
        </w:rPr>
        <w:t>jakož i před pěti lety</w:t>
      </w:r>
      <w:r>
        <w:rPr>
          <w:rFonts w:cs="Arial"/>
          <w:szCs w:val="20"/>
        </w:rPr>
        <w:t>)</w:t>
      </w:r>
      <w:r w:rsidR="0080256A">
        <w:rPr>
          <w:rFonts w:cs="Arial"/>
          <w:szCs w:val="20"/>
        </w:rPr>
        <w:t>,</w:t>
      </w:r>
      <w:r w:rsidR="0080256A" w:rsidRPr="00480931">
        <w:rPr>
          <w:rFonts w:cs="Arial"/>
          <w:szCs w:val="20"/>
        </w:rPr>
        <w:t xml:space="preserve"> byl nejvyšší počet studentů vyššího odborného vzdělávání zapsaný ve skupině oborů </w:t>
      </w:r>
      <w:r w:rsidR="0080256A" w:rsidRPr="008951EA">
        <w:rPr>
          <w:rFonts w:cs="Arial"/>
          <w:b/>
          <w:szCs w:val="20"/>
        </w:rPr>
        <w:t xml:space="preserve">zdravotnictví </w:t>
      </w:r>
      <w:r w:rsidRPr="00B02D21">
        <w:rPr>
          <w:rFonts w:cs="Arial"/>
          <w:szCs w:val="20"/>
        </w:rPr>
        <w:t>(6 461)</w:t>
      </w:r>
      <w:r>
        <w:rPr>
          <w:rFonts w:cs="Arial"/>
          <w:b/>
          <w:szCs w:val="20"/>
        </w:rPr>
        <w:t xml:space="preserve"> </w:t>
      </w:r>
      <w:r w:rsidR="0080256A" w:rsidRPr="00480931">
        <w:rPr>
          <w:rFonts w:cs="Arial"/>
          <w:szCs w:val="20"/>
        </w:rPr>
        <w:t xml:space="preserve">a dále ve skupině oborů </w:t>
      </w:r>
      <w:r w:rsidR="0080256A" w:rsidRPr="008951EA">
        <w:rPr>
          <w:rFonts w:cs="Arial"/>
          <w:b/>
          <w:szCs w:val="20"/>
        </w:rPr>
        <w:t>pedagogiky, učitelství a sociální péče</w:t>
      </w:r>
      <w:r>
        <w:rPr>
          <w:rFonts w:cs="Arial"/>
          <w:b/>
          <w:szCs w:val="20"/>
        </w:rPr>
        <w:t xml:space="preserve"> </w:t>
      </w:r>
      <w:r w:rsidRPr="00B02D21">
        <w:rPr>
          <w:rFonts w:cs="Arial"/>
          <w:szCs w:val="20"/>
        </w:rPr>
        <w:t>(6 235)</w:t>
      </w:r>
      <w:r w:rsidR="0080256A" w:rsidRPr="00B02D21">
        <w:rPr>
          <w:rFonts w:cs="Arial"/>
          <w:szCs w:val="20"/>
        </w:rPr>
        <w:t>.</w:t>
      </w:r>
      <w:r w:rsidR="0080256A" w:rsidRPr="00480931">
        <w:rPr>
          <w:rFonts w:cs="Arial"/>
          <w:szCs w:val="20"/>
        </w:rPr>
        <w:t xml:space="preserve"> </w:t>
      </w:r>
      <w:r w:rsidR="0080256A">
        <w:rPr>
          <w:rFonts w:cs="Arial"/>
          <w:szCs w:val="20"/>
        </w:rPr>
        <w:t xml:space="preserve">Tyto dvě skupiny oborů spolu se skupinou oborů umění a užité umění také jako jediné ze skupin oborů s více než 100 </w:t>
      </w:r>
      <w:r w:rsidR="00827673">
        <w:rPr>
          <w:rFonts w:cs="Arial"/>
          <w:szCs w:val="20"/>
        </w:rPr>
        <w:t>student</w:t>
      </w:r>
      <w:r w:rsidR="0080256A">
        <w:rPr>
          <w:rFonts w:cs="Arial"/>
          <w:szCs w:val="20"/>
        </w:rPr>
        <w:t>ů zaznamenaly za posledních pět let zvýšení počtu</w:t>
      </w:r>
      <w:r>
        <w:rPr>
          <w:rFonts w:cs="Arial"/>
          <w:szCs w:val="20"/>
        </w:rPr>
        <w:t xml:space="preserve"> studentů - pedagogické obory o </w:t>
      </w:r>
      <w:r w:rsidR="0080256A">
        <w:rPr>
          <w:rFonts w:cs="Arial"/>
          <w:szCs w:val="20"/>
        </w:rPr>
        <w:t>37,6 %, zdravotnické o 11,2 % a umělecké o 35,6 %. Kromě toho se celkem 483 studentů ve školním roce 2022/23 vzdělávalo v oborech spadajících do veterinářství a veterinářské prevence, které ještě před pěti lety nestudoval žádný student vyšší odborné školy. Naopa</w:t>
      </w:r>
      <w:r w:rsidR="00827673">
        <w:rPr>
          <w:rFonts w:cs="Arial"/>
          <w:szCs w:val="20"/>
        </w:rPr>
        <w:t xml:space="preserve">k největší propad </w:t>
      </w:r>
      <w:r w:rsidR="006D431E">
        <w:rPr>
          <w:rFonts w:cs="Arial"/>
          <w:szCs w:val="20"/>
        </w:rPr>
        <w:t xml:space="preserve">z oborů s více než 100 studentů </w:t>
      </w:r>
      <w:r w:rsidR="00827673">
        <w:rPr>
          <w:rFonts w:cs="Arial"/>
          <w:szCs w:val="20"/>
        </w:rPr>
        <w:t>zaznamenaly obory</w:t>
      </w:r>
      <w:r w:rsidR="0080256A">
        <w:rPr>
          <w:rFonts w:cs="Arial"/>
          <w:szCs w:val="20"/>
        </w:rPr>
        <w:t>, které se týkají publicistiky, knihovni</w:t>
      </w:r>
      <w:r w:rsidR="006D431E">
        <w:rPr>
          <w:rFonts w:cs="Arial"/>
          <w:szCs w:val="20"/>
        </w:rPr>
        <w:t>ctví a informatiky (o 52,1 %),</w:t>
      </w:r>
      <w:r w:rsidR="0080256A">
        <w:rPr>
          <w:rFonts w:cs="Arial"/>
          <w:szCs w:val="20"/>
        </w:rPr>
        <w:t xml:space="preserve"> ekonomiky a administrativy (o 46,2 %)</w:t>
      </w:r>
      <w:r w:rsidR="006D431E">
        <w:rPr>
          <w:rFonts w:cs="Arial"/>
          <w:szCs w:val="20"/>
        </w:rPr>
        <w:t xml:space="preserve"> strojírenství a strojírenské výroby (34,8 %)</w:t>
      </w:r>
      <w:r w:rsidR="0080256A">
        <w:rPr>
          <w:rFonts w:cs="Arial"/>
          <w:szCs w:val="20"/>
        </w:rPr>
        <w:t>.</w:t>
      </w:r>
    </w:p>
    <w:p w14:paraId="66F3F606" w14:textId="4B19DBBE" w:rsidR="0080256A" w:rsidRPr="00B86D8B" w:rsidRDefault="0080256A" w:rsidP="0080256A">
      <w:pPr>
        <w:spacing w:after="120"/>
        <w:jc w:val="both"/>
        <w:rPr>
          <w:rFonts w:cs="Arial"/>
          <w:szCs w:val="20"/>
        </w:rPr>
      </w:pPr>
      <w:r w:rsidRPr="008A014E">
        <w:rPr>
          <w:rFonts w:cs="Arial"/>
          <w:szCs w:val="20"/>
        </w:rPr>
        <w:t xml:space="preserve">Vzhledem k převaze studentů oborů ze skupiny zdravotnictví a ze skupiny pedagogiky, učitelství a sociální péče není překvapivé, že mezi studenty vyšších odborných škol </w:t>
      </w:r>
      <w:r w:rsidRPr="00D8357D">
        <w:rPr>
          <w:rFonts w:cs="Arial"/>
          <w:b/>
          <w:szCs w:val="20"/>
        </w:rPr>
        <w:t>převažovaly ženy nad muži</w:t>
      </w:r>
      <w:r w:rsidRPr="008A014E">
        <w:rPr>
          <w:rFonts w:cs="Arial"/>
          <w:szCs w:val="20"/>
        </w:rPr>
        <w:t xml:space="preserve">. </w:t>
      </w:r>
      <w:r w:rsidR="00B02D21">
        <w:rPr>
          <w:rFonts w:cs="Arial"/>
          <w:szCs w:val="20"/>
        </w:rPr>
        <w:t>Ve</w:t>
      </w:r>
      <w:r w:rsidRPr="008A014E">
        <w:rPr>
          <w:rFonts w:cs="Arial"/>
          <w:szCs w:val="20"/>
        </w:rPr>
        <w:t xml:space="preserve"> školním ro</w:t>
      </w:r>
      <w:r>
        <w:rPr>
          <w:rFonts w:cs="Arial"/>
          <w:szCs w:val="20"/>
        </w:rPr>
        <w:t>ce 2022/23</w:t>
      </w:r>
      <w:r w:rsidRPr="008A014E">
        <w:rPr>
          <w:rFonts w:cs="Arial"/>
          <w:szCs w:val="20"/>
        </w:rPr>
        <w:t xml:space="preserve"> tvořily </w:t>
      </w:r>
      <w:r>
        <w:rPr>
          <w:rFonts w:cs="Arial"/>
          <w:szCs w:val="20"/>
        </w:rPr>
        <w:t xml:space="preserve">více než </w:t>
      </w:r>
      <w:r w:rsidRPr="008A014E">
        <w:rPr>
          <w:rFonts w:cs="Arial"/>
          <w:szCs w:val="20"/>
        </w:rPr>
        <w:t>tři čtvrtiny všech studentů</w:t>
      </w:r>
      <w:r>
        <w:rPr>
          <w:rFonts w:cs="Arial"/>
          <w:szCs w:val="20"/>
        </w:rPr>
        <w:t xml:space="preserve"> (77,2 %)</w:t>
      </w:r>
      <w:r w:rsidRPr="008A014E">
        <w:rPr>
          <w:rFonts w:cs="Arial"/>
          <w:szCs w:val="20"/>
        </w:rPr>
        <w:t xml:space="preserve">. </w:t>
      </w:r>
      <w:r w:rsidRPr="00B86D8B">
        <w:rPr>
          <w:rFonts w:cs="Arial"/>
          <w:szCs w:val="20"/>
        </w:rPr>
        <w:t xml:space="preserve">Podíl žen mezi studenty přitom </w:t>
      </w:r>
      <w:r>
        <w:rPr>
          <w:rFonts w:cs="Arial"/>
          <w:szCs w:val="20"/>
        </w:rPr>
        <w:t xml:space="preserve">v posledních deseti letech </w:t>
      </w:r>
      <w:r w:rsidRPr="00B86D8B">
        <w:rPr>
          <w:rFonts w:cs="Arial"/>
          <w:szCs w:val="20"/>
        </w:rPr>
        <w:t xml:space="preserve">téměř soustavně mírně stoupal, a sice ze 71,2 % </w:t>
      </w:r>
      <w:r>
        <w:rPr>
          <w:rFonts w:cs="Arial"/>
          <w:szCs w:val="20"/>
        </w:rPr>
        <w:t>ve školním roce</w:t>
      </w:r>
      <w:r w:rsidRPr="00B86D8B">
        <w:rPr>
          <w:rFonts w:cs="Arial"/>
          <w:szCs w:val="20"/>
        </w:rPr>
        <w:t xml:space="preserve"> 2012/13. </w:t>
      </w:r>
    </w:p>
    <w:p w14:paraId="383234A6" w14:textId="6F4E00E7" w:rsidR="0080256A" w:rsidRPr="00480931" w:rsidRDefault="0080256A" w:rsidP="0080256A">
      <w:pPr>
        <w:spacing w:after="120"/>
        <w:jc w:val="both"/>
        <w:rPr>
          <w:rFonts w:cs="Arial"/>
          <w:color w:val="FF0000"/>
          <w:szCs w:val="20"/>
        </w:rPr>
      </w:pPr>
      <w:r w:rsidRPr="008A014E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ovněž </w:t>
      </w:r>
      <w:r w:rsidRPr="00D8357D">
        <w:rPr>
          <w:rFonts w:cs="Arial"/>
          <w:b/>
          <w:szCs w:val="20"/>
        </w:rPr>
        <w:t>mezi učiteli</w:t>
      </w:r>
      <w:r w:rsidRPr="008A014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vyšších odborných škol </w:t>
      </w:r>
      <w:r w:rsidRPr="008A014E">
        <w:rPr>
          <w:rFonts w:cs="Arial"/>
          <w:szCs w:val="20"/>
        </w:rPr>
        <w:t>převažovaly</w:t>
      </w:r>
      <w:r>
        <w:rPr>
          <w:rFonts w:cs="Arial"/>
          <w:szCs w:val="20"/>
        </w:rPr>
        <w:t xml:space="preserve"> ženy nad muži (tvořily</w:t>
      </w:r>
      <w:r w:rsidRPr="008A014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67,5 %</w:t>
      </w:r>
      <w:r w:rsidRPr="008A014E">
        <w:rPr>
          <w:rFonts w:cs="Arial"/>
          <w:szCs w:val="20"/>
        </w:rPr>
        <w:t xml:space="preserve">), a to ve větší míře, než jak </w:t>
      </w:r>
      <w:r>
        <w:rPr>
          <w:rFonts w:cs="Arial"/>
          <w:szCs w:val="20"/>
        </w:rPr>
        <w:t>tomu bylo u </w:t>
      </w:r>
      <w:r w:rsidRPr="008A014E">
        <w:rPr>
          <w:rFonts w:cs="Arial"/>
          <w:szCs w:val="20"/>
        </w:rPr>
        <w:t>středních škol (zde tvořily tři pětiny). Podíl žen mezi učiteli má přitom se zvyšující se úrovní vzdělávání tendenci spíše klesat.</w:t>
      </w:r>
      <w:r>
        <w:rPr>
          <w:rFonts w:cs="Arial"/>
          <w:szCs w:val="20"/>
        </w:rPr>
        <w:t xml:space="preserve"> Nejen u genderového složení studentů, ale též učitelů tak pravděpodobně hraje roli relativně větší zastoupení oborů typických pro ženy ve vyšších odborných školách.</w:t>
      </w:r>
    </w:p>
    <w:p w14:paraId="0B23BAC9" w14:textId="486A22FF" w:rsidR="0080256A" w:rsidRDefault="0080256A" w:rsidP="0080256A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5210E6">
        <w:rPr>
          <w:rFonts w:cs="Arial"/>
          <w:szCs w:val="20"/>
        </w:rPr>
        <w:t xml:space="preserve">odíl </w:t>
      </w:r>
      <w:r w:rsidRPr="008C5E8B">
        <w:rPr>
          <w:rFonts w:cs="Arial"/>
          <w:b/>
          <w:szCs w:val="20"/>
        </w:rPr>
        <w:t>cizinců</w:t>
      </w:r>
      <w:r w:rsidRPr="005210E6">
        <w:rPr>
          <w:rFonts w:cs="Arial"/>
          <w:szCs w:val="20"/>
        </w:rPr>
        <w:t xml:space="preserve"> mezi studenty vyšších odbo</w:t>
      </w:r>
      <w:r>
        <w:rPr>
          <w:rFonts w:cs="Arial"/>
          <w:szCs w:val="20"/>
        </w:rPr>
        <w:t>rných škol v čase stoupal ze 1,8 % ve školním roce 2012</w:t>
      </w:r>
      <w:r w:rsidRPr="005210E6">
        <w:rPr>
          <w:rFonts w:cs="Arial"/>
          <w:szCs w:val="20"/>
        </w:rPr>
        <w:t>/</w:t>
      </w:r>
      <w:r>
        <w:rPr>
          <w:rFonts w:cs="Arial"/>
          <w:szCs w:val="20"/>
        </w:rPr>
        <w:t>13</w:t>
      </w:r>
      <w:r w:rsidRPr="005210E6">
        <w:rPr>
          <w:rFonts w:cs="Arial"/>
          <w:szCs w:val="20"/>
        </w:rPr>
        <w:t xml:space="preserve"> na 4,1 % ve školním roce 2019/20</w:t>
      </w:r>
      <w:r>
        <w:rPr>
          <w:rFonts w:cs="Arial"/>
          <w:szCs w:val="20"/>
        </w:rPr>
        <w:t>, během dalších dvou školních roků o půl procentního bodu klesl na 3,6 % a v posledním školním roce se nepatrně zvýšil na 3,7%.</w:t>
      </w:r>
      <w:r w:rsidR="00897B42">
        <w:rPr>
          <w:rFonts w:cs="Arial"/>
          <w:szCs w:val="20"/>
        </w:rPr>
        <w:t xml:space="preserve"> Ze všech cizinců tvořili </w:t>
      </w:r>
      <w:r w:rsidR="00375265">
        <w:rPr>
          <w:rFonts w:cs="Arial"/>
          <w:szCs w:val="20"/>
        </w:rPr>
        <w:t xml:space="preserve">ve školním roce 2022/23 </w:t>
      </w:r>
      <w:r w:rsidR="00897B42">
        <w:rPr>
          <w:rFonts w:cs="Arial"/>
          <w:szCs w:val="20"/>
        </w:rPr>
        <w:t>dvě pětiny Slováci (38,7 %), dalších 28,2 % Ukrajinci a 16,3 % Rusové. Vietnamců byla mezi studenty</w:t>
      </w:r>
      <w:r w:rsidR="00E13D22">
        <w:rPr>
          <w:rFonts w:cs="Arial"/>
          <w:szCs w:val="20"/>
        </w:rPr>
        <w:t xml:space="preserve"> cizí státní příslušnosti na</w:t>
      </w:r>
      <w:r w:rsidR="00897B42">
        <w:rPr>
          <w:rFonts w:cs="Arial"/>
          <w:szCs w:val="20"/>
        </w:rPr>
        <w:t xml:space="preserve"> vyšších odborných škol</w:t>
      </w:r>
      <w:r w:rsidR="00E13D22">
        <w:rPr>
          <w:rFonts w:cs="Arial"/>
          <w:szCs w:val="20"/>
        </w:rPr>
        <w:t>ách</w:t>
      </w:r>
      <w:r w:rsidR="00897B42">
        <w:rPr>
          <w:rFonts w:cs="Arial"/>
          <w:szCs w:val="20"/>
        </w:rPr>
        <w:t xml:space="preserve"> 3,1 %.</w:t>
      </w:r>
    </w:p>
    <w:p w14:paraId="50BC5CEE" w14:textId="0931C15E" w:rsidR="00352AAE" w:rsidRPr="00C0004D" w:rsidRDefault="0080256A" w:rsidP="00C0004D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Pokud jde o </w:t>
      </w:r>
      <w:r w:rsidRPr="00B86D8B">
        <w:rPr>
          <w:rFonts w:cs="Arial"/>
          <w:b/>
          <w:szCs w:val="20"/>
        </w:rPr>
        <w:t>věkové složení</w:t>
      </w:r>
      <w:r w:rsidRPr="008A014E">
        <w:rPr>
          <w:rFonts w:cs="Arial"/>
          <w:szCs w:val="20"/>
        </w:rPr>
        <w:t xml:space="preserve"> studentů vyšších odborných škol</w:t>
      </w:r>
      <w:r>
        <w:rPr>
          <w:rFonts w:cs="Arial"/>
          <w:szCs w:val="20"/>
        </w:rPr>
        <w:t>,</w:t>
      </w:r>
      <w:r w:rsidRPr="008A014E">
        <w:rPr>
          <w:rFonts w:cs="Arial"/>
          <w:szCs w:val="20"/>
        </w:rPr>
        <w:t xml:space="preserve"> b</w:t>
      </w:r>
      <w:r>
        <w:rPr>
          <w:rFonts w:cs="Arial"/>
          <w:szCs w:val="20"/>
        </w:rPr>
        <w:t>ylo poměrně pestré a zahrnuje 32</w:t>
      </w:r>
      <w:r w:rsidRPr="008A014E">
        <w:rPr>
          <w:rFonts w:cs="Arial"/>
          <w:szCs w:val="20"/>
        </w:rPr>
        <w:t xml:space="preserve"> studentů</w:t>
      </w:r>
      <w:r w:rsidR="00F710DF">
        <w:rPr>
          <w:rFonts w:cs="Arial"/>
          <w:szCs w:val="20"/>
        </w:rPr>
        <w:t xml:space="preserve"> (0,2 %)</w:t>
      </w:r>
      <w:r w:rsidRPr="008A014E">
        <w:rPr>
          <w:rFonts w:cs="Arial"/>
          <w:szCs w:val="20"/>
        </w:rPr>
        <w:t>, kterým bylo 18 let a méně (tedy ve věku, který není typický pro osoby s ukončeným středoškol</w:t>
      </w:r>
      <w:r>
        <w:rPr>
          <w:rFonts w:cs="Arial"/>
          <w:szCs w:val="20"/>
        </w:rPr>
        <w:t>ským vzděláním) a naopak 32,4 %</w:t>
      </w:r>
      <w:r w:rsidRPr="008A014E">
        <w:rPr>
          <w:rFonts w:cs="Arial"/>
          <w:szCs w:val="20"/>
        </w:rPr>
        <w:t xml:space="preserve"> studentů ve věkové skupině 25 let a více, která již není pro účast v bakalářské a jí odpovídající úrovni studia </w:t>
      </w:r>
      <w:r>
        <w:rPr>
          <w:rFonts w:cs="Arial"/>
          <w:szCs w:val="20"/>
        </w:rPr>
        <w:t xml:space="preserve">tak </w:t>
      </w:r>
      <w:r w:rsidRPr="00010A21">
        <w:rPr>
          <w:rFonts w:cs="Arial"/>
          <w:szCs w:val="20"/>
        </w:rPr>
        <w:t>obvyklá. Desetina studentů byla dokonce ve věku 40 let a více. Lze předpokládat, že starší studenti již pracují a potřebují si dodělat potřebnou kvalifikaci,</w:t>
      </w:r>
      <w:r w:rsidRPr="008A014E">
        <w:rPr>
          <w:rFonts w:cs="Arial"/>
          <w:szCs w:val="20"/>
        </w:rPr>
        <w:t xml:space="preserve"> zejména je-li dána zákonem</w:t>
      </w:r>
      <w:r>
        <w:rPr>
          <w:rFonts w:cs="Arial"/>
          <w:szCs w:val="20"/>
        </w:rPr>
        <w:t>, popř. se rekvalifikují před změnou profese. S tím souvisí i </w:t>
      </w:r>
      <w:r w:rsidRPr="008A014E">
        <w:rPr>
          <w:rFonts w:cs="Arial"/>
          <w:szCs w:val="20"/>
        </w:rPr>
        <w:t>zjištění, že zatímco mezi studenty v denní for</w:t>
      </w:r>
      <w:r>
        <w:rPr>
          <w:rFonts w:cs="Arial"/>
          <w:szCs w:val="20"/>
        </w:rPr>
        <w:t>mě vzdělávání bylo zahrnuto 92,6 </w:t>
      </w:r>
      <w:r w:rsidRPr="008A014E">
        <w:rPr>
          <w:rFonts w:cs="Arial"/>
          <w:szCs w:val="20"/>
        </w:rPr>
        <w:t>% studentů ve věku do 24 let, mezi studujícími jinou formou vzd</w:t>
      </w:r>
      <w:r>
        <w:rPr>
          <w:rFonts w:cs="Arial"/>
          <w:szCs w:val="20"/>
        </w:rPr>
        <w:t>ělávání činil tento podíl jen 26,9</w:t>
      </w:r>
      <w:r w:rsidRPr="008A014E">
        <w:rPr>
          <w:rFonts w:cs="Arial"/>
          <w:szCs w:val="20"/>
        </w:rPr>
        <w:t xml:space="preserve"> % a téměř tři čtvrtiny </w:t>
      </w:r>
      <w:r>
        <w:rPr>
          <w:rFonts w:cs="Arial"/>
          <w:szCs w:val="20"/>
        </w:rPr>
        <w:t xml:space="preserve">(73,1 %) </w:t>
      </w:r>
      <w:r w:rsidRPr="008A014E">
        <w:rPr>
          <w:rFonts w:cs="Arial"/>
          <w:szCs w:val="20"/>
        </w:rPr>
        <w:t>těchto studentů již byly ve věku 25 let a více.</w:t>
      </w:r>
      <w:bookmarkStart w:id="3" w:name="_Toc142467797"/>
    </w:p>
    <w:p w14:paraId="7E1DEA46" w14:textId="7EA4E9F8" w:rsidR="0080256A" w:rsidRDefault="0080256A" w:rsidP="0080256A">
      <w:pPr>
        <w:pStyle w:val="Nadpis2"/>
        <w:spacing w:after="120"/>
      </w:pPr>
      <w:r>
        <w:lastRenderedPageBreak/>
        <w:t>Analýza</w:t>
      </w:r>
      <w:bookmarkEnd w:id="3"/>
    </w:p>
    <w:p w14:paraId="55AEF003" w14:textId="77777777" w:rsidR="0080256A" w:rsidRPr="0080256A" w:rsidRDefault="0080256A" w:rsidP="0080256A">
      <w:pPr>
        <w:spacing w:after="0"/>
      </w:pPr>
    </w:p>
    <w:p w14:paraId="2943CAFD" w14:textId="77777777" w:rsidR="00FA7769" w:rsidRPr="00BB5AA1" w:rsidRDefault="00FA7769" w:rsidP="00FA7769">
      <w:pPr>
        <w:tabs>
          <w:tab w:val="left" w:pos="0"/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jc w:val="both"/>
        <w:rPr>
          <w:rFonts w:cs="Arial"/>
          <w:szCs w:val="20"/>
        </w:rPr>
      </w:pPr>
      <w:r w:rsidRPr="00BB5AA1">
        <w:rPr>
          <w:rFonts w:cs="Arial"/>
          <w:szCs w:val="20"/>
        </w:rPr>
        <w:t>Vyšší odborné školy patří spolu s vysokými školami do tzv. terciárního vzdělávání a v mezinárodní klasifikaci ISCED 2011 spadají do úrovně 6 (bakalářská a jí odpovídající úroveň)</w:t>
      </w:r>
      <w:r w:rsidRPr="00BB5AA1">
        <w:rPr>
          <w:rStyle w:val="Znakapoznpodarou"/>
          <w:rFonts w:cs="Arial"/>
          <w:szCs w:val="20"/>
        </w:rPr>
        <w:footnoteReference w:id="1"/>
      </w:r>
      <w:r w:rsidRPr="00BB5AA1">
        <w:rPr>
          <w:rFonts w:cs="Arial"/>
          <w:szCs w:val="20"/>
        </w:rPr>
        <w:t>. Předpokladem pro vstup do terciárního vzdělávání je úspěšné složení maturitní zkoušky na střední škole. Absolventi vyššího odborného vzdělávání získávají titul diplomovaný specialista (</w:t>
      </w:r>
      <w:proofErr w:type="spellStart"/>
      <w:r w:rsidRPr="00BB5AA1">
        <w:rPr>
          <w:rFonts w:cs="Arial"/>
          <w:szCs w:val="20"/>
        </w:rPr>
        <w:t>DiS</w:t>
      </w:r>
      <w:proofErr w:type="spellEnd"/>
      <w:r w:rsidRPr="00BB5AA1">
        <w:rPr>
          <w:rFonts w:cs="Arial"/>
          <w:szCs w:val="20"/>
        </w:rPr>
        <w:t>.)</w:t>
      </w:r>
    </w:p>
    <w:p w14:paraId="28CF0B9A" w14:textId="7C376FCA" w:rsidR="00FA7769" w:rsidRPr="00BB5AA1" w:rsidRDefault="00FA7769" w:rsidP="00FA7769">
      <w:pPr>
        <w:spacing w:after="120"/>
        <w:jc w:val="both"/>
        <w:rPr>
          <w:rFonts w:cs="Arial"/>
          <w:szCs w:val="20"/>
        </w:rPr>
      </w:pPr>
      <w:r w:rsidRPr="00BB5AA1">
        <w:rPr>
          <w:rFonts w:cs="Arial"/>
          <w:szCs w:val="20"/>
        </w:rPr>
        <w:t>Ve vyšších odborných</w:t>
      </w:r>
      <w:r w:rsidR="00C81F13">
        <w:rPr>
          <w:rFonts w:cs="Arial"/>
          <w:szCs w:val="20"/>
        </w:rPr>
        <w:t xml:space="preserve"> školách se ve školním roce 2022/23</w:t>
      </w:r>
      <w:r w:rsidRPr="00BB5AA1">
        <w:rPr>
          <w:rFonts w:cs="Arial"/>
          <w:szCs w:val="20"/>
        </w:rPr>
        <w:t xml:space="preserve"> vzdělávalo celkem </w:t>
      </w:r>
      <w:r w:rsidR="00BC5BC4" w:rsidRPr="00BC5BC4">
        <w:rPr>
          <w:rFonts w:cs="Arial"/>
          <w:szCs w:val="20"/>
        </w:rPr>
        <w:t>20</w:t>
      </w:r>
      <w:r w:rsidR="00BC5BC4">
        <w:rPr>
          <w:rFonts w:cs="Arial"/>
          <w:szCs w:val="20"/>
        </w:rPr>
        <w:t> </w:t>
      </w:r>
      <w:r w:rsidR="00C81F13">
        <w:rPr>
          <w:rFonts w:cs="Arial"/>
          <w:szCs w:val="20"/>
        </w:rPr>
        <w:t>639</w:t>
      </w:r>
      <w:r w:rsidR="00BC5BC4">
        <w:rPr>
          <w:rFonts w:cs="Arial"/>
          <w:szCs w:val="20"/>
        </w:rPr>
        <w:t xml:space="preserve"> </w:t>
      </w:r>
      <w:r w:rsidR="007078E1">
        <w:rPr>
          <w:rFonts w:cs="Arial"/>
          <w:szCs w:val="20"/>
        </w:rPr>
        <w:t>s</w:t>
      </w:r>
      <w:r w:rsidR="00C81F13">
        <w:rPr>
          <w:rFonts w:cs="Arial"/>
          <w:szCs w:val="20"/>
        </w:rPr>
        <w:t xml:space="preserve">tudentů, a sice </w:t>
      </w:r>
      <w:proofErr w:type="gramStart"/>
      <w:r w:rsidR="00C81F13">
        <w:rPr>
          <w:rFonts w:cs="Arial"/>
          <w:szCs w:val="20"/>
        </w:rPr>
        <w:t>ve 150</w:t>
      </w:r>
      <w:proofErr w:type="gramEnd"/>
      <w:r w:rsidR="00BC5BC4">
        <w:rPr>
          <w:rFonts w:cs="Arial"/>
          <w:szCs w:val="20"/>
        </w:rPr>
        <w:t xml:space="preserve"> školách</w:t>
      </w:r>
      <w:r w:rsidR="00BF4B10">
        <w:rPr>
          <w:rStyle w:val="Znakapoznpodarou"/>
          <w:rFonts w:cs="Arial"/>
          <w:szCs w:val="20"/>
        </w:rPr>
        <w:footnoteReference w:id="2"/>
      </w:r>
      <w:r w:rsidR="00BC5BC4">
        <w:rPr>
          <w:rFonts w:cs="Arial"/>
          <w:szCs w:val="20"/>
        </w:rPr>
        <w:t xml:space="preserve">. </w:t>
      </w:r>
      <w:r w:rsidR="007E37D3">
        <w:rPr>
          <w:rFonts w:cs="Arial"/>
          <w:szCs w:val="20"/>
        </w:rPr>
        <w:t>Tři pětiny (61</w:t>
      </w:r>
      <w:r w:rsidR="00C81F13">
        <w:rPr>
          <w:rFonts w:cs="Arial"/>
          <w:szCs w:val="20"/>
        </w:rPr>
        <w:t>,0</w:t>
      </w:r>
      <w:r w:rsidRPr="00BB5AA1">
        <w:rPr>
          <w:rFonts w:cs="Arial"/>
          <w:szCs w:val="20"/>
        </w:rPr>
        <w:t> %</w:t>
      </w:r>
      <w:r w:rsidR="002A411C">
        <w:rPr>
          <w:rFonts w:cs="Arial"/>
          <w:szCs w:val="20"/>
        </w:rPr>
        <w:t>) se jich vzdělávaly</w:t>
      </w:r>
      <w:r w:rsidRPr="00BB5AA1">
        <w:rPr>
          <w:rFonts w:cs="Arial"/>
          <w:szCs w:val="20"/>
        </w:rPr>
        <w:t xml:space="preserve"> ve školách veřejného zřizovatele, </w:t>
      </w:r>
      <w:r w:rsidR="00D310D1">
        <w:rPr>
          <w:rFonts w:cs="Arial"/>
          <w:szCs w:val="20"/>
        </w:rPr>
        <w:t>necelá třetina</w:t>
      </w:r>
      <w:r w:rsidRPr="00BB5AA1">
        <w:rPr>
          <w:rFonts w:cs="Arial"/>
          <w:szCs w:val="20"/>
        </w:rPr>
        <w:t xml:space="preserve"> ve školách soukromých </w:t>
      </w:r>
      <w:r w:rsidR="00D310D1">
        <w:rPr>
          <w:rFonts w:cs="Arial"/>
          <w:szCs w:val="20"/>
        </w:rPr>
        <w:t>(31,6 %) a 7,3</w:t>
      </w:r>
      <w:r w:rsidR="00631A36">
        <w:rPr>
          <w:rFonts w:cs="Arial"/>
          <w:szCs w:val="20"/>
        </w:rPr>
        <w:t xml:space="preserve"> % ve školách církevních. </w:t>
      </w:r>
      <w:r w:rsidR="002A411C">
        <w:rPr>
          <w:rFonts w:cs="Arial"/>
          <w:szCs w:val="20"/>
        </w:rPr>
        <w:t>Zhruba tři pětiny studentů (61,</w:t>
      </w:r>
      <w:r w:rsidR="00D310D1">
        <w:rPr>
          <w:rFonts w:cs="Arial"/>
          <w:szCs w:val="20"/>
        </w:rPr>
        <w:t>9</w:t>
      </w:r>
      <w:r w:rsidR="00D91B71" w:rsidRPr="00BB5AA1">
        <w:rPr>
          <w:rFonts w:cs="Arial"/>
          <w:szCs w:val="20"/>
        </w:rPr>
        <w:t xml:space="preserve"> </w:t>
      </w:r>
      <w:r w:rsidRPr="00BB5AA1">
        <w:rPr>
          <w:rFonts w:cs="Arial"/>
          <w:szCs w:val="20"/>
        </w:rPr>
        <w:t xml:space="preserve">%) se vzdělávaly denní formou vzdělávání a dvě pětiny jinou formou </w:t>
      </w:r>
      <w:r w:rsidR="00D310D1">
        <w:rPr>
          <w:rFonts w:cs="Arial"/>
          <w:szCs w:val="20"/>
        </w:rPr>
        <w:t>(38,1</w:t>
      </w:r>
      <w:r w:rsidRPr="00BB5AA1">
        <w:rPr>
          <w:rFonts w:cs="Arial"/>
          <w:szCs w:val="20"/>
        </w:rPr>
        <w:t xml:space="preserve"> %). </w:t>
      </w:r>
    </w:p>
    <w:p w14:paraId="29FCD58F" w14:textId="2B9FF2B8" w:rsidR="00FA7769" w:rsidRPr="008B57CF" w:rsidRDefault="00FA7769" w:rsidP="00FA7769">
      <w:pPr>
        <w:spacing w:after="120"/>
        <w:jc w:val="both"/>
      </w:pPr>
      <w:r w:rsidRPr="00BB5AA1">
        <w:rPr>
          <w:rFonts w:cs="Arial"/>
          <w:szCs w:val="20"/>
        </w:rPr>
        <w:t>Na jeden plný úvazek učitele připadalo ve ško</w:t>
      </w:r>
      <w:r w:rsidR="001F7BB8">
        <w:rPr>
          <w:rFonts w:cs="Arial"/>
          <w:szCs w:val="20"/>
        </w:rPr>
        <w:t>lním roce 2022/23 v průměru 16,1</w:t>
      </w:r>
      <w:r w:rsidRPr="00BB5AA1">
        <w:rPr>
          <w:rFonts w:cs="Arial"/>
          <w:szCs w:val="20"/>
        </w:rPr>
        <w:t xml:space="preserve"> studenta. Přitom ve školách s veřejným zřizovatelem připadalo na jednoho uč</w:t>
      </w:r>
      <w:r w:rsidR="004C048E">
        <w:rPr>
          <w:rFonts w:cs="Arial"/>
          <w:szCs w:val="20"/>
        </w:rPr>
        <w:t xml:space="preserve">itele </w:t>
      </w:r>
      <w:r w:rsidR="008B57CF">
        <w:rPr>
          <w:rFonts w:cs="Arial"/>
          <w:szCs w:val="20"/>
        </w:rPr>
        <w:t>méně</w:t>
      </w:r>
      <w:r w:rsidR="00BC650D">
        <w:rPr>
          <w:rFonts w:cs="Arial"/>
          <w:szCs w:val="20"/>
        </w:rPr>
        <w:t xml:space="preserve"> studentů (v průměru 15</w:t>
      </w:r>
      <w:r w:rsidR="001F7BB8">
        <w:rPr>
          <w:rFonts w:cs="Arial"/>
          <w:szCs w:val="20"/>
        </w:rPr>
        <w:t>,0</w:t>
      </w:r>
      <w:r w:rsidRPr="00BB5AA1">
        <w:rPr>
          <w:rFonts w:cs="Arial"/>
          <w:szCs w:val="20"/>
        </w:rPr>
        <w:t xml:space="preserve">), než jak tomu bylo ve školách </w:t>
      </w:r>
      <w:r w:rsidR="004C048E" w:rsidRPr="001F7BB8">
        <w:rPr>
          <w:rFonts w:cs="Arial"/>
          <w:szCs w:val="20"/>
        </w:rPr>
        <w:t>s</w:t>
      </w:r>
      <w:r w:rsidRPr="001F7BB8">
        <w:rPr>
          <w:rFonts w:cs="Arial"/>
          <w:szCs w:val="20"/>
        </w:rPr>
        <w:t xml:space="preserve"> církevním zřizovatelem</w:t>
      </w:r>
      <w:r w:rsidRPr="00BB5AA1">
        <w:rPr>
          <w:rFonts w:cs="Arial"/>
          <w:szCs w:val="20"/>
        </w:rPr>
        <w:t xml:space="preserve"> (</w:t>
      </w:r>
      <w:r w:rsidR="001F7BB8">
        <w:rPr>
          <w:rFonts w:cs="Arial"/>
          <w:szCs w:val="20"/>
        </w:rPr>
        <w:t>18,9</w:t>
      </w:r>
      <w:r w:rsidRPr="00BB5AA1">
        <w:rPr>
          <w:rFonts w:cs="Arial"/>
          <w:szCs w:val="20"/>
        </w:rPr>
        <w:t xml:space="preserve"> studenta)</w:t>
      </w:r>
      <w:r w:rsidR="00BC650D">
        <w:rPr>
          <w:rFonts w:cs="Arial"/>
          <w:szCs w:val="20"/>
        </w:rPr>
        <w:t xml:space="preserve"> i ve školách se soukromým zřizov</w:t>
      </w:r>
      <w:r w:rsidR="001F7BB8">
        <w:rPr>
          <w:rFonts w:cs="Arial"/>
          <w:szCs w:val="20"/>
        </w:rPr>
        <w:t>atelem (18,2</w:t>
      </w:r>
      <w:r w:rsidR="00BC650D">
        <w:rPr>
          <w:rFonts w:cs="Arial"/>
          <w:szCs w:val="20"/>
        </w:rPr>
        <w:t xml:space="preserve">) </w:t>
      </w:r>
      <w:r w:rsidRPr="00BB5AA1">
        <w:rPr>
          <w:rFonts w:cs="Arial"/>
          <w:szCs w:val="20"/>
        </w:rPr>
        <w:t xml:space="preserve">– viz tabulku </w:t>
      </w:r>
      <w:r>
        <w:rPr>
          <w:rFonts w:cs="Arial"/>
          <w:szCs w:val="20"/>
        </w:rPr>
        <w:t>5.</w:t>
      </w:r>
      <w:r w:rsidRPr="00BB5AA1">
        <w:rPr>
          <w:rFonts w:cs="Arial"/>
          <w:szCs w:val="20"/>
        </w:rPr>
        <w:t xml:space="preserve">1. </w:t>
      </w:r>
      <w:r w:rsidRPr="00CD067E">
        <w:rPr>
          <w:rFonts w:cs="Arial"/>
          <w:szCs w:val="20"/>
        </w:rPr>
        <w:t>Pokud se</w:t>
      </w:r>
      <w:r w:rsidR="001F7BB8">
        <w:rPr>
          <w:rFonts w:cs="Arial"/>
          <w:szCs w:val="20"/>
        </w:rPr>
        <w:t xml:space="preserve"> jedná o genderové složení, 67,5</w:t>
      </w:r>
      <w:r w:rsidRPr="00CD067E">
        <w:rPr>
          <w:rFonts w:cs="Arial"/>
          <w:szCs w:val="20"/>
        </w:rPr>
        <w:t> % ze všech plných úvazků uči</w:t>
      </w:r>
      <w:r w:rsidR="006E32A1">
        <w:rPr>
          <w:rFonts w:cs="Arial"/>
          <w:szCs w:val="20"/>
        </w:rPr>
        <w:t>telů zaujímaly ženy. Jedná se o </w:t>
      </w:r>
      <w:r w:rsidRPr="00CD067E">
        <w:rPr>
          <w:rFonts w:cs="Arial"/>
          <w:szCs w:val="20"/>
        </w:rPr>
        <w:t xml:space="preserve">vyšší podíl, než jaký </w:t>
      </w:r>
      <w:r w:rsidR="00CD067E" w:rsidRPr="00CD067E">
        <w:rPr>
          <w:rFonts w:cs="Arial"/>
          <w:szCs w:val="20"/>
        </w:rPr>
        <w:t xml:space="preserve">byl zjištěn u </w:t>
      </w:r>
      <w:r w:rsidR="00CD067E" w:rsidRPr="00C9584A">
        <w:rPr>
          <w:rFonts w:cs="Arial"/>
          <w:szCs w:val="20"/>
        </w:rPr>
        <w:t>konzervatoří</w:t>
      </w:r>
      <w:r w:rsidR="00C9584A" w:rsidRPr="00C9584A">
        <w:rPr>
          <w:rFonts w:cs="Arial"/>
          <w:szCs w:val="20"/>
        </w:rPr>
        <w:t xml:space="preserve"> (49,8 %) i středních škol (59,9</w:t>
      </w:r>
      <w:r w:rsidRPr="00C9584A">
        <w:rPr>
          <w:rFonts w:cs="Arial"/>
          <w:szCs w:val="20"/>
        </w:rPr>
        <w:t xml:space="preserve"> %). </w:t>
      </w:r>
      <w:r w:rsidR="00F21AE9" w:rsidRPr="00C9584A">
        <w:rPr>
          <w:rFonts w:cs="Arial"/>
          <w:szCs w:val="20"/>
        </w:rPr>
        <w:t>V základních</w:t>
      </w:r>
      <w:r w:rsidR="00F21AE9">
        <w:rPr>
          <w:rFonts w:cs="Arial"/>
          <w:szCs w:val="20"/>
        </w:rPr>
        <w:t xml:space="preserve"> a mateřských škol</w:t>
      </w:r>
      <w:r w:rsidR="00441212">
        <w:rPr>
          <w:rFonts w:cs="Arial"/>
          <w:szCs w:val="20"/>
        </w:rPr>
        <w:t>ách</w:t>
      </w:r>
      <w:r w:rsidR="00F21AE9">
        <w:rPr>
          <w:rFonts w:cs="Arial"/>
          <w:szCs w:val="20"/>
        </w:rPr>
        <w:t xml:space="preserve"> byl však ještě vyšší</w:t>
      </w:r>
      <w:r w:rsidR="00C9584A">
        <w:rPr>
          <w:rFonts w:cs="Arial"/>
          <w:szCs w:val="20"/>
        </w:rPr>
        <w:t xml:space="preserve"> (83,7%, resp. 99,3 %)</w:t>
      </w:r>
      <w:r w:rsidR="00F21AE9">
        <w:rPr>
          <w:rFonts w:cs="Arial"/>
          <w:szCs w:val="20"/>
        </w:rPr>
        <w:t>.</w:t>
      </w:r>
    </w:p>
    <w:p w14:paraId="72398AA4" w14:textId="3D097DD8" w:rsidR="00CD067E" w:rsidRDefault="00FA7769" w:rsidP="004122AC">
      <w:pPr>
        <w:keepNext/>
        <w:spacing w:after="120" w:line="240" w:lineRule="auto"/>
        <w:rPr>
          <w:b/>
        </w:rPr>
      </w:pPr>
      <w:r w:rsidRPr="006E32A1">
        <w:rPr>
          <w:b/>
        </w:rPr>
        <w:t>Tab. 5.1</w:t>
      </w:r>
      <w:r w:rsidRPr="006E32A1">
        <w:t xml:space="preserve"> </w:t>
      </w:r>
      <w:r w:rsidR="00631A36">
        <w:rPr>
          <w:b/>
        </w:rPr>
        <w:t xml:space="preserve">Vyšší odborné školy </w:t>
      </w:r>
      <w:r w:rsidRPr="006E32A1">
        <w:rPr>
          <w:b/>
        </w:rPr>
        <w:t>- počet škol, studentů a učitelů celk</w:t>
      </w:r>
      <w:r w:rsidR="0069693B">
        <w:rPr>
          <w:b/>
        </w:rPr>
        <w:t>em a dle zřizovatele školy (2022/23</w:t>
      </w:r>
      <w:r w:rsidRPr="006E32A1">
        <w:rPr>
          <w:b/>
        </w:rPr>
        <w:t>)</w:t>
      </w:r>
    </w:p>
    <w:tbl>
      <w:tblPr>
        <w:tblW w:w="91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233"/>
        <w:gridCol w:w="1318"/>
        <w:gridCol w:w="1082"/>
        <w:gridCol w:w="1186"/>
        <w:gridCol w:w="1214"/>
        <w:gridCol w:w="960"/>
      </w:tblGrid>
      <w:tr w:rsidR="006E32A1" w:rsidRPr="006E32A1" w14:paraId="25DF3B0E" w14:textId="77777777" w:rsidTr="006E32A1">
        <w:trPr>
          <w:trHeight w:val="3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016CA0E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zřizovatel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755238E6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školy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6E5DCA23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studenti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14:paraId="1F2080DA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učitelé</w:t>
            </w:r>
            <w:r w:rsidRPr="006E32A1">
              <w:rPr>
                <w:rFonts w:cs="Arial"/>
                <w:color w:val="FFFFFF"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3CFBE078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studentů na 1 učitele</w:t>
            </w:r>
          </w:p>
        </w:tc>
      </w:tr>
      <w:tr w:rsidR="006E32A1" w:rsidRPr="006E32A1" w14:paraId="4B421B67" w14:textId="77777777" w:rsidTr="006E32A1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94B4B" w14:textId="77777777" w:rsidR="006E32A1" w:rsidRPr="006E32A1" w:rsidRDefault="006E32A1" w:rsidP="004122AC">
            <w:pPr>
              <w:keepNext/>
              <w:spacing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33FA79D4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2B207DFA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88DAFFF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0EA58AC1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7FC8BBAB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000000"/>
                <w:sz w:val="16"/>
                <w:szCs w:val="16"/>
              </w:rPr>
              <w:t>Abs.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52D479BE" w14:textId="77777777" w:rsidR="006E32A1" w:rsidRPr="006E32A1" w:rsidRDefault="006E32A1" w:rsidP="004122AC">
            <w:pPr>
              <w:keepNext/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F5A25" w14:textId="77777777" w:rsidR="006E32A1" w:rsidRPr="006E32A1" w:rsidRDefault="006E32A1" w:rsidP="004122AC">
            <w:pPr>
              <w:keepNext/>
              <w:spacing w:after="0" w:line="240" w:lineRule="auto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69693B" w:rsidRPr="006E32A1" w14:paraId="5D8760FA" w14:textId="77777777" w:rsidTr="0069693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0FB7" w14:textId="77777777" w:rsidR="0069693B" w:rsidRPr="006E32A1" w:rsidRDefault="0069693B" w:rsidP="0069693B">
            <w:pPr>
              <w:keepNext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color w:val="000000"/>
                <w:sz w:val="16"/>
                <w:szCs w:val="16"/>
              </w:rPr>
              <w:t>veřejný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BC65" w14:textId="7139AF1F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2B29" w14:textId="632F5715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66,7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8DC6" w14:textId="465C3C50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12</w:t>
            </w:r>
            <w:r w:rsidR="007E37D3">
              <w:rPr>
                <w:sz w:val="16"/>
                <w:szCs w:val="16"/>
              </w:rPr>
              <w:t> </w:t>
            </w:r>
            <w:r w:rsidRPr="0069693B">
              <w:rPr>
                <w:sz w:val="16"/>
                <w:szCs w:val="16"/>
              </w:rPr>
              <w:t>600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C284" w14:textId="12202632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61,0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16C6" w14:textId="4016F788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842,7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7515" w14:textId="6E03B9DD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color w:val="000000"/>
                <w:sz w:val="16"/>
                <w:szCs w:val="16"/>
              </w:rPr>
            </w:pPr>
            <w:r w:rsidRPr="00D74CAF">
              <w:rPr>
                <w:rFonts w:cs="Arial"/>
                <w:i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8797" w14:textId="739CF664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15,0</w:t>
            </w:r>
          </w:p>
        </w:tc>
      </w:tr>
      <w:tr w:rsidR="0069693B" w:rsidRPr="006E32A1" w14:paraId="5332BB36" w14:textId="77777777" w:rsidTr="0069693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4EB5" w14:textId="77777777" w:rsidR="0069693B" w:rsidRPr="006E32A1" w:rsidRDefault="0069693B" w:rsidP="0069693B">
            <w:pPr>
              <w:keepNext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color w:val="000000"/>
                <w:sz w:val="16"/>
                <w:szCs w:val="16"/>
              </w:rPr>
              <w:t>soukromý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4134" w14:textId="77777777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A64B9" w14:textId="0DBE4D4B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27,3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D85D" w14:textId="7512C585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6</w:t>
            </w:r>
            <w:r w:rsidR="007E37D3">
              <w:rPr>
                <w:sz w:val="16"/>
                <w:szCs w:val="16"/>
              </w:rPr>
              <w:t> </w:t>
            </w:r>
            <w:r w:rsidRPr="0069693B">
              <w:rPr>
                <w:sz w:val="16"/>
                <w:szCs w:val="16"/>
              </w:rPr>
              <w:t>523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2260" w14:textId="43FB7D82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31,6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BEB9" w14:textId="40511A1A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357,9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B72C" w14:textId="33073FB4" w:rsidR="0069693B" w:rsidRPr="00D74CAF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i/>
                <w:color w:val="000000"/>
                <w:sz w:val="16"/>
                <w:szCs w:val="16"/>
              </w:rPr>
            </w:pPr>
            <w:r w:rsidRPr="00D74CAF">
              <w:rPr>
                <w:rFonts w:cs="Arial"/>
                <w:i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BF1F" w14:textId="4E7D7A7E" w:rsidR="0069693B" w:rsidRPr="0069693B" w:rsidRDefault="0069693B" w:rsidP="0069693B">
            <w:pPr>
              <w:keepNext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18,2</w:t>
            </w:r>
          </w:p>
        </w:tc>
      </w:tr>
      <w:tr w:rsidR="0069693B" w:rsidRPr="006E32A1" w14:paraId="6638A0A2" w14:textId="77777777" w:rsidTr="0069693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F43C" w14:textId="77777777" w:rsidR="0069693B" w:rsidRPr="006E32A1" w:rsidRDefault="0069693B" w:rsidP="0069693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Cs/>
                <w:color w:val="000000"/>
                <w:sz w:val="16"/>
                <w:szCs w:val="16"/>
              </w:rPr>
              <w:t>církevní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9808" w14:textId="77777777" w:rsidR="0069693B" w:rsidRPr="0069693B" w:rsidRDefault="0069693B" w:rsidP="0069693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5CE0" w14:textId="3D118C21" w:rsidR="0069693B" w:rsidRPr="00D74CAF" w:rsidRDefault="0069693B" w:rsidP="0069693B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6,0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BB6A" w14:textId="342C86AD" w:rsidR="0069693B" w:rsidRPr="0069693B" w:rsidRDefault="0069693B" w:rsidP="0069693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1</w:t>
            </w:r>
            <w:r w:rsidR="007E37D3">
              <w:rPr>
                <w:sz w:val="16"/>
                <w:szCs w:val="16"/>
              </w:rPr>
              <w:t> </w:t>
            </w:r>
            <w:r w:rsidRPr="0069693B">
              <w:rPr>
                <w:sz w:val="16"/>
                <w:szCs w:val="16"/>
              </w:rPr>
              <w:t>516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BAA2" w14:textId="108F2AD6" w:rsidR="0069693B" w:rsidRPr="00D74CAF" w:rsidRDefault="0069693B" w:rsidP="0069693B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74CAF">
              <w:rPr>
                <w:i/>
                <w:sz w:val="16"/>
                <w:szCs w:val="16"/>
              </w:rPr>
              <w:t>7,3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AC9F" w14:textId="3A8348BF" w:rsidR="0069693B" w:rsidRPr="0069693B" w:rsidRDefault="0069693B" w:rsidP="0069693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color w:val="000000"/>
                <w:sz w:val="16"/>
                <w:szCs w:val="16"/>
              </w:rPr>
              <w:t>80,3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2C72" w14:textId="357657AA" w:rsidR="0069693B" w:rsidRPr="00D74CAF" w:rsidRDefault="0069693B" w:rsidP="0069693B">
            <w:pPr>
              <w:spacing w:after="0" w:line="240" w:lineRule="auto"/>
              <w:jc w:val="right"/>
              <w:rPr>
                <w:rFonts w:cs="Arial"/>
                <w:i/>
                <w:color w:val="000000"/>
                <w:sz w:val="16"/>
                <w:szCs w:val="16"/>
              </w:rPr>
            </w:pPr>
            <w:r w:rsidRPr="00D74CAF">
              <w:rPr>
                <w:rFonts w:cs="Arial"/>
                <w:i/>
                <w:color w:val="000000"/>
                <w:sz w:val="16"/>
                <w:szCs w:val="16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505B5" w14:textId="778514DD" w:rsidR="0069693B" w:rsidRPr="0069693B" w:rsidRDefault="0069693B" w:rsidP="0069693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18,9</w:t>
            </w:r>
          </w:p>
        </w:tc>
      </w:tr>
      <w:tr w:rsidR="00C9584A" w:rsidRPr="00C9584A" w14:paraId="5DDC36AA" w14:textId="77777777" w:rsidTr="0069693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4351" w14:textId="77777777" w:rsidR="00C9584A" w:rsidRPr="006E32A1" w:rsidRDefault="00C9584A" w:rsidP="00C9584A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E32A1">
              <w:rPr>
                <w:rFonts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3372" w14:textId="2E2D21F1" w:rsidR="00C9584A" w:rsidRPr="0069693B" w:rsidRDefault="00C9584A" w:rsidP="0069693B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color w:val="000000"/>
                <w:sz w:val="16"/>
                <w:szCs w:val="16"/>
              </w:rPr>
              <w:t>15</w:t>
            </w:r>
            <w:r w:rsidR="0069693B" w:rsidRPr="0069693B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87F06" w14:textId="2680A7D8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  <w:r w:rsidR="00D74CA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DBE27" w14:textId="09A205F5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9693B">
              <w:rPr>
                <w:sz w:val="16"/>
                <w:szCs w:val="16"/>
              </w:rPr>
              <w:t>20</w:t>
            </w:r>
            <w:r w:rsidR="007E37D3">
              <w:rPr>
                <w:sz w:val="16"/>
                <w:szCs w:val="16"/>
              </w:rPr>
              <w:t> </w:t>
            </w:r>
            <w:r w:rsidRPr="0069693B">
              <w:rPr>
                <w:sz w:val="16"/>
                <w:szCs w:val="16"/>
              </w:rPr>
              <w:t>639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C81E" w14:textId="4561C084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  <w:r w:rsidR="00D74CA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DFA97" w14:textId="2D95A026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7E37D3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r w:rsidRPr="0069693B">
              <w:rPr>
                <w:rFonts w:cs="Arial"/>
                <w:b/>
                <w:bCs/>
                <w:color w:val="000000"/>
                <w:sz w:val="16"/>
                <w:szCs w:val="16"/>
              </w:rPr>
              <w:t>280,9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36EF0" w14:textId="5575EE1D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100</w:t>
            </w:r>
            <w:r w:rsidR="00D74CAF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BF3C" w14:textId="615271B4" w:rsidR="00C9584A" w:rsidRPr="0069693B" w:rsidRDefault="00C9584A" w:rsidP="00C9584A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9693B">
              <w:rPr>
                <w:rFonts w:cs="Arial"/>
                <w:b/>
                <w:bCs/>
                <w:color w:val="000000"/>
                <w:sz w:val="16"/>
                <w:szCs w:val="16"/>
              </w:rPr>
              <w:t>16,1</w:t>
            </w:r>
          </w:p>
        </w:tc>
      </w:tr>
    </w:tbl>
    <w:p w14:paraId="4669BAA9" w14:textId="5710F7C5" w:rsidR="00FD5721" w:rsidRDefault="00FD5721" w:rsidP="00FA7769">
      <w:pPr>
        <w:keepNext/>
        <w:spacing w:after="0" w:line="240" w:lineRule="auto"/>
        <w:rPr>
          <w:b/>
        </w:rPr>
      </w:pPr>
    </w:p>
    <w:p w14:paraId="4ADCB2E7" w14:textId="03AE07B1" w:rsidR="00FA7769" w:rsidRPr="00BA2972" w:rsidRDefault="00FA7769" w:rsidP="00FA7769">
      <w:pPr>
        <w:keepNext/>
        <w:spacing w:after="0" w:line="240" w:lineRule="auto"/>
        <w:rPr>
          <w:sz w:val="18"/>
          <w:szCs w:val="18"/>
        </w:rPr>
      </w:pPr>
      <w:r w:rsidRPr="00BA2972">
        <w:rPr>
          <w:sz w:val="18"/>
          <w:szCs w:val="18"/>
          <w:vertAlign w:val="superscript"/>
        </w:rPr>
        <w:t>*)</w:t>
      </w:r>
      <w:r w:rsidRPr="00BA2972">
        <w:rPr>
          <w:sz w:val="18"/>
          <w:szCs w:val="18"/>
        </w:rPr>
        <w:t xml:space="preserve"> přepočteni na počet plných úvazků, neboli plně zaměstnané učitele</w:t>
      </w:r>
    </w:p>
    <w:p w14:paraId="0FC8232F" w14:textId="77777777" w:rsidR="00FA7769" w:rsidRDefault="00FA7769" w:rsidP="00806BB0">
      <w:pPr>
        <w:spacing w:after="120" w:line="240" w:lineRule="auto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0BA96B5A" w14:textId="6A5064EF" w:rsidR="008C5E8B" w:rsidRDefault="00120976" w:rsidP="006554E1">
      <w:pPr>
        <w:spacing w:after="120"/>
        <w:jc w:val="both"/>
        <w:rPr>
          <w:rFonts w:cs="Arial"/>
          <w:szCs w:val="20"/>
        </w:rPr>
      </w:pPr>
      <w:r w:rsidRPr="00120976">
        <w:rPr>
          <w:rFonts w:cs="Arial"/>
          <w:szCs w:val="20"/>
        </w:rPr>
        <w:t>V předchozích kapitolách bylo uvedeno</w:t>
      </w:r>
      <w:r w:rsidR="00665590" w:rsidRPr="00665590">
        <w:rPr>
          <w:rFonts w:cs="Arial"/>
          <w:szCs w:val="20"/>
        </w:rPr>
        <w:t xml:space="preserve">, že počet žáků v základních školách měl v posledních deseti letech vzestupnou tendenci. Počet žáků ve středních školách naopak nejprve klesal, po </w:t>
      </w:r>
      <w:r w:rsidR="00665590" w:rsidRPr="00E1221E">
        <w:rPr>
          <w:rFonts w:cs="Arial"/>
          <w:szCs w:val="20"/>
        </w:rPr>
        <w:t xml:space="preserve">šesti letech klesání však začal stoupat. </w:t>
      </w:r>
      <w:r w:rsidR="00FA7769" w:rsidRPr="00E1221E">
        <w:rPr>
          <w:rFonts w:cs="Arial"/>
          <w:szCs w:val="20"/>
        </w:rPr>
        <w:t xml:space="preserve">Zde lze poznamenat, že ještě výrazněji </w:t>
      </w:r>
      <w:r w:rsidR="00916363" w:rsidRPr="00E1221E">
        <w:rPr>
          <w:rFonts w:cs="Arial"/>
          <w:szCs w:val="20"/>
        </w:rPr>
        <w:t xml:space="preserve">než počet žáků středních škol </w:t>
      </w:r>
      <w:r w:rsidR="00FA7769" w:rsidRPr="00E1221E">
        <w:rPr>
          <w:rFonts w:cs="Arial"/>
          <w:b/>
          <w:szCs w:val="20"/>
        </w:rPr>
        <w:t>klesal</w:t>
      </w:r>
      <w:r w:rsidR="00FA7769" w:rsidRPr="008C5E8B">
        <w:rPr>
          <w:rFonts w:cs="Arial"/>
          <w:b/>
          <w:szCs w:val="20"/>
        </w:rPr>
        <w:t xml:space="preserve"> počet studentů vyšších</w:t>
      </w:r>
      <w:r w:rsidR="00E074C6" w:rsidRPr="008C5E8B">
        <w:rPr>
          <w:rFonts w:cs="Arial"/>
          <w:b/>
          <w:szCs w:val="20"/>
        </w:rPr>
        <w:t xml:space="preserve"> odborných škol</w:t>
      </w:r>
      <w:r w:rsidR="00E1221E">
        <w:rPr>
          <w:rFonts w:cs="Arial"/>
          <w:szCs w:val="20"/>
        </w:rPr>
        <w:t>, a sice z 28 980 studentů ve školním roce 2012/13</w:t>
      </w:r>
      <w:r w:rsidR="00FA7769" w:rsidRPr="005210E6">
        <w:rPr>
          <w:rFonts w:cs="Arial"/>
          <w:szCs w:val="20"/>
        </w:rPr>
        <w:t xml:space="preserve"> na 17 954 st</w:t>
      </w:r>
      <w:r w:rsidR="00916363">
        <w:rPr>
          <w:rFonts w:cs="Arial"/>
          <w:szCs w:val="20"/>
        </w:rPr>
        <w:t>udentů ve školním roce 2019</w:t>
      </w:r>
      <w:r w:rsidR="006554E1">
        <w:rPr>
          <w:rFonts w:cs="Arial"/>
          <w:szCs w:val="20"/>
        </w:rPr>
        <w:t>/20 a teprve v posledních</w:t>
      </w:r>
      <w:r w:rsidR="00E074C6">
        <w:rPr>
          <w:rFonts w:cs="Arial"/>
          <w:szCs w:val="20"/>
        </w:rPr>
        <w:t xml:space="preserve"> </w:t>
      </w:r>
      <w:r w:rsidR="00E1221E">
        <w:rPr>
          <w:rFonts w:cs="Arial"/>
          <w:szCs w:val="20"/>
        </w:rPr>
        <w:t>třech</w:t>
      </w:r>
      <w:r w:rsidR="00E074C6">
        <w:rPr>
          <w:rFonts w:cs="Arial"/>
          <w:szCs w:val="20"/>
        </w:rPr>
        <w:t xml:space="preserve"> školních rocích</w:t>
      </w:r>
      <w:r w:rsidR="00916363">
        <w:rPr>
          <w:rFonts w:cs="Arial"/>
          <w:szCs w:val="20"/>
        </w:rPr>
        <w:t xml:space="preserve"> byl zaznamenán nárůst</w:t>
      </w:r>
      <w:r w:rsidR="00E1221E">
        <w:rPr>
          <w:rFonts w:cs="Arial"/>
          <w:szCs w:val="20"/>
        </w:rPr>
        <w:t>, celkově o 15,0</w:t>
      </w:r>
      <w:r w:rsidR="00916363">
        <w:rPr>
          <w:rFonts w:cs="Arial"/>
          <w:szCs w:val="20"/>
        </w:rPr>
        <w:t xml:space="preserve"> % studentů. </w:t>
      </w:r>
      <w:r w:rsidR="005556E4">
        <w:rPr>
          <w:rFonts w:cs="Arial"/>
          <w:szCs w:val="20"/>
        </w:rPr>
        <w:t>Doplňme, že samotný počet škol však v posledních deseti letech zaznamenal klesajíc</w:t>
      </w:r>
      <w:r w:rsidR="00E1221E">
        <w:rPr>
          <w:rFonts w:cs="Arial"/>
          <w:szCs w:val="20"/>
        </w:rPr>
        <w:t>í tendenci. Ve školním roce 2012/13 jich bylo 178, ve škol</w:t>
      </w:r>
      <w:bookmarkStart w:id="4" w:name="_GoBack"/>
      <w:bookmarkEnd w:id="4"/>
      <w:r w:rsidR="00E1221E">
        <w:rPr>
          <w:rFonts w:cs="Arial"/>
          <w:szCs w:val="20"/>
        </w:rPr>
        <w:t>ním roce 2017/18 bylo vyšších odborných škol 166</w:t>
      </w:r>
      <w:r w:rsidR="005556E4">
        <w:rPr>
          <w:rFonts w:cs="Arial"/>
          <w:szCs w:val="20"/>
        </w:rPr>
        <w:t xml:space="preserve"> a v uplynulém školním roce</w:t>
      </w:r>
      <w:r w:rsidR="00E1221E">
        <w:rPr>
          <w:rFonts w:cs="Arial"/>
          <w:szCs w:val="20"/>
        </w:rPr>
        <w:t xml:space="preserve"> 150</w:t>
      </w:r>
      <w:r w:rsidR="005556E4">
        <w:rPr>
          <w:rFonts w:cs="Arial"/>
          <w:szCs w:val="20"/>
        </w:rPr>
        <w:t>.</w:t>
      </w:r>
    </w:p>
    <w:p w14:paraId="23DB241E" w14:textId="407E45A4" w:rsidR="00FA7769" w:rsidRPr="005210E6" w:rsidRDefault="00916363" w:rsidP="006554E1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Vzhledem k tomu, že vyšší odborné školy nabízejí v prvé řadě obory zdravotnické a pedagogické, jsou mezi studenty stabilně ve vysoké míře zastoupeny </w:t>
      </w:r>
      <w:r w:rsidRPr="008C5E8B">
        <w:rPr>
          <w:rFonts w:cs="Arial"/>
          <w:b/>
          <w:szCs w:val="20"/>
        </w:rPr>
        <w:t>ženy</w:t>
      </w:r>
      <w:r>
        <w:rPr>
          <w:rFonts w:cs="Arial"/>
          <w:szCs w:val="20"/>
        </w:rPr>
        <w:t>. Podíl žen přitom od školního roku 2012/13 téměř soustavně mírně</w:t>
      </w:r>
      <w:r w:rsidR="00E1221E">
        <w:rPr>
          <w:rFonts w:cs="Arial"/>
          <w:szCs w:val="20"/>
        </w:rPr>
        <w:t xml:space="preserve"> stoupal, a sice ze 71,2 % na 77,2 % ve školním roce 2022/23</w:t>
      </w:r>
      <w:r>
        <w:rPr>
          <w:rFonts w:cs="Arial"/>
          <w:szCs w:val="20"/>
        </w:rPr>
        <w:t xml:space="preserve">. </w:t>
      </w:r>
      <w:r w:rsidR="00FA7769" w:rsidRPr="005210E6">
        <w:rPr>
          <w:rFonts w:cs="Arial"/>
          <w:szCs w:val="20"/>
        </w:rPr>
        <w:t xml:space="preserve">Pokud se jedná o podíl </w:t>
      </w:r>
      <w:r w:rsidR="00FA7769" w:rsidRPr="008C5E8B">
        <w:rPr>
          <w:rFonts w:cs="Arial"/>
          <w:b/>
          <w:szCs w:val="20"/>
        </w:rPr>
        <w:t>cizinců</w:t>
      </w:r>
      <w:r w:rsidR="00FA7769" w:rsidRPr="005210E6">
        <w:rPr>
          <w:rFonts w:cs="Arial"/>
          <w:szCs w:val="20"/>
        </w:rPr>
        <w:t xml:space="preserve"> mezi studenty vyšších odbo</w:t>
      </w:r>
      <w:r w:rsidR="00E074C6">
        <w:rPr>
          <w:rFonts w:cs="Arial"/>
          <w:szCs w:val="20"/>
        </w:rPr>
        <w:t>rných škol, v čase stoupal z</w:t>
      </w:r>
      <w:r w:rsidR="00C435E2">
        <w:rPr>
          <w:rFonts w:cs="Arial"/>
          <w:szCs w:val="20"/>
        </w:rPr>
        <w:t>e</w:t>
      </w:r>
      <w:r w:rsidR="00E1221E">
        <w:rPr>
          <w:rFonts w:cs="Arial"/>
          <w:szCs w:val="20"/>
        </w:rPr>
        <w:t> 1,8 % ve školním roce 2012</w:t>
      </w:r>
      <w:r w:rsidR="00FA7769" w:rsidRPr="005210E6">
        <w:rPr>
          <w:rFonts w:cs="Arial"/>
          <w:szCs w:val="20"/>
        </w:rPr>
        <w:t>/</w:t>
      </w:r>
      <w:r w:rsidR="00E1221E">
        <w:rPr>
          <w:rFonts w:cs="Arial"/>
          <w:szCs w:val="20"/>
        </w:rPr>
        <w:t>13</w:t>
      </w:r>
      <w:r w:rsidR="00FA7769" w:rsidRPr="005210E6">
        <w:rPr>
          <w:rFonts w:cs="Arial"/>
          <w:szCs w:val="20"/>
        </w:rPr>
        <w:t xml:space="preserve"> na 4,1 % ve školním </w:t>
      </w:r>
      <w:r w:rsidR="00FA7769" w:rsidRPr="005210E6">
        <w:rPr>
          <w:rFonts w:cs="Arial"/>
          <w:szCs w:val="20"/>
        </w:rPr>
        <w:lastRenderedPageBreak/>
        <w:t>roce 2019/20</w:t>
      </w:r>
      <w:r>
        <w:rPr>
          <w:rFonts w:cs="Arial"/>
          <w:szCs w:val="20"/>
        </w:rPr>
        <w:t xml:space="preserve">, </w:t>
      </w:r>
      <w:r w:rsidR="00E074C6">
        <w:rPr>
          <w:rFonts w:cs="Arial"/>
          <w:szCs w:val="20"/>
        </w:rPr>
        <w:t>během dalších dvou školních roků o půl</w:t>
      </w:r>
      <w:r w:rsidR="00783ABF">
        <w:rPr>
          <w:rFonts w:cs="Arial"/>
          <w:szCs w:val="20"/>
        </w:rPr>
        <w:t xml:space="preserve"> procentního bodu</w:t>
      </w:r>
      <w:r>
        <w:rPr>
          <w:rFonts w:cs="Arial"/>
          <w:szCs w:val="20"/>
        </w:rPr>
        <w:t xml:space="preserve"> klesl</w:t>
      </w:r>
      <w:r w:rsidR="00783ABF">
        <w:rPr>
          <w:rFonts w:cs="Arial"/>
          <w:szCs w:val="20"/>
        </w:rPr>
        <w:t xml:space="preserve"> na 3,6 %</w:t>
      </w:r>
      <w:r w:rsidR="00E1221E">
        <w:rPr>
          <w:rFonts w:cs="Arial"/>
          <w:szCs w:val="20"/>
        </w:rPr>
        <w:t xml:space="preserve"> a v posledním školním roce se nepatrně zvýšil na 3,7%</w:t>
      </w:r>
      <w:r w:rsidR="00FA7769" w:rsidRPr="005210E6">
        <w:rPr>
          <w:rFonts w:cs="Arial"/>
          <w:szCs w:val="20"/>
        </w:rPr>
        <w:t xml:space="preserve"> – viz graf </w:t>
      </w:r>
      <w:r w:rsidR="00FA7769">
        <w:rPr>
          <w:rFonts w:cs="Arial"/>
          <w:szCs w:val="20"/>
        </w:rPr>
        <w:t>5.</w:t>
      </w:r>
      <w:r w:rsidR="00FA7769" w:rsidRPr="005210E6">
        <w:rPr>
          <w:rFonts w:cs="Arial"/>
          <w:szCs w:val="20"/>
        </w:rPr>
        <w:t>1.</w:t>
      </w:r>
    </w:p>
    <w:p w14:paraId="2905683E" w14:textId="698818B9" w:rsidR="00FA7769" w:rsidRDefault="00FA7769" w:rsidP="00FA7769">
      <w:pPr>
        <w:keepNext/>
        <w:spacing w:after="120" w:line="240" w:lineRule="auto"/>
        <w:rPr>
          <w:b/>
        </w:rPr>
      </w:pPr>
      <w:r>
        <w:rPr>
          <w:b/>
        </w:rPr>
        <w:t>Graf 5.</w:t>
      </w:r>
      <w:r w:rsidRPr="00273D0F">
        <w:rPr>
          <w:b/>
        </w:rPr>
        <w:t xml:space="preserve">1 </w:t>
      </w:r>
      <w:r>
        <w:rPr>
          <w:b/>
        </w:rPr>
        <w:t>Vyšší odborné školy</w:t>
      </w:r>
      <w:r w:rsidRPr="00273D0F">
        <w:rPr>
          <w:b/>
        </w:rPr>
        <w:t xml:space="preserve"> – vývoj</w:t>
      </w:r>
      <w:r w:rsidR="000C2FE5">
        <w:rPr>
          <w:b/>
        </w:rPr>
        <w:t xml:space="preserve"> počtu žáků a z toho</w:t>
      </w:r>
      <w:r w:rsidR="00E074C6">
        <w:rPr>
          <w:b/>
        </w:rPr>
        <w:t xml:space="preserve"> podílu dívek</w:t>
      </w:r>
      <w:r w:rsidR="000C2FE5">
        <w:rPr>
          <w:b/>
        </w:rPr>
        <w:t xml:space="preserve"> a cizinců</w:t>
      </w:r>
      <w:r w:rsidR="00686D74">
        <w:rPr>
          <w:b/>
        </w:rPr>
        <w:t xml:space="preserve"> (2012/13 – 2022/23</w:t>
      </w:r>
      <w:r w:rsidRPr="00273D0F">
        <w:rPr>
          <w:b/>
        </w:rPr>
        <w:t>)</w:t>
      </w:r>
    </w:p>
    <w:p w14:paraId="4F7CE817" w14:textId="638FB3FC" w:rsidR="00FA7769" w:rsidRPr="00916363" w:rsidRDefault="00686D74" w:rsidP="00916363">
      <w:pPr>
        <w:keepNext/>
        <w:spacing w:after="120" w:line="240" w:lineRule="auto"/>
        <w:rPr>
          <w:b/>
        </w:rPr>
      </w:pPr>
      <w:r>
        <w:rPr>
          <w:noProof/>
        </w:rPr>
        <w:drawing>
          <wp:inline distT="0" distB="0" distL="0" distR="0" wp14:anchorId="57AD3A15" wp14:editId="5FEEA2F9">
            <wp:extent cx="6120130" cy="2219325"/>
            <wp:effectExtent l="0" t="0" r="13970" b="9525"/>
            <wp:docPr id="56" name="Graf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E0A4D5" w14:textId="77777777" w:rsidR="00FA7769" w:rsidRDefault="00FA7769" w:rsidP="00AB0787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16203721" w14:textId="1AAA1D96" w:rsidR="00FA7769" w:rsidRPr="005210E6" w:rsidRDefault="00FA7769" w:rsidP="00FA7769">
      <w:pPr>
        <w:spacing w:after="120"/>
        <w:jc w:val="both"/>
        <w:rPr>
          <w:rFonts w:cs="Arial"/>
          <w:szCs w:val="20"/>
        </w:rPr>
      </w:pPr>
      <w:r w:rsidRPr="005210E6">
        <w:rPr>
          <w:rFonts w:cs="Arial"/>
          <w:szCs w:val="20"/>
        </w:rPr>
        <w:t>Vyšší odborné školy je možné studovat ve všech krajích České republiky</w:t>
      </w:r>
      <w:r w:rsidR="00162DAF">
        <w:rPr>
          <w:rStyle w:val="Znakapoznpodarou"/>
          <w:rFonts w:cs="Arial"/>
          <w:szCs w:val="20"/>
        </w:rPr>
        <w:footnoteReference w:id="3"/>
      </w:r>
      <w:r w:rsidRPr="005210E6">
        <w:rPr>
          <w:rFonts w:cs="Arial"/>
          <w:szCs w:val="20"/>
        </w:rPr>
        <w:t>. Nejvíce jich ve ško</w:t>
      </w:r>
      <w:r w:rsidR="00AB6CDA">
        <w:rPr>
          <w:rFonts w:cs="Arial"/>
          <w:szCs w:val="20"/>
        </w:rPr>
        <w:t>lním roce 2022</w:t>
      </w:r>
      <w:r w:rsidR="001C0B47">
        <w:rPr>
          <w:rFonts w:cs="Arial"/>
          <w:szCs w:val="20"/>
        </w:rPr>
        <w:t>/2</w:t>
      </w:r>
      <w:r w:rsidR="00AB6CDA">
        <w:rPr>
          <w:rFonts w:cs="Arial"/>
          <w:szCs w:val="20"/>
        </w:rPr>
        <w:t>3</w:t>
      </w:r>
      <w:r w:rsidR="001C0B47">
        <w:rPr>
          <w:rFonts w:cs="Arial"/>
          <w:szCs w:val="20"/>
        </w:rPr>
        <w:t xml:space="preserve"> bylo v Praze (34</w:t>
      </w:r>
      <w:r w:rsidR="00AB6CDA">
        <w:rPr>
          <w:rFonts w:cs="Arial"/>
          <w:szCs w:val="20"/>
        </w:rPr>
        <w:t>), dále v kraji Středočeském (14),</w:t>
      </w:r>
      <w:r w:rsidR="001C0B47">
        <w:rPr>
          <w:rFonts w:cs="Arial"/>
          <w:szCs w:val="20"/>
        </w:rPr>
        <w:t xml:space="preserve"> Jihočeském (14</w:t>
      </w:r>
      <w:r w:rsidRPr="005210E6">
        <w:rPr>
          <w:rFonts w:cs="Arial"/>
          <w:szCs w:val="20"/>
        </w:rPr>
        <w:t>)</w:t>
      </w:r>
      <w:r w:rsidR="00AB6CDA">
        <w:rPr>
          <w:rFonts w:cs="Arial"/>
          <w:szCs w:val="20"/>
        </w:rPr>
        <w:t xml:space="preserve"> a Moravskoslezském (13)</w:t>
      </w:r>
      <w:r w:rsidRPr="005210E6">
        <w:rPr>
          <w:rFonts w:cs="Arial"/>
          <w:szCs w:val="20"/>
        </w:rPr>
        <w:t>; nejmén</w:t>
      </w:r>
      <w:r w:rsidR="00AB6CDA">
        <w:rPr>
          <w:rFonts w:cs="Arial"/>
          <w:szCs w:val="20"/>
        </w:rPr>
        <w:t>ě naopak v kraji Karlovarském (4</w:t>
      </w:r>
      <w:r w:rsidRPr="005210E6">
        <w:rPr>
          <w:rFonts w:cs="Arial"/>
          <w:szCs w:val="20"/>
        </w:rPr>
        <w:t>). V Praze bylo také pochopitelně nejvíce studen</w:t>
      </w:r>
      <w:r w:rsidR="00815862">
        <w:rPr>
          <w:rFonts w:cs="Arial"/>
          <w:szCs w:val="20"/>
        </w:rPr>
        <w:t>tů vyšších odborných škol (</w:t>
      </w:r>
      <w:r w:rsidR="001C0B47" w:rsidRPr="001C0B47">
        <w:rPr>
          <w:rFonts w:cs="Arial"/>
          <w:szCs w:val="20"/>
        </w:rPr>
        <w:t>4</w:t>
      </w:r>
      <w:r w:rsidR="001C0B47">
        <w:rPr>
          <w:rFonts w:cs="Arial"/>
          <w:szCs w:val="20"/>
        </w:rPr>
        <w:t> </w:t>
      </w:r>
      <w:r w:rsidR="006A50F0">
        <w:rPr>
          <w:rFonts w:cs="Arial"/>
          <w:szCs w:val="20"/>
        </w:rPr>
        <w:t>880</w:t>
      </w:r>
      <w:r w:rsidRPr="005210E6">
        <w:rPr>
          <w:rFonts w:cs="Arial"/>
          <w:szCs w:val="20"/>
        </w:rPr>
        <w:t xml:space="preserve">) i nejvyšší podíl cizinců </w:t>
      </w:r>
      <w:r w:rsidR="00815862">
        <w:rPr>
          <w:rFonts w:cs="Arial"/>
          <w:szCs w:val="20"/>
        </w:rPr>
        <w:t xml:space="preserve">z těchto </w:t>
      </w:r>
      <w:r w:rsidR="00815862" w:rsidRPr="00730047">
        <w:rPr>
          <w:rFonts w:cs="Arial"/>
          <w:szCs w:val="20"/>
        </w:rPr>
        <w:t xml:space="preserve">studentů </w:t>
      </w:r>
      <w:r w:rsidR="006A50F0">
        <w:rPr>
          <w:rFonts w:cs="Arial"/>
          <w:szCs w:val="20"/>
        </w:rPr>
        <w:t>(7,5</w:t>
      </w:r>
      <w:r w:rsidRPr="00730047">
        <w:rPr>
          <w:rFonts w:cs="Arial"/>
          <w:szCs w:val="20"/>
        </w:rPr>
        <w:t> %). Nejmenší</w:t>
      </w:r>
      <w:r w:rsidRPr="005210E6">
        <w:rPr>
          <w:rFonts w:cs="Arial"/>
          <w:szCs w:val="20"/>
        </w:rPr>
        <w:t xml:space="preserve"> počet studentů vyšších odborných ško</w:t>
      </w:r>
      <w:r w:rsidR="00F31090">
        <w:rPr>
          <w:rFonts w:cs="Arial"/>
          <w:szCs w:val="20"/>
        </w:rPr>
        <w:t xml:space="preserve">l zaznamenal kraj </w:t>
      </w:r>
      <w:r w:rsidR="005D5E36">
        <w:rPr>
          <w:rFonts w:cs="Arial"/>
          <w:szCs w:val="20"/>
        </w:rPr>
        <w:t>Liberecký</w:t>
      </w:r>
      <w:r w:rsidR="006A50F0">
        <w:rPr>
          <w:rFonts w:cs="Arial"/>
          <w:szCs w:val="20"/>
        </w:rPr>
        <w:t xml:space="preserve"> (212) a Karlovarský (294</w:t>
      </w:r>
      <w:r w:rsidRPr="005210E6">
        <w:rPr>
          <w:rFonts w:cs="Arial"/>
          <w:szCs w:val="20"/>
        </w:rPr>
        <w:t>)</w:t>
      </w:r>
      <w:r w:rsidR="006A50F0">
        <w:rPr>
          <w:rFonts w:cs="Arial"/>
          <w:szCs w:val="20"/>
        </w:rPr>
        <w:t>, v ostatních krajích bylo studentů vyšších odborných škol 660 a více.</w:t>
      </w:r>
      <w:r w:rsidR="001C0B47">
        <w:rPr>
          <w:rFonts w:cs="Arial"/>
          <w:szCs w:val="20"/>
        </w:rPr>
        <w:t xml:space="preserve"> </w:t>
      </w:r>
      <w:r w:rsidR="006A50F0">
        <w:rPr>
          <w:rFonts w:cs="Arial"/>
          <w:szCs w:val="20"/>
        </w:rPr>
        <w:t>N</w:t>
      </w:r>
      <w:r w:rsidRPr="005210E6">
        <w:rPr>
          <w:rFonts w:cs="Arial"/>
          <w:szCs w:val="20"/>
        </w:rPr>
        <w:t>ejnižší podíl cizinců mezi studenty vyšších odborných šk</w:t>
      </w:r>
      <w:r w:rsidR="006A50F0">
        <w:rPr>
          <w:rFonts w:cs="Arial"/>
          <w:szCs w:val="20"/>
        </w:rPr>
        <w:t>ol pak zaznamenal</w:t>
      </w:r>
      <w:r w:rsidR="00F31090">
        <w:rPr>
          <w:rFonts w:cs="Arial"/>
          <w:szCs w:val="20"/>
        </w:rPr>
        <w:t xml:space="preserve"> kraj </w:t>
      </w:r>
      <w:r w:rsidR="006A50F0">
        <w:rPr>
          <w:rFonts w:cs="Arial"/>
          <w:szCs w:val="20"/>
        </w:rPr>
        <w:t>Moravskoslezský (1,1</w:t>
      </w:r>
      <w:r w:rsidR="004064C7">
        <w:rPr>
          <w:rFonts w:cs="Arial"/>
          <w:szCs w:val="20"/>
        </w:rPr>
        <w:t> %)</w:t>
      </w:r>
      <w:r w:rsidRPr="00730047">
        <w:rPr>
          <w:rFonts w:cs="Arial"/>
          <w:szCs w:val="20"/>
        </w:rPr>
        <w:t>,</w:t>
      </w:r>
      <w:r w:rsidRPr="005210E6">
        <w:rPr>
          <w:rFonts w:cs="Arial"/>
          <w:szCs w:val="20"/>
        </w:rPr>
        <w:t xml:space="preserve"> kde bylo hned po Praze nejvíce studentů vyšších odborných škol </w:t>
      </w:r>
      <w:r w:rsidR="00F31090">
        <w:rPr>
          <w:rFonts w:cs="Arial"/>
          <w:szCs w:val="20"/>
        </w:rPr>
        <w:t>(</w:t>
      </w:r>
      <w:r w:rsidR="001C0B47">
        <w:rPr>
          <w:rFonts w:cs="Arial"/>
          <w:szCs w:val="20"/>
        </w:rPr>
        <w:t>3 </w:t>
      </w:r>
      <w:r w:rsidR="006A50F0">
        <w:rPr>
          <w:rFonts w:cs="Arial"/>
          <w:szCs w:val="20"/>
        </w:rPr>
        <w:t>308</w:t>
      </w:r>
      <w:r w:rsidR="00F31090">
        <w:rPr>
          <w:rFonts w:cs="Arial"/>
          <w:szCs w:val="20"/>
        </w:rPr>
        <w:t xml:space="preserve">) </w:t>
      </w:r>
      <w:r w:rsidRPr="005210E6">
        <w:rPr>
          <w:rFonts w:cs="Arial"/>
          <w:szCs w:val="20"/>
        </w:rPr>
        <w:t>– viz graf </w:t>
      </w:r>
      <w:r>
        <w:rPr>
          <w:rFonts w:cs="Arial"/>
          <w:szCs w:val="20"/>
        </w:rPr>
        <w:t>5.</w:t>
      </w:r>
      <w:r w:rsidRPr="005210E6">
        <w:rPr>
          <w:rFonts w:cs="Arial"/>
          <w:szCs w:val="20"/>
        </w:rPr>
        <w:t>2. Doplňme, že celkem bylo ve vyšších odborný</w:t>
      </w:r>
      <w:r w:rsidR="00F31090">
        <w:rPr>
          <w:rFonts w:cs="Arial"/>
          <w:szCs w:val="20"/>
        </w:rPr>
        <w:t xml:space="preserve">ch školách v České </w:t>
      </w:r>
      <w:r w:rsidR="00F31090" w:rsidRPr="00DC1D4C">
        <w:rPr>
          <w:rFonts w:cs="Arial"/>
          <w:szCs w:val="20"/>
        </w:rPr>
        <w:t xml:space="preserve">republice </w:t>
      </w:r>
      <w:r w:rsidR="006A50F0">
        <w:rPr>
          <w:rFonts w:cs="Arial"/>
          <w:szCs w:val="20"/>
        </w:rPr>
        <w:t>762</w:t>
      </w:r>
      <w:r w:rsidRPr="005210E6">
        <w:rPr>
          <w:rFonts w:cs="Arial"/>
          <w:szCs w:val="20"/>
        </w:rPr>
        <w:t xml:space="preserve"> studentů </w:t>
      </w:r>
      <w:r w:rsidR="00F31090">
        <w:rPr>
          <w:rFonts w:cs="Arial"/>
          <w:szCs w:val="20"/>
        </w:rPr>
        <w:t>ci</w:t>
      </w:r>
      <w:r w:rsidR="00DC1D4C">
        <w:rPr>
          <w:rFonts w:cs="Arial"/>
          <w:szCs w:val="20"/>
        </w:rPr>
        <w:t xml:space="preserve">zí státní příslušnosti, což </w:t>
      </w:r>
      <w:r w:rsidR="00DC1D4C" w:rsidRPr="00DC1D4C">
        <w:rPr>
          <w:rFonts w:cs="Arial"/>
          <w:szCs w:val="20"/>
        </w:rPr>
        <w:t>je</w:t>
      </w:r>
      <w:r w:rsidR="00F31090" w:rsidRPr="00DC1D4C">
        <w:rPr>
          <w:rFonts w:cs="Arial"/>
          <w:szCs w:val="20"/>
        </w:rPr>
        <w:t xml:space="preserve"> </w:t>
      </w:r>
      <w:r w:rsidR="006A50F0">
        <w:rPr>
          <w:rFonts w:cs="Arial"/>
          <w:szCs w:val="20"/>
        </w:rPr>
        <w:t>3,7</w:t>
      </w:r>
      <w:r w:rsidR="001C0B47" w:rsidRPr="00DC1D4C">
        <w:rPr>
          <w:rFonts w:cs="Arial"/>
          <w:szCs w:val="20"/>
        </w:rPr>
        <w:t> </w:t>
      </w:r>
      <w:r w:rsidRPr="00DC1D4C">
        <w:rPr>
          <w:rFonts w:cs="Arial"/>
          <w:szCs w:val="20"/>
        </w:rPr>
        <w:t>%</w:t>
      </w:r>
      <w:r w:rsidRPr="005210E6">
        <w:rPr>
          <w:rFonts w:cs="Arial"/>
          <w:szCs w:val="20"/>
        </w:rPr>
        <w:t xml:space="preserve"> ze všech studentů vyšších odborných škol.</w:t>
      </w:r>
    </w:p>
    <w:p w14:paraId="6CEFA5DB" w14:textId="797618AB" w:rsidR="00FA7769" w:rsidRDefault="00FA7769" w:rsidP="00FA7769">
      <w:pPr>
        <w:keepNext/>
        <w:spacing w:after="120" w:line="240" w:lineRule="auto"/>
        <w:rPr>
          <w:b/>
        </w:rPr>
      </w:pPr>
      <w:r w:rsidRPr="001544F9">
        <w:rPr>
          <w:b/>
        </w:rPr>
        <w:t>G</w:t>
      </w:r>
      <w:r>
        <w:rPr>
          <w:b/>
        </w:rPr>
        <w:t>raf</w:t>
      </w:r>
      <w:r w:rsidRPr="001544F9">
        <w:rPr>
          <w:b/>
        </w:rPr>
        <w:t xml:space="preserve"> </w:t>
      </w:r>
      <w:r>
        <w:rPr>
          <w:b/>
        </w:rPr>
        <w:t>5.</w:t>
      </w:r>
      <w:r w:rsidRPr="001544F9">
        <w:rPr>
          <w:b/>
        </w:rPr>
        <w:t>2 Vyšší odborné školy – počet studentů</w:t>
      </w:r>
      <w:r w:rsidR="00F21AE9">
        <w:rPr>
          <w:b/>
        </w:rPr>
        <w:t xml:space="preserve"> a podíl cizinců dle </w:t>
      </w:r>
      <w:r w:rsidR="00752CE6">
        <w:rPr>
          <w:b/>
        </w:rPr>
        <w:t xml:space="preserve">kraje </w:t>
      </w:r>
      <w:r w:rsidR="009F77E6">
        <w:rPr>
          <w:b/>
        </w:rPr>
        <w:t>sídla školy</w:t>
      </w:r>
      <w:r w:rsidR="001601BB">
        <w:rPr>
          <w:b/>
        </w:rPr>
        <w:t xml:space="preserve"> (2022/23</w:t>
      </w:r>
      <w:r w:rsidRPr="001544F9">
        <w:rPr>
          <w:b/>
        </w:rPr>
        <w:t>)</w:t>
      </w:r>
    </w:p>
    <w:p w14:paraId="40BABD97" w14:textId="6ABA3DFB" w:rsidR="00FA7769" w:rsidRPr="00F31090" w:rsidRDefault="001601BB" w:rsidP="00F31090">
      <w:pPr>
        <w:keepNext/>
        <w:spacing w:after="120" w:line="240" w:lineRule="auto"/>
        <w:rPr>
          <w:b/>
        </w:rPr>
      </w:pPr>
      <w:r>
        <w:rPr>
          <w:noProof/>
        </w:rPr>
        <w:drawing>
          <wp:inline distT="0" distB="0" distL="0" distR="0" wp14:anchorId="53CCB2A4" wp14:editId="6829C08D">
            <wp:extent cx="6057900" cy="2638425"/>
            <wp:effectExtent l="0" t="0" r="0" b="9525"/>
            <wp:docPr id="62" name="Graf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082D95" w14:textId="77777777" w:rsidR="00FA7769" w:rsidRDefault="00FA7769" w:rsidP="00AB0787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6FC9A443" w14:textId="77777777" w:rsidR="00FA7769" w:rsidRPr="0030755F" w:rsidRDefault="00FA7769" w:rsidP="00AB0787">
      <w:pPr>
        <w:spacing w:after="0" w:line="240" w:lineRule="auto"/>
        <w:jc w:val="right"/>
        <w:rPr>
          <w:sz w:val="16"/>
          <w:szCs w:val="16"/>
        </w:rPr>
      </w:pPr>
    </w:p>
    <w:p w14:paraId="25AF9733" w14:textId="689425EF" w:rsidR="00FA7769" w:rsidRPr="008A014E" w:rsidRDefault="00FA7769" w:rsidP="00FA7769">
      <w:pPr>
        <w:spacing w:after="120"/>
        <w:jc w:val="both"/>
        <w:rPr>
          <w:rFonts w:cs="Arial"/>
          <w:szCs w:val="20"/>
        </w:rPr>
      </w:pPr>
      <w:r w:rsidRPr="00075235">
        <w:rPr>
          <w:rFonts w:cs="Arial"/>
          <w:szCs w:val="20"/>
        </w:rPr>
        <w:lastRenderedPageBreak/>
        <w:t>Mezi studenty vyšších odborných</w:t>
      </w:r>
      <w:r w:rsidR="007C5AD2" w:rsidRPr="00075235">
        <w:rPr>
          <w:rFonts w:cs="Arial"/>
          <w:szCs w:val="20"/>
        </w:rPr>
        <w:t xml:space="preserve"> škol</w:t>
      </w:r>
      <w:r w:rsidR="00075235">
        <w:rPr>
          <w:rFonts w:cs="Arial"/>
          <w:szCs w:val="20"/>
        </w:rPr>
        <w:t xml:space="preserve"> bylo ve školním roce 2022/23</w:t>
      </w:r>
      <w:r w:rsidR="007C5AD2">
        <w:rPr>
          <w:rFonts w:cs="Arial"/>
          <w:szCs w:val="20"/>
        </w:rPr>
        <w:t xml:space="preserve"> </w:t>
      </w:r>
      <w:r w:rsidR="00C862A7">
        <w:rPr>
          <w:rFonts w:cs="Arial"/>
          <w:szCs w:val="20"/>
        </w:rPr>
        <w:t xml:space="preserve">celkem </w:t>
      </w:r>
      <w:r w:rsidR="00046C2B">
        <w:rPr>
          <w:rFonts w:cs="Arial"/>
          <w:szCs w:val="20"/>
        </w:rPr>
        <w:t>jen 45</w:t>
      </w:r>
      <w:r w:rsidRPr="008A014E">
        <w:rPr>
          <w:rFonts w:cs="Arial"/>
          <w:szCs w:val="20"/>
        </w:rPr>
        <w:t xml:space="preserve"> studentů se </w:t>
      </w:r>
      <w:r w:rsidRPr="008A014E">
        <w:rPr>
          <w:rFonts w:cs="Arial"/>
          <w:b/>
          <w:szCs w:val="20"/>
        </w:rPr>
        <w:t>zdravotním postižením</w:t>
      </w:r>
      <w:r w:rsidRPr="008A014E">
        <w:rPr>
          <w:rFonts w:cs="Arial"/>
          <w:szCs w:val="20"/>
        </w:rPr>
        <w:t xml:space="preserve">. </w:t>
      </w:r>
      <w:r w:rsidR="00075235">
        <w:rPr>
          <w:rFonts w:cs="Arial"/>
          <w:szCs w:val="20"/>
        </w:rPr>
        <w:t>Ti sice z celkového počtu studentů vyšších odborných š</w:t>
      </w:r>
      <w:r w:rsidR="00B43B29">
        <w:rPr>
          <w:rFonts w:cs="Arial"/>
          <w:szCs w:val="20"/>
        </w:rPr>
        <w:t>kol tvoří jen 0,2 %, od předchozího školního</w:t>
      </w:r>
      <w:r w:rsidR="00075235">
        <w:rPr>
          <w:rFonts w:cs="Arial"/>
          <w:szCs w:val="20"/>
        </w:rPr>
        <w:t xml:space="preserve"> roku se však jejich počet zvýšil o dvě třetiny, zatímco celkový počet žáků narostl jen</w:t>
      </w:r>
      <w:r w:rsidR="00B43B29">
        <w:rPr>
          <w:rFonts w:cs="Arial"/>
          <w:szCs w:val="20"/>
        </w:rPr>
        <w:t xml:space="preserve"> o </w:t>
      </w:r>
      <w:r w:rsidR="00617820">
        <w:rPr>
          <w:rFonts w:cs="Arial"/>
          <w:szCs w:val="20"/>
        </w:rPr>
        <w:t xml:space="preserve">2,7 %. </w:t>
      </w:r>
      <w:r w:rsidRPr="008A014E">
        <w:rPr>
          <w:rFonts w:cs="Arial"/>
          <w:szCs w:val="20"/>
        </w:rPr>
        <w:t xml:space="preserve">Všichni </w:t>
      </w:r>
      <w:r w:rsidR="00075235">
        <w:rPr>
          <w:rFonts w:cs="Arial"/>
          <w:szCs w:val="20"/>
        </w:rPr>
        <w:t>tito studenti byli</w:t>
      </w:r>
      <w:r w:rsidRPr="008A014E">
        <w:rPr>
          <w:rFonts w:cs="Arial"/>
          <w:szCs w:val="20"/>
        </w:rPr>
        <w:t xml:space="preserve"> přitom integrováni do běžných vzdělávacích skupin. </w:t>
      </w:r>
    </w:p>
    <w:p w14:paraId="5C4858EA" w14:textId="6D817ADC" w:rsidR="00FA7769" w:rsidRPr="008A014E" w:rsidRDefault="00FA7769" w:rsidP="00FA7769">
      <w:pPr>
        <w:spacing w:after="120"/>
        <w:jc w:val="both"/>
        <w:rPr>
          <w:rFonts w:cs="Arial"/>
          <w:szCs w:val="20"/>
        </w:rPr>
      </w:pPr>
      <w:r w:rsidRPr="00010A21">
        <w:rPr>
          <w:rFonts w:cs="Arial"/>
          <w:szCs w:val="20"/>
        </w:rPr>
        <w:t>Graf 5.3 ukazuje rozložení</w:t>
      </w:r>
      <w:r w:rsidRPr="00F45E4C">
        <w:rPr>
          <w:rFonts w:cs="Arial"/>
          <w:szCs w:val="20"/>
        </w:rPr>
        <w:t xml:space="preserve"> studentů vyšších odborných škol v</w:t>
      </w:r>
      <w:r w:rsidR="00697448">
        <w:rPr>
          <w:rFonts w:cs="Arial"/>
          <w:szCs w:val="20"/>
        </w:rPr>
        <w:t>e školním roce 2022/23</w:t>
      </w:r>
      <w:r w:rsidRPr="00F45E4C">
        <w:rPr>
          <w:rFonts w:cs="Arial"/>
          <w:szCs w:val="20"/>
        </w:rPr>
        <w:t xml:space="preserve"> </w:t>
      </w:r>
      <w:r w:rsidRPr="00F45E4C">
        <w:rPr>
          <w:rFonts w:cs="Arial"/>
          <w:b/>
          <w:szCs w:val="20"/>
        </w:rPr>
        <w:t>dle věku</w:t>
      </w:r>
      <w:r w:rsidRPr="008A014E">
        <w:rPr>
          <w:rFonts w:cs="Arial"/>
          <w:szCs w:val="20"/>
        </w:rPr>
        <w:t xml:space="preserve"> celkem a v dělení na denní a ostatní formy vzdělávání</w:t>
      </w:r>
      <w:r w:rsidRPr="00864BCD">
        <w:rPr>
          <w:rFonts w:cs="Arial"/>
          <w:szCs w:val="20"/>
        </w:rPr>
        <w:t>. Jak je patrné,</w:t>
      </w:r>
      <w:r w:rsidRPr="008A014E">
        <w:rPr>
          <w:rFonts w:cs="Arial"/>
          <w:szCs w:val="20"/>
        </w:rPr>
        <w:t xml:space="preserve"> věkové složení studentů vyšších odborných škol b</w:t>
      </w:r>
      <w:r w:rsidR="00864BCD">
        <w:rPr>
          <w:rFonts w:cs="Arial"/>
          <w:szCs w:val="20"/>
        </w:rPr>
        <w:t xml:space="preserve">ylo poměrně pestré a zahrnuje </w:t>
      </w:r>
      <w:r w:rsidR="00010A21">
        <w:rPr>
          <w:rFonts w:cs="Arial"/>
          <w:szCs w:val="20"/>
        </w:rPr>
        <w:t>32</w:t>
      </w:r>
      <w:r w:rsidRPr="008A014E">
        <w:rPr>
          <w:rFonts w:cs="Arial"/>
          <w:szCs w:val="20"/>
        </w:rPr>
        <w:t xml:space="preserve"> studentů, kterým bylo 18 let a méně (tedy ve věku, který není typický pro osoby s ukončeným středoškol</w:t>
      </w:r>
      <w:r w:rsidR="00010A21">
        <w:rPr>
          <w:rFonts w:cs="Arial"/>
          <w:szCs w:val="20"/>
        </w:rPr>
        <w:t>ským vzděláním) a naopak 32,4</w:t>
      </w:r>
      <w:r w:rsidR="00980E0D">
        <w:rPr>
          <w:rFonts w:cs="Arial"/>
          <w:szCs w:val="20"/>
        </w:rPr>
        <w:t> %</w:t>
      </w:r>
      <w:r w:rsidRPr="008A014E">
        <w:rPr>
          <w:rFonts w:cs="Arial"/>
          <w:szCs w:val="20"/>
        </w:rPr>
        <w:t xml:space="preserve"> studentů ve věkové skupině 25 let a více, která již není pro účast v bakalářské a jí odpovídající úrovni studia </w:t>
      </w:r>
      <w:r w:rsidR="00864BCD">
        <w:rPr>
          <w:rFonts w:cs="Arial"/>
          <w:szCs w:val="20"/>
        </w:rPr>
        <w:t xml:space="preserve">tak </w:t>
      </w:r>
      <w:r w:rsidRPr="00010A21">
        <w:rPr>
          <w:rFonts w:cs="Arial"/>
          <w:szCs w:val="20"/>
        </w:rPr>
        <w:t>obvyklá. Desetina studentů byla dokonce ve věku 40 let a více. Lze předpokládat, že starší studenti již pracují a potřebují si dodělat potřebnou kvalifikaci,</w:t>
      </w:r>
      <w:r w:rsidRPr="008A014E">
        <w:rPr>
          <w:rFonts w:cs="Arial"/>
          <w:szCs w:val="20"/>
        </w:rPr>
        <w:t xml:space="preserve"> zejména je-li dána zákonem</w:t>
      </w:r>
      <w:r w:rsidR="00010A21">
        <w:rPr>
          <w:rFonts w:cs="Arial"/>
          <w:szCs w:val="20"/>
        </w:rPr>
        <w:t>, popř. se rekvalifikují před změnou profese</w:t>
      </w:r>
      <w:r w:rsidRPr="008A014E">
        <w:rPr>
          <w:rFonts w:cs="Arial"/>
          <w:szCs w:val="20"/>
        </w:rPr>
        <w:t>. S tím souvisí i zjištění, že zatímco mezi studenty v denní for</w:t>
      </w:r>
      <w:r w:rsidR="00010A21">
        <w:rPr>
          <w:rFonts w:cs="Arial"/>
          <w:szCs w:val="20"/>
        </w:rPr>
        <w:t>mě vzdělávání bylo zahrnuto 92,6 </w:t>
      </w:r>
      <w:r w:rsidRPr="008A014E">
        <w:rPr>
          <w:rFonts w:cs="Arial"/>
          <w:szCs w:val="20"/>
        </w:rPr>
        <w:t>% studentů ve věku do 24 let, mezi studujícími jinou formou vzd</w:t>
      </w:r>
      <w:r w:rsidR="00980E0D">
        <w:rPr>
          <w:rFonts w:cs="Arial"/>
          <w:szCs w:val="20"/>
        </w:rPr>
        <w:t>ěl</w:t>
      </w:r>
      <w:r w:rsidR="00010A21">
        <w:rPr>
          <w:rFonts w:cs="Arial"/>
          <w:szCs w:val="20"/>
        </w:rPr>
        <w:t>ávání činil tento podíl jen 26,9</w:t>
      </w:r>
      <w:r w:rsidRPr="008A014E">
        <w:rPr>
          <w:rFonts w:cs="Arial"/>
          <w:szCs w:val="20"/>
        </w:rPr>
        <w:t xml:space="preserve"> % a téměř tři čtvrtiny </w:t>
      </w:r>
      <w:r w:rsidR="00010A21">
        <w:rPr>
          <w:rFonts w:cs="Arial"/>
          <w:szCs w:val="20"/>
        </w:rPr>
        <w:t>(73,1</w:t>
      </w:r>
      <w:r w:rsidR="00980E0D">
        <w:rPr>
          <w:rFonts w:cs="Arial"/>
          <w:szCs w:val="20"/>
        </w:rPr>
        <w:t xml:space="preserve"> %) </w:t>
      </w:r>
      <w:r w:rsidRPr="008A014E">
        <w:rPr>
          <w:rFonts w:cs="Arial"/>
          <w:szCs w:val="20"/>
        </w:rPr>
        <w:t>těchto studentů již byly ve věku 25 let a více.</w:t>
      </w:r>
    </w:p>
    <w:p w14:paraId="5E87FD98" w14:textId="62D0B444" w:rsidR="00FA7769" w:rsidRDefault="00FA7769" w:rsidP="00FA7769">
      <w:pPr>
        <w:keepNext/>
        <w:spacing w:after="120" w:line="240" w:lineRule="auto"/>
        <w:jc w:val="both"/>
        <w:rPr>
          <w:b/>
        </w:rPr>
      </w:pPr>
      <w:r>
        <w:rPr>
          <w:b/>
        </w:rPr>
        <w:t>Graf 5.</w:t>
      </w:r>
      <w:r w:rsidRPr="00C02F92">
        <w:rPr>
          <w:b/>
        </w:rPr>
        <w:t xml:space="preserve">3 </w:t>
      </w:r>
      <w:r>
        <w:rPr>
          <w:b/>
        </w:rPr>
        <w:t>Vyšší odborné školy</w:t>
      </w:r>
      <w:r w:rsidRPr="00C02F92">
        <w:rPr>
          <w:b/>
        </w:rPr>
        <w:t xml:space="preserve"> – rozdělení </w:t>
      </w:r>
      <w:r>
        <w:rPr>
          <w:b/>
        </w:rPr>
        <w:t>studentů</w:t>
      </w:r>
      <w:r w:rsidRPr="00C02F92">
        <w:rPr>
          <w:b/>
        </w:rPr>
        <w:t xml:space="preserve"> dle věku celkem, v denní formě vzdělávání a v os</w:t>
      </w:r>
      <w:r w:rsidR="00010A21">
        <w:rPr>
          <w:b/>
        </w:rPr>
        <w:t>tatních formách vzdělávání (2022/23</w:t>
      </w:r>
      <w:r w:rsidRPr="00C02F92">
        <w:rPr>
          <w:b/>
        </w:rPr>
        <w:t>)</w:t>
      </w:r>
    </w:p>
    <w:p w14:paraId="26188939" w14:textId="6CB71731" w:rsidR="00FA7769" w:rsidRPr="00F45E4C" w:rsidRDefault="00697448" w:rsidP="00F45E4C">
      <w:pPr>
        <w:keepNext/>
        <w:spacing w:after="120" w:line="240" w:lineRule="auto"/>
        <w:jc w:val="both"/>
        <w:rPr>
          <w:b/>
        </w:rPr>
      </w:pPr>
      <w:r>
        <w:rPr>
          <w:noProof/>
        </w:rPr>
        <w:drawing>
          <wp:inline distT="0" distB="0" distL="0" distR="0" wp14:anchorId="106069A9" wp14:editId="24099CAA">
            <wp:extent cx="6096000" cy="4219575"/>
            <wp:effectExtent l="0" t="0" r="0" b="9525"/>
            <wp:docPr id="63" name="Graf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550A3B" w14:textId="77777777" w:rsidR="00FA7769" w:rsidRDefault="00FA7769" w:rsidP="00AB0787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39948303" w14:textId="41F937E3" w:rsidR="00821CC7" w:rsidRPr="008A014E" w:rsidRDefault="00FA7769" w:rsidP="00FA7769">
      <w:pPr>
        <w:spacing w:after="0"/>
        <w:jc w:val="both"/>
        <w:rPr>
          <w:rFonts w:cs="Arial"/>
          <w:szCs w:val="20"/>
        </w:rPr>
      </w:pPr>
      <w:r w:rsidRPr="008A014E">
        <w:rPr>
          <w:rFonts w:cs="Arial"/>
          <w:szCs w:val="20"/>
        </w:rPr>
        <w:t xml:space="preserve">Graf </w:t>
      </w:r>
      <w:r>
        <w:rPr>
          <w:rFonts w:cs="Arial"/>
          <w:szCs w:val="20"/>
        </w:rPr>
        <w:t>5.</w:t>
      </w:r>
      <w:r w:rsidRPr="008A014E">
        <w:rPr>
          <w:rFonts w:cs="Arial"/>
          <w:szCs w:val="20"/>
        </w:rPr>
        <w:t>4 uvádí počty studentů vyššího odborného vz</w:t>
      </w:r>
      <w:r w:rsidR="00CE21B0">
        <w:rPr>
          <w:rFonts w:cs="Arial"/>
          <w:szCs w:val="20"/>
        </w:rPr>
        <w:t>dělá</w:t>
      </w:r>
      <w:r w:rsidR="00795460">
        <w:rPr>
          <w:rFonts w:cs="Arial"/>
          <w:szCs w:val="20"/>
        </w:rPr>
        <w:t>vání ve školních rocích 2017/18 a 2022/23</w:t>
      </w:r>
      <w:r w:rsidR="00F21AE9">
        <w:rPr>
          <w:rFonts w:cs="Arial"/>
          <w:szCs w:val="20"/>
        </w:rPr>
        <w:t xml:space="preserve"> dle skupin oborů vzdělávání</w:t>
      </w:r>
      <w:r w:rsidRPr="008A014E">
        <w:rPr>
          <w:rFonts w:cs="Arial"/>
          <w:szCs w:val="20"/>
        </w:rPr>
        <w:t>.</w:t>
      </w:r>
      <w:r w:rsidR="00CE21B0">
        <w:rPr>
          <w:rFonts w:cs="Arial"/>
          <w:szCs w:val="20"/>
        </w:rPr>
        <w:t xml:space="preserve"> </w:t>
      </w:r>
      <w:r w:rsidR="00564AA1">
        <w:rPr>
          <w:rFonts w:cs="Arial"/>
          <w:szCs w:val="20"/>
        </w:rPr>
        <w:t>Zahrn</w:t>
      </w:r>
      <w:r w:rsidR="00CE21B0">
        <w:rPr>
          <w:rFonts w:cs="Arial"/>
          <w:szCs w:val="20"/>
        </w:rPr>
        <w:t>uje pouze obory s více než 100 studentů</w:t>
      </w:r>
      <w:r w:rsidR="00795460">
        <w:rPr>
          <w:rFonts w:cs="Arial"/>
          <w:szCs w:val="20"/>
        </w:rPr>
        <w:t xml:space="preserve"> ve školním roce 2022/23</w:t>
      </w:r>
      <w:r w:rsidR="00CE21B0" w:rsidRPr="00480931">
        <w:rPr>
          <w:rFonts w:cs="Arial"/>
          <w:szCs w:val="20"/>
        </w:rPr>
        <w:t>.</w:t>
      </w:r>
      <w:r w:rsidRPr="00480931">
        <w:rPr>
          <w:rFonts w:cs="Arial"/>
          <w:szCs w:val="20"/>
        </w:rPr>
        <w:t xml:space="preserve"> </w:t>
      </w:r>
      <w:r w:rsidRPr="008951EA">
        <w:rPr>
          <w:rFonts w:cs="Arial"/>
          <w:szCs w:val="20"/>
        </w:rPr>
        <w:t>Jak je patrné,</w:t>
      </w:r>
      <w:r w:rsidRPr="00480931">
        <w:rPr>
          <w:rFonts w:cs="Arial"/>
          <w:szCs w:val="20"/>
        </w:rPr>
        <w:t xml:space="preserve"> v obou školních rocích byl nejvyšší počet studentů vyššího odborného vzdělávání zapsaný ve skupině oborů </w:t>
      </w:r>
      <w:r w:rsidRPr="008951EA">
        <w:rPr>
          <w:rFonts w:cs="Arial"/>
          <w:b/>
          <w:szCs w:val="20"/>
        </w:rPr>
        <w:t xml:space="preserve">zdravotnictví </w:t>
      </w:r>
      <w:r w:rsidRPr="00480931">
        <w:rPr>
          <w:rFonts w:cs="Arial"/>
          <w:szCs w:val="20"/>
        </w:rPr>
        <w:t xml:space="preserve">a dále ve skupině oborů </w:t>
      </w:r>
      <w:r w:rsidRPr="008951EA">
        <w:rPr>
          <w:rFonts w:cs="Arial"/>
          <w:b/>
          <w:szCs w:val="20"/>
        </w:rPr>
        <w:t>pedagogiky, učitelství a sociální péče</w:t>
      </w:r>
      <w:r w:rsidRPr="00480931">
        <w:rPr>
          <w:rFonts w:cs="Arial"/>
          <w:szCs w:val="20"/>
        </w:rPr>
        <w:t xml:space="preserve">. </w:t>
      </w:r>
      <w:r w:rsidR="00795460">
        <w:rPr>
          <w:rFonts w:cs="Arial"/>
          <w:szCs w:val="20"/>
        </w:rPr>
        <w:t>Tyto dvě skupiny oborů spolu se skupinou oborů umění a užité umění také jako jediné z oborů uvedených v grafu zaznamenaly za posledních pět let zvýšení počtu studentů - pedagogické obory o 37,6 %, zdravotnické o 11,2 % a umělecké o 35,6 %. K</w:t>
      </w:r>
      <w:r w:rsidR="00F40195">
        <w:rPr>
          <w:rFonts w:cs="Arial"/>
          <w:szCs w:val="20"/>
        </w:rPr>
        <w:t>romě toho se celkem 483 studentů</w:t>
      </w:r>
      <w:r w:rsidR="00795460">
        <w:rPr>
          <w:rFonts w:cs="Arial"/>
          <w:szCs w:val="20"/>
        </w:rPr>
        <w:t xml:space="preserve"> ve školním roce 2022/23 </w:t>
      </w:r>
      <w:r w:rsidR="00F40195">
        <w:rPr>
          <w:rFonts w:cs="Arial"/>
          <w:szCs w:val="20"/>
        </w:rPr>
        <w:t>vzdělávalo v oborech spadajících do veterinářství a veterinářské prevence, které ještě před pěti lety nestudoval žádný student vyšší odborné školy</w:t>
      </w:r>
      <w:r w:rsidR="00795460">
        <w:rPr>
          <w:rFonts w:cs="Arial"/>
          <w:szCs w:val="20"/>
        </w:rPr>
        <w:t xml:space="preserve">. </w:t>
      </w:r>
      <w:r w:rsidR="008951EA">
        <w:rPr>
          <w:rFonts w:cs="Arial"/>
          <w:szCs w:val="20"/>
        </w:rPr>
        <w:t xml:space="preserve">Naopak největší propad zaznamenaly </w:t>
      </w:r>
      <w:r w:rsidR="00795460">
        <w:rPr>
          <w:rFonts w:cs="Arial"/>
          <w:szCs w:val="20"/>
        </w:rPr>
        <w:t xml:space="preserve">ze skupin oborů uvedených v grafu ty, které </w:t>
      </w:r>
      <w:r w:rsidR="00F40195">
        <w:rPr>
          <w:rFonts w:cs="Arial"/>
          <w:szCs w:val="20"/>
        </w:rPr>
        <w:t>s</w:t>
      </w:r>
      <w:r w:rsidR="00795460">
        <w:rPr>
          <w:rFonts w:cs="Arial"/>
          <w:szCs w:val="20"/>
        </w:rPr>
        <w:t xml:space="preserve">e týkají publicistiky, </w:t>
      </w:r>
      <w:r w:rsidR="00795460">
        <w:rPr>
          <w:rFonts w:cs="Arial"/>
          <w:szCs w:val="20"/>
        </w:rPr>
        <w:lastRenderedPageBreak/>
        <w:t>knihovnictví a inform</w:t>
      </w:r>
      <w:r w:rsidR="00617820">
        <w:rPr>
          <w:rFonts w:cs="Arial"/>
          <w:szCs w:val="20"/>
        </w:rPr>
        <w:t>atiky (o 52,1 %),</w:t>
      </w:r>
      <w:r w:rsidR="00D168A1">
        <w:rPr>
          <w:rFonts w:cs="Arial"/>
          <w:szCs w:val="20"/>
        </w:rPr>
        <w:t xml:space="preserve"> e</w:t>
      </w:r>
      <w:r w:rsidR="00795460">
        <w:rPr>
          <w:rFonts w:cs="Arial"/>
          <w:szCs w:val="20"/>
        </w:rPr>
        <w:t>konomiky a administrativy</w:t>
      </w:r>
      <w:r w:rsidR="008951EA">
        <w:rPr>
          <w:rFonts w:cs="Arial"/>
          <w:szCs w:val="20"/>
        </w:rPr>
        <w:t xml:space="preserve"> (</w:t>
      </w:r>
      <w:r w:rsidR="00795460">
        <w:rPr>
          <w:rFonts w:cs="Arial"/>
          <w:szCs w:val="20"/>
        </w:rPr>
        <w:t>o 46,2 %</w:t>
      </w:r>
      <w:r w:rsidR="008951EA">
        <w:rPr>
          <w:rFonts w:cs="Arial"/>
          <w:szCs w:val="20"/>
        </w:rPr>
        <w:t>)</w:t>
      </w:r>
      <w:r w:rsidR="00617820">
        <w:rPr>
          <w:rFonts w:cs="Arial"/>
          <w:szCs w:val="20"/>
        </w:rPr>
        <w:t xml:space="preserve"> a strojírenství a strojírenské výroby (34,8 %)</w:t>
      </w:r>
      <w:r w:rsidR="006D431E">
        <w:rPr>
          <w:rFonts w:cs="Arial"/>
          <w:szCs w:val="20"/>
        </w:rPr>
        <w:t>.</w:t>
      </w:r>
      <w:r w:rsidR="006C46E7">
        <w:rPr>
          <w:rStyle w:val="Znakapoznpodarou"/>
          <w:rFonts w:cs="Arial"/>
          <w:szCs w:val="20"/>
        </w:rPr>
        <w:footnoteReference w:id="4"/>
      </w:r>
    </w:p>
    <w:p w14:paraId="3A157694" w14:textId="77777777" w:rsidR="00FA7769" w:rsidRPr="008A014E" w:rsidRDefault="00FA7769" w:rsidP="00FA7769">
      <w:pPr>
        <w:spacing w:after="0"/>
        <w:jc w:val="both"/>
        <w:rPr>
          <w:rFonts w:cs="Arial"/>
          <w:szCs w:val="20"/>
        </w:rPr>
      </w:pPr>
    </w:p>
    <w:p w14:paraId="6472E5E7" w14:textId="32AEA7AF" w:rsidR="00FA7769" w:rsidRDefault="00FA7769" w:rsidP="00FA7769">
      <w:pPr>
        <w:keepNext/>
        <w:spacing w:after="120" w:line="240" w:lineRule="auto"/>
        <w:rPr>
          <w:i/>
        </w:rPr>
      </w:pPr>
      <w:r>
        <w:rPr>
          <w:b/>
        </w:rPr>
        <w:t>Graf 5.4</w:t>
      </w:r>
      <w:r w:rsidRPr="00E86076">
        <w:rPr>
          <w:b/>
        </w:rPr>
        <w:t xml:space="preserve"> Vyšší odborné školy – počet studentů dle oboru vzdělávání </w:t>
      </w:r>
      <w:r w:rsidR="00D4645C" w:rsidRPr="00D4645C">
        <w:rPr>
          <w:i/>
        </w:rPr>
        <w:t>(pouze obory s více než 100 žáků)</w:t>
      </w:r>
    </w:p>
    <w:p w14:paraId="26EABC77" w14:textId="1CA3449C" w:rsidR="00FA7769" w:rsidRPr="00070303" w:rsidRDefault="00B64671" w:rsidP="00CE21B0">
      <w:pPr>
        <w:keepNext/>
        <w:spacing w:after="120" w:line="240" w:lineRule="auto"/>
        <w:rPr>
          <w:i/>
        </w:rPr>
      </w:pPr>
      <w:r>
        <w:rPr>
          <w:noProof/>
        </w:rPr>
        <w:drawing>
          <wp:inline distT="0" distB="0" distL="0" distR="0" wp14:anchorId="5F2B0F41" wp14:editId="02695DEC">
            <wp:extent cx="5686425" cy="4476750"/>
            <wp:effectExtent l="0" t="0" r="9525" b="0"/>
            <wp:docPr id="64" name="Graf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4CEA23" w14:textId="77777777" w:rsidR="00FA7769" w:rsidRDefault="00FA7769" w:rsidP="00D8357D">
      <w:pPr>
        <w:spacing w:after="120"/>
        <w:jc w:val="right"/>
        <w:rPr>
          <w:rFonts w:cs="Arial"/>
          <w:sz w:val="18"/>
        </w:rPr>
      </w:pPr>
      <w:r w:rsidRPr="00F94849">
        <w:rPr>
          <w:rFonts w:cs="Arial"/>
          <w:sz w:val="18"/>
        </w:rPr>
        <w:t>Zdroj: ČSÚ</w:t>
      </w:r>
      <w:r w:rsidRPr="00F94849">
        <w:rPr>
          <w:rFonts w:cs="Arial"/>
          <w:noProof/>
        </w:rPr>
        <w:t xml:space="preserve"> </w:t>
      </w:r>
      <w:r w:rsidRPr="00307699">
        <w:rPr>
          <w:rFonts w:cs="Arial"/>
          <w:sz w:val="18"/>
        </w:rPr>
        <w:t>podle údajů MŠMT</w:t>
      </w:r>
    </w:p>
    <w:p w14:paraId="39CC6117" w14:textId="05278994" w:rsidR="00FF6B7E" w:rsidRPr="00480931" w:rsidRDefault="00FA7769" w:rsidP="00D8357D">
      <w:pPr>
        <w:spacing w:after="120"/>
        <w:jc w:val="both"/>
        <w:rPr>
          <w:rFonts w:cs="Arial"/>
          <w:color w:val="FF0000"/>
          <w:szCs w:val="20"/>
        </w:rPr>
      </w:pPr>
      <w:r w:rsidRPr="008A014E">
        <w:rPr>
          <w:rFonts w:cs="Arial"/>
          <w:szCs w:val="20"/>
        </w:rPr>
        <w:t xml:space="preserve">Vzhledem k převaze studentů oborů ze skupiny zdravotnictví a ze skupiny pedagogiky, učitelství a sociální péče není překvapivé, že celkově mezi studenty vyšších odborných škol </w:t>
      </w:r>
      <w:r w:rsidRPr="00D8357D">
        <w:rPr>
          <w:rFonts w:cs="Arial"/>
          <w:b/>
          <w:szCs w:val="20"/>
        </w:rPr>
        <w:t>převažovaly ženy nad muži</w:t>
      </w:r>
      <w:r w:rsidRPr="008A014E">
        <w:rPr>
          <w:rFonts w:cs="Arial"/>
          <w:szCs w:val="20"/>
        </w:rPr>
        <w:t>. Jak je výše uvedeno, ve školním ro</w:t>
      </w:r>
      <w:r w:rsidR="00EC214F">
        <w:rPr>
          <w:rFonts w:cs="Arial"/>
          <w:szCs w:val="20"/>
        </w:rPr>
        <w:t>ce 2022/23</w:t>
      </w:r>
      <w:r w:rsidRPr="008A014E">
        <w:rPr>
          <w:rFonts w:cs="Arial"/>
          <w:szCs w:val="20"/>
        </w:rPr>
        <w:t xml:space="preserve"> tvořily </w:t>
      </w:r>
      <w:r w:rsidR="00D8357D">
        <w:rPr>
          <w:rFonts w:cs="Arial"/>
          <w:szCs w:val="20"/>
        </w:rPr>
        <w:t>více</w:t>
      </w:r>
      <w:r w:rsidR="00EC214F">
        <w:rPr>
          <w:rFonts w:cs="Arial"/>
          <w:szCs w:val="20"/>
        </w:rPr>
        <w:t xml:space="preserve"> než</w:t>
      </w:r>
      <w:r w:rsidR="00D8357D">
        <w:rPr>
          <w:rFonts w:cs="Arial"/>
          <w:szCs w:val="20"/>
        </w:rPr>
        <w:t xml:space="preserve"> </w:t>
      </w:r>
      <w:r w:rsidRPr="008A014E">
        <w:rPr>
          <w:rFonts w:cs="Arial"/>
          <w:szCs w:val="20"/>
        </w:rPr>
        <w:t>tři čtvrtiny všech studentů</w:t>
      </w:r>
      <w:r w:rsidR="00EC214F">
        <w:rPr>
          <w:rFonts w:cs="Arial"/>
          <w:szCs w:val="20"/>
        </w:rPr>
        <w:t xml:space="preserve"> (77,2</w:t>
      </w:r>
      <w:r w:rsidR="00D8357D">
        <w:rPr>
          <w:rFonts w:cs="Arial"/>
          <w:szCs w:val="20"/>
        </w:rPr>
        <w:t> %)</w:t>
      </w:r>
      <w:r w:rsidRPr="008A014E">
        <w:rPr>
          <w:rFonts w:cs="Arial"/>
          <w:szCs w:val="20"/>
        </w:rPr>
        <w:t>. R</w:t>
      </w:r>
      <w:r w:rsidR="001350AD">
        <w:rPr>
          <w:rFonts w:cs="Arial"/>
          <w:szCs w:val="20"/>
        </w:rPr>
        <w:t xml:space="preserve">ovněž </w:t>
      </w:r>
      <w:r w:rsidRPr="00D8357D">
        <w:rPr>
          <w:rFonts w:cs="Arial"/>
          <w:b/>
          <w:szCs w:val="20"/>
        </w:rPr>
        <w:t>mezi učiteli</w:t>
      </w:r>
      <w:r w:rsidRPr="008A014E">
        <w:rPr>
          <w:rFonts w:cs="Arial"/>
          <w:szCs w:val="20"/>
        </w:rPr>
        <w:t xml:space="preserve"> </w:t>
      </w:r>
      <w:r w:rsidR="009A08D1">
        <w:rPr>
          <w:rFonts w:cs="Arial"/>
          <w:szCs w:val="20"/>
        </w:rPr>
        <w:t xml:space="preserve">vyšších odborných škol </w:t>
      </w:r>
      <w:r w:rsidRPr="008A014E">
        <w:rPr>
          <w:rFonts w:cs="Arial"/>
          <w:szCs w:val="20"/>
        </w:rPr>
        <w:t>převažovaly</w:t>
      </w:r>
      <w:r w:rsidR="00480931">
        <w:rPr>
          <w:rFonts w:cs="Arial"/>
          <w:szCs w:val="20"/>
        </w:rPr>
        <w:t xml:space="preserve"> ženy nad muži (tvořily</w:t>
      </w:r>
      <w:r w:rsidRPr="008A014E">
        <w:rPr>
          <w:rFonts w:cs="Arial"/>
          <w:szCs w:val="20"/>
        </w:rPr>
        <w:t xml:space="preserve"> dvě třetiny</w:t>
      </w:r>
      <w:r w:rsidR="00EC214F">
        <w:rPr>
          <w:rFonts w:cs="Arial"/>
          <w:szCs w:val="20"/>
        </w:rPr>
        <w:t>, tedy 67,5</w:t>
      </w:r>
      <w:r w:rsidR="00D8357D">
        <w:rPr>
          <w:rFonts w:cs="Arial"/>
          <w:szCs w:val="20"/>
        </w:rPr>
        <w:t> %</w:t>
      </w:r>
      <w:r w:rsidRPr="008A014E">
        <w:rPr>
          <w:rFonts w:cs="Arial"/>
          <w:szCs w:val="20"/>
        </w:rPr>
        <w:t xml:space="preserve">), a to ve větší míře, než jak </w:t>
      </w:r>
      <w:r w:rsidR="001350AD">
        <w:rPr>
          <w:rFonts w:cs="Arial"/>
          <w:szCs w:val="20"/>
        </w:rPr>
        <w:t>tomu bylo u </w:t>
      </w:r>
      <w:r w:rsidRPr="008A014E">
        <w:rPr>
          <w:rFonts w:cs="Arial"/>
          <w:szCs w:val="20"/>
        </w:rPr>
        <w:t>středních škol (zde tvořily tři pětiny). Podíl žen mezi učiteli má přitom se zvyšující se úrovní vzdělávání tendenci spíše klesat.</w:t>
      </w:r>
      <w:r w:rsidR="00FE7756">
        <w:rPr>
          <w:rFonts w:cs="Arial"/>
          <w:szCs w:val="20"/>
        </w:rPr>
        <w:t xml:space="preserve"> Nejen u</w:t>
      </w:r>
      <w:r w:rsidR="0079432E">
        <w:rPr>
          <w:rFonts w:cs="Arial"/>
          <w:szCs w:val="20"/>
        </w:rPr>
        <w:t xml:space="preserve"> </w:t>
      </w:r>
      <w:r w:rsidR="005A1896">
        <w:rPr>
          <w:rFonts w:cs="Arial"/>
          <w:szCs w:val="20"/>
        </w:rPr>
        <w:t xml:space="preserve">genderového složení </w:t>
      </w:r>
      <w:r w:rsidR="008A509B">
        <w:rPr>
          <w:rFonts w:cs="Arial"/>
          <w:szCs w:val="20"/>
        </w:rPr>
        <w:t>studentů</w:t>
      </w:r>
      <w:r w:rsidR="00FE7756">
        <w:rPr>
          <w:rFonts w:cs="Arial"/>
          <w:szCs w:val="20"/>
        </w:rPr>
        <w:t>, ale též</w:t>
      </w:r>
      <w:r w:rsidR="008A509B">
        <w:rPr>
          <w:rFonts w:cs="Arial"/>
          <w:szCs w:val="20"/>
        </w:rPr>
        <w:t xml:space="preserve"> </w:t>
      </w:r>
      <w:r w:rsidR="0079432E">
        <w:rPr>
          <w:rFonts w:cs="Arial"/>
          <w:szCs w:val="20"/>
        </w:rPr>
        <w:t xml:space="preserve">učitelů </w:t>
      </w:r>
      <w:r w:rsidR="00FE7756">
        <w:rPr>
          <w:rFonts w:cs="Arial"/>
          <w:szCs w:val="20"/>
        </w:rPr>
        <w:t xml:space="preserve">tak </w:t>
      </w:r>
      <w:r w:rsidR="005A1896">
        <w:rPr>
          <w:rFonts w:cs="Arial"/>
          <w:szCs w:val="20"/>
        </w:rPr>
        <w:t>pravděpodobně hraje</w:t>
      </w:r>
      <w:r w:rsidR="0079432E">
        <w:rPr>
          <w:rFonts w:cs="Arial"/>
          <w:szCs w:val="20"/>
        </w:rPr>
        <w:t xml:space="preserve"> roli relativně větší zastoupení oborů typických pro ženy ve vyšších odborných školách.</w:t>
      </w:r>
    </w:p>
    <w:sectPr w:rsidR="00FF6B7E" w:rsidRPr="00480931" w:rsidSect="006F5416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797C" w14:textId="77777777" w:rsidR="00034145" w:rsidRDefault="00034145" w:rsidP="00E71A58">
      <w:r>
        <w:separator/>
      </w:r>
    </w:p>
  </w:endnote>
  <w:endnote w:type="continuationSeparator" w:id="0">
    <w:p w14:paraId="4A33D9AA" w14:textId="77777777" w:rsidR="00034145" w:rsidRDefault="0003414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270E" w14:textId="111BC646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9776" behindDoc="0" locked="0" layoutInCell="1" allowOverlap="1" wp14:anchorId="44869E7E" wp14:editId="7B7B3158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120976">
      <w:rPr>
        <w:szCs w:val="16"/>
      </w:rPr>
      <w:t>4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rStyle w:val="ZpatChar"/>
        <w:szCs w:val="16"/>
      </w:rPr>
      <w:t>Školní rok 2022/2023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BFAD" w14:textId="0CAD27FC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728" behindDoc="0" locked="0" layoutInCell="1" allowOverlap="1" wp14:anchorId="4020FA8D" wp14:editId="4C38B72F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Školní rok 2022/2023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120976">
      <w:rPr>
        <w:rStyle w:val="ZpatChar"/>
        <w:szCs w:val="16"/>
      </w:rPr>
      <w:t>5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106C" w14:textId="77777777" w:rsidR="00034145" w:rsidRDefault="00034145" w:rsidP="00E71A58">
      <w:r>
        <w:separator/>
      </w:r>
    </w:p>
  </w:footnote>
  <w:footnote w:type="continuationSeparator" w:id="0">
    <w:p w14:paraId="1BC13A25" w14:textId="77777777" w:rsidR="00034145" w:rsidRDefault="00034145" w:rsidP="00E71A58">
      <w:r>
        <w:continuationSeparator/>
      </w:r>
    </w:p>
  </w:footnote>
  <w:footnote w:id="1">
    <w:p w14:paraId="5AF7C71C" w14:textId="2565C9E0" w:rsidR="0028381B" w:rsidRPr="0091489A" w:rsidRDefault="0028381B" w:rsidP="00D74CA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1489A">
        <w:rPr>
          <w:rStyle w:val="Znakapoznpodarou"/>
          <w:rFonts w:ascii="Arial" w:hAnsi="Arial" w:cs="Arial"/>
          <w:sz w:val="18"/>
          <w:szCs w:val="18"/>
        </w:rPr>
        <w:footnoteRef/>
      </w:r>
      <w:r w:rsidRPr="0091489A">
        <w:rPr>
          <w:rFonts w:ascii="Arial" w:hAnsi="Arial" w:cs="Arial"/>
          <w:sz w:val="18"/>
          <w:szCs w:val="18"/>
        </w:rPr>
        <w:t xml:space="preserve"> </w:t>
      </w:r>
      <w:r w:rsidRPr="00692076">
        <w:rPr>
          <w:rFonts w:ascii="Arial" w:hAnsi="Arial" w:cs="Arial"/>
          <w:sz w:val="18"/>
          <w:szCs w:val="18"/>
        </w:rPr>
        <w:t xml:space="preserve">Podle klasifikace ISCED se vzdělávání na mezinárodní úrovni dělí na vzdělávání v raném dětství (ISCED 0), primární vzdělávání (ISCED 1), nižší sekundární vzdělávání (ISCED 2), vyšší sekundární vzdělávání (ISCED 3), postsekundární neterciární vzdělávání (ISCED 4), krátký cyklus terciárního vzdělávání (ISCED 5) </w:t>
      </w:r>
      <w:r>
        <w:rPr>
          <w:rFonts w:ascii="Arial" w:hAnsi="Arial" w:cs="Arial"/>
          <w:sz w:val="18"/>
          <w:szCs w:val="18"/>
        </w:rPr>
        <w:t>a terciární vzdělávání (ISCED 6–</w:t>
      </w:r>
      <w:r w:rsidRPr="00692076">
        <w:rPr>
          <w:rFonts w:ascii="Arial" w:hAnsi="Arial" w:cs="Arial"/>
          <w:sz w:val="18"/>
          <w:szCs w:val="18"/>
        </w:rPr>
        <w:t xml:space="preserve">8). Více viz zde: </w:t>
      </w:r>
      <w:hyperlink r:id="rId1" w:history="1">
        <w:r w:rsidRPr="00692076">
          <w:rPr>
            <w:rStyle w:val="Hypertextovodkaz"/>
            <w:rFonts w:ascii="Arial" w:hAnsi="Arial" w:cs="Arial"/>
            <w:sz w:val="18"/>
            <w:szCs w:val="18"/>
          </w:rPr>
          <w:t>https://www.czso.cz/csu/czso/klasifikace_vzdelani_cz_isced_2011</w:t>
        </w:r>
      </w:hyperlink>
      <w:r w:rsidRPr="00692076">
        <w:rPr>
          <w:rFonts w:ascii="Arial" w:hAnsi="Arial" w:cs="Arial"/>
          <w:sz w:val="18"/>
          <w:szCs w:val="18"/>
        </w:rPr>
        <w:t xml:space="preserve">. </w:t>
      </w:r>
      <w:r w:rsidRPr="00692076">
        <w:rPr>
          <w:rFonts w:ascii="Arial" w:eastAsia="Arial" w:hAnsi="Arial" w:cs="Arial"/>
          <w:color w:val="000000"/>
          <w:sz w:val="18"/>
          <w:szCs w:val="18"/>
        </w:rPr>
        <w:t xml:space="preserve">V současné době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však </w:t>
      </w:r>
      <w:r w:rsidRPr="00692076">
        <w:rPr>
          <w:rFonts w:ascii="Arial" w:eastAsia="Arial" w:hAnsi="Arial" w:cs="Arial"/>
          <w:color w:val="000000"/>
          <w:sz w:val="18"/>
          <w:szCs w:val="18"/>
        </w:rPr>
        <w:t>probíhá na základě podnětu OECD debata o zpřesnění definici úrovně ISCED 6 kvůli rozdílnému p</w:t>
      </w:r>
      <w:r>
        <w:rPr>
          <w:rFonts w:ascii="Arial" w:eastAsia="Arial" w:hAnsi="Arial" w:cs="Arial"/>
          <w:color w:val="000000"/>
          <w:sz w:val="18"/>
          <w:szCs w:val="18"/>
        </w:rPr>
        <w:t>ojetí "bakalářských" programů v </w:t>
      </w:r>
      <w:r w:rsidRPr="00692076">
        <w:rPr>
          <w:rFonts w:ascii="Arial" w:eastAsia="Arial" w:hAnsi="Arial" w:cs="Arial"/>
          <w:color w:val="000000"/>
          <w:sz w:val="18"/>
          <w:szCs w:val="18"/>
        </w:rPr>
        <w:t xml:space="preserve">různých zemích, viz zde: </w:t>
      </w:r>
      <w:hyperlink r:id="rId2" w:anchor="section-d1e3848" w:history="1">
        <w:r w:rsidRPr="005C3B30">
          <w:rPr>
            <w:rStyle w:val="Hypertextovodkaz"/>
            <w:rFonts w:ascii="Arial" w:eastAsia="Arial" w:hAnsi="Arial" w:cs="Arial"/>
            <w:sz w:val="18"/>
            <w:szCs w:val="18"/>
          </w:rPr>
          <w:t>www.oecd-ilibrary.org/sites/a81152f4-en/1/3/1/index.html?itemId=/content/publication/a81152f4-en&amp;_csp_=6b3f27abfd94c3159a3215a6acc9141b&amp;itemIGO=oecd&amp;itemContentType=book#section-d1e3848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2">
    <w:p w14:paraId="0E98A504" w14:textId="2E36BAA3" w:rsidR="0028381B" w:rsidRDefault="0028381B" w:rsidP="00D74CA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80BF8">
        <w:rPr>
          <w:rFonts w:ascii="Arial" w:hAnsi="Arial" w:cs="Arial"/>
          <w:sz w:val="18"/>
          <w:szCs w:val="18"/>
        </w:rPr>
        <w:t>Školou je myšlen právní subjekt s jedním ředitelstvím, které může zahrnovat více odloučených pracovišť, jakož i více úrovní a druhů vzdělávání.</w:t>
      </w:r>
    </w:p>
  </w:footnote>
  <w:footnote w:id="3">
    <w:p w14:paraId="4083D19D" w14:textId="41A7E7BF" w:rsidR="0028381B" w:rsidRPr="00162DAF" w:rsidRDefault="0028381B" w:rsidP="006178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62DAF">
        <w:rPr>
          <w:rFonts w:eastAsia="Arial"/>
          <w:color w:val="000000"/>
          <w:sz w:val="18"/>
          <w:szCs w:val="18"/>
        </w:rPr>
        <w:t xml:space="preserve">V budoucnu se může objevit trend redukce počtu VOŠ a jejich převedení na bakalářské obory vysokých škol, jak se </w:t>
      </w:r>
      <w:r>
        <w:rPr>
          <w:rFonts w:eastAsia="Arial"/>
          <w:color w:val="000000"/>
          <w:sz w:val="18"/>
          <w:szCs w:val="18"/>
        </w:rPr>
        <w:t>v minulém roce</w:t>
      </w:r>
      <w:r w:rsidRPr="00162DAF">
        <w:rPr>
          <w:rFonts w:eastAsia="Arial"/>
          <w:color w:val="000000"/>
          <w:sz w:val="18"/>
          <w:szCs w:val="18"/>
        </w:rPr>
        <w:t xml:space="preserve"> například </w:t>
      </w:r>
      <w:r>
        <w:rPr>
          <w:rFonts w:eastAsia="Arial"/>
          <w:color w:val="000000"/>
          <w:sz w:val="18"/>
          <w:szCs w:val="18"/>
        </w:rPr>
        <w:t xml:space="preserve">dělo </w:t>
      </w:r>
      <w:r w:rsidRPr="00162DAF">
        <w:rPr>
          <w:rFonts w:eastAsia="Arial"/>
          <w:color w:val="000000"/>
          <w:sz w:val="18"/>
          <w:szCs w:val="18"/>
        </w:rPr>
        <w:t>na Vysočině kvůli sníženému zájmu studentů.</w:t>
      </w:r>
      <w:r>
        <w:rPr>
          <w:rFonts w:eastAsia="Arial"/>
          <w:color w:val="000000"/>
          <w:sz w:val="18"/>
          <w:szCs w:val="18"/>
        </w:rPr>
        <w:t xml:space="preserve"> Viz zde:</w:t>
      </w:r>
    </w:p>
    <w:p w14:paraId="0041E40C" w14:textId="2E3A4B5D" w:rsidR="0028381B" w:rsidRPr="00162DAF" w:rsidRDefault="00034145" w:rsidP="00162D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sz w:val="18"/>
          <w:szCs w:val="18"/>
        </w:rPr>
      </w:pPr>
      <w:hyperlink r:id="rId3" w:history="1">
        <w:r w:rsidR="0028381B" w:rsidRPr="005C3B30">
          <w:rPr>
            <w:rStyle w:val="Hypertextovodkaz"/>
            <w:rFonts w:eastAsia="Arial"/>
            <w:sz w:val="18"/>
            <w:szCs w:val="18"/>
          </w:rPr>
          <w:t>www.idnes.cz/jihlava/zpravy/skola-vyssi-odborna-vysocina-vzdelavani-studium-podpora.A220428_662245_jihlava-zpravy_mv</w:t>
        </w:r>
      </w:hyperlink>
      <w:r w:rsidR="0028381B">
        <w:rPr>
          <w:rFonts w:eastAsia="Arial"/>
          <w:color w:val="000000"/>
          <w:sz w:val="18"/>
          <w:szCs w:val="18"/>
        </w:rPr>
        <w:t xml:space="preserve"> </w:t>
      </w:r>
    </w:p>
  </w:footnote>
  <w:footnote w:id="4">
    <w:p w14:paraId="59FAE154" w14:textId="174F2982" w:rsidR="0028381B" w:rsidRDefault="002838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46E7">
        <w:rPr>
          <w:rFonts w:ascii="Arial" w:hAnsi="Arial" w:cs="Arial"/>
          <w:sz w:val="18"/>
          <w:szCs w:val="18"/>
        </w:rPr>
        <w:t xml:space="preserve">Možno srovnat s mírou nezaměstnanosti absolventů skupin oborů vyučovaných na vyšších odborných školách, viz zde: </w:t>
      </w:r>
      <w:hyperlink r:id="rId4" w:history="1">
        <w:r w:rsidRPr="005C3B30">
          <w:rPr>
            <w:rStyle w:val="Hypertextovodkaz"/>
            <w:rFonts w:ascii="Arial" w:eastAsia="Arial" w:hAnsi="Arial" w:cs="Arial"/>
            <w:sz w:val="18"/>
            <w:szCs w:val="18"/>
          </w:rPr>
          <w:t>https://infoabsolvent.cz/Temata/PublikaceAbsolventi?Stranka=9-0-178&amp;NazevSeo=Nezamestnanost-absolventu-skol-se-strednim-a-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5BA4" w14:textId="77777777" w:rsidR="0028381B" w:rsidRPr="005859FB" w:rsidRDefault="0028381B" w:rsidP="005859FB">
    <w:pPr>
      <w:pStyle w:val="Zhlav"/>
    </w:pPr>
    <w:r>
      <w:t>Školy a školská zařízení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019" w14:textId="77777777" w:rsidR="0028381B" w:rsidRPr="006F5416" w:rsidRDefault="0028381B" w:rsidP="00937AE2">
    <w:pPr>
      <w:pStyle w:val="Zhlav"/>
    </w:pPr>
    <w:r>
      <w:t>Školy a školská zařízení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032D4"/>
    <w:multiLevelType w:val="hybridMultilevel"/>
    <w:tmpl w:val="865A8EB2"/>
    <w:lvl w:ilvl="0" w:tplc="F68AA2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D4AED"/>
    <w:multiLevelType w:val="hybridMultilevel"/>
    <w:tmpl w:val="891EC2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E18D8"/>
    <w:multiLevelType w:val="hybridMultilevel"/>
    <w:tmpl w:val="89806270"/>
    <w:lvl w:ilvl="0" w:tplc="578C2E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53796B"/>
    <w:multiLevelType w:val="hybridMultilevel"/>
    <w:tmpl w:val="B86EC8CA"/>
    <w:lvl w:ilvl="0" w:tplc="043493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2"/>
    <w:rsid w:val="00001C7F"/>
    <w:rsid w:val="00001F1A"/>
    <w:rsid w:val="0000209D"/>
    <w:rsid w:val="00002954"/>
    <w:rsid w:val="00002D74"/>
    <w:rsid w:val="000031F2"/>
    <w:rsid w:val="00004450"/>
    <w:rsid w:val="00004D5A"/>
    <w:rsid w:val="000050C6"/>
    <w:rsid w:val="000056D5"/>
    <w:rsid w:val="00007555"/>
    <w:rsid w:val="0000767A"/>
    <w:rsid w:val="00010702"/>
    <w:rsid w:val="00010A21"/>
    <w:rsid w:val="00011849"/>
    <w:rsid w:val="00012274"/>
    <w:rsid w:val="00012510"/>
    <w:rsid w:val="000129C3"/>
    <w:rsid w:val="000136A4"/>
    <w:rsid w:val="00013F31"/>
    <w:rsid w:val="00014499"/>
    <w:rsid w:val="00014D8F"/>
    <w:rsid w:val="00014F55"/>
    <w:rsid w:val="00015CF8"/>
    <w:rsid w:val="00016992"/>
    <w:rsid w:val="00016CA9"/>
    <w:rsid w:val="00017BDF"/>
    <w:rsid w:val="00017D11"/>
    <w:rsid w:val="00021636"/>
    <w:rsid w:val="000216C6"/>
    <w:rsid w:val="000224E7"/>
    <w:rsid w:val="000234D6"/>
    <w:rsid w:val="00023AA4"/>
    <w:rsid w:val="00023D29"/>
    <w:rsid w:val="00023F23"/>
    <w:rsid w:val="00024EB8"/>
    <w:rsid w:val="0002572C"/>
    <w:rsid w:val="000259A0"/>
    <w:rsid w:val="00026389"/>
    <w:rsid w:val="0002773A"/>
    <w:rsid w:val="00031209"/>
    <w:rsid w:val="00031AE0"/>
    <w:rsid w:val="000322EF"/>
    <w:rsid w:val="00033EFE"/>
    <w:rsid w:val="00033FA8"/>
    <w:rsid w:val="00033FCD"/>
    <w:rsid w:val="00034145"/>
    <w:rsid w:val="0003595E"/>
    <w:rsid w:val="000367D8"/>
    <w:rsid w:val="00036C45"/>
    <w:rsid w:val="0003718B"/>
    <w:rsid w:val="00040343"/>
    <w:rsid w:val="0004057F"/>
    <w:rsid w:val="000406B9"/>
    <w:rsid w:val="0004121F"/>
    <w:rsid w:val="000413F5"/>
    <w:rsid w:val="00041CEC"/>
    <w:rsid w:val="000421D8"/>
    <w:rsid w:val="00042719"/>
    <w:rsid w:val="00043865"/>
    <w:rsid w:val="000442C8"/>
    <w:rsid w:val="0004467E"/>
    <w:rsid w:val="000456A5"/>
    <w:rsid w:val="000459D5"/>
    <w:rsid w:val="00045C29"/>
    <w:rsid w:val="00046372"/>
    <w:rsid w:val="00046393"/>
    <w:rsid w:val="00046430"/>
    <w:rsid w:val="0004694F"/>
    <w:rsid w:val="00046C2B"/>
    <w:rsid w:val="000473B9"/>
    <w:rsid w:val="0004758E"/>
    <w:rsid w:val="000476CE"/>
    <w:rsid w:val="000512A3"/>
    <w:rsid w:val="00051EBB"/>
    <w:rsid w:val="000522E4"/>
    <w:rsid w:val="000530DE"/>
    <w:rsid w:val="000532DE"/>
    <w:rsid w:val="0005392F"/>
    <w:rsid w:val="00054851"/>
    <w:rsid w:val="00054EB9"/>
    <w:rsid w:val="00054F20"/>
    <w:rsid w:val="0005583F"/>
    <w:rsid w:val="000564AE"/>
    <w:rsid w:val="00056F13"/>
    <w:rsid w:val="00056F30"/>
    <w:rsid w:val="00056F98"/>
    <w:rsid w:val="000600CC"/>
    <w:rsid w:val="00060973"/>
    <w:rsid w:val="00060A25"/>
    <w:rsid w:val="000610E1"/>
    <w:rsid w:val="0006164B"/>
    <w:rsid w:val="00062CD3"/>
    <w:rsid w:val="00062EC5"/>
    <w:rsid w:val="00062F22"/>
    <w:rsid w:val="000631CF"/>
    <w:rsid w:val="00064844"/>
    <w:rsid w:val="000648BE"/>
    <w:rsid w:val="00064A90"/>
    <w:rsid w:val="00065051"/>
    <w:rsid w:val="0006559B"/>
    <w:rsid w:val="00065939"/>
    <w:rsid w:val="00065D55"/>
    <w:rsid w:val="00066569"/>
    <w:rsid w:val="00066F37"/>
    <w:rsid w:val="00070303"/>
    <w:rsid w:val="000712B3"/>
    <w:rsid w:val="00072D5C"/>
    <w:rsid w:val="00072DC6"/>
    <w:rsid w:val="00072FCD"/>
    <w:rsid w:val="00074945"/>
    <w:rsid w:val="00075235"/>
    <w:rsid w:val="0007535D"/>
    <w:rsid w:val="00077BD2"/>
    <w:rsid w:val="00081DD4"/>
    <w:rsid w:val="00082393"/>
    <w:rsid w:val="0008263E"/>
    <w:rsid w:val="00082C19"/>
    <w:rsid w:val="00083744"/>
    <w:rsid w:val="00083E6D"/>
    <w:rsid w:val="0008474B"/>
    <w:rsid w:val="000851C8"/>
    <w:rsid w:val="00085395"/>
    <w:rsid w:val="00085FF4"/>
    <w:rsid w:val="00086A75"/>
    <w:rsid w:val="00087634"/>
    <w:rsid w:val="00087CAE"/>
    <w:rsid w:val="00087D9B"/>
    <w:rsid w:val="00087F2B"/>
    <w:rsid w:val="0009041B"/>
    <w:rsid w:val="0009074B"/>
    <w:rsid w:val="000910EB"/>
    <w:rsid w:val="000916D1"/>
    <w:rsid w:val="000917DE"/>
    <w:rsid w:val="000917FC"/>
    <w:rsid w:val="00091BCC"/>
    <w:rsid w:val="00091D15"/>
    <w:rsid w:val="00091E88"/>
    <w:rsid w:val="000921D2"/>
    <w:rsid w:val="00092EDC"/>
    <w:rsid w:val="0009362C"/>
    <w:rsid w:val="00094B99"/>
    <w:rsid w:val="000974D1"/>
    <w:rsid w:val="0009799E"/>
    <w:rsid w:val="000A0794"/>
    <w:rsid w:val="000A1183"/>
    <w:rsid w:val="000A256D"/>
    <w:rsid w:val="000A3878"/>
    <w:rsid w:val="000A3A2C"/>
    <w:rsid w:val="000A3C52"/>
    <w:rsid w:val="000A633A"/>
    <w:rsid w:val="000A6708"/>
    <w:rsid w:val="000A708D"/>
    <w:rsid w:val="000A7838"/>
    <w:rsid w:val="000B1029"/>
    <w:rsid w:val="000B1FBB"/>
    <w:rsid w:val="000B238D"/>
    <w:rsid w:val="000B2821"/>
    <w:rsid w:val="000B30F3"/>
    <w:rsid w:val="000B30FA"/>
    <w:rsid w:val="000B3675"/>
    <w:rsid w:val="000B3A31"/>
    <w:rsid w:val="000B4AD2"/>
    <w:rsid w:val="000B55B4"/>
    <w:rsid w:val="000B5943"/>
    <w:rsid w:val="000B5EC1"/>
    <w:rsid w:val="000B6250"/>
    <w:rsid w:val="000B6A02"/>
    <w:rsid w:val="000B741A"/>
    <w:rsid w:val="000B785C"/>
    <w:rsid w:val="000B7EE5"/>
    <w:rsid w:val="000C0FB7"/>
    <w:rsid w:val="000C12F5"/>
    <w:rsid w:val="000C14A1"/>
    <w:rsid w:val="000C276F"/>
    <w:rsid w:val="000C2A76"/>
    <w:rsid w:val="000C2FE5"/>
    <w:rsid w:val="000C3380"/>
    <w:rsid w:val="000C3408"/>
    <w:rsid w:val="000C353B"/>
    <w:rsid w:val="000C49BD"/>
    <w:rsid w:val="000C5FB8"/>
    <w:rsid w:val="000C61DB"/>
    <w:rsid w:val="000C6AFD"/>
    <w:rsid w:val="000C78D0"/>
    <w:rsid w:val="000D0F6D"/>
    <w:rsid w:val="000D3BF8"/>
    <w:rsid w:val="000D421D"/>
    <w:rsid w:val="000D5637"/>
    <w:rsid w:val="000E0123"/>
    <w:rsid w:val="000E028D"/>
    <w:rsid w:val="000E257A"/>
    <w:rsid w:val="000E305F"/>
    <w:rsid w:val="000E3DFE"/>
    <w:rsid w:val="000E5D4D"/>
    <w:rsid w:val="000E6FBD"/>
    <w:rsid w:val="000F08DE"/>
    <w:rsid w:val="000F187D"/>
    <w:rsid w:val="000F281C"/>
    <w:rsid w:val="000F2B5C"/>
    <w:rsid w:val="000F2F9C"/>
    <w:rsid w:val="000F4153"/>
    <w:rsid w:val="000F42DB"/>
    <w:rsid w:val="000F4596"/>
    <w:rsid w:val="000F4C96"/>
    <w:rsid w:val="000F51EF"/>
    <w:rsid w:val="000F54F7"/>
    <w:rsid w:val="000F5CBB"/>
    <w:rsid w:val="000F5FF8"/>
    <w:rsid w:val="000F6286"/>
    <w:rsid w:val="000F65AB"/>
    <w:rsid w:val="000F7372"/>
    <w:rsid w:val="000F785A"/>
    <w:rsid w:val="0010092F"/>
    <w:rsid w:val="00100F5C"/>
    <w:rsid w:val="00101154"/>
    <w:rsid w:val="00102C63"/>
    <w:rsid w:val="00102D0D"/>
    <w:rsid w:val="00102F77"/>
    <w:rsid w:val="00103093"/>
    <w:rsid w:val="00103103"/>
    <w:rsid w:val="0010437D"/>
    <w:rsid w:val="00104C4C"/>
    <w:rsid w:val="00105E3B"/>
    <w:rsid w:val="00106F93"/>
    <w:rsid w:val="00106FEC"/>
    <w:rsid w:val="001122A8"/>
    <w:rsid w:val="00112537"/>
    <w:rsid w:val="001125B3"/>
    <w:rsid w:val="00112736"/>
    <w:rsid w:val="001130E6"/>
    <w:rsid w:val="00113341"/>
    <w:rsid w:val="00114C62"/>
    <w:rsid w:val="0011559C"/>
    <w:rsid w:val="00117E86"/>
    <w:rsid w:val="00120976"/>
    <w:rsid w:val="00120CA7"/>
    <w:rsid w:val="001210D7"/>
    <w:rsid w:val="0012148A"/>
    <w:rsid w:val="0012192F"/>
    <w:rsid w:val="0012250C"/>
    <w:rsid w:val="00124443"/>
    <w:rsid w:val="001259E3"/>
    <w:rsid w:val="00125D69"/>
    <w:rsid w:val="00126CE3"/>
    <w:rsid w:val="001301C4"/>
    <w:rsid w:val="00130ABD"/>
    <w:rsid w:val="001313EE"/>
    <w:rsid w:val="00131474"/>
    <w:rsid w:val="00131A45"/>
    <w:rsid w:val="001322DD"/>
    <w:rsid w:val="001325E0"/>
    <w:rsid w:val="001337D0"/>
    <w:rsid w:val="00133F68"/>
    <w:rsid w:val="00134C78"/>
    <w:rsid w:val="001350AD"/>
    <w:rsid w:val="001352DA"/>
    <w:rsid w:val="00135B02"/>
    <w:rsid w:val="00135B65"/>
    <w:rsid w:val="00135E64"/>
    <w:rsid w:val="001405FA"/>
    <w:rsid w:val="00140C07"/>
    <w:rsid w:val="00141591"/>
    <w:rsid w:val="001425C3"/>
    <w:rsid w:val="001430AD"/>
    <w:rsid w:val="00143103"/>
    <w:rsid w:val="00143675"/>
    <w:rsid w:val="001437FE"/>
    <w:rsid w:val="0014441E"/>
    <w:rsid w:val="00144C2B"/>
    <w:rsid w:val="00144CC4"/>
    <w:rsid w:val="001456D0"/>
    <w:rsid w:val="00147A96"/>
    <w:rsid w:val="0015049E"/>
    <w:rsid w:val="00150D28"/>
    <w:rsid w:val="0015235C"/>
    <w:rsid w:val="001526C3"/>
    <w:rsid w:val="00152969"/>
    <w:rsid w:val="00152CDD"/>
    <w:rsid w:val="001532A2"/>
    <w:rsid w:val="00153654"/>
    <w:rsid w:val="001548D3"/>
    <w:rsid w:val="00154E7D"/>
    <w:rsid w:val="0015575E"/>
    <w:rsid w:val="00156D16"/>
    <w:rsid w:val="00157E69"/>
    <w:rsid w:val="001601BB"/>
    <w:rsid w:val="001603E4"/>
    <w:rsid w:val="00161404"/>
    <w:rsid w:val="00161648"/>
    <w:rsid w:val="00161691"/>
    <w:rsid w:val="0016256B"/>
    <w:rsid w:val="00162DAF"/>
    <w:rsid w:val="001635E3"/>
    <w:rsid w:val="00163793"/>
    <w:rsid w:val="00164B11"/>
    <w:rsid w:val="00164DC5"/>
    <w:rsid w:val="00165363"/>
    <w:rsid w:val="001667C0"/>
    <w:rsid w:val="00167ED3"/>
    <w:rsid w:val="001706D6"/>
    <w:rsid w:val="001710FD"/>
    <w:rsid w:val="001714F2"/>
    <w:rsid w:val="00171A39"/>
    <w:rsid w:val="00171AB7"/>
    <w:rsid w:val="001720A3"/>
    <w:rsid w:val="00172128"/>
    <w:rsid w:val="00173F33"/>
    <w:rsid w:val="00175720"/>
    <w:rsid w:val="001764DA"/>
    <w:rsid w:val="00180AF0"/>
    <w:rsid w:val="00180B35"/>
    <w:rsid w:val="00180C3A"/>
    <w:rsid w:val="00181007"/>
    <w:rsid w:val="001810E3"/>
    <w:rsid w:val="0018265D"/>
    <w:rsid w:val="00182836"/>
    <w:rsid w:val="00182E90"/>
    <w:rsid w:val="00184B08"/>
    <w:rsid w:val="00184DA9"/>
    <w:rsid w:val="00185010"/>
    <w:rsid w:val="001859DA"/>
    <w:rsid w:val="00186298"/>
    <w:rsid w:val="00190F5D"/>
    <w:rsid w:val="001918B2"/>
    <w:rsid w:val="00192060"/>
    <w:rsid w:val="001921A2"/>
    <w:rsid w:val="001928AC"/>
    <w:rsid w:val="00192FD9"/>
    <w:rsid w:val="00193657"/>
    <w:rsid w:val="00193677"/>
    <w:rsid w:val="00196098"/>
    <w:rsid w:val="00196337"/>
    <w:rsid w:val="0019696B"/>
    <w:rsid w:val="00197101"/>
    <w:rsid w:val="001A05D8"/>
    <w:rsid w:val="001A06C3"/>
    <w:rsid w:val="001A0A6E"/>
    <w:rsid w:val="001A13AF"/>
    <w:rsid w:val="001A2D20"/>
    <w:rsid w:val="001A3486"/>
    <w:rsid w:val="001A3AF5"/>
    <w:rsid w:val="001A4D56"/>
    <w:rsid w:val="001A4E80"/>
    <w:rsid w:val="001A552F"/>
    <w:rsid w:val="001A67BF"/>
    <w:rsid w:val="001A79B9"/>
    <w:rsid w:val="001B0FE4"/>
    <w:rsid w:val="001B1027"/>
    <w:rsid w:val="001B15CC"/>
    <w:rsid w:val="001B1637"/>
    <w:rsid w:val="001B267B"/>
    <w:rsid w:val="001B2768"/>
    <w:rsid w:val="001B2A54"/>
    <w:rsid w:val="001B2CA9"/>
    <w:rsid w:val="001B3110"/>
    <w:rsid w:val="001B373F"/>
    <w:rsid w:val="001B3B75"/>
    <w:rsid w:val="001B4729"/>
    <w:rsid w:val="001B4F24"/>
    <w:rsid w:val="001B5267"/>
    <w:rsid w:val="001B5BEF"/>
    <w:rsid w:val="001B5D9B"/>
    <w:rsid w:val="001B6C09"/>
    <w:rsid w:val="001B760A"/>
    <w:rsid w:val="001B7D45"/>
    <w:rsid w:val="001C05CD"/>
    <w:rsid w:val="001C0797"/>
    <w:rsid w:val="001C0B47"/>
    <w:rsid w:val="001C0E7F"/>
    <w:rsid w:val="001C2608"/>
    <w:rsid w:val="001C26E8"/>
    <w:rsid w:val="001C3868"/>
    <w:rsid w:val="001C7478"/>
    <w:rsid w:val="001C7C35"/>
    <w:rsid w:val="001C7D93"/>
    <w:rsid w:val="001C7E4C"/>
    <w:rsid w:val="001D00F3"/>
    <w:rsid w:val="001D0882"/>
    <w:rsid w:val="001D0E9E"/>
    <w:rsid w:val="001D2643"/>
    <w:rsid w:val="001D3014"/>
    <w:rsid w:val="001D31E0"/>
    <w:rsid w:val="001D3A55"/>
    <w:rsid w:val="001D3DF1"/>
    <w:rsid w:val="001D4165"/>
    <w:rsid w:val="001D492A"/>
    <w:rsid w:val="001D68B2"/>
    <w:rsid w:val="001D69DC"/>
    <w:rsid w:val="001D7B82"/>
    <w:rsid w:val="001D7EE6"/>
    <w:rsid w:val="001D7FE0"/>
    <w:rsid w:val="001E07F5"/>
    <w:rsid w:val="001E1D8B"/>
    <w:rsid w:val="001E238F"/>
    <w:rsid w:val="001E2EF7"/>
    <w:rsid w:val="001E3828"/>
    <w:rsid w:val="001E4332"/>
    <w:rsid w:val="001E57F4"/>
    <w:rsid w:val="001E5D08"/>
    <w:rsid w:val="001E6244"/>
    <w:rsid w:val="001E79C5"/>
    <w:rsid w:val="001F0349"/>
    <w:rsid w:val="001F12FA"/>
    <w:rsid w:val="001F1388"/>
    <w:rsid w:val="001F1585"/>
    <w:rsid w:val="001F16D9"/>
    <w:rsid w:val="001F4158"/>
    <w:rsid w:val="001F4597"/>
    <w:rsid w:val="001F612F"/>
    <w:rsid w:val="001F6190"/>
    <w:rsid w:val="001F66D6"/>
    <w:rsid w:val="001F6E14"/>
    <w:rsid w:val="001F7008"/>
    <w:rsid w:val="001F7BB8"/>
    <w:rsid w:val="00200886"/>
    <w:rsid w:val="00201203"/>
    <w:rsid w:val="002013DA"/>
    <w:rsid w:val="002014A3"/>
    <w:rsid w:val="00202A2D"/>
    <w:rsid w:val="00202EB2"/>
    <w:rsid w:val="00203E1E"/>
    <w:rsid w:val="002041CD"/>
    <w:rsid w:val="00204C84"/>
    <w:rsid w:val="00205D2D"/>
    <w:rsid w:val="00206DCF"/>
    <w:rsid w:val="002070EA"/>
    <w:rsid w:val="00207344"/>
    <w:rsid w:val="00207C9D"/>
    <w:rsid w:val="00210B09"/>
    <w:rsid w:val="00211120"/>
    <w:rsid w:val="002115A9"/>
    <w:rsid w:val="00211611"/>
    <w:rsid w:val="002118B9"/>
    <w:rsid w:val="0021267E"/>
    <w:rsid w:val="002142E4"/>
    <w:rsid w:val="00214868"/>
    <w:rsid w:val="00214ED2"/>
    <w:rsid w:val="00214F7C"/>
    <w:rsid w:val="00215001"/>
    <w:rsid w:val="0021603A"/>
    <w:rsid w:val="00216B72"/>
    <w:rsid w:val="00216DA0"/>
    <w:rsid w:val="00217C5B"/>
    <w:rsid w:val="002210BD"/>
    <w:rsid w:val="00221292"/>
    <w:rsid w:val="0022139E"/>
    <w:rsid w:val="002214CF"/>
    <w:rsid w:val="002217B5"/>
    <w:rsid w:val="002220EC"/>
    <w:rsid w:val="002230DF"/>
    <w:rsid w:val="00223B46"/>
    <w:rsid w:val="00223CFB"/>
    <w:rsid w:val="00224AD1"/>
    <w:rsid w:val="002252E0"/>
    <w:rsid w:val="002255F6"/>
    <w:rsid w:val="002257AD"/>
    <w:rsid w:val="002264DE"/>
    <w:rsid w:val="00226A91"/>
    <w:rsid w:val="002276C1"/>
    <w:rsid w:val="00227766"/>
    <w:rsid w:val="00227850"/>
    <w:rsid w:val="00227A53"/>
    <w:rsid w:val="00230643"/>
    <w:rsid w:val="00230C6E"/>
    <w:rsid w:val="00230EAA"/>
    <w:rsid w:val="0023118E"/>
    <w:rsid w:val="00233109"/>
    <w:rsid w:val="00233137"/>
    <w:rsid w:val="00233DA6"/>
    <w:rsid w:val="00235806"/>
    <w:rsid w:val="00235E86"/>
    <w:rsid w:val="00236443"/>
    <w:rsid w:val="00236C95"/>
    <w:rsid w:val="00236D42"/>
    <w:rsid w:val="00237602"/>
    <w:rsid w:val="0023779C"/>
    <w:rsid w:val="002415B7"/>
    <w:rsid w:val="00241924"/>
    <w:rsid w:val="00241E94"/>
    <w:rsid w:val="002425D9"/>
    <w:rsid w:val="00243563"/>
    <w:rsid w:val="002436BA"/>
    <w:rsid w:val="00243B3A"/>
    <w:rsid w:val="002445DD"/>
    <w:rsid w:val="00244A15"/>
    <w:rsid w:val="002465D1"/>
    <w:rsid w:val="00247319"/>
    <w:rsid w:val="0024799E"/>
    <w:rsid w:val="00247C96"/>
    <w:rsid w:val="00247FB4"/>
    <w:rsid w:val="00251922"/>
    <w:rsid w:val="0025269C"/>
    <w:rsid w:val="002535BC"/>
    <w:rsid w:val="002538CE"/>
    <w:rsid w:val="00253C0F"/>
    <w:rsid w:val="002542AC"/>
    <w:rsid w:val="00254402"/>
    <w:rsid w:val="00255CD0"/>
    <w:rsid w:val="00256F7E"/>
    <w:rsid w:val="00257D71"/>
    <w:rsid w:val="002602E7"/>
    <w:rsid w:val="00261B88"/>
    <w:rsid w:val="00261FA0"/>
    <w:rsid w:val="00262B1F"/>
    <w:rsid w:val="0026319C"/>
    <w:rsid w:val="002633D1"/>
    <w:rsid w:val="00263D62"/>
    <w:rsid w:val="00263D67"/>
    <w:rsid w:val="002651FD"/>
    <w:rsid w:val="00265B9E"/>
    <w:rsid w:val="00267A0A"/>
    <w:rsid w:val="00270163"/>
    <w:rsid w:val="002709AC"/>
    <w:rsid w:val="00270AF2"/>
    <w:rsid w:val="00270D37"/>
    <w:rsid w:val="00271465"/>
    <w:rsid w:val="00271F00"/>
    <w:rsid w:val="002733D2"/>
    <w:rsid w:val="0027456E"/>
    <w:rsid w:val="0027522C"/>
    <w:rsid w:val="00275F01"/>
    <w:rsid w:val="002777BE"/>
    <w:rsid w:val="00280182"/>
    <w:rsid w:val="00280ACF"/>
    <w:rsid w:val="00280B02"/>
    <w:rsid w:val="00282237"/>
    <w:rsid w:val="002823FA"/>
    <w:rsid w:val="00282B80"/>
    <w:rsid w:val="0028381B"/>
    <w:rsid w:val="00283BE6"/>
    <w:rsid w:val="00284002"/>
    <w:rsid w:val="0028505C"/>
    <w:rsid w:val="0028535B"/>
    <w:rsid w:val="00285412"/>
    <w:rsid w:val="002856DB"/>
    <w:rsid w:val="00287859"/>
    <w:rsid w:val="00287C53"/>
    <w:rsid w:val="00290CCE"/>
    <w:rsid w:val="0029203C"/>
    <w:rsid w:val="002921A5"/>
    <w:rsid w:val="00292E29"/>
    <w:rsid w:val="00294E81"/>
    <w:rsid w:val="0029557F"/>
    <w:rsid w:val="00295582"/>
    <w:rsid w:val="002962CB"/>
    <w:rsid w:val="00296FD7"/>
    <w:rsid w:val="002A00BE"/>
    <w:rsid w:val="002A0636"/>
    <w:rsid w:val="002A074E"/>
    <w:rsid w:val="002A0A11"/>
    <w:rsid w:val="002A138B"/>
    <w:rsid w:val="002A15DC"/>
    <w:rsid w:val="002A1622"/>
    <w:rsid w:val="002A16D4"/>
    <w:rsid w:val="002A230C"/>
    <w:rsid w:val="002A245C"/>
    <w:rsid w:val="002A2746"/>
    <w:rsid w:val="002A411C"/>
    <w:rsid w:val="002A4A08"/>
    <w:rsid w:val="002A548E"/>
    <w:rsid w:val="002B0758"/>
    <w:rsid w:val="002B08E1"/>
    <w:rsid w:val="002B1785"/>
    <w:rsid w:val="002B3A9F"/>
    <w:rsid w:val="002B4097"/>
    <w:rsid w:val="002B4DD5"/>
    <w:rsid w:val="002B5656"/>
    <w:rsid w:val="002B5BEA"/>
    <w:rsid w:val="002B636D"/>
    <w:rsid w:val="002B6B6E"/>
    <w:rsid w:val="002B7648"/>
    <w:rsid w:val="002B778B"/>
    <w:rsid w:val="002B7DA7"/>
    <w:rsid w:val="002C0EA0"/>
    <w:rsid w:val="002C111E"/>
    <w:rsid w:val="002C18C3"/>
    <w:rsid w:val="002C2A05"/>
    <w:rsid w:val="002C36FB"/>
    <w:rsid w:val="002C43BD"/>
    <w:rsid w:val="002C4B6C"/>
    <w:rsid w:val="002C5C25"/>
    <w:rsid w:val="002C60D3"/>
    <w:rsid w:val="002C6538"/>
    <w:rsid w:val="002C6907"/>
    <w:rsid w:val="002C6B92"/>
    <w:rsid w:val="002C70F4"/>
    <w:rsid w:val="002C78B4"/>
    <w:rsid w:val="002D0E59"/>
    <w:rsid w:val="002D182D"/>
    <w:rsid w:val="002D19C0"/>
    <w:rsid w:val="002D1B1C"/>
    <w:rsid w:val="002D1BF7"/>
    <w:rsid w:val="002D1DE5"/>
    <w:rsid w:val="002D23AB"/>
    <w:rsid w:val="002D29A6"/>
    <w:rsid w:val="002D29BD"/>
    <w:rsid w:val="002D3B3C"/>
    <w:rsid w:val="002D41B1"/>
    <w:rsid w:val="002D539C"/>
    <w:rsid w:val="002D5FC9"/>
    <w:rsid w:val="002D612E"/>
    <w:rsid w:val="002D64AE"/>
    <w:rsid w:val="002D6E13"/>
    <w:rsid w:val="002D74C7"/>
    <w:rsid w:val="002E02A1"/>
    <w:rsid w:val="002E17AE"/>
    <w:rsid w:val="002E247C"/>
    <w:rsid w:val="002E26D6"/>
    <w:rsid w:val="002E2D1F"/>
    <w:rsid w:val="002E3CFA"/>
    <w:rsid w:val="002E3F80"/>
    <w:rsid w:val="002E4875"/>
    <w:rsid w:val="002E4E4C"/>
    <w:rsid w:val="002E5226"/>
    <w:rsid w:val="002E58C0"/>
    <w:rsid w:val="002E59FC"/>
    <w:rsid w:val="002E5F37"/>
    <w:rsid w:val="002E6D52"/>
    <w:rsid w:val="002F0C16"/>
    <w:rsid w:val="002F17ED"/>
    <w:rsid w:val="002F1BFB"/>
    <w:rsid w:val="002F3688"/>
    <w:rsid w:val="002F3B0B"/>
    <w:rsid w:val="002F41E8"/>
    <w:rsid w:val="002F47F1"/>
    <w:rsid w:val="002F558C"/>
    <w:rsid w:val="002F5A49"/>
    <w:rsid w:val="002F69A3"/>
    <w:rsid w:val="002F6C29"/>
    <w:rsid w:val="002F72C4"/>
    <w:rsid w:val="0030014C"/>
    <w:rsid w:val="00301E8A"/>
    <w:rsid w:val="00302221"/>
    <w:rsid w:val="0030240C"/>
    <w:rsid w:val="0030251C"/>
    <w:rsid w:val="00302A46"/>
    <w:rsid w:val="00303A31"/>
    <w:rsid w:val="00303A8C"/>
    <w:rsid w:val="00304771"/>
    <w:rsid w:val="00304AB8"/>
    <w:rsid w:val="003052D4"/>
    <w:rsid w:val="00305760"/>
    <w:rsid w:val="003064B9"/>
    <w:rsid w:val="00306AFC"/>
    <w:rsid w:val="00306C5B"/>
    <w:rsid w:val="003107F5"/>
    <w:rsid w:val="00312793"/>
    <w:rsid w:val="00312D27"/>
    <w:rsid w:val="00313C5D"/>
    <w:rsid w:val="00313CE8"/>
    <w:rsid w:val="00314672"/>
    <w:rsid w:val="00314806"/>
    <w:rsid w:val="003149F2"/>
    <w:rsid w:val="00314F7B"/>
    <w:rsid w:val="0031553A"/>
    <w:rsid w:val="00316BB8"/>
    <w:rsid w:val="00316DF1"/>
    <w:rsid w:val="003179AB"/>
    <w:rsid w:val="003209D6"/>
    <w:rsid w:val="00321184"/>
    <w:rsid w:val="00321924"/>
    <w:rsid w:val="00322668"/>
    <w:rsid w:val="0032270C"/>
    <w:rsid w:val="0032326A"/>
    <w:rsid w:val="00323469"/>
    <w:rsid w:val="00323B86"/>
    <w:rsid w:val="00323E14"/>
    <w:rsid w:val="00324B63"/>
    <w:rsid w:val="0032519A"/>
    <w:rsid w:val="00325C6E"/>
    <w:rsid w:val="00325F75"/>
    <w:rsid w:val="0032656E"/>
    <w:rsid w:val="00327CB2"/>
    <w:rsid w:val="00327CB6"/>
    <w:rsid w:val="0033084C"/>
    <w:rsid w:val="00330ACA"/>
    <w:rsid w:val="00331500"/>
    <w:rsid w:val="003315D6"/>
    <w:rsid w:val="00331F80"/>
    <w:rsid w:val="00332190"/>
    <w:rsid w:val="003323A1"/>
    <w:rsid w:val="00333182"/>
    <w:rsid w:val="00333894"/>
    <w:rsid w:val="0033440D"/>
    <w:rsid w:val="0033478D"/>
    <w:rsid w:val="003347EF"/>
    <w:rsid w:val="00336618"/>
    <w:rsid w:val="00337DB8"/>
    <w:rsid w:val="00340268"/>
    <w:rsid w:val="00340799"/>
    <w:rsid w:val="0034095F"/>
    <w:rsid w:val="00341C24"/>
    <w:rsid w:val="00341D4B"/>
    <w:rsid w:val="00341E22"/>
    <w:rsid w:val="00343A00"/>
    <w:rsid w:val="00344668"/>
    <w:rsid w:val="003456FB"/>
    <w:rsid w:val="00345CBF"/>
    <w:rsid w:val="003462D9"/>
    <w:rsid w:val="003469A7"/>
    <w:rsid w:val="0034745A"/>
    <w:rsid w:val="00347B39"/>
    <w:rsid w:val="00350828"/>
    <w:rsid w:val="00350C8D"/>
    <w:rsid w:val="00351746"/>
    <w:rsid w:val="003518C1"/>
    <w:rsid w:val="003529CC"/>
    <w:rsid w:val="00352AAE"/>
    <w:rsid w:val="00352ACA"/>
    <w:rsid w:val="0035303F"/>
    <w:rsid w:val="00354158"/>
    <w:rsid w:val="00354B7E"/>
    <w:rsid w:val="00354DF0"/>
    <w:rsid w:val="003559B3"/>
    <w:rsid w:val="003568B8"/>
    <w:rsid w:val="003572D9"/>
    <w:rsid w:val="003576A7"/>
    <w:rsid w:val="00357A9C"/>
    <w:rsid w:val="00360C86"/>
    <w:rsid w:val="00361C42"/>
    <w:rsid w:val="003630D1"/>
    <w:rsid w:val="0036391F"/>
    <w:rsid w:val="00363CE9"/>
    <w:rsid w:val="00363E22"/>
    <w:rsid w:val="003641C9"/>
    <w:rsid w:val="0036435D"/>
    <w:rsid w:val="003657F3"/>
    <w:rsid w:val="00365CC1"/>
    <w:rsid w:val="00366D15"/>
    <w:rsid w:val="00367C55"/>
    <w:rsid w:val="00367EFD"/>
    <w:rsid w:val="00370F6F"/>
    <w:rsid w:val="0037191E"/>
    <w:rsid w:val="00371955"/>
    <w:rsid w:val="00371F82"/>
    <w:rsid w:val="00372A3C"/>
    <w:rsid w:val="0037313F"/>
    <w:rsid w:val="003731F2"/>
    <w:rsid w:val="003747A9"/>
    <w:rsid w:val="00375265"/>
    <w:rsid w:val="00375A1E"/>
    <w:rsid w:val="0037628A"/>
    <w:rsid w:val="00376DED"/>
    <w:rsid w:val="00377D23"/>
    <w:rsid w:val="00380129"/>
    <w:rsid w:val="003818DC"/>
    <w:rsid w:val="00383B35"/>
    <w:rsid w:val="00384327"/>
    <w:rsid w:val="00384853"/>
    <w:rsid w:val="003849B1"/>
    <w:rsid w:val="00385324"/>
    <w:rsid w:val="00385CF8"/>
    <w:rsid w:val="00385D98"/>
    <w:rsid w:val="00385F7B"/>
    <w:rsid w:val="00386026"/>
    <w:rsid w:val="003865D4"/>
    <w:rsid w:val="00386648"/>
    <w:rsid w:val="00386820"/>
    <w:rsid w:val="00386890"/>
    <w:rsid w:val="00386913"/>
    <w:rsid w:val="0038765F"/>
    <w:rsid w:val="00390B55"/>
    <w:rsid w:val="003911F6"/>
    <w:rsid w:val="00391461"/>
    <w:rsid w:val="003920E0"/>
    <w:rsid w:val="0039216A"/>
    <w:rsid w:val="00393B69"/>
    <w:rsid w:val="003940DD"/>
    <w:rsid w:val="00394628"/>
    <w:rsid w:val="00394935"/>
    <w:rsid w:val="00396009"/>
    <w:rsid w:val="003A00BC"/>
    <w:rsid w:val="003A0AD5"/>
    <w:rsid w:val="003A2B4D"/>
    <w:rsid w:val="003A3808"/>
    <w:rsid w:val="003A3897"/>
    <w:rsid w:val="003A3BF4"/>
    <w:rsid w:val="003A4117"/>
    <w:rsid w:val="003A4175"/>
    <w:rsid w:val="003A478C"/>
    <w:rsid w:val="003A4975"/>
    <w:rsid w:val="003A52A3"/>
    <w:rsid w:val="003A5525"/>
    <w:rsid w:val="003A62B2"/>
    <w:rsid w:val="003A672D"/>
    <w:rsid w:val="003A6B38"/>
    <w:rsid w:val="003A7054"/>
    <w:rsid w:val="003A73ED"/>
    <w:rsid w:val="003A78F5"/>
    <w:rsid w:val="003B0994"/>
    <w:rsid w:val="003B09D0"/>
    <w:rsid w:val="003B177C"/>
    <w:rsid w:val="003B194B"/>
    <w:rsid w:val="003B3BDD"/>
    <w:rsid w:val="003B3D82"/>
    <w:rsid w:val="003B4194"/>
    <w:rsid w:val="003B41E7"/>
    <w:rsid w:val="003B5A32"/>
    <w:rsid w:val="003B5DE1"/>
    <w:rsid w:val="003B6803"/>
    <w:rsid w:val="003B7A27"/>
    <w:rsid w:val="003C0201"/>
    <w:rsid w:val="003C1047"/>
    <w:rsid w:val="003C1626"/>
    <w:rsid w:val="003C210A"/>
    <w:rsid w:val="003C23F0"/>
    <w:rsid w:val="003C29D4"/>
    <w:rsid w:val="003C3490"/>
    <w:rsid w:val="003C60D5"/>
    <w:rsid w:val="003C670D"/>
    <w:rsid w:val="003C6725"/>
    <w:rsid w:val="003C72EB"/>
    <w:rsid w:val="003C77D2"/>
    <w:rsid w:val="003D002C"/>
    <w:rsid w:val="003D1AB2"/>
    <w:rsid w:val="003D1D17"/>
    <w:rsid w:val="003D1D86"/>
    <w:rsid w:val="003D2891"/>
    <w:rsid w:val="003D2C5E"/>
    <w:rsid w:val="003D3B6C"/>
    <w:rsid w:val="003D3E71"/>
    <w:rsid w:val="003D4408"/>
    <w:rsid w:val="003D475C"/>
    <w:rsid w:val="003D49C4"/>
    <w:rsid w:val="003D55A8"/>
    <w:rsid w:val="003D5685"/>
    <w:rsid w:val="003D57A6"/>
    <w:rsid w:val="003D623E"/>
    <w:rsid w:val="003D6580"/>
    <w:rsid w:val="003D6920"/>
    <w:rsid w:val="003D6C8E"/>
    <w:rsid w:val="003D6DD5"/>
    <w:rsid w:val="003D75F8"/>
    <w:rsid w:val="003E088E"/>
    <w:rsid w:val="003E1B34"/>
    <w:rsid w:val="003E1C65"/>
    <w:rsid w:val="003E399E"/>
    <w:rsid w:val="003E423A"/>
    <w:rsid w:val="003E4C91"/>
    <w:rsid w:val="003E544A"/>
    <w:rsid w:val="003E614F"/>
    <w:rsid w:val="003E6406"/>
    <w:rsid w:val="003F00C0"/>
    <w:rsid w:val="003F03F3"/>
    <w:rsid w:val="003F042C"/>
    <w:rsid w:val="003F21C9"/>
    <w:rsid w:val="003F313C"/>
    <w:rsid w:val="003F32BA"/>
    <w:rsid w:val="003F4AD5"/>
    <w:rsid w:val="003F4B2C"/>
    <w:rsid w:val="003F551C"/>
    <w:rsid w:val="003F69AB"/>
    <w:rsid w:val="003F79D4"/>
    <w:rsid w:val="003F7CBF"/>
    <w:rsid w:val="003F7D23"/>
    <w:rsid w:val="00400AB7"/>
    <w:rsid w:val="0040115E"/>
    <w:rsid w:val="00401BDE"/>
    <w:rsid w:val="004021EF"/>
    <w:rsid w:val="004064C7"/>
    <w:rsid w:val="004064CE"/>
    <w:rsid w:val="00406BFC"/>
    <w:rsid w:val="004078AB"/>
    <w:rsid w:val="00407A3A"/>
    <w:rsid w:val="00407C13"/>
    <w:rsid w:val="00410638"/>
    <w:rsid w:val="004122AC"/>
    <w:rsid w:val="00412D31"/>
    <w:rsid w:val="00413E1C"/>
    <w:rsid w:val="00414002"/>
    <w:rsid w:val="004148A0"/>
    <w:rsid w:val="004148D5"/>
    <w:rsid w:val="0041531C"/>
    <w:rsid w:val="004154EA"/>
    <w:rsid w:val="00415543"/>
    <w:rsid w:val="004159AB"/>
    <w:rsid w:val="00415C5A"/>
    <w:rsid w:val="00415DC8"/>
    <w:rsid w:val="0041678D"/>
    <w:rsid w:val="0042049A"/>
    <w:rsid w:val="0042072E"/>
    <w:rsid w:val="004212A0"/>
    <w:rsid w:val="004217B2"/>
    <w:rsid w:val="00422398"/>
    <w:rsid w:val="00424838"/>
    <w:rsid w:val="004259A4"/>
    <w:rsid w:val="00425ED7"/>
    <w:rsid w:val="004277D2"/>
    <w:rsid w:val="004279CC"/>
    <w:rsid w:val="00427F43"/>
    <w:rsid w:val="004306B2"/>
    <w:rsid w:val="00430D4D"/>
    <w:rsid w:val="004312B1"/>
    <w:rsid w:val="0043159F"/>
    <w:rsid w:val="00431664"/>
    <w:rsid w:val="00432466"/>
    <w:rsid w:val="00432A58"/>
    <w:rsid w:val="004333D3"/>
    <w:rsid w:val="00433688"/>
    <w:rsid w:val="00433FAA"/>
    <w:rsid w:val="004340E2"/>
    <w:rsid w:val="00434617"/>
    <w:rsid w:val="0043524B"/>
    <w:rsid w:val="00435A4B"/>
    <w:rsid w:val="00435E99"/>
    <w:rsid w:val="004361CB"/>
    <w:rsid w:val="004370BF"/>
    <w:rsid w:val="00437F64"/>
    <w:rsid w:val="0044021E"/>
    <w:rsid w:val="00440553"/>
    <w:rsid w:val="00440900"/>
    <w:rsid w:val="00440B62"/>
    <w:rsid w:val="00441212"/>
    <w:rsid w:val="004414E2"/>
    <w:rsid w:val="00442BA0"/>
    <w:rsid w:val="00443026"/>
    <w:rsid w:val="00443055"/>
    <w:rsid w:val="00443C54"/>
    <w:rsid w:val="00443FCB"/>
    <w:rsid w:val="004441A0"/>
    <w:rsid w:val="004452E3"/>
    <w:rsid w:val="00445EAB"/>
    <w:rsid w:val="00446283"/>
    <w:rsid w:val="004462FB"/>
    <w:rsid w:val="004469F3"/>
    <w:rsid w:val="00450719"/>
    <w:rsid w:val="00450D65"/>
    <w:rsid w:val="00450FAB"/>
    <w:rsid w:val="00451257"/>
    <w:rsid w:val="00451517"/>
    <w:rsid w:val="0045190F"/>
    <w:rsid w:val="004519A4"/>
    <w:rsid w:val="00452788"/>
    <w:rsid w:val="00453B74"/>
    <w:rsid w:val="00454D57"/>
    <w:rsid w:val="0045502E"/>
    <w:rsid w:val="0045598A"/>
    <w:rsid w:val="00456626"/>
    <w:rsid w:val="00456635"/>
    <w:rsid w:val="00460FB3"/>
    <w:rsid w:val="004615E9"/>
    <w:rsid w:val="00461962"/>
    <w:rsid w:val="00461F84"/>
    <w:rsid w:val="0046244A"/>
    <w:rsid w:val="00465AD1"/>
    <w:rsid w:val="004674B4"/>
    <w:rsid w:val="004676AB"/>
    <w:rsid w:val="00467B66"/>
    <w:rsid w:val="00467C2E"/>
    <w:rsid w:val="00470072"/>
    <w:rsid w:val="0047094F"/>
    <w:rsid w:val="004710EF"/>
    <w:rsid w:val="00471995"/>
    <w:rsid w:val="00472920"/>
    <w:rsid w:val="00472C32"/>
    <w:rsid w:val="0047385C"/>
    <w:rsid w:val="00474C68"/>
    <w:rsid w:val="00474DB2"/>
    <w:rsid w:val="0047521B"/>
    <w:rsid w:val="004759BC"/>
    <w:rsid w:val="00476240"/>
    <w:rsid w:val="00476432"/>
    <w:rsid w:val="00476439"/>
    <w:rsid w:val="00476555"/>
    <w:rsid w:val="00476632"/>
    <w:rsid w:val="0047671E"/>
    <w:rsid w:val="00476D99"/>
    <w:rsid w:val="0047735C"/>
    <w:rsid w:val="0047768D"/>
    <w:rsid w:val="004776BC"/>
    <w:rsid w:val="004777C3"/>
    <w:rsid w:val="0047789C"/>
    <w:rsid w:val="004808C5"/>
    <w:rsid w:val="00480931"/>
    <w:rsid w:val="0048139F"/>
    <w:rsid w:val="00481E40"/>
    <w:rsid w:val="00482A74"/>
    <w:rsid w:val="00482D4C"/>
    <w:rsid w:val="0048304D"/>
    <w:rsid w:val="0048310F"/>
    <w:rsid w:val="004845F6"/>
    <w:rsid w:val="00484ECE"/>
    <w:rsid w:val="00485633"/>
    <w:rsid w:val="004859DF"/>
    <w:rsid w:val="00485E1A"/>
    <w:rsid w:val="004864B7"/>
    <w:rsid w:val="00486535"/>
    <w:rsid w:val="004868C1"/>
    <w:rsid w:val="00487577"/>
    <w:rsid w:val="004876F1"/>
    <w:rsid w:val="00487E3F"/>
    <w:rsid w:val="004900FF"/>
    <w:rsid w:val="00490CE7"/>
    <w:rsid w:val="004915CB"/>
    <w:rsid w:val="004924DC"/>
    <w:rsid w:val="00493FB0"/>
    <w:rsid w:val="00494032"/>
    <w:rsid w:val="00494CE2"/>
    <w:rsid w:val="00496EF6"/>
    <w:rsid w:val="004A0765"/>
    <w:rsid w:val="004A1095"/>
    <w:rsid w:val="004A14E4"/>
    <w:rsid w:val="004A29A0"/>
    <w:rsid w:val="004A2C68"/>
    <w:rsid w:val="004A3212"/>
    <w:rsid w:val="004A3B7D"/>
    <w:rsid w:val="004A4CD3"/>
    <w:rsid w:val="004A61C5"/>
    <w:rsid w:val="004A6219"/>
    <w:rsid w:val="004A6769"/>
    <w:rsid w:val="004A77DF"/>
    <w:rsid w:val="004B1190"/>
    <w:rsid w:val="004B11C6"/>
    <w:rsid w:val="004B1417"/>
    <w:rsid w:val="004B257C"/>
    <w:rsid w:val="004B2FD2"/>
    <w:rsid w:val="004B3710"/>
    <w:rsid w:val="004B3A63"/>
    <w:rsid w:val="004B4219"/>
    <w:rsid w:val="004B4398"/>
    <w:rsid w:val="004B4A61"/>
    <w:rsid w:val="004B55B7"/>
    <w:rsid w:val="004B5727"/>
    <w:rsid w:val="004B59BC"/>
    <w:rsid w:val="004B6468"/>
    <w:rsid w:val="004B6681"/>
    <w:rsid w:val="004B6906"/>
    <w:rsid w:val="004B74A6"/>
    <w:rsid w:val="004B7D50"/>
    <w:rsid w:val="004B7EF6"/>
    <w:rsid w:val="004C048E"/>
    <w:rsid w:val="004C0561"/>
    <w:rsid w:val="004C07FA"/>
    <w:rsid w:val="004C08D4"/>
    <w:rsid w:val="004C0AD8"/>
    <w:rsid w:val="004C171D"/>
    <w:rsid w:val="004C1A1B"/>
    <w:rsid w:val="004C22B4"/>
    <w:rsid w:val="004C274B"/>
    <w:rsid w:val="004C384C"/>
    <w:rsid w:val="004C3867"/>
    <w:rsid w:val="004C3B46"/>
    <w:rsid w:val="004C3F87"/>
    <w:rsid w:val="004C4CD0"/>
    <w:rsid w:val="004C540F"/>
    <w:rsid w:val="004C5D51"/>
    <w:rsid w:val="004C5F00"/>
    <w:rsid w:val="004C6E5B"/>
    <w:rsid w:val="004C70DC"/>
    <w:rsid w:val="004C737D"/>
    <w:rsid w:val="004D0211"/>
    <w:rsid w:val="004D0794"/>
    <w:rsid w:val="004D0963"/>
    <w:rsid w:val="004D17E1"/>
    <w:rsid w:val="004D17F6"/>
    <w:rsid w:val="004D1CCB"/>
    <w:rsid w:val="004D22C0"/>
    <w:rsid w:val="004D2910"/>
    <w:rsid w:val="004D2A8C"/>
    <w:rsid w:val="004D3712"/>
    <w:rsid w:val="004D3C55"/>
    <w:rsid w:val="004D556B"/>
    <w:rsid w:val="004D5B7D"/>
    <w:rsid w:val="004D60D5"/>
    <w:rsid w:val="004E0056"/>
    <w:rsid w:val="004E0A54"/>
    <w:rsid w:val="004E169F"/>
    <w:rsid w:val="004E346A"/>
    <w:rsid w:val="004E48DF"/>
    <w:rsid w:val="004E4B10"/>
    <w:rsid w:val="004E543C"/>
    <w:rsid w:val="004E55D7"/>
    <w:rsid w:val="004E5A65"/>
    <w:rsid w:val="004E66F1"/>
    <w:rsid w:val="004E6B07"/>
    <w:rsid w:val="004E6C86"/>
    <w:rsid w:val="004E79A9"/>
    <w:rsid w:val="004F06F5"/>
    <w:rsid w:val="004F092A"/>
    <w:rsid w:val="004F11A0"/>
    <w:rsid w:val="004F19A0"/>
    <w:rsid w:val="004F1B02"/>
    <w:rsid w:val="004F1EBD"/>
    <w:rsid w:val="004F33A0"/>
    <w:rsid w:val="004F476E"/>
    <w:rsid w:val="004F4C68"/>
    <w:rsid w:val="004F5AE3"/>
    <w:rsid w:val="004F6FD4"/>
    <w:rsid w:val="004F747D"/>
    <w:rsid w:val="004F77D6"/>
    <w:rsid w:val="00500A8A"/>
    <w:rsid w:val="005019F7"/>
    <w:rsid w:val="005021BD"/>
    <w:rsid w:val="00502CB8"/>
    <w:rsid w:val="00503D39"/>
    <w:rsid w:val="00504DF0"/>
    <w:rsid w:val="00505884"/>
    <w:rsid w:val="00505A3F"/>
    <w:rsid w:val="00505AEB"/>
    <w:rsid w:val="0050610D"/>
    <w:rsid w:val="00506AF6"/>
    <w:rsid w:val="00506B7E"/>
    <w:rsid w:val="00506EA4"/>
    <w:rsid w:val="005075AB"/>
    <w:rsid w:val="00510068"/>
    <w:rsid w:val="00510840"/>
    <w:rsid w:val="005108C0"/>
    <w:rsid w:val="00511873"/>
    <w:rsid w:val="00512A2F"/>
    <w:rsid w:val="0051310E"/>
    <w:rsid w:val="00513B7E"/>
    <w:rsid w:val="00515AD4"/>
    <w:rsid w:val="00515C74"/>
    <w:rsid w:val="00516090"/>
    <w:rsid w:val="0051644E"/>
    <w:rsid w:val="005166A1"/>
    <w:rsid w:val="0052007E"/>
    <w:rsid w:val="00520319"/>
    <w:rsid w:val="005207AA"/>
    <w:rsid w:val="00521013"/>
    <w:rsid w:val="00522D7D"/>
    <w:rsid w:val="0052337A"/>
    <w:rsid w:val="005239EA"/>
    <w:rsid w:val="00525137"/>
    <w:rsid w:val="005251DD"/>
    <w:rsid w:val="005257ED"/>
    <w:rsid w:val="00525CEF"/>
    <w:rsid w:val="00525FFC"/>
    <w:rsid w:val="00526384"/>
    <w:rsid w:val="00526565"/>
    <w:rsid w:val="00527897"/>
    <w:rsid w:val="00527F80"/>
    <w:rsid w:val="005302AB"/>
    <w:rsid w:val="00530D76"/>
    <w:rsid w:val="00532CE7"/>
    <w:rsid w:val="00532E6A"/>
    <w:rsid w:val="0053324C"/>
    <w:rsid w:val="00533B1A"/>
    <w:rsid w:val="00534151"/>
    <w:rsid w:val="00534A28"/>
    <w:rsid w:val="00535DB8"/>
    <w:rsid w:val="00536B9B"/>
    <w:rsid w:val="00537086"/>
    <w:rsid w:val="005370C4"/>
    <w:rsid w:val="005371CE"/>
    <w:rsid w:val="005372CF"/>
    <w:rsid w:val="00537DAF"/>
    <w:rsid w:val="00541508"/>
    <w:rsid w:val="00541A82"/>
    <w:rsid w:val="00541BBF"/>
    <w:rsid w:val="00541C4C"/>
    <w:rsid w:val="00541CED"/>
    <w:rsid w:val="005422E2"/>
    <w:rsid w:val="005432F2"/>
    <w:rsid w:val="00543A02"/>
    <w:rsid w:val="005442CC"/>
    <w:rsid w:val="00545528"/>
    <w:rsid w:val="00545E45"/>
    <w:rsid w:val="005465CB"/>
    <w:rsid w:val="00550EA0"/>
    <w:rsid w:val="005524F6"/>
    <w:rsid w:val="005525D0"/>
    <w:rsid w:val="00552D10"/>
    <w:rsid w:val="0055327E"/>
    <w:rsid w:val="00554CFE"/>
    <w:rsid w:val="0055553C"/>
    <w:rsid w:val="005556E4"/>
    <w:rsid w:val="0055586A"/>
    <w:rsid w:val="0055599F"/>
    <w:rsid w:val="00555ABA"/>
    <w:rsid w:val="00556B98"/>
    <w:rsid w:val="00556D68"/>
    <w:rsid w:val="0055728A"/>
    <w:rsid w:val="00557A73"/>
    <w:rsid w:val="00557FDA"/>
    <w:rsid w:val="00560FD5"/>
    <w:rsid w:val="00561F02"/>
    <w:rsid w:val="0056217C"/>
    <w:rsid w:val="00562411"/>
    <w:rsid w:val="00562680"/>
    <w:rsid w:val="005647BF"/>
    <w:rsid w:val="00564AA1"/>
    <w:rsid w:val="00564B8A"/>
    <w:rsid w:val="005658FE"/>
    <w:rsid w:val="00565F8E"/>
    <w:rsid w:val="0056647F"/>
    <w:rsid w:val="00566C30"/>
    <w:rsid w:val="00566DB2"/>
    <w:rsid w:val="0056714A"/>
    <w:rsid w:val="00567BF8"/>
    <w:rsid w:val="00567C89"/>
    <w:rsid w:val="00570A11"/>
    <w:rsid w:val="00570A93"/>
    <w:rsid w:val="00571E5F"/>
    <w:rsid w:val="0057364B"/>
    <w:rsid w:val="00573A3B"/>
    <w:rsid w:val="00574773"/>
    <w:rsid w:val="00574CB1"/>
    <w:rsid w:val="00575722"/>
    <w:rsid w:val="00576730"/>
    <w:rsid w:val="00576D54"/>
    <w:rsid w:val="00581E84"/>
    <w:rsid w:val="00582B45"/>
    <w:rsid w:val="00582D45"/>
    <w:rsid w:val="00583885"/>
    <w:rsid w:val="00583FFD"/>
    <w:rsid w:val="00584360"/>
    <w:rsid w:val="00584F85"/>
    <w:rsid w:val="00585357"/>
    <w:rsid w:val="005859FB"/>
    <w:rsid w:val="00585E51"/>
    <w:rsid w:val="0058622A"/>
    <w:rsid w:val="00586579"/>
    <w:rsid w:val="00590212"/>
    <w:rsid w:val="005911BE"/>
    <w:rsid w:val="00591F79"/>
    <w:rsid w:val="00593152"/>
    <w:rsid w:val="0059439A"/>
    <w:rsid w:val="00594553"/>
    <w:rsid w:val="00594CCF"/>
    <w:rsid w:val="00594F9D"/>
    <w:rsid w:val="005956BF"/>
    <w:rsid w:val="005973F7"/>
    <w:rsid w:val="00597650"/>
    <w:rsid w:val="00597A4F"/>
    <w:rsid w:val="00597F44"/>
    <w:rsid w:val="005A04B3"/>
    <w:rsid w:val="005A10F2"/>
    <w:rsid w:val="005A12A9"/>
    <w:rsid w:val="005A16D1"/>
    <w:rsid w:val="005A1896"/>
    <w:rsid w:val="005A21E0"/>
    <w:rsid w:val="005A28FF"/>
    <w:rsid w:val="005A2E08"/>
    <w:rsid w:val="005A3DF8"/>
    <w:rsid w:val="005A4018"/>
    <w:rsid w:val="005A40F7"/>
    <w:rsid w:val="005A435A"/>
    <w:rsid w:val="005A4745"/>
    <w:rsid w:val="005A4DB5"/>
    <w:rsid w:val="005A5387"/>
    <w:rsid w:val="005A5549"/>
    <w:rsid w:val="005A5A57"/>
    <w:rsid w:val="005A5F01"/>
    <w:rsid w:val="005A7595"/>
    <w:rsid w:val="005A7DC6"/>
    <w:rsid w:val="005B0664"/>
    <w:rsid w:val="005B121D"/>
    <w:rsid w:val="005B2851"/>
    <w:rsid w:val="005B2ADE"/>
    <w:rsid w:val="005B5339"/>
    <w:rsid w:val="005B6D93"/>
    <w:rsid w:val="005B7266"/>
    <w:rsid w:val="005C00E4"/>
    <w:rsid w:val="005C06ED"/>
    <w:rsid w:val="005C0816"/>
    <w:rsid w:val="005C25CE"/>
    <w:rsid w:val="005C2B85"/>
    <w:rsid w:val="005C2C7C"/>
    <w:rsid w:val="005C3526"/>
    <w:rsid w:val="005C5707"/>
    <w:rsid w:val="005C5DF4"/>
    <w:rsid w:val="005C5FA9"/>
    <w:rsid w:val="005C66D4"/>
    <w:rsid w:val="005C6A99"/>
    <w:rsid w:val="005C78CC"/>
    <w:rsid w:val="005C7E65"/>
    <w:rsid w:val="005D0A47"/>
    <w:rsid w:val="005D12D8"/>
    <w:rsid w:val="005D13D5"/>
    <w:rsid w:val="005D1AF5"/>
    <w:rsid w:val="005D1E23"/>
    <w:rsid w:val="005D213D"/>
    <w:rsid w:val="005D2CF3"/>
    <w:rsid w:val="005D2D0E"/>
    <w:rsid w:val="005D3B87"/>
    <w:rsid w:val="005D3C3F"/>
    <w:rsid w:val="005D5802"/>
    <w:rsid w:val="005D5E36"/>
    <w:rsid w:val="005D74F2"/>
    <w:rsid w:val="005D7890"/>
    <w:rsid w:val="005D7896"/>
    <w:rsid w:val="005E0D48"/>
    <w:rsid w:val="005E248C"/>
    <w:rsid w:val="005E27AB"/>
    <w:rsid w:val="005E2B98"/>
    <w:rsid w:val="005E4C42"/>
    <w:rsid w:val="005E565A"/>
    <w:rsid w:val="005E5D8D"/>
    <w:rsid w:val="005E62C0"/>
    <w:rsid w:val="005E635F"/>
    <w:rsid w:val="005E7ACB"/>
    <w:rsid w:val="005E7C78"/>
    <w:rsid w:val="005E7F0B"/>
    <w:rsid w:val="005F21D1"/>
    <w:rsid w:val="005F3EB1"/>
    <w:rsid w:val="005F425D"/>
    <w:rsid w:val="005F4803"/>
    <w:rsid w:val="005F5469"/>
    <w:rsid w:val="005F5A7F"/>
    <w:rsid w:val="0060011F"/>
    <w:rsid w:val="00600991"/>
    <w:rsid w:val="00601A76"/>
    <w:rsid w:val="00601B56"/>
    <w:rsid w:val="00601DBC"/>
    <w:rsid w:val="00602738"/>
    <w:rsid w:val="006033F3"/>
    <w:rsid w:val="006035DE"/>
    <w:rsid w:val="00603B3F"/>
    <w:rsid w:val="006040E1"/>
    <w:rsid w:val="00604307"/>
    <w:rsid w:val="0060487F"/>
    <w:rsid w:val="00604EAD"/>
    <w:rsid w:val="00605DA7"/>
    <w:rsid w:val="0060614A"/>
    <w:rsid w:val="006068B6"/>
    <w:rsid w:val="00606EB6"/>
    <w:rsid w:val="00607517"/>
    <w:rsid w:val="00607EFE"/>
    <w:rsid w:val="006104FB"/>
    <w:rsid w:val="00610A6E"/>
    <w:rsid w:val="00610DCE"/>
    <w:rsid w:val="0061139F"/>
    <w:rsid w:val="006113F2"/>
    <w:rsid w:val="00611862"/>
    <w:rsid w:val="00612868"/>
    <w:rsid w:val="00612A2F"/>
    <w:rsid w:val="00612F37"/>
    <w:rsid w:val="00612F79"/>
    <w:rsid w:val="0061355B"/>
    <w:rsid w:val="00615038"/>
    <w:rsid w:val="006156B1"/>
    <w:rsid w:val="00615EAD"/>
    <w:rsid w:val="00616E05"/>
    <w:rsid w:val="00617310"/>
    <w:rsid w:val="00617559"/>
    <w:rsid w:val="00617820"/>
    <w:rsid w:val="006224A6"/>
    <w:rsid w:val="006228D0"/>
    <w:rsid w:val="00622A88"/>
    <w:rsid w:val="00623816"/>
    <w:rsid w:val="00624093"/>
    <w:rsid w:val="00625E06"/>
    <w:rsid w:val="0062655C"/>
    <w:rsid w:val="00626B5A"/>
    <w:rsid w:val="0063152A"/>
    <w:rsid w:val="00631A36"/>
    <w:rsid w:val="006323A4"/>
    <w:rsid w:val="0063288A"/>
    <w:rsid w:val="006328A5"/>
    <w:rsid w:val="006330CA"/>
    <w:rsid w:val="00633690"/>
    <w:rsid w:val="00633BB4"/>
    <w:rsid w:val="006346BB"/>
    <w:rsid w:val="00635B0D"/>
    <w:rsid w:val="0063655E"/>
    <w:rsid w:val="0063694F"/>
    <w:rsid w:val="00637C49"/>
    <w:rsid w:val="006401AF"/>
    <w:rsid w:val="006404A7"/>
    <w:rsid w:val="006405F3"/>
    <w:rsid w:val="00640A36"/>
    <w:rsid w:val="00641312"/>
    <w:rsid w:val="00642B69"/>
    <w:rsid w:val="00642E65"/>
    <w:rsid w:val="00643F07"/>
    <w:rsid w:val="00644505"/>
    <w:rsid w:val="00644652"/>
    <w:rsid w:val="00644E4F"/>
    <w:rsid w:val="006451E4"/>
    <w:rsid w:val="00645B33"/>
    <w:rsid w:val="00647176"/>
    <w:rsid w:val="00647202"/>
    <w:rsid w:val="006474CA"/>
    <w:rsid w:val="00647B42"/>
    <w:rsid w:val="0065031F"/>
    <w:rsid w:val="00651007"/>
    <w:rsid w:val="006516CB"/>
    <w:rsid w:val="00651766"/>
    <w:rsid w:val="00652057"/>
    <w:rsid w:val="006526C8"/>
    <w:rsid w:val="006542B9"/>
    <w:rsid w:val="00654C2C"/>
    <w:rsid w:val="006554E1"/>
    <w:rsid w:val="00655A7E"/>
    <w:rsid w:val="006571DE"/>
    <w:rsid w:val="0065797A"/>
    <w:rsid w:val="00657E87"/>
    <w:rsid w:val="00657FC5"/>
    <w:rsid w:val="006601F2"/>
    <w:rsid w:val="006602B2"/>
    <w:rsid w:val="00661484"/>
    <w:rsid w:val="0066180D"/>
    <w:rsid w:val="00661A5F"/>
    <w:rsid w:val="00661BF2"/>
    <w:rsid w:val="0066204E"/>
    <w:rsid w:val="00663890"/>
    <w:rsid w:val="00664803"/>
    <w:rsid w:val="00664C80"/>
    <w:rsid w:val="00665590"/>
    <w:rsid w:val="00665BA4"/>
    <w:rsid w:val="00665D83"/>
    <w:rsid w:val="00666763"/>
    <w:rsid w:val="00667954"/>
    <w:rsid w:val="006679B7"/>
    <w:rsid w:val="00667AF2"/>
    <w:rsid w:val="00670F73"/>
    <w:rsid w:val="006710C9"/>
    <w:rsid w:val="00671A24"/>
    <w:rsid w:val="0067425E"/>
    <w:rsid w:val="0067441C"/>
    <w:rsid w:val="00674483"/>
    <w:rsid w:val="00674938"/>
    <w:rsid w:val="00674ADC"/>
    <w:rsid w:val="00674D89"/>
    <w:rsid w:val="00675844"/>
    <w:rsid w:val="00675A30"/>
    <w:rsid w:val="00675E37"/>
    <w:rsid w:val="00676AA2"/>
    <w:rsid w:val="00677072"/>
    <w:rsid w:val="00680269"/>
    <w:rsid w:val="0068051C"/>
    <w:rsid w:val="00680CF4"/>
    <w:rsid w:val="0068174E"/>
    <w:rsid w:val="00681DCE"/>
    <w:rsid w:val="006824C6"/>
    <w:rsid w:val="0068260E"/>
    <w:rsid w:val="00682FEB"/>
    <w:rsid w:val="00683F3C"/>
    <w:rsid w:val="00686382"/>
    <w:rsid w:val="00686D74"/>
    <w:rsid w:val="00686FBD"/>
    <w:rsid w:val="00690DB2"/>
    <w:rsid w:val="00691399"/>
    <w:rsid w:val="00692076"/>
    <w:rsid w:val="00692667"/>
    <w:rsid w:val="00692F27"/>
    <w:rsid w:val="0069347A"/>
    <w:rsid w:val="00693910"/>
    <w:rsid w:val="00694677"/>
    <w:rsid w:val="00695398"/>
    <w:rsid w:val="00695BEF"/>
    <w:rsid w:val="006964CE"/>
    <w:rsid w:val="006965F2"/>
    <w:rsid w:val="0069693B"/>
    <w:rsid w:val="0069706C"/>
    <w:rsid w:val="00697448"/>
    <w:rsid w:val="00697750"/>
    <w:rsid w:val="006977F6"/>
    <w:rsid w:val="00697A13"/>
    <w:rsid w:val="00697D69"/>
    <w:rsid w:val="006A071F"/>
    <w:rsid w:val="006A0E34"/>
    <w:rsid w:val="006A109C"/>
    <w:rsid w:val="006A10D9"/>
    <w:rsid w:val="006A140D"/>
    <w:rsid w:val="006A3A1C"/>
    <w:rsid w:val="006A3A46"/>
    <w:rsid w:val="006A50F0"/>
    <w:rsid w:val="006A574B"/>
    <w:rsid w:val="006A5807"/>
    <w:rsid w:val="006A6F1E"/>
    <w:rsid w:val="006A787D"/>
    <w:rsid w:val="006B155E"/>
    <w:rsid w:val="006B3132"/>
    <w:rsid w:val="006B344A"/>
    <w:rsid w:val="006B354C"/>
    <w:rsid w:val="006B3EFC"/>
    <w:rsid w:val="006B4CFE"/>
    <w:rsid w:val="006B4D4F"/>
    <w:rsid w:val="006B5118"/>
    <w:rsid w:val="006B51B8"/>
    <w:rsid w:val="006B5B78"/>
    <w:rsid w:val="006B6F44"/>
    <w:rsid w:val="006B784C"/>
    <w:rsid w:val="006B78D8"/>
    <w:rsid w:val="006B791E"/>
    <w:rsid w:val="006B7FF7"/>
    <w:rsid w:val="006C02D4"/>
    <w:rsid w:val="006C045E"/>
    <w:rsid w:val="006C098E"/>
    <w:rsid w:val="006C113F"/>
    <w:rsid w:val="006C1225"/>
    <w:rsid w:val="006C123E"/>
    <w:rsid w:val="006C1714"/>
    <w:rsid w:val="006C191F"/>
    <w:rsid w:val="006C3657"/>
    <w:rsid w:val="006C40B8"/>
    <w:rsid w:val="006C435E"/>
    <w:rsid w:val="006C46E7"/>
    <w:rsid w:val="006C48E4"/>
    <w:rsid w:val="006C56D4"/>
    <w:rsid w:val="006C6924"/>
    <w:rsid w:val="006C70CB"/>
    <w:rsid w:val="006C785B"/>
    <w:rsid w:val="006C7CA6"/>
    <w:rsid w:val="006D02AC"/>
    <w:rsid w:val="006D1923"/>
    <w:rsid w:val="006D1C1C"/>
    <w:rsid w:val="006D1C4D"/>
    <w:rsid w:val="006D22F7"/>
    <w:rsid w:val="006D29E3"/>
    <w:rsid w:val="006D2F03"/>
    <w:rsid w:val="006D3D19"/>
    <w:rsid w:val="006D3E8A"/>
    <w:rsid w:val="006D431E"/>
    <w:rsid w:val="006D4462"/>
    <w:rsid w:val="006D4D82"/>
    <w:rsid w:val="006D5470"/>
    <w:rsid w:val="006D551A"/>
    <w:rsid w:val="006D55DF"/>
    <w:rsid w:val="006D5AB7"/>
    <w:rsid w:val="006D61F6"/>
    <w:rsid w:val="006D64E2"/>
    <w:rsid w:val="006D6D8D"/>
    <w:rsid w:val="006D7525"/>
    <w:rsid w:val="006D774B"/>
    <w:rsid w:val="006E0507"/>
    <w:rsid w:val="006E0594"/>
    <w:rsid w:val="006E07FD"/>
    <w:rsid w:val="006E0B4B"/>
    <w:rsid w:val="006E0F4C"/>
    <w:rsid w:val="006E1651"/>
    <w:rsid w:val="006E279A"/>
    <w:rsid w:val="006E2ADF"/>
    <w:rsid w:val="006E2B19"/>
    <w:rsid w:val="006E313B"/>
    <w:rsid w:val="006E32A1"/>
    <w:rsid w:val="006E3F15"/>
    <w:rsid w:val="006E4EA1"/>
    <w:rsid w:val="006E502F"/>
    <w:rsid w:val="006E54EC"/>
    <w:rsid w:val="006E5E0F"/>
    <w:rsid w:val="006E6395"/>
    <w:rsid w:val="006E63F2"/>
    <w:rsid w:val="006E6518"/>
    <w:rsid w:val="006E686C"/>
    <w:rsid w:val="006E6D7E"/>
    <w:rsid w:val="006E702A"/>
    <w:rsid w:val="006E7356"/>
    <w:rsid w:val="006E73CC"/>
    <w:rsid w:val="006E7DC2"/>
    <w:rsid w:val="006F0003"/>
    <w:rsid w:val="006F0222"/>
    <w:rsid w:val="006F049A"/>
    <w:rsid w:val="006F07EA"/>
    <w:rsid w:val="006F12D8"/>
    <w:rsid w:val="006F1D1E"/>
    <w:rsid w:val="006F2A2E"/>
    <w:rsid w:val="006F3A08"/>
    <w:rsid w:val="006F3F8E"/>
    <w:rsid w:val="006F4256"/>
    <w:rsid w:val="006F4DCF"/>
    <w:rsid w:val="006F5416"/>
    <w:rsid w:val="006F565E"/>
    <w:rsid w:val="006F5D76"/>
    <w:rsid w:val="006F7137"/>
    <w:rsid w:val="007005C1"/>
    <w:rsid w:val="00700AD4"/>
    <w:rsid w:val="00700BF3"/>
    <w:rsid w:val="007028C4"/>
    <w:rsid w:val="007034E1"/>
    <w:rsid w:val="0070384E"/>
    <w:rsid w:val="00703C14"/>
    <w:rsid w:val="00703E54"/>
    <w:rsid w:val="00704EB8"/>
    <w:rsid w:val="007050BC"/>
    <w:rsid w:val="0070548C"/>
    <w:rsid w:val="00705698"/>
    <w:rsid w:val="00705C42"/>
    <w:rsid w:val="00705CCF"/>
    <w:rsid w:val="00705CF6"/>
    <w:rsid w:val="00706789"/>
    <w:rsid w:val="00706AD4"/>
    <w:rsid w:val="0070742B"/>
    <w:rsid w:val="007078E1"/>
    <w:rsid w:val="00712EA7"/>
    <w:rsid w:val="007140BE"/>
    <w:rsid w:val="00715458"/>
    <w:rsid w:val="007164A4"/>
    <w:rsid w:val="00716502"/>
    <w:rsid w:val="00716F56"/>
    <w:rsid w:val="00717F46"/>
    <w:rsid w:val="0072037E"/>
    <w:rsid w:val="007211F5"/>
    <w:rsid w:val="00721546"/>
    <w:rsid w:val="00721E7C"/>
    <w:rsid w:val="0072209E"/>
    <w:rsid w:val="007239D4"/>
    <w:rsid w:val="0072462E"/>
    <w:rsid w:val="0072483C"/>
    <w:rsid w:val="00724FAF"/>
    <w:rsid w:val="00725699"/>
    <w:rsid w:val="00725BB5"/>
    <w:rsid w:val="00725F62"/>
    <w:rsid w:val="0072606C"/>
    <w:rsid w:val="00726317"/>
    <w:rsid w:val="00730047"/>
    <w:rsid w:val="00730183"/>
    <w:rsid w:val="00730AE8"/>
    <w:rsid w:val="00731B27"/>
    <w:rsid w:val="00733ACD"/>
    <w:rsid w:val="00736542"/>
    <w:rsid w:val="00737861"/>
    <w:rsid w:val="00737BFE"/>
    <w:rsid w:val="00737BFF"/>
    <w:rsid w:val="00740195"/>
    <w:rsid w:val="00741358"/>
    <w:rsid w:val="00741493"/>
    <w:rsid w:val="007417E5"/>
    <w:rsid w:val="00742A80"/>
    <w:rsid w:val="00742B1F"/>
    <w:rsid w:val="00742C9A"/>
    <w:rsid w:val="007431D5"/>
    <w:rsid w:val="00743769"/>
    <w:rsid w:val="00743A8F"/>
    <w:rsid w:val="00746DE3"/>
    <w:rsid w:val="00746E70"/>
    <w:rsid w:val="007479B2"/>
    <w:rsid w:val="007508C0"/>
    <w:rsid w:val="00750D9B"/>
    <w:rsid w:val="0075206D"/>
    <w:rsid w:val="00752180"/>
    <w:rsid w:val="007523AD"/>
    <w:rsid w:val="00752A1E"/>
    <w:rsid w:val="00752CE6"/>
    <w:rsid w:val="007530E2"/>
    <w:rsid w:val="0075333A"/>
    <w:rsid w:val="007535D5"/>
    <w:rsid w:val="007550FA"/>
    <w:rsid w:val="00755202"/>
    <w:rsid w:val="00755D3A"/>
    <w:rsid w:val="007564B0"/>
    <w:rsid w:val="007565CF"/>
    <w:rsid w:val="007569B6"/>
    <w:rsid w:val="00756F12"/>
    <w:rsid w:val="007578D3"/>
    <w:rsid w:val="007609C6"/>
    <w:rsid w:val="007615EC"/>
    <w:rsid w:val="0076175D"/>
    <w:rsid w:val="00761B7D"/>
    <w:rsid w:val="00761F38"/>
    <w:rsid w:val="00762AA4"/>
    <w:rsid w:val="0076309B"/>
    <w:rsid w:val="0076320E"/>
    <w:rsid w:val="007633E5"/>
    <w:rsid w:val="007634D4"/>
    <w:rsid w:val="00764826"/>
    <w:rsid w:val="00764F49"/>
    <w:rsid w:val="0076521E"/>
    <w:rsid w:val="00765856"/>
    <w:rsid w:val="007660BB"/>
    <w:rsid w:val="007661E9"/>
    <w:rsid w:val="007667B6"/>
    <w:rsid w:val="00766E66"/>
    <w:rsid w:val="0076714F"/>
    <w:rsid w:val="0076747E"/>
    <w:rsid w:val="00772FF2"/>
    <w:rsid w:val="00773731"/>
    <w:rsid w:val="00774213"/>
    <w:rsid w:val="007746A0"/>
    <w:rsid w:val="00775132"/>
    <w:rsid w:val="00775DD3"/>
    <w:rsid w:val="00776169"/>
    <w:rsid w:val="00776527"/>
    <w:rsid w:val="00777381"/>
    <w:rsid w:val="00777DE0"/>
    <w:rsid w:val="00780EF1"/>
    <w:rsid w:val="00780F58"/>
    <w:rsid w:val="00781059"/>
    <w:rsid w:val="00781313"/>
    <w:rsid w:val="00781543"/>
    <w:rsid w:val="00781971"/>
    <w:rsid w:val="007822A7"/>
    <w:rsid w:val="007825CF"/>
    <w:rsid w:val="0078356A"/>
    <w:rsid w:val="00783ABF"/>
    <w:rsid w:val="00784111"/>
    <w:rsid w:val="00784EA7"/>
    <w:rsid w:val="00786086"/>
    <w:rsid w:val="00786A92"/>
    <w:rsid w:val="00787060"/>
    <w:rsid w:val="0079044F"/>
    <w:rsid w:val="00790764"/>
    <w:rsid w:val="00790CE1"/>
    <w:rsid w:val="0079116F"/>
    <w:rsid w:val="00791CDB"/>
    <w:rsid w:val="00791E24"/>
    <w:rsid w:val="0079254D"/>
    <w:rsid w:val="007925AD"/>
    <w:rsid w:val="00792798"/>
    <w:rsid w:val="00792912"/>
    <w:rsid w:val="00793462"/>
    <w:rsid w:val="0079361F"/>
    <w:rsid w:val="00793731"/>
    <w:rsid w:val="00793BE9"/>
    <w:rsid w:val="00794071"/>
    <w:rsid w:val="0079432E"/>
    <w:rsid w:val="0079453C"/>
    <w:rsid w:val="0079466B"/>
    <w:rsid w:val="00794677"/>
    <w:rsid w:val="00794D81"/>
    <w:rsid w:val="00794FBA"/>
    <w:rsid w:val="00795460"/>
    <w:rsid w:val="007963F4"/>
    <w:rsid w:val="007968CD"/>
    <w:rsid w:val="0079704D"/>
    <w:rsid w:val="0079785C"/>
    <w:rsid w:val="007A00F0"/>
    <w:rsid w:val="007A113A"/>
    <w:rsid w:val="007A123E"/>
    <w:rsid w:val="007A3120"/>
    <w:rsid w:val="007A3852"/>
    <w:rsid w:val="007A4559"/>
    <w:rsid w:val="007A502A"/>
    <w:rsid w:val="007A64BE"/>
    <w:rsid w:val="007A6A37"/>
    <w:rsid w:val="007A71E5"/>
    <w:rsid w:val="007A7C30"/>
    <w:rsid w:val="007B2325"/>
    <w:rsid w:val="007B352D"/>
    <w:rsid w:val="007B3F02"/>
    <w:rsid w:val="007B49F7"/>
    <w:rsid w:val="007B4B2D"/>
    <w:rsid w:val="007B4E7C"/>
    <w:rsid w:val="007B5262"/>
    <w:rsid w:val="007B5543"/>
    <w:rsid w:val="007B6689"/>
    <w:rsid w:val="007B763E"/>
    <w:rsid w:val="007B7947"/>
    <w:rsid w:val="007B7EF6"/>
    <w:rsid w:val="007C0866"/>
    <w:rsid w:val="007C1652"/>
    <w:rsid w:val="007C1CF4"/>
    <w:rsid w:val="007C1D85"/>
    <w:rsid w:val="007C3D62"/>
    <w:rsid w:val="007C4476"/>
    <w:rsid w:val="007C5AD2"/>
    <w:rsid w:val="007C656A"/>
    <w:rsid w:val="007C6E00"/>
    <w:rsid w:val="007C79C9"/>
    <w:rsid w:val="007D0EEB"/>
    <w:rsid w:val="007D0F30"/>
    <w:rsid w:val="007D21BE"/>
    <w:rsid w:val="007D287E"/>
    <w:rsid w:val="007D2DDF"/>
    <w:rsid w:val="007D3BFE"/>
    <w:rsid w:val="007D40DF"/>
    <w:rsid w:val="007D61D5"/>
    <w:rsid w:val="007D6964"/>
    <w:rsid w:val="007D747C"/>
    <w:rsid w:val="007E1DAD"/>
    <w:rsid w:val="007E2849"/>
    <w:rsid w:val="007E33A1"/>
    <w:rsid w:val="007E37D3"/>
    <w:rsid w:val="007E4968"/>
    <w:rsid w:val="007E579F"/>
    <w:rsid w:val="007E60A6"/>
    <w:rsid w:val="007E722A"/>
    <w:rsid w:val="007E79A8"/>
    <w:rsid w:val="007E7DA8"/>
    <w:rsid w:val="007E7E61"/>
    <w:rsid w:val="007F00E7"/>
    <w:rsid w:val="007F0845"/>
    <w:rsid w:val="007F0B36"/>
    <w:rsid w:val="007F0C1F"/>
    <w:rsid w:val="007F0E01"/>
    <w:rsid w:val="007F0EEA"/>
    <w:rsid w:val="007F1D44"/>
    <w:rsid w:val="007F2B29"/>
    <w:rsid w:val="007F3792"/>
    <w:rsid w:val="007F3CDD"/>
    <w:rsid w:val="007F66C3"/>
    <w:rsid w:val="007F773C"/>
    <w:rsid w:val="007F7756"/>
    <w:rsid w:val="007F7A02"/>
    <w:rsid w:val="00800D34"/>
    <w:rsid w:val="008018C6"/>
    <w:rsid w:val="00801E93"/>
    <w:rsid w:val="008020EA"/>
    <w:rsid w:val="0080256A"/>
    <w:rsid w:val="008026EB"/>
    <w:rsid w:val="008029E7"/>
    <w:rsid w:val="00802E27"/>
    <w:rsid w:val="00803022"/>
    <w:rsid w:val="008032AD"/>
    <w:rsid w:val="008033E5"/>
    <w:rsid w:val="00803B38"/>
    <w:rsid w:val="00803E0A"/>
    <w:rsid w:val="008046E3"/>
    <w:rsid w:val="00805BAD"/>
    <w:rsid w:val="00806BB0"/>
    <w:rsid w:val="00807739"/>
    <w:rsid w:val="00807C82"/>
    <w:rsid w:val="0081099F"/>
    <w:rsid w:val="008111F7"/>
    <w:rsid w:val="00811FCF"/>
    <w:rsid w:val="00812A2E"/>
    <w:rsid w:val="00813CB4"/>
    <w:rsid w:val="00815282"/>
    <w:rsid w:val="00815862"/>
    <w:rsid w:val="008168F7"/>
    <w:rsid w:val="00816905"/>
    <w:rsid w:val="00820979"/>
    <w:rsid w:val="00820D0D"/>
    <w:rsid w:val="00821CC7"/>
    <w:rsid w:val="00821FF6"/>
    <w:rsid w:val="00822C4D"/>
    <w:rsid w:val="008236C2"/>
    <w:rsid w:val="008237DA"/>
    <w:rsid w:val="00823EFB"/>
    <w:rsid w:val="00824828"/>
    <w:rsid w:val="008259F4"/>
    <w:rsid w:val="00825B78"/>
    <w:rsid w:val="00825C0B"/>
    <w:rsid w:val="00825C4D"/>
    <w:rsid w:val="00825D36"/>
    <w:rsid w:val="00825E53"/>
    <w:rsid w:val="008262CE"/>
    <w:rsid w:val="0082649F"/>
    <w:rsid w:val="00827673"/>
    <w:rsid w:val="00830020"/>
    <w:rsid w:val="00830C39"/>
    <w:rsid w:val="0083143E"/>
    <w:rsid w:val="00831CDE"/>
    <w:rsid w:val="0083420B"/>
    <w:rsid w:val="00834304"/>
    <w:rsid w:val="00834FAA"/>
    <w:rsid w:val="0083518B"/>
    <w:rsid w:val="00835473"/>
    <w:rsid w:val="00835C56"/>
    <w:rsid w:val="00836086"/>
    <w:rsid w:val="00836E96"/>
    <w:rsid w:val="00837655"/>
    <w:rsid w:val="00837809"/>
    <w:rsid w:val="008378ED"/>
    <w:rsid w:val="00837B49"/>
    <w:rsid w:val="00837CCD"/>
    <w:rsid w:val="00840090"/>
    <w:rsid w:val="008401BF"/>
    <w:rsid w:val="00840579"/>
    <w:rsid w:val="008410CE"/>
    <w:rsid w:val="00842F19"/>
    <w:rsid w:val="00843694"/>
    <w:rsid w:val="008439AD"/>
    <w:rsid w:val="00843E2C"/>
    <w:rsid w:val="008440A3"/>
    <w:rsid w:val="00844AFF"/>
    <w:rsid w:val="00844D3B"/>
    <w:rsid w:val="00844F6F"/>
    <w:rsid w:val="00845028"/>
    <w:rsid w:val="00845562"/>
    <w:rsid w:val="00845951"/>
    <w:rsid w:val="00846728"/>
    <w:rsid w:val="00846BFD"/>
    <w:rsid w:val="0084700A"/>
    <w:rsid w:val="0084708F"/>
    <w:rsid w:val="008471A9"/>
    <w:rsid w:val="00847787"/>
    <w:rsid w:val="008477C8"/>
    <w:rsid w:val="008479D6"/>
    <w:rsid w:val="0085114D"/>
    <w:rsid w:val="00852217"/>
    <w:rsid w:val="00852B7E"/>
    <w:rsid w:val="00852E72"/>
    <w:rsid w:val="008544AB"/>
    <w:rsid w:val="00855408"/>
    <w:rsid w:val="00855D26"/>
    <w:rsid w:val="00856AFE"/>
    <w:rsid w:val="00856D65"/>
    <w:rsid w:val="00856E24"/>
    <w:rsid w:val="008576E9"/>
    <w:rsid w:val="00857B9B"/>
    <w:rsid w:val="008606E6"/>
    <w:rsid w:val="00861219"/>
    <w:rsid w:val="00861B41"/>
    <w:rsid w:val="00861B79"/>
    <w:rsid w:val="00861F55"/>
    <w:rsid w:val="00862B65"/>
    <w:rsid w:val="00862E24"/>
    <w:rsid w:val="00863152"/>
    <w:rsid w:val="00863434"/>
    <w:rsid w:val="00863B35"/>
    <w:rsid w:val="00863C3F"/>
    <w:rsid w:val="00864BCD"/>
    <w:rsid w:val="00864CB6"/>
    <w:rsid w:val="00865B42"/>
    <w:rsid w:val="00865E4C"/>
    <w:rsid w:val="008664AD"/>
    <w:rsid w:val="00866B8E"/>
    <w:rsid w:val="00867384"/>
    <w:rsid w:val="00867861"/>
    <w:rsid w:val="008701E4"/>
    <w:rsid w:val="0087080F"/>
    <w:rsid w:val="00870A7F"/>
    <w:rsid w:val="008716FA"/>
    <w:rsid w:val="0087206E"/>
    <w:rsid w:val="008737D3"/>
    <w:rsid w:val="00873CF4"/>
    <w:rsid w:val="00874235"/>
    <w:rsid w:val="008749E0"/>
    <w:rsid w:val="00875626"/>
    <w:rsid w:val="00875A32"/>
    <w:rsid w:val="00875AE0"/>
    <w:rsid w:val="00876086"/>
    <w:rsid w:val="0087647D"/>
    <w:rsid w:val="0087653E"/>
    <w:rsid w:val="00877281"/>
    <w:rsid w:val="0088001A"/>
    <w:rsid w:val="0088047D"/>
    <w:rsid w:val="00880CD7"/>
    <w:rsid w:val="0088120C"/>
    <w:rsid w:val="008814AF"/>
    <w:rsid w:val="0088208F"/>
    <w:rsid w:val="008821C9"/>
    <w:rsid w:val="0088366B"/>
    <w:rsid w:val="00884DC5"/>
    <w:rsid w:val="00886C33"/>
    <w:rsid w:val="00886FB3"/>
    <w:rsid w:val="008873D4"/>
    <w:rsid w:val="008874BD"/>
    <w:rsid w:val="008878CE"/>
    <w:rsid w:val="00890C63"/>
    <w:rsid w:val="0089106C"/>
    <w:rsid w:val="00891D6A"/>
    <w:rsid w:val="00891E2E"/>
    <w:rsid w:val="0089372E"/>
    <w:rsid w:val="008938B0"/>
    <w:rsid w:val="00893E85"/>
    <w:rsid w:val="00894031"/>
    <w:rsid w:val="0089426A"/>
    <w:rsid w:val="00894AE9"/>
    <w:rsid w:val="008951EA"/>
    <w:rsid w:val="0089533C"/>
    <w:rsid w:val="008954DD"/>
    <w:rsid w:val="0089618C"/>
    <w:rsid w:val="00897263"/>
    <w:rsid w:val="00897362"/>
    <w:rsid w:val="00897878"/>
    <w:rsid w:val="00897B42"/>
    <w:rsid w:val="00897D09"/>
    <w:rsid w:val="00897F49"/>
    <w:rsid w:val="00897FCC"/>
    <w:rsid w:val="008A2232"/>
    <w:rsid w:val="008A2DFF"/>
    <w:rsid w:val="008A48F9"/>
    <w:rsid w:val="008A5096"/>
    <w:rsid w:val="008A509B"/>
    <w:rsid w:val="008A5D2C"/>
    <w:rsid w:val="008A657D"/>
    <w:rsid w:val="008A662C"/>
    <w:rsid w:val="008A75BD"/>
    <w:rsid w:val="008A7A60"/>
    <w:rsid w:val="008B1102"/>
    <w:rsid w:val="008B2D7F"/>
    <w:rsid w:val="008B2F9E"/>
    <w:rsid w:val="008B3029"/>
    <w:rsid w:val="008B3E2E"/>
    <w:rsid w:val="008B4825"/>
    <w:rsid w:val="008B5760"/>
    <w:rsid w:val="008B57CF"/>
    <w:rsid w:val="008B6CBD"/>
    <w:rsid w:val="008B7B1C"/>
    <w:rsid w:val="008B7C02"/>
    <w:rsid w:val="008B7D2B"/>
    <w:rsid w:val="008B7DE0"/>
    <w:rsid w:val="008C0049"/>
    <w:rsid w:val="008C069D"/>
    <w:rsid w:val="008C0E88"/>
    <w:rsid w:val="008C0FC4"/>
    <w:rsid w:val="008C14B6"/>
    <w:rsid w:val="008C177C"/>
    <w:rsid w:val="008C2218"/>
    <w:rsid w:val="008C224B"/>
    <w:rsid w:val="008C3112"/>
    <w:rsid w:val="008C3787"/>
    <w:rsid w:val="008C5D60"/>
    <w:rsid w:val="008C5E8B"/>
    <w:rsid w:val="008C61BA"/>
    <w:rsid w:val="008C70B1"/>
    <w:rsid w:val="008C772D"/>
    <w:rsid w:val="008D0C64"/>
    <w:rsid w:val="008D130E"/>
    <w:rsid w:val="008D14F5"/>
    <w:rsid w:val="008D178B"/>
    <w:rsid w:val="008D1E6A"/>
    <w:rsid w:val="008D2A16"/>
    <w:rsid w:val="008D4594"/>
    <w:rsid w:val="008D47DD"/>
    <w:rsid w:val="008D4C38"/>
    <w:rsid w:val="008D6345"/>
    <w:rsid w:val="008D6C23"/>
    <w:rsid w:val="008D7F6C"/>
    <w:rsid w:val="008E0E9C"/>
    <w:rsid w:val="008E2325"/>
    <w:rsid w:val="008E2C57"/>
    <w:rsid w:val="008E31FF"/>
    <w:rsid w:val="008E4FDC"/>
    <w:rsid w:val="008E679C"/>
    <w:rsid w:val="008E6D38"/>
    <w:rsid w:val="008E6F06"/>
    <w:rsid w:val="008E7290"/>
    <w:rsid w:val="008E7B8B"/>
    <w:rsid w:val="008E7ECD"/>
    <w:rsid w:val="008F029B"/>
    <w:rsid w:val="008F15A4"/>
    <w:rsid w:val="008F284B"/>
    <w:rsid w:val="008F3FC9"/>
    <w:rsid w:val="008F41A4"/>
    <w:rsid w:val="008F560C"/>
    <w:rsid w:val="008F566F"/>
    <w:rsid w:val="008F585B"/>
    <w:rsid w:val="008F706B"/>
    <w:rsid w:val="008F711D"/>
    <w:rsid w:val="008F76A0"/>
    <w:rsid w:val="008F76C1"/>
    <w:rsid w:val="009003A8"/>
    <w:rsid w:val="00900E51"/>
    <w:rsid w:val="00901010"/>
    <w:rsid w:val="00901750"/>
    <w:rsid w:val="00902500"/>
    <w:rsid w:val="00902A0A"/>
    <w:rsid w:val="00902EFF"/>
    <w:rsid w:val="00904A3E"/>
    <w:rsid w:val="00905358"/>
    <w:rsid w:val="00905623"/>
    <w:rsid w:val="0090564F"/>
    <w:rsid w:val="00906401"/>
    <w:rsid w:val="00906B3E"/>
    <w:rsid w:val="00907168"/>
    <w:rsid w:val="0090753F"/>
    <w:rsid w:val="009077D9"/>
    <w:rsid w:val="00910196"/>
    <w:rsid w:val="0091155E"/>
    <w:rsid w:val="009119E1"/>
    <w:rsid w:val="00912A92"/>
    <w:rsid w:val="009137FD"/>
    <w:rsid w:val="0091435B"/>
    <w:rsid w:val="0091489A"/>
    <w:rsid w:val="00914981"/>
    <w:rsid w:val="009153A6"/>
    <w:rsid w:val="00916363"/>
    <w:rsid w:val="0091728D"/>
    <w:rsid w:val="0092016E"/>
    <w:rsid w:val="009204F9"/>
    <w:rsid w:val="00920B74"/>
    <w:rsid w:val="0092171C"/>
    <w:rsid w:val="0092180B"/>
    <w:rsid w:val="00921F14"/>
    <w:rsid w:val="009222CC"/>
    <w:rsid w:val="0092269D"/>
    <w:rsid w:val="009232E2"/>
    <w:rsid w:val="00924243"/>
    <w:rsid w:val="00924AC8"/>
    <w:rsid w:val="0092597A"/>
    <w:rsid w:val="009260ED"/>
    <w:rsid w:val="00927074"/>
    <w:rsid w:val="00927F1E"/>
    <w:rsid w:val="0093045A"/>
    <w:rsid w:val="0093090E"/>
    <w:rsid w:val="00931216"/>
    <w:rsid w:val="00931E2D"/>
    <w:rsid w:val="00932443"/>
    <w:rsid w:val="00932C43"/>
    <w:rsid w:val="00932CF9"/>
    <w:rsid w:val="009334D3"/>
    <w:rsid w:val="00933A78"/>
    <w:rsid w:val="00934640"/>
    <w:rsid w:val="00934CB7"/>
    <w:rsid w:val="00935505"/>
    <w:rsid w:val="00937AE2"/>
    <w:rsid w:val="0094006F"/>
    <w:rsid w:val="00941056"/>
    <w:rsid w:val="009411BF"/>
    <w:rsid w:val="009413C3"/>
    <w:rsid w:val="0094153B"/>
    <w:rsid w:val="0094427A"/>
    <w:rsid w:val="0094591D"/>
    <w:rsid w:val="00946019"/>
    <w:rsid w:val="00946C2B"/>
    <w:rsid w:val="0095105D"/>
    <w:rsid w:val="0095179C"/>
    <w:rsid w:val="00953BC7"/>
    <w:rsid w:val="00954CD6"/>
    <w:rsid w:val="00955ED8"/>
    <w:rsid w:val="0095613B"/>
    <w:rsid w:val="00956B96"/>
    <w:rsid w:val="00956FCF"/>
    <w:rsid w:val="00957206"/>
    <w:rsid w:val="00960451"/>
    <w:rsid w:val="00960A67"/>
    <w:rsid w:val="00961B51"/>
    <w:rsid w:val="00961D85"/>
    <w:rsid w:val="00962D52"/>
    <w:rsid w:val="00963599"/>
    <w:rsid w:val="00964897"/>
    <w:rsid w:val="009650EA"/>
    <w:rsid w:val="0096524B"/>
    <w:rsid w:val="00965C99"/>
    <w:rsid w:val="009666A6"/>
    <w:rsid w:val="00967556"/>
    <w:rsid w:val="009716B7"/>
    <w:rsid w:val="00971D2C"/>
    <w:rsid w:val="00971D5F"/>
    <w:rsid w:val="0097368A"/>
    <w:rsid w:val="00973AB4"/>
    <w:rsid w:val="00973ED6"/>
    <w:rsid w:val="009746BF"/>
    <w:rsid w:val="00974923"/>
    <w:rsid w:val="00974C26"/>
    <w:rsid w:val="009758E1"/>
    <w:rsid w:val="009801DA"/>
    <w:rsid w:val="00980A74"/>
    <w:rsid w:val="00980D3D"/>
    <w:rsid w:val="00980E0D"/>
    <w:rsid w:val="009810AD"/>
    <w:rsid w:val="00981B06"/>
    <w:rsid w:val="009821A9"/>
    <w:rsid w:val="00983686"/>
    <w:rsid w:val="00983847"/>
    <w:rsid w:val="00984B93"/>
    <w:rsid w:val="00985CFA"/>
    <w:rsid w:val="00986217"/>
    <w:rsid w:val="00986E0F"/>
    <w:rsid w:val="00987317"/>
    <w:rsid w:val="009873D7"/>
    <w:rsid w:val="00987A30"/>
    <w:rsid w:val="009900AC"/>
    <w:rsid w:val="0099086B"/>
    <w:rsid w:val="00990AD8"/>
    <w:rsid w:val="009919D2"/>
    <w:rsid w:val="00992B46"/>
    <w:rsid w:val="00992B76"/>
    <w:rsid w:val="00992CF3"/>
    <w:rsid w:val="00994128"/>
    <w:rsid w:val="00994385"/>
    <w:rsid w:val="009943A7"/>
    <w:rsid w:val="0099493D"/>
    <w:rsid w:val="009968D6"/>
    <w:rsid w:val="00997154"/>
    <w:rsid w:val="0099746B"/>
    <w:rsid w:val="00997D1B"/>
    <w:rsid w:val="009A08D1"/>
    <w:rsid w:val="009A0F7E"/>
    <w:rsid w:val="009A1475"/>
    <w:rsid w:val="009A1CAB"/>
    <w:rsid w:val="009A1F93"/>
    <w:rsid w:val="009A31BD"/>
    <w:rsid w:val="009A33AF"/>
    <w:rsid w:val="009A60D1"/>
    <w:rsid w:val="009A72FB"/>
    <w:rsid w:val="009B0A72"/>
    <w:rsid w:val="009B15CB"/>
    <w:rsid w:val="009B314E"/>
    <w:rsid w:val="009B42BA"/>
    <w:rsid w:val="009B431C"/>
    <w:rsid w:val="009B5030"/>
    <w:rsid w:val="009B545D"/>
    <w:rsid w:val="009B54FC"/>
    <w:rsid w:val="009B63BB"/>
    <w:rsid w:val="009B682E"/>
    <w:rsid w:val="009B6FD3"/>
    <w:rsid w:val="009B7784"/>
    <w:rsid w:val="009B7B22"/>
    <w:rsid w:val="009C0334"/>
    <w:rsid w:val="009C03FE"/>
    <w:rsid w:val="009C161E"/>
    <w:rsid w:val="009C1750"/>
    <w:rsid w:val="009C1899"/>
    <w:rsid w:val="009C1924"/>
    <w:rsid w:val="009C1BF6"/>
    <w:rsid w:val="009C2E29"/>
    <w:rsid w:val="009C2F39"/>
    <w:rsid w:val="009C43F4"/>
    <w:rsid w:val="009C5365"/>
    <w:rsid w:val="009C554B"/>
    <w:rsid w:val="009C5728"/>
    <w:rsid w:val="009C58D3"/>
    <w:rsid w:val="009C719E"/>
    <w:rsid w:val="009C75AC"/>
    <w:rsid w:val="009C76C6"/>
    <w:rsid w:val="009D0EEB"/>
    <w:rsid w:val="009D29B8"/>
    <w:rsid w:val="009D3312"/>
    <w:rsid w:val="009D384B"/>
    <w:rsid w:val="009D3ACD"/>
    <w:rsid w:val="009D465D"/>
    <w:rsid w:val="009D4B0B"/>
    <w:rsid w:val="009D5451"/>
    <w:rsid w:val="009D5E94"/>
    <w:rsid w:val="009D6447"/>
    <w:rsid w:val="009D76C5"/>
    <w:rsid w:val="009E0C36"/>
    <w:rsid w:val="009E0D38"/>
    <w:rsid w:val="009E1E30"/>
    <w:rsid w:val="009E22C3"/>
    <w:rsid w:val="009E28B0"/>
    <w:rsid w:val="009E2B1F"/>
    <w:rsid w:val="009E2DFC"/>
    <w:rsid w:val="009E34DE"/>
    <w:rsid w:val="009E3798"/>
    <w:rsid w:val="009E4708"/>
    <w:rsid w:val="009E47D2"/>
    <w:rsid w:val="009E4D9A"/>
    <w:rsid w:val="009E4F4B"/>
    <w:rsid w:val="009E5273"/>
    <w:rsid w:val="009E5353"/>
    <w:rsid w:val="009E5757"/>
    <w:rsid w:val="009E5B0F"/>
    <w:rsid w:val="009E5DDB"/>
    <w:rsid w:val="009E6027"/>
    <w:rsid w:val="009E685E"/>
    <w:rsid w:val="009E78FB"/>
    <w:rsid w:val="009E7EBC"/>
    <w:rsid w:val="009F0181"/>
    <w:rsid w:val="009F0F9B"/>
    <w:rsid w:val="009F2213"/>
    <w:rsid w:val="009F2DDE"/>
    <w:rsid w:val="009F420E"/>
    <w:rsid w:val="009F4311"/>
    <w:rsid w:val="009F4646"/>
    <w:rsid w:val="009F496E"/>
    <w:rsid w:val="009F4A16"/>
    <w:rsid w:val="009F4CA7"/>
    <w:rsid w:val="009F4FF3"/>
    <w:rsid w:val="009F5F1A"/>
    <w:rsid w:val="009F7060"/>
    <w:rsid w:val="009F77E6"/>
    <w:rsid w:val="00A001DC"/>
    <w:rsid w:val="00A007BE"/>
    <w:rsid w:val="00A01694"/>
    <w:rsid w:val="00A019D7"/>
    <w:rsid w:val="00A0215E"/>
    <w:rsid w:val="00A0237F"/>
    <w:rsid w:val="00A02C6B"/>
    <w:rsid w:val="00A02EC2"/>
    <w:rsid w:val="00A04FF2"/>
    <w:rsid w:val="00A06ACB"/>
    <w:rsid w:val="00A07DDE"/>
    <w:rsid w:val="00A10C0A"/>
    <w:rsid w:val="00A10D66"/>
    <w:rsid w:val="00A1213F"/>
    <w:rsid w:val="00A12895"/>
    <w:rsid w:val="00A13141"/>
    <w:rsid w:val="00A13266"/>
    <w:rsid w:val="00A137DA"/>
    <w:rsid w:val="00A13997"/>
    <w:rsid w:val="00A14114"/>
    <w:rsid w:val="00A153D6"/>
    <w:rsid w:val="00A16413"/>
    <w:rsid w:val="00A16AA6"/>
    <w:rsid w:val="00A16B2D"/>
    <w:rsid w:val="00A200A0"/>
    <w:rsid w:val="00A20649"/>
    <w:rsid w:val="00A21E7D"/>
    <w:rsid w:val="00A223DF"/>
    <w:rsid w:val="00A2281F"/>
    <w:rsid w:val="00A22821"/>
    <w:rsid w:val="00A22ADD"/>
    <w:rsid w:val="00A23943"/>
    <w:rsid w:val="00A2397C"/>
    <w:rsid w:val="00A23E43"/>
    <w:rsid w:val="00A23EB2"/>
    <w:rsid w:val="00A23EC6"/>
    <w:rsid w:val="00A2415A"/>
    <w:rsid w:val="00A2440B"/>
    <w:rsid w:val="00A24565"/>
    <w:rsid w:val="00A24FFF"/>
    <w:rsid w:val="00A253BB"/>
    <w:rsid w:val="00A257A1"/>
    <w:rsid w:val="00A26719"/>
    <w:rsid w:val="00A26CAF"/>
    <w:rsid w:val="00A272D1"/>
    <w:rsid w:val="00A278D8"/>
    <w:rsid w:val="00A301F0"/>
    <w:rsid w:val="00A302E6"/>
    <w:rsid w:val="00A303E5"/>
    <w:rsid w:val="00A30F65"/>
    <w:rsid w:val="00A315CE"/>
    <w:rsid w:val="00A31F6F"/>
    <w:rsid w:val="00A32242"/>
    <w:rsid w:val="00A32746"/>
    <w:rsid w:val="00A32860"/>
    <w:rsid w:val="00A32AB8"/>
    <w:rsid w:val="00A3606B"/>
    <w:rsid w:val="00A3783A"/>
    <w:rsid w:val="00A37E6D"/>
    <w:rsid w:val="00A40E97"/>
    <w:rsid w:val="00A418BC"/>
    <w:rsid w:val="00A44A95"/>
    <w:rsid w:val="00A44AB1"/>
    <w:rsid w:val="00A46DE0"/>
    <w:rsid w:val="00A47E15"/>
    <w:rsid w:val="00A50D73"/>
    <w:rsid w:val="00A50F93"/>
    <w:rsid w:val="00A52505"/>
    <w:rsid w:val="00A526A8"/>
    <w:rsid w:val="00A52B55"/>
    <w:rsid w:val="00A52CAD"/>
    <w:rsid w:val="00A53EA7"/>
    <w:rsid w:val="00A53FC7"/>
    <w:rsid w:val="00A54049"/>
    <w:rsid w:val="00A547D5"/>
    <w:rsid w:val="00A549B5"/>
    <w:rsid w:val="00A551F4"/>
    <w:rsid w:val="00A55AD2"/>
    <w:rsid w:val="00A56736"/>
    <w:rsid w:val="00A57781"/>
    <w:rsid w:val="00A61F79"/>
    <w:rsid w:val="00A62973"/>
    <w:rsid w:val="00A62CE1"/>
    <w:rsid w:val="00A62D4A"/>
    <w:rsid w:val="00A6312A"/>
    <w:rsid w:val="00A63BD8"/>
    <w:rsid w:val="00A63DBF"/>
    <w:rsid w:val="00A63F9F"/>
    <w:rsid w:val="00A64358"/>
    <w:rsid w:val="00A651B7"/>
    <w:rsid w:val="00A65D20"/>
    <w:rsid w:val="00A65D75"/>
    <w:rsid w:val="00A6741E"/>
    <w:rsid w:val="00A675A2"/>
    <w:rsid w:val="00A675CE"/>
    <w:rsid w:val="00A67C12"/>
    <w:rsid w:val="00A70867"/>
    <w:rsid w:val="00A7163A"/>
    <w:rsid w:val="00A71967"/>
    <w:rsid w:val="00A73E6E"/>
    <w:rsid w:val="00A74F9F"/>
    <w:rsid w:val="00A7580C"/>
    <w:rsid w:val="00A7597A"/>
    <w:rsid w:val="00A75E40"/>
    <w:rsid w:val="00A760DA"/>
    <w:rsid w:val="00A77AC1"/>
    <w:rsid w:val="00A77D1D"/>
    <w:rsid w:val="00A77DAE"/>
    <w:rsid w:val="00A8049F"/>
    <w:rsid w:val="00A81F47"/>
    <w:rsid w:val="00A82704"/>
    <w:rsid w:val="00A8279E"/>
    <w:rsid w:val="00A83811"/>
    <w:rsid w:val="00A83D70"/>
    <w:rsid w:val="00A83D86"/>
    <w:rsid w:val="00A8427E"/>
    <w:rsid w:val="00A846E8"/>
    <w:rsid w:val="00A84A16"/>
    <w:rsid w:val="00A84CFC"/>
    <w:rsid w:val="00A8566E"/>
    <w:rsid w:val="00A857C0"/>
    <w:rsid w:val="00A85952"/>
    <w:rsid w:val="00A86046"/>
    <w:rsid w:val="00A8629B"/>
    <w:rsid w:val="00A87415"/>
    <w:rsid w:val="00A87568"/>
    <w:rsid w:val="00A87643"/>
    <w:rsid w:val="00A90149"/>
    <w:rsid w:val="00A905FD"/>
    <w:rsid w:val="00A911FA"/>
    <w:rsid w:val="00A918A5"/>
    <w:rsid w:val="00A9246D"/>
    <w:rsid w:val="00A93ECC"/>
    <w:rsid w:val="00A94DA8"/>
    <w:rsid w:val="00A95388"/>
    <w:rsid w:val="00A970E0"/>
    <w:rsid w:val="00A97EBD"/>
    <w:rsid w:val="00AA0BD9"/>
    <w:rsid w:val="00AA2850"/>
    <w:rsid w:val="00AA2996"/>
    <w:rsid w:val="00AA2A4B"/>
    <w:rsid w:val="00AA3CCD"/>
    <w:rsid w:val="00AA4283"/>
    <w:rsid w:val="00AA4FBB"/>
    <w:rsid w:val="00AA52A7"/>
    <w:rsid w:val="00AA52BF"/>
    <w:rsid w:val="00AA559A"/>
    <w:rsid w:val="00AA5630"/>
    <w:rsid w:val="00AA6078"/>
    <w:rsid w:val="00AA765A"/>
    <w:rsid w:val="00AB070A"/>
    <w:rsid w:val="00AB0787"/>
    <w:rsid w:val="00AB0BD2"/>
    <w:rsid w:val="00AB1A99"/>
    <w:rsid w:val="00AB1C66"/>
    <w:rsid w:val="00AB1DD2"/>
    <w:rsid w:val="00AB2AF1"/>
    <w:rsid w:val="00AB2C96"/>
    <w:rsid w:val="00AB362F"/>
    <w:rsid w:val="00AB4548"/>
    <w:rsid w:val="00AB5CB7"/>
    <w:rsid w:val="00AB5E95"/>
    <w:rsid w:val="00AB6565"/>
    <w:rsid w:val="00AB6CDA"/>
    <w:rsid w:val="00AB71A5"/>
    <w:rsid w:val="00AB73B3"/>
    <w:rsid w:val="00AB7BDE"/>
    <w:rsid w:val="00AB7E90"/>
    <w:rsid w:val="00AB7F8F"/>
    <w:rsid w:val="00AC0E45"/>
    <w:rsid w:val="00AC1AA3"/>
    <w:rsid w:val="00AC39E7"/>
    <w:rsid w:val="00AC4B87"/>
    <w:rsid w:val="00AC7933"/>
    <w:rsid w:val="00AC7DE1"/>
    <w:rsid w:val="00AD1220"/>
    <w:rsid w:val="00AD157F"/>
    <w:rsid w:val="00AD19D1"/>
    <w:rsid w:val="00AD306C"/>
    <w:rsid w:val="00AD3C1C"/>
    <w:rsid w:val="00AD425D"/>
    <w:rsid w:val="00AD43A0"/>
    <w:rsid w:val="00AD4BEB"/>
    <w:rsid w:val="00AD4D36"/>
    <w:rsid w:val="00AD4F5D"/>
    <w:rsid w:val="00AD53D8"/>
    <w:rsid w:val="00AD5482"/>
    <w:rsid w:val="00AD5D4C"/>
    <w:rsid w:val="00AD68AD"/>
    <w:rsid w:val="00AD6B02"/>
    <w:rsid w:val="00AD6F93"/>
    <w:rsid w:val="00AD7091"/>
    <w:rsid w:val="00AD7B1C"/>
    <w:rsid w:val="00AD7CDF"/>
    <w:rsid w:val="00AE081E"/>
    <w:rsid w:val="00AE09B3"/>
    <w:rsid w:val="00AE13E3"/>
    <w:rsid w:val="00AE1478"/>
    <w:rsid w:val="00AE1A83"/>
    <w:rsid w:val="00AE2487"/>
    <w:rsid w:val="00AE37DE"/>
    <w:rsid w:val="00AE39B0"/>
    <w:rsid w:val="00AE5AF3"/>
    <w:rsid w:val="00AE6DBA"/>
    <w:rsid w:val="00AF1130"/>
    <w:rsid w:val="00AF332B"/>
    <w:rsid w:val="00AF388B"/>
    <w:rsid w:val="00AF50E3"/>
    <w:rsid w:val="00AF5EA5"/>
    <w:rsid w:val="00AF7377"/>
    <w:rsid w:val="00AF7A65"/>
    <w:rsid w:val="00B00913"/>
    <w:rsid w:val="00B013C9"/>
    <w:rsid w:val="00B01436"/>
    <w:rsid w:val="00B01593"/>
    <w:rsid w:val="00B01F64"/>
    <w:rsid w:val="00B02382"/>
    <w:rsid w:val="00B02D21"/>
    <w:rsid w:val="00B04AE7"/>
    <w:rsid w:val="00B055AA"/>
    <w:rsid w:val="00B07173"/>
    <w:rsid w:val="00B10827"/>
    <w:rsid w:val="00B10A4D"/>
    <w:rsid w:val="00B1170B"/>
    <w:rsid w:val="00B11E54"/>
    <w:rsid w:val="00B130C2"/>
    <w:rsid w:val="00B13743"/>
    <w:rsid w:val="00B1434A"/>
    <w:rsid w:val="00B16C12"/>
    <w:rsid w:val="00B17124"/>
    <w:rsid w:val="00B17B4A"/>
    <w:rsid w:val="00B17E71"/>
    <w:rsid w:val="00B17FDE"/>
    <w:rsid w:val="00B202AE"/>
    <w:rsid w:val="00B20843"/>
    <w:rsid w:val="00B224C2"/>
    <w:rsid w:val="00B22645"/>
    <w:rsid w:val="00B22B13"/>
    <w:rsid w:val="00B2346F"/>
    <w:rsid w:val="00B2379C"/>
    <w:rsid w:val="00B2426E"/>
    <w:rsid w:val="00B24764"/>
    <w:rsid w:val="00B254E9"/>
    <w:rsid w:val="00B25AE7"/>
    <w:rsid w:val="00B25BE0"/>
    <w:rsid w:val="00B2687D"/>
    <w:rsid w:val="00B26D77"/>
    <w:rsid w:val="00B270AD"/>
    <w:rsid w:val="00B2747E"/>
    <w:rsid w:val="00B277E5"/>
    <w:rsid w:val="00B30607"/>
    <w:rsid w:val="00B30BF2"/>
    <w:rsid w:val="00B30D77"/>
    <w:rsid w:val="00B30FF3"/>
    <w:rsid w:val="00B319BF"/>
    <w:rsid w:val="00B31A9E"/>
    <w:rsid w:val="00B322B8"/>
    <w:rsid w:val="00B32316"/>
    <w:rsid w:val="00B32662"/>
    <w:rsid w:val="00B32DDB"/>
    <w:rsid w:val="00B34138"/>
    <w:rsid w:val="00B34528"/>
    <w:rsid w:val="00B35583"/>
    <w:rsid w:val="00B35603"/>
    <w:rsid w:val="00B35EBA"/>
    <w:rsid w:val="00B36665"/>
    <w:rsid w:val="00B375FB"/>
    <w:rsid w:val="00B37720"/>
    <w:rsid w:val="00B37E7E"/>
    <w:rsid w:val="00B402FC"/>
    <w:rsid w:val="00B4044D"/>
    <w:rsid w:val="00B414E6"/>
    <w:rsid w:val="00B4167E"/>
    <w:rsid w:val="00B43B29"/>
    <w:rsid w:val="00B457F9"/>
    <w:rsid w:val="00B46604"/>
    <w:rsid w:val="00B46FAF"/>
    <w:rsid w:val="00B500F5"/>
    <w:rsid w:val="00B50212"/>
    <w:rsid w:val="00B519B3"/>
    <w:rsid w:val="00B530CD"/>
    <w:rsid w:val="00B53263"/>
    <w:rsid w:val="00B53DD0"/>
    <w:rsid w:val="00B5462B"/>
    <w:rsid w:val="00B546C2"/>
    <w:rsid w:val="00B54D31"/>
    <w:rsid w:val="00B55B2B"/>
    <w:rsid w:val="00B55F5E"/>
    <w:rsid w:val="00B5747B"/>
    <w:rsid w:val="00B5752E"/>
    <w:rsid w:val="00B576E5"/>
    <w:rsid w:val="00B577DB"/>
    <w:rsid w:val="00B57926"/>
    <w:rsid w:val="00B57DC4"/>
    <w:rsid w:val="00B62DF6"/>
    <w:rsid w:val="00B63879"/>
    <w:rsid w:val="00B63A11"/>
    <w:rsid w:val="00B64393"/>
    <w:rsid w:val="00B64671"/>
    <w:rsid w:val="00B64C24"/>
    <w:rsid w:val="00B64FC3"/>
    <w:rsid w:val="00B65961"/>
    <w:rsid w:val="00B6608F"/>
    <w:rsid w:val="00B66E68"/>
    <w:rsid w:val="00B678DE"/>
    <w:rsid w:val="00B679FB"/>
    <w:rsid w:val="00B67F8E"/>
    <w:rsid w:val="00B705AA"/>
    <w:rsid w:val="00B710B4"/>
    <w:rsid w:val="00B72563"/>
    <w:rsid w:val="00B72A0A"/>
    <w:rsid w:val="00B735DA"/>
    <w:rsid w:val="00B73C78"/>
    <w:rsid w:val="00B74104"/>
    <w:rsid w:val="00B744C2"/>
    <w:rsid w:val="00B74518"/>
    <w:rsid w:val="00B74B8F"/>
    <w:rsid w:val="00B74F7C"/>
    <w:rsid w:val="00B75A6F"/>
    <w:rsid w:val="00B7617F"/>
    <w:rsid w:val="00B7631E"/>
    <w:rsid w:val="00B7682E"/>
    <w:rsid w:val="00B76D1E"/>
    <w:rsid w:val="00B7794F"/>
    <w:rsid w:val="00B80BFE"/>
    <w:rsid w:val="00B80EC6"/>
    <w:rsid w:val="00B81138"/>
    <w:rsid w:val="00B82599"/>
    <w:rsid w:val="00B827F5"/>
    <w:rsid w:val="00B836A2"/>
    <w:rsid w:val="00B838C1"/>
    <w:rsid w:val="00B83941"/>
    <w:rsid w:val="00B83A3F"/>
    <w:rsid w:val="00B84C86"/>
    <w:rsid w:val="00B85002"/>
    <w:rsid w:val="00B850BB"/>
    <w:rsid w:val="00B85965"/>
    <w:rsid w:val="00B86080"/>
    <w:rsid w:val="00B8770C"/>
    <w:rsid w:val="00B879B8"/>
    <w:rsid w:val="00B9104B"/>
    <w:rsid w:val="00B91D10"/>
    <w:rsid w:val="00B91E8F"/>
    <w:rsid w:val="00B9263A"/>
    <w:rsid w:val="00B92A24"/>
    <w:rsid w:val="00B92D1D"/>
    <w:rsid w:val="00B92E48"/>
    <w:rsid w:val="00B93526"/>
    <w:rsid w:val="00B938C5"/>
    <w:rsid w:val="00B93BDF"/>
    <w:rsid w:val="00B941A5"/>
    <w:rsid w:val="00B94C0A"/>
    <w:rsid w:val="00B95940"/>
    <w:rsid w:val="00B95BBC"/>
    <w:rsid w:val="00B97292"/>
    <w:rsid w:val="00BA002F"/>
    <w:rsid w:val="00BA16F7"/>
    <w:rsid w:val="00BA1C90"/>
    <w:rsid w:val="00BA2ED0"/>
    <w:rsid w:val="00BA33BD"/>
    <w:rsid w:val="00BA3BF9"/>
    <w:rsid w:val="00BA4060"/>
    <w:rsid w:val="00BA51C2"/>
    <w:rsid w:val="00BA62EE"/>
    <w:rsid w:val="00BA74FC"/>
    <w:rsid w:val="00BB073E"/>
    <w:rsid w:val="00BB3181"/>
    <w:rsid w:val="00BB46F3"/>
    <w:rsid w:val="00BB4CB1"/>
    <w:rsid w:val="00BB4F98"/>
    <w:rsid w:val="00BB5500"/>
    <w:rsid w:val="00BB5D0E"/>
    <w:rsid w:val="00BB650A"/>
    <w:rsid w:val="00BB79B0"/>
    <w:rsid w:val="00BB7E73"/>
    <w:rsid w:val="00BC05D1"/>
    <w:rsid w:val="00BC1EB9"/>
    <w:rsid w:val="00BC1F07"/>
    <w:rsid w:val="00BC36BD"/>
    <w:rsid w:val="00BC375B"/>
    <w:rsid w:val="00BC40EB"/>
    <w:rsid w:val="00BC47BA"/>
    <w:rsid w:val="00BC5623"/>
    <w:rsid w:val="00BC5BC4"/>
    <w:rsid w:val="00BC650D"/>
    <w:rsid w:val="00BC68D0"/>
    <w:rsid w:val="00BC6B40"/>
    <w:rsid w:val="00BC6C8D"/>
    <w:rsid w:val="00BC7154"/>
    <w:rsid w:val="00BC7B5B"/>
    <w:rsid w:val="00BC7C96"/>
    <w:rsid w:val="00BD0155"/>
    <w:rsid w:val="00BD12F7"/>
    <w:rsid w:val="00BD1A3A"/>
    <w:rsid w:val="00BD215A"/>
    <w:rsid w:val="00BD2217"/>
    <w:rsid w:val="00BD3339"/>
    <w:rsid w:val="00BD366B"/>
    <w:rsid w:val="00BD3D66"/>
    <w:rsid w:val="00BD3DB6"/>
    <w:rsid w:val="00BD536B"/>
    <w:rsid w:val="00BD6D50"/>
    <w:rsid w:val="00BD723D"/>
    <w:rsid w:val="00BE01A0"/>
    <w:rsid w:val="00BE0228"/>
    <w:rsid w:val="00BE04CB"/>
    <w:rsid w:val="00BE0761"/>
    <w:rsid w:val="00BE1230"/>
    <w:rsid w:val="00BE18B9"/>
    <w:rsid w:val="00BE2424"/>
    <w:rsid w:val="00BE2427"/>
    <w:rsid w:val="00BE2495"/>
    <w:rsid w:val="00BE4825"/>
    <w:rsid w:val="00BE5673"/>
    <w:rsid w:val="00BE5C27"/>
    <w:rsid w:val="00BE5EAB"/>
    <w:rsid w:val="00BE65BD"/>
    <w:rsid w:val="00BE6BD1"/>
    <w:rsid w:val="00BE6ECE"/>
    <w:rsid w:val="00BF0EF8"/>
    <w:rsid w:val="00BF1578"/>
    <w:rsid w:val="00BF17D5"/>
    <w:rsid w:val="00BF2253"/>
    <w:rsid w:val="00BF3795"/>
    <w:rsid w:val="00BF4AC4"/>
    <w:rsid w:val="00BF4B10"/>
    <w:rsid w:val="00BF631C"/>
    <w:rsid w:val="00BF6435"/>
    <w:rsid w:val="00BF668B"/>
    <w:rsid w:val="00BF7F41"/>
    <w:rsid w:val="00C0004D"/>
    <w:rsid w:val="00C00D76"/>
    <w:rsid w:val="00C0105C"/>
    <w:rsid w:val="00C01061"/>
    <w:rsid w:val="00C018F3"/>
    <w:rsid w:val="00C019FF"/>
    <w:rsid w:val="00C0347C"/>
    <w:rsid w:val="00C03ADC"/>
    <w:rsid w:val="00C07DEE"/>
    <w:rsid w:val="00C10572"/>
    <w:rsid w:val="00C11A0B"/>
    <w:rsid w:val="00C1452B"/>
    <w:rsid w:val="00C14AD1"/>
    <w:rsid w:val="00C151F0"/>
    <w:rsid w:val="00C15656"/>
    <w:rsid w:val="00C159CB"/>
    <w:rsid w:val="00C15F04"/>
    <w:rsid w:val="00C164FA"/>
    <w:rsid w:val="00C16859"/>
    <w:rsid w:val="00C200FA"/>
    <w:rsid w:val="00C20769"/>
    <w:rsid w:val="00C209C1"/>
    <w:rsid w:val="00C21ACE"/>
    <w:rsid w:val="00C21B0F"/>
    <w:rsid w:val="00C21F94"/>
    <w:rsid w:val="00C22AC1"/>
    <w:rsid w:val="00C22DC5"/>
    <w:rsid w:val="00C22E3D"/>
    <w:rsid w:val="00C24392"/>
    <w:rsid w:val="00C25884"/>
    <w:rsid w:val="00C25935"/>
    <w:rsid w:val="00C25C1F"/>
    <w:rsid w:val="00C270EE"/>
    <w:rsid w:val="00C27913"/>
    <w:rsid w:val="00C27ECC"/>
    <w:rsid w:val="00C30B6E"/>
    <w:rsid w:val="00C31450"/>
    <w:rsid w:val="00C321F3"/>
    <w:rsid w:val="00C3368F"/>
    <w:rsid w:val="00C33851"/>
    <w:rsid w:val="00C33B68"/>
    <w:rsid w:val="00C33CD5"/>
    <w:rsid w:val="00C350BB"/>
    <w:rsid w:val="00C35ABD"/>
    <w:rsid w:val="00C36343"/>
    <w:rsid w:val="00C3647D"/>
    <w:rsid w:val="00C36590"/>
    <w:rsid w:val="00C36A79"/>
    <w:rsid w:val="00C36AE9"/>
    <w:rsid w:val="00C36DD5"/>
    <w:rsid w:val="00C36ECC"/>
    <w:rsid w:val="00C377A5"/>
    <w:rsid w:val="00C377DC"/>
    <w:rsid w:val="00C405D4"/>
    <w:rsid w:val="00C41EE8"/>
    <w:rsid w:val="00C41EF8"/>
    <w:rsid w:val="00C42590"/>
    <w:rsid w:val="00C42661"/>
    <w:rsid w:val="00C435E2"/>
    <w:rsid w:val="00C435F3"/>
    <w:rsid w:val="00C43835"/>
    <w:rsid w:val="00C43F18"/>
    <w:rsid w:val="00C440A8"/>
    <w:rsid w:val="00C4513B"/>
    <w:rsid w:val="00C5058F"/>
    <w:rsid w:val="00C50C66"/>
    <w:rsid w:val="00C513DA"/>
    <w:rsid w:val="00C518C2"/>
    <w:rsid w:val="00C529B5"/>
    <w:rsid w:val="00C529FE"/>
    <w:rsid w:val="00C5305A"/>
    <w:rsid w:val="00C535EE"/>
    <w:rsid w:val="00C53BD5"/>
    <w:rsid w:val="00C53C00"/>
    <w:rsid w:val="00C54697"/>
    <w:rsid w:val="00C54948"/>
    <w:rsid w:val="00C54C03"/>
    <w:rsid w:val="00C5591F"/>
    <w:rsid w:val="00C56D37"/>
    <w:rsid w:val="00C57E2E"/>
    <w:rsid w:val="00C63203"/>
    <w:rsid w:val="00C635EE"/>
    <w:rsid w:val="00C63A95"/>
    <w:rsid w:val="00C6409E"/>
    <w:rsid w:val="00C6429D"/>
    <w:rsid w:val="00C6455D"/>
    <w:rsid w:val="00C655C0"/>
    <w:rsid w:val="00C656AA"/>
    <w:rsid w:val="00C67100"/>
    <w:rsid w:val="00C674BA"/>
    <w:rsid w:val="00C67551"/>
    <w:rsid w:val="00C67F74"/>
    <w:rsid w:val="00C71000"/>
    <w:rsid w:val="00C719C3"/>
    <w:rsid w:val="00C734DA"/>
    <w:rsid w:val="00C73885"/>
    <w:rsid w:val="00C73895"/>
    <w:rsid w:val="00C740CD"/>
    <w:rsid w:val="00C747B1"/>
    <w:rsid w:val="00C75024"/>
    <w:rsid w:val="00C76518"/>
    <w:rsid w:val="00C76869"/>
    <w:rsid w:val="00C76C60"/>
    <w:rsid w:val="00C778C6"/>
    <w:rsid w:val="00C77964"/>
    <w:rsid w:val="00C77CF8"/>
    <w:rsid w:val="00C80E75"/>
    <w:rsid w:val="00C8143B"/>
    <w:rsid w:val="00C81593"/>
    <w:rsid w:val="00C81F13"/>
    <w:rsid w:val="00C82191"/>
    <w:rsid w:val="00C8311E"/>
    <w:rsid w:val="00C83C52"/>
    <w:rsid w:val="00C842AC"/>
    <w:rsid w:val="00C86052"/>
    <w:rsid w:val="00C862A7"/>
    <w:rsid w:val="00C87E10"/>
    <w:rsid w:val="00C90604"/>
    <w:rsid w:val="00C90824"/>
    <w:rsid w:val="00C90CF4"/>
    <w:rsid w:val="00C9124A"/>
    <w:rsid w:val="00C913D4"/>
    <w:rsid w:val="00C91DD5"/>
    <w:rsid w:val="00C92523"/>
    <w:rsid w:val="00C9253E"/>
    <w:rsid w:val="00C9265F"/>
    <w:rsid w:val="00C92EB6"/>
    <w:rsid w:val="00C9317D"/>
    <w:rsid w:val="00C93389"/>
    <w:rsid w:val="00C93DAD"/>
    <w:rsid w:val="00C94FC3"/>
    <w:rsid w:val="00C9584A"/>
    <w:rsid w:val="00C95AD8"/>
    <w:rsid w:val="00C97566"/>
    <w:rsid w:val="00C9760F"/>
    <w:rsid w:val="00C97ACE"/>
    <w:rsid w:val="00CA1EAF"/>
    <w:rsid w:val="00CA26C6"/>
    <w:rsid w:val="00CA3F86"/>
    <w:rsid w:val="00CA3FF4"/>
    <w:rsid w:val="00CA4D0C"/>
    <w:rsid w:val="00CA5374"/>
    <w:rsid w:val="00CA54C8"/>
    <w:rsid w:val="00CA6088"/>
    <w:rsid w:val="00CA663A"/>
    <w:rsid w:val="00CA6949"/>
    <w:rsid w:val="00CA6E63"/>
    <w:rsid w:val="00CA77E6"/>
    <w:rsid w:val="00CA7BA6"/>
    <w:rsid w:val="00CB0332"/>
    <w:rsid w:val="00CB0820"/>
    <w:rsid w:val="00CB1944"/>
    <w:rsid w:val="00CB1D1E"/>
    <w:rsid w:val="00CB2810"/>
    <w:rsid w:val="00CB30CE"/>
    <w:rsid w:val="00CB381A"/>
    <w:rsid w:val="00CB4229"/>
    <w:rsid w:val="00CB47C0"/>
    <w:rsid w:val="00CB4930"/>
    <w:rsid w:val="00CB5FDE"/>
    <w:rsid w:val="00CB6743"/>
    <w:rsid w:val="00CB7204"/>
    <w:rsid w:val="00CB724B"/>
    <w:rsid w:val="00CC05BF"/>
    <w:rsid w:val="00CC0F51"/>
    <w:rsid w:val="00CC1230"/>
    <w:rsid w:val="00CC2A83"/>
    <w:rsid w:val="00CC2E7D"/>
    <w:rsid w:val="00CC6003"/>
    <w:rsid w:val="00CD067E"/>
    <w:rsid w:val="00CD0AB6"/>
    <w:rsid w:val="00CD10A5"/>
    <w:rsid w:val="00CD1661"/>
    <w:rsid w:val="00CD1BD7"/>
    <w:rsid w:val="00CD1CF3"/>
    <w:rsid w:val="00CD2020"/>
    <w:rsid w:val="00CD2076"/>
    <w:rsid w:val="00CD2C82"/>
    <w:rsid w:val="00CD374B"/>
    <w:rsid w:val="00CD43FB"/>
    <w:rsid w:val="00CD4965"/>
    <w:rsid w:val="00CD5ED1"/>
    <w:rsid w:val="00CD6C14"/>
    <w:rsid w:val="00CD7BEB"/>
    <w:rsid w:val="00CE01D4"/>
    <w:rsid w:val="00CE1234"/>
    <w:rsid w:val="00CE147C"/>
    <w:rsid w:val="00CE1D97"/>
    <w:rsid w:val="00CE21B0"/>
    <w:rsid w:val="00CE236C"/>
    <w:rsid w:val="00CE2E77"/>
    <w:rsid w:val="00CE2E85"/>
    <w:rsid w:val="00CE3254"/>
    <w:rsid w:val="00CE3554"/>
    <w:rsid w:val="00CE3862"/>
    <w:rsid w:val="00CE427F"/>
    <w:rsid w:val="00CE5495"/>
    <w:rsid w:val="00CE5869"/>
    <w:rsid w:val="00CE670B"/>
    <w:rsid w:val="00CE6C40"/>
    <w:rsid w:val="00CE72A2"/>
    <w:rsid w:val="00CF0747"/>
    <w:rsid w:val="00CF0EEF"/>
    <w:rsid w:val="00CF1998"/>
    <w:rsid w:val="00CF2338"/>
    <w:rsid w:val="00CF27F9"/>
    <w:rsid w:val="00CF2AB4"/>
    <w:rsid w:val="00CF4455"/>
    <w:rsid w:val="00CF4ADA"/>
    <w:rsid w:val="00CF51EC"/>
    <w:rsid w:val="00CF5FA9"/>
    <w:rsid w:val="00CF6172"/>
    <w:rsid w:val="00CF6778"/>
    <w:rsid w:val="00CF68F6"/>
    <w:rsid w:val="00CF6BBF"/>
    <w:rsid w:val="00CF7159"/>
    <w:rsid w:val="00CF72A7"/>
    <w:rsid w:val="00CF73AE"/>
    <w:rsid w:val="00CF7401"/>
    <w:rsid w:val="00D01EE5"/>
    <w:rsid w:val="00D0203C"/>
    <w:rsid w:val="00D0291B"/>
    <w:rsid w:val="00D040DD"/>
    <w:rsid w:val="00D04DCE"/>
    <w:rsid w:val="00D05238"/>
    <w:rsid w:val="00D05DD3"/>
    <w:rsid w:val="00D05F98"/>
    <w:rsid w:val="00D06A5E"/>
    <w:rsid w:val="00D06DA3"/>
    <w:rsid w:val="00D077FD"/>
    <w:rsid w:val="00D105FB"/>
    <w:rsid w:val="00D10873"/>
    <w:rsid w:val="00D10B73"/>
    <w:rsid w:val="00D10FE5"/>
    <w:rsid w:val="00D1194E"/>
    <w:rsid w:val="00D12107"/>
    <w:rsid w:val="00D12ED9"/>
    <w:rsid w:val="00D12F18"/>
    <w:rsid w:val="00D13080"/>
    <w:rsid w:val="00D13103"/>
    <w:rsid w:val="00D13986"/>
    <w:rsid w:val="00D147BA"/>
    <w:rsid w:val="00D15BED"/>
    <w:rsid w:val="00D15C54"/>
    <w:rsid w:val="00D168A1"/>
    <w:rsid w:val="00D16C00"/>
    <w:rsid w:val="00D17008"/>
    <w:rsid w:val="00D21B68"/>
    <w:rsid w:val="00D21C8C"/>
    <w:rsid w:val="00D222BB"/>
    <w:rsid w:val="00D235B7"/>
    <w:rsid w:val="00D23CB7"/>
    <w:rsid w:val="00D23D3E"/>
    <w:rsid w:val="00D251CD"/>
    <w:rsid w:val="00D25F28"/>
    <w:rsid w:val="00D265CF"/>
    <w:rsid w:val="00D26867"/>
    <w:rsid w:val="00D26AEA"/>
    <w:rsid w:val="00D26C4E"/>
    <w:rsid w:val="00D27515"/>
    <w:rsid w:val="00D27973"/>
    <w:rsid w:val="00D279FE"/>
    <w:rsid w:val="00D27C4D"/>
    <w:rsid w:val="00D30CC4"/>
    <w:rsid w:val="00D30F9D"/>
    <w:rsid w:val="00D310D1"/>
    <w:rsid w:val="00D33C33"/>
    <w:rsid w:val="00D34261"/>
    <w:rsid w:val="00D3434E"/>
    <w:rsid w:val="00D343F5"/>
    <w:rsid w:val="00D3469F"/>
    <w:rsid w:val="00D347A6"/>
    <w:rsid w:val="00D35512"/>
    <w:rsid w:val="00D3576C"/>
    <w:rsid w:val="00D36129"/>
    <w:rsid w:val="00D368AB"/>
    <w:rsid w:val="00D37541"/>
    <w:rsid w:val="00D37886"/>
    <w:rsid w:val="00D417AD"/>
    <w:rsid w:val="00D4181F"/>
    <w:rsid w:val="00D4320A"/>
    <w:rsid w:val="00D446A6"/>
    <w:rsid w:val="00D44E0F"/>
    <w:rsid w:val="00D4579E"/>
    <w:rsid w:val="00D4645C"/>
    <w:rsid w:val="00D469C1"/>
    <w:rsid w:val="00D46E9B"/>
    <w:rsid w:val="00D46EA5"/>
    <w:rsid w:val="00D47B79"/>
    <w:rsid w:val="00D47E5F"/>
    <w:rsid w:val="00D5097D"/>
    <w:rsid w:val="00D50F46"/>
    <w:rsid w:val="00D51A94"/>
    <w:rsid w:val="00D5363B"/>
    <w:rsid w:val="00D549EB"/>
    <w:rsid w:val="00D54D3E"/>
    <w:rsid w:val="00D54FF6"/>
    <w:rsid w:val="00D55479"/>
    <w:rsid w:val="00D55B06"/>
    <w:rsid w:val="00D55DB1"/>
    <w:rsid w:val="00D561C3"/>
    <w:rsid w:val="00D564E0"/>
    <w:rsid w:val="00D56752"/>
    <w:rsid w:val="00D56CD4"/>
    <w:rsid w:val="00D56DBD"/>
    <w:rsid w:val="00D56EB1"/>
    <w:rsid w:val="00D57F33"/>
    <w:rsid w:val="00D60538"/>
    <w:rsid w:val="00D61155"/>
    <w:rsid w:val="00D6249A"/>
    <w:rsid w:val="00D64050"/>
    <w:rsid w:val="00D6444F"/>
    <w:rsid w:val="00D64541"/>
    <w:rsid w:val="00D652AB"/>
    <w:rsid w:val="00D65631"/>
    <w:rsid w:val="00D66223"/>
    <w:rsid w:val="00D66AA4"/>
    <w:rsid w:val="00D72E09"/>
    <w:rsid w:val="00D72EAB"/>
    <w:rsid w:val="00D74140"/>
    <w:rsid w:val="00D74353"/>
    <w:rsid w:val="00D7485A"/>
    <w:rsid w:val="00D74A8A"/>
    <w:rsid w:val="00D74CAF"/>
    <w:rsid w:val="00D74D79"/>
    <w:rsid w:val="00D765E4"/>
    <w:rsid w:val="00D773B1"/>
    <w:rsid w:val="00D80035"/>
    <w:rsid w:val="00D80743"/>
    <w:rsid w:val="00D8084C"/>
    <w:rsid w:val="00D80BF8"/>
    <w:rsid w:val="00D8240D"/>
    <w:rsid w:val="00D830E8"/>
    <w:rsid w:val="00D8357D"/>
    <w:rsid w:val="00D83ED8"/>
    <w:rsid w:val="00D84A46"/>
    <w:rsid w:val="00D861CC"/>
    <w:rsid w:val="00D86831"/>
    <w:rsid w:val="00D87284"/>
    <w:rsid w:val="00D87693"/>
    <w:rsid w:val="00D908DE"/>
    <w:rsid w:val="00D90C09"/>
    <w:rsid w:val="00D91045"/>
    <w:rsid w:val="00D91139"/>
    <w:rsid w:val="00D9113E"/>
    <w:rsid w:val="00D91B71"/>
    <w:rsid w:val="00D92018"/>
    <w:rsid w:val="00D92ECC"/>
    <w:rsid w:val="00D94BA0"/>
    <w:rsid w:val="00D9514C"/>
    <w:rsid w:val="00D951D0"/>
    <w:rsid w:val="00D96D3A"/>
    <w:rsid w:val="00D96DD0"/>
    <w:rsid w:val="00D9725E"/>
    <w:rsid w:val="00D972A3"/>
    <w:rsid w:val="00D97835"/>
    <w:rsid w:val="00D97CE0"/>
    <w:rsid w:val="00DA0972"/>
    <w:rsid w:val="00DA114F"/>
    <w:rsid w:val="00DA17E9"/>
    <w:rsid w:val="00DA1F73"/>
    <w:rsid w:val="00DA3D5C"/>
    <w:rsid w:val="00DA42AC"/>
    <w:rsid w:val="00DA4497"/>
    <w:rsid w:val="00DA46A4"/>
    <w:rsid w:val="00DA491A"/>
    <w:rsid w:val="00DA59F1"/>
    <w:rsid w:val="00DA5C77"/>
    <w:rsid w:val="00DA6216"/>
    <w:rsid w:val="00DA6250"/>
    <w:rsid w:val="00DA666C"/>
    <w:rsid w:val="00DA7A30"/>
    <w:rsid w:val="00DA7C0C"/>
    <w:rsid w:val="00DB0A08"/>
    <w:rsid w:val="00DB135E"/>
    <w:rsid w:val="00DB200A"/>
    <w:rsid w:val="00DB2053"/>
    <w:rsid w:val="00DB2EC8"/>
    <w:rsid w:val="00DB3D28"/>
    <w:rsid w:val="00DB560E"/>
    <w:rsid w:val="00DB5CF0"/>
    <w:rsid w:val="00DB5D5B"/>
    <w:rsid w:val="00DB6DB5"/>
    <w:rsid w:val="00DC017F"/>
    <w:rsid w:val="00DC16DD"/>
    <w:rsid w:val="00DC1A31"/>
    <w:rsid w:val="00DC1C8F"/>
    <w:rsid w:val="00DC1D4C"/>
    <w:rsid w:val="00DC2A28"/>
    <w:rsid w:val="00DC2C40"/>
    <w:rsid w:val="00DC3846"/>
    <w:rsid w:val="00DC3A95"/>
    <w:rsid w:val="00DC4FB4"/>
    <w:rsid w:val="00DC5B3B"/>
    <w:rsid w:val="00DC6DEB"/>
    <w:rsid w:val="00DD0A11"/>
    <w:rsid w:val="00DD129F"/>
    <w:rsid w:val="00DD2702"/>
    <w:rsid w:val="00DD2DEC"/>
    <w:rsid w:val="00DD2F6B"/>
    <w:rsid w:val="00DD39AD"/>
    <w:rsid w:val="00DD4EA5"/>
    <w:rsid w:val="00DD51D4"/>
    <w:rsid w:val="00DD5695"/>
    <w:rsid w:val="00DD56D9"/>
    <w:rsid w:val="00DD5F3A"/>
    <w:rsid w:val="00DD60DD"/>
    <w:rsid w:val="00DD7093"/>
    <w:rsid w:val="00DE0131"/>
    <w:rsid w:val="00DE1B3B"/>
    <w:rsid w:val="00DE2B8D"/>
    <w:rsid w:val="00DE3364"/>
    <w:rsid w:val="00DE461E"/>
    <w:rsid w:val="00DE4933"/>
    <w:rsid w:val="00DE4D44"/>
    <w:rsid w:val="00DE5304"/>
    <w:rsid w:val="00DE6B7C"/>
    <w:rsid w:val="00DE6E08"/>
    <w:rsid w:val="00DE76C0"/>
    <w:rsid w:val="00DF1418"/>
    <w:rsid w:val="00DF3477"/>
    <w:rsid w:val="00DF40F7"/>
    <w:rsid w:val="00DF42FF"/>
    <w:rsid w:val="00DF4636"/>
    <w:rsid w:val="00DF4680"/>
    <w:rsid w:val="00DF495F"/>
    <w:rsid w:val="00DF4FB7"/>
    <w:rsid w:val="00DF5C90"/>
    <w:rsid w:val="00DF603C"/>
    <w:rsid w:val="00DF62FC"/>
    <w:rsid w:val="00DF6738"/>
    <w:rsid w:val="00E009CD"/>
    <w:rsid w:val="00E01B2A"/>
    <w:rsid w:val="00E01C0E"/>
    <w:rsid w:val="00E02CAC"/>
    <w:rsid w:val="00E03F9A"/>
    <w:rsid w:val="00E04694"/>
    <w:rsid w:val="00E048E2"/>
    <w:rsid w:val="00E053DF"/>
    <w:rsid w:val="00E06A97"/>
    <w:rsid w:val="00E074C6"/>
    <w:rsid w:val="00E07C9D"/>
    <w:rsid w:val="00E10733"/>
    <w:rsid w:val="00E12199"/>
    <w:rsid w:val="00E1221E"/>
    <w:rsid w:val="00E12B1E"/>
    <w:rsid w:val="00E12C34"/>
    <w:rsid w:val="00E1368B"/>
    <w:rsid w:val="00E13D22"/>
    <w:rsid w:val="00E14A62"/>
    <w:rsid w:val="00E15503"/>
    <w:rsid w:val="00E16105"/>
    <w:rsid w:val="00E17262"/>
    <w:rsid w:val="00E1747A"/>
    <w:rsid w:val="00E20D1A"/>
    <w:rsid w:val="00E20E76"/>
    <w:rsid w:val="00E24A9E"/>
    <w:rsid w:val="00E24E4A"/>
    <w:rsid w:val="00E2501D"/>
    <w:rsid w:val="00E253A2"/>
    <w:rsid w:val="00E25A61"/>
    <w:rsid w:val="00E25D6F"/>
    <w:rsid w:val="00E268B3"/>
    <w:rsid w:val="00E276D1"/>
    <w:rsid w:val="00E27CE6"/>
    <w:rsid w:val="00E27D6C"/>
    <w:rsid w:val="00E30151"/>
    <w:rsid w:val="00E30ECA"/>
    <w:rsid w:val="00E30F00"/>
    <w:rsid w:val="00E31618"/>
    <w:rsid w:val="00E3175A"/>
    <w:rsid w:val="00E317EF"/>
    <w:rsid w:val="00E32873"/>
    <w:rsid w:val="00E3309D"/>
    <w:rsid w:val="00E337F5"/>
    <w:rsid w:val="00E337FB"/>
    <w:rsid w:val="00E34002"/>
    <w:rsid w:val="00E34866"/>
    <w:rsid w:val="00E34B4A"/>
    <w:rsid w:val="00E34BE6"/>
    <w:rsid w:val="00E34FDA"/>
    <w:rsid w:val="00E3543A"/>
    <w:rsid w:val="00E35689"/>
    <w:rsid w:val="00E3621C"/>
    <w:rsid w:val="00E3792E"/>
    <w:rsid w:val="00E37E33"/>
    <w:rsid w:val="00E37EC9"/>
    <w:rsid w:val="00E40EDE"/>
    <w:rsid w:val="00E41A97"/>
    <w:rsid w:val="00E425E3"/>
    <w:rsid w:val="00E4390D"/>
    <w:rsid w:val="00E4498A"/>
    <w:rsid w:val="00E44BA2"/>
    <w:rsid w:val="00E45675"/>
    <w:rsid w:val="00E45E2A"/>
    <w:rsid w:val="00E47E16"/>
    <w:rsid w:val="00E50156"/>
    <w:rsid w:val="00E524FA"/>
    <w:rsid w:val="00E53470"/>
    <w:rsid w:val="00E539F6"/>
    <w:rsid w:val="00E53E70"/>
    <w:rsid w:val="00E54004"/>
    <w:rsid w:val="00E5443E"/>
    <w:rsid w:val="00E54455"/>
    <w:rsid w:val="00E54A2F"/>
    <w:rsid w:val="00E5516A"/>
    <w:rsid w:val="00E55BF1"/>
    <w:rsid w:val="00E560A9"/>
    <w:rsid w:val="00E5623C"/>
    <w:rsid w:val="00E56294"/>
    <w:rsid w:val="00E57F14"/>
    <w:rsid w:val="00E6024C"/>
    <w:rsid w:val="00E60853"/>
    <w:rsid w:val="00E622A4"/>
    <w:rsid w:val="00E62459"/>
    <w:rsid w:val="00E62996"/>
    <w:rsid w:val="00E63E64"/>
    <w:rsid w:val="00E64A4E"/>
    <w:rsid w:val="00E6519D"/>
    <w:rsid w:val="00E659A8"/>
    <w:rsid w:val="00E666C3"/>
    <w:rsid w:val="00E6673A"/>
    <w:rsid w:val="00E66D62"/>
    <w:rsid w:val="00E67696"/>
    <w:rsid w:val="00E71A16"/>
    <w:rsid w:val="00E71A58"/>
    <w:rsid w:val="00E725AB"/>
    <w:rsid w:val="00E726D5"/>
    <w:rsid w:val="00E7272C"/>
    <w:rsid w:val="00E72A7A"/>
    <w:rsid w:val="00E72E53"/>
    <w:rsid w:val="00E735B9"/>
    <w:rsid w:val="00E73C13"/>
    <w:rsid w:val="00E75C94"/>
    <w:rsid w:val="00E75CB2"/>
    <w:rsid w:val="00E75E92"/>
    <w:rsid w:val="00E7658F"/>
    <w:rsid w:val="00E7691C"/>
    <w:rsid w:val="00E77711"/>
    <w:rsid w:val="00E77B55"/>
    <w:rsid w:val="00E77C07"/>
    <w:rsid w:val="00E81A83"/>
    <w:rsid w:val="00E82AA4"/>
    <w:rsid w:val="00E82E32"/>
    <w:rsid w:val="00E83223"/>
    <w:rsid w:val="00E8343F"/>
    <w:rsid w:val="00E83560"/>
    <w:rsid w:val="00E85F38"/>
    <w:rsid w:val="00E86775"/>
    <w:rsid w:val="00E86E4A"/>
    <w:rsid w:val="00E87117"/>
    <w:rsid w:val="00E878C4"/>
    <w:rsid w:val="00E90549"/>
    <w:rsid w:val="00E9070E"/>
    <w:rsid w:val="00E90836"/>
    <w:rsid w:val="00E90D90"/>
    <w:rsid w:val="00E92137"/>
    <w:rsid w:val="00E92235"/>
    <w:rsid w:val="00E93820"/>
    <w:rsid w:val="00E941F4"/>
    <w:rsid w:val="00E94344"/>
    <w:rsid w:val="00E94690"/>
    <w:rsid w:val="00E94780"/>
    <w:rsid w:val="00E956AE"/>
    <w:rsid w:val="00E96034"/>
    <w:rsid w:val="00E96ACA"/>
    <w:rsid w:val="00EA0C68"/>
    <w:rsid w:val="00EA1042"/>
    <w:rsid w:val="00EA15B8"/>
    <w:rsid w:val="00EA2C94"/>
    <w:rsid w:val="00EA32BC"/>
    <w:rsid w:val="00EA43FD"/>
    <w:rsid w:val="00EA4AE7"/>
    <w:rsid w:val="00EA5C81"/>
    <w:rsid w:val="00EA62A4"/>
    <w:rsid w:val="00EA64C7"/>
    <w:rsid w:val="00EA6CB1"/>
    <w:rsid w:val="00EB02BC"/>
    <w:rsid w:val="00EB1AEB"/>
    <w:rsid w:val="00EB1C38"/>
    <w:rsid w:val="00EB2621"/>
    <w:rsid w:val="00EB3140"/>
    <w:rsid w:val="00EB3C65"/>
    <w:rsid w:val="00EB4511"/>
    <w:rsid w:val="00EB5489"/>
    <w:rsid w:val="00EB5A25"/>
    <w:rsid w:val="00EB70EC"/>
    <w:rsid w:val="00EC03D7"/>
    <w:rsid w:val="00EC0BFA"/>
    <w:rsid w:val="00EC0FF3"/>
    <w:rsid w:val="00EC1885"/>
    <w:rsid w:val="00EC20E8"/>
    <w:rsid w:val="00EC214F"/>
    <w:rsid w:val="00EC31DB"/>
    <w:rsid w:val="00EC3220"/>
    <w:rsid w:val="00EC3A74"/>
    <w:rsid w:val="00EC4AFC"/>
    <w:rsid w:val="00EC5218"/>
    <w:rsid w:val="00EC53A0"/>
    <w:rsid w:val="00EC5EF6"/>
    <w:rsid w:val="00EC639B"/>
    <w:rsid w:val="00EC67A4"/>
    <w:rsid w:val="00EC750A"/>
    <w:rsid w:val="00EC7E98"/>
    <w:rsid w:val="00ED0547"/>
    <w:rsid w:val="00ED14E5"/>
    <w:rsid w:val="00ED161E"/>
    <w:rsid w:val="00ED1D90"/>
    <w:rsid w:val="00ED2C74"/>
    <w:rsid w:val="00ED4166"/>
    <w:rsid w:val="00ED4D0E"/>
    <w:rsid w:val="00ED62C6"/>
    <w:rsid w:val="00ED64C1"/>
    <w:rsid w:val="00ED76BB"/>
    <w:rsid w:val="00EE06BC"/>
    <w:rsid w:val="00EE0D40"/>
    <w:rsid w:val="00EE15E8"/>
    <w:rsid w:val="00EE1A4D"/>
    <w:rsid w:val="00EE1B52"/>
    <w:rsid w:val="00EE3446"/>
    <w:rsid w:val="00EE39B7"/>
    <w:rsid w:val="00EE3E78"/>
    <w:rsid w:val="00EE4B1B"/>
    <w:rsid w:val="00EE4E5E"/>
    <w:rsid w:val="00EE5C81"/>
    <w:rsid w:val="00EE743A"/>
    <w:rsid w:val="00EE7EAD"/>
    <w:rsid w:val="00EF0135"/>
    <w:rsid w:val="00EF05B5"/>
    <w:rsid w:val="00EF05F9"/>
    <w:rsid w:val="00EF0CF6"/>
    <w:rsid w:val="00EF1109"/>
    <w:rsid w:val="00EF13AE"/>
    <w:rsid w:val="00EF150D"/>
    <w:rsid w:val="00EF1975"/>
    <w:rsid w:val="00EF1F5A"/>
    <w:rsid w:val="00EF467D"/>
    <w:rsid w:val="00EF47BF"/>
    <w:rsid w:val="00EF4BD9"/>
    <w:rsid w:val="00EF4C92"/>
    <w:rsid w:val="00EF6922"/>
    <w:rsid w:val="00EF73DD"/>
    <w:rsid w:val="00EF7D91"/>
    <w:rsid w:val="00F00C8B"/>
    <w:rsid w:val="00F01056"/>
    <w:rsid w:val="00F024CB"/>
    <w:rsid w:val="00F025AC"/>
    <w:rsid w:val="00F02C35"/>
    <w:rsid w:val="00F04811"/>
    <w:rsid w:val="00F0488C"/>
    <w:rsid w:val="00F05F5E"/>
    <w:rsid w:val="00F06CE2"/>
    <w:rsid w:val="00F07B5F"/>
    <w:rsid w:val="00F07BDE"/>
    <w:rsid w:val="00F10927"/>
    <w:rsid w:val="00F10F11"/>
    <w:rsid w:val="00F112A1"/>
    <w:rsid w:val="00F11AAF"/>
    <w:rsid w:val="00F13389"/>
    <w:rsid w:val="00F13BAC"/>
    <w:rsid w:val="00F14B7E"/>
    <w:rsid w:val="00F15AAA"/>
    <w:rsid w:val="00F15BEF"/>
    <w:rsid w:val="00F160A2"/>
    <w:rsid w:val="00F16D65"/>
    <w:rsid w:val="00F16F36"/>
    <w:rsid w:val="00F1715D"/>
    <w:rsid w:val="00F21755"/>
    <w:rsid w:val="00F21AE9"/>
    <w:rsid w:val="00F21E2A"/>
    <w:rsid w:val="00F224C1"/>
    <w:rsid w:val="00F22798"/>
    <w:rsid w:val="00F229CF"/>
    <w:rsid w:val="00F22AA8"/>
    <w:rsid w:val="00F22C15"/>
    <w:rsid w:val="00F240A9"/>
    <w:rsid w:val="00F24407"/>
    <w:rsid w:val="00F244A4"/>
    <w:rsid w:val="00F24782"/>
    <w:rsid w:val="00F24FAA"/>
    <w:rsid w:val="00F2534C"/>
    <w:rsid w:val="00F258C3"/>
    <w:rsid w:val="00F25ADA"/>
    <w:rsid w:val="00F26D00"/>
    <w:rsid w:val="00F27093"/>
    <w:rsid w:val="00F27863"/>
    <w:rsid w:val="00F30709"/>
    <w:rsid w:val="00F31090"/>
    <w:rsid w:val="00F32735"/>
    <w:rsid w:val="00F32E8C"/>
    <w:rsid w:val="00F32F52"/>
    <w:rsid w:val="00F332EF"/>
    <w:rsid w:val="00F3364D"/>
    <w:rsid w:val="00F33AAA"/>
    <w:rsid w:val="00F341B2"/>
    <w:rsid w:val="00F35931"/>
    <w:rsid w:val="00F36ECA"/>
    <w:rsid w:val="00F40195"/>
    <w:rsid w:val="00F40ECF"/>
    <w:rsid w:val="00F4172A"/>
    <w:rsid w:val="00F41A27"/>
    <w:rsid w:val="00F424D3"/>
    <w:rsid w:val="00F42674"/>
    <w:rsid w:val="00F43204"/>
    <w:rsid w:val="00F437CC"/>
    <w:rsid w:val="00F4384B"/>
    <w:rsid w:val="00F45E4C"/>
    <w:rsid w:val="00F46888"/>
    <w:rsid w:val="00F47067"/>
    <w:rsid w:val="00F47682"/>
    <w:rsid w:val="00F476BD"/>
    <w:rsid w:val="00F50488"/>
    <w:rsid w:val="00F50800"/>
    <w:rsid w:val="00F50D49"/>
    <w:rsid w:val="00F50F9C"/>
    <w:rsid w:val="00F51A59"/>
    <w:rsid w:val="00F525EB"/>
    <w:rsid w:val="00F5271A"/>
    <w:rsid w:val="00F52DDE"/>
    <w:rsid w:val="00F533EE"/>
    <w:rsid w:val="00F54510"/>
    <w:rsid w:val="00F557C6"/>
    <w:rsid w:val="00F562DC"/>
    <w:rsid w:val="00F5645E"/>
    <w:rsid w:val="00F56E07"/>
    <w:rsid w:val="00F57536"/>
    <w:rsid w:val="00F57735"/>
    <w:rsid w:val="00F619A9"/>
    <w:rsid w:val="00F62279"/>
    <w:rsid w:val="00F62818"/>
    <w:rsid w:val="00F63C10"/>
    <w:rsid w:val="00F63DDE"/>
    <w:rsid w:val="00F63FB7"/>
    <w:rsid w:val="00F646F7"/>
    <w:rsid w:val="00F649D2"/>
    <w:rsid w:val="00F64A2E"/>
    <w:rsid w:val="00F64BCC"/>
    <w:rsid w:val="00F65359"/>
    <w:rsid w:val="00F655E5"/>
    <w:rsid w:val="00F6602B"/>
    <w:rsid w:val="00F66871"/>
    <w:rsid w:val="00F66C16"/>
    <w:rsid w:val="00F67275"/>
    <w:rsid w:val="00F674B7"/>
    <w:rsid w:val="00F708F5"/>
    <w:rsid w:val="00F70FAD"/>
    <w:rsid w:val="00F710DF"/>
    <w:rsid w:val="00F713B3"/>
    <w:rsid w:val="00F71565"/>
    <w:rsid w:val="00F7181C"/>
    <w:rsid w:val="00F71C04"/>
    <w:rsid w:val="00F7260E"/>
    <w:rsid w:val="00F72E1C"/>
    <w:rsid w:val="00F73A0C"/>
    <w:rsid w:val="00F73C46"/>
    <w:rsid w:val="00F747F7"/>
    <w:rsid w:val="00F7524D"/>
    <w:rsid w:val="00F756DB"/>
    <w:rsid w:val="00F759C1"/>
    <w:rsid w:val="00F7650F"/>
    <w:rsid w:val="00F76B17"/>
    <w:rsid w:val="00F77C0C"/>
    <w:rsid w:val="00F77C2A"/>
    <w:rsid w:val="00F80CA3"/>
    <w:rsid w:val="00F81355"/>
    <w:rsid w:val="00F81C62"/>
    <w:rsid w:val="00F81D2E"/>
    <w:rsid w:val="00F8241E"/>
    <w:rsid w:val="00F8377E"/>
    <w:rsid w:val="00F83B06"/>
    <w:rsid w:val="00F84568"/>
    <w:rsid w:val="00F84BB6"/>
    <w:rsid w:val="00F85066"/>
    <w:rsid w:val="00F85073"/>
    <w:rsid w:val="00F85243"/>
    <w:rsid w:val="00F85CBA"/>
    <w:rsid w:val="00F86B92"/>
    <w:rsid w:val="00F86F09"/>
    <w:rsid w:val="00F900F5"/>
    <w:rsid w:val="00F90247"/>
    <w:rsid w:val="00F90500"/>
    <w:rsid w:val="00F9129D"/>
    <w:rsid w:val="00F92054"/>
    <w:rsid w:val="00F9212D"/>
    <w:rsid w:val="00F928F4"/>
    <w:rsid w:val="00F93AE3"/>
    <w:rsid w:val="00F96DEA"/>
    <w:rsid w:val="00F96EC7"/>
    <w:rsid w:val="00F9748B"/>
    <w:rsid w:val="00F9780B"/>
    <w:rsid w:val="00F97AA1"/>
    <w:rsid w:val="00F97AB8"/>
    <w:rsid w:val="00FA003F"/>
    <w:rsid w:val="00FA104E"/>
    <w:rsid w:val="00FA11D4"/>
    <w:rsid w:val="00FA1BC1"/>
    <w:rsid w:val="00FA1C75"/>
    <w:rsid w:val="00FA20BF"/>
    <w:rsid w:val="00FA29C5"/>
    <w:rsid w:val="00FA3371"/>
    <w:rsid w:val="00FA3561"/>
    <w:rsid w:val="00FA3640"/>
    <w:rsid w:val="00FA43FB"/>
    <w:rsid w:val="00FA4FC9"/>
    <w:rsid w:val="00FA5C16"/>
    <w:rsid w:val="00FA5D4D"/>
    <w:rsid w:val="00FA7769"/>
    <w:rsid w:val="00FA7981"/>
    <w:rsid w:val="00FB02C7"/>
    <w:rsid w:val="00FB0947"/>
    <w:rsid w:val="00FB0DE1"/>
    <w:rsid w:val="00FB0EE2"/>
    <w:rsid w:val="00FB0FFC"/>
    <w:rsid w:val="00FB1537"/>
    <w:rsid w:val="00FB509F"/>
    <w:rsid w:val="00FB542E"/>
    <w:rsid w:val="00FB55A4"/>
    <w:rsid w:val="00FB625B"/>
    <w:rsid w:val="00FB74A7"/>
    <w:rsid w:val="00FC03F1"/>
    <w:rsid w:val="00FC070C"/>
    <w:rsid w:val="00FC0E27"/>
    <w:rsid w:val="00FC0E5F"/>
    <w:rsid w:val="00FC1A95"/>
    <w:rsid w:val="00FC2BB4"/>
    <w:rsid w:val="00FC393F"/>
    <w:rsid w:val="00FC3D5B"/>
    <w:rsid w:val="00FC43AD"/>
    <w:rsid w:val="00FC4FD9"/>
    <w:rsid w:val="00FC54AF"/>
    <w:rsid w:val="00FC56DE"/>
    <w:rsid w:val="00FC684B"/>
    <w:rsid w:val="00FD095C"/>
    <w:rsid w:val="00FD1C01"/>
    <w:rsid w:val="00FD1C6E"/>
    <w:rsid w:val="00FD1E73"/>
    <w:rsid w:val="00FD25CE"/>
    <w:rsid w:val="00FD3265"/>
    <w:rsid w:val="00FD5197"/>
    <w:rsid w:val="00FD5721"/>
    <w:rsid w:val="00FD6260"/>
    <w:rsid w:val="00FD763A"/>
    <w:rsid w:val="00FE090A"/>
    <w:rsid w:val="00FE1249"/>
    <w:rsid w:val="00FE1FDB"/>
    <w:rsid w:val="00FE2718"/>
    <w:rsid w:val="00FE2F78"/>
    <w:rsid w:val="00FE2FDF"/>
    <w:rsid w:val="00FE3AFE"/>
    <w:rsid w:val="00FE3EA2"/>
    <w:rsid w:val="00FE478B"/>
    <w:rsid w:val="00FE5881"/>
    <w:rsid w:val="00FE6465"/>
    <w:rsid w:val="00FE7186"/>
    <w:rsid w:val="00FE7756"/>
    <w:rsid w:val="00FF0857"/>
    <w:rsid w:val="00FF1DFF"/>
    <w:rsid w:val="00FF23D7"/>
    <w:rsid w:val="00FF33A4"/>
    <w:rsid w:val="00FF462C"/>
    <w:rsid w:val="00FF6B7E"/>
    <w:rsid w:val="00FF7372"/>
    <w:rsid w:val="00FF755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8B6EB46"/>
  <w15:docId w15:val="{B88752AC-985B-4031-8676-15B5293C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78B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4900F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4900F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4900F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900F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00FF"/>
    <w:rPr>
      <w:rFonts w:ascii="Arial" w:eastAsia="MS Gothic" w:hAnsi="Arial"/>
      <w:b/>
      <w:bCs/>
      <w:color w:val="C00000"/>
      <w:sz w:val="32"/>
      <w:szCs w:val="28"/>
    </w:rPr>
  </w:style>
  <w:style w:type="character" w:customStyle="1" w:styleId="Nadpis2Char">
    <w:name w:val="Nadpis 2 Char"/>
    <w:link w:val="Nadpis2"/>
    <w:uiPriority w:val="9"/>
    <w:rsid w:val="004900FF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uiPriority w:val="9"/>
    <w:rsid w:val="004900FF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uiPriority w:val="9"/>
    <w:rsid w:val="004900FF"/>
    <w:rPr>
      <w:rFonts w:ascii="Arial" w:eastAsia="MS Gothic" w:hAnsi="Arial"/>
      <w:b/>
      <w:bCs/>
      <w:iCs/>
      <w:color w:val="BC091B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4900FF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  <w:lang w:eastAsia="cs-CZ"/>
    </w:rPr>
  </w:style>
  <w:style w:type="paragraph" w:customStyle="1" w:styleId="Box1">
    <w:name w:val="Box 1"/>
    <w:next w:val="Normln"/>
    <w:qFormat/>
    <w:rsid w:val="004900FF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4900FF"/>
    <w:pPr>
      <w:spacing w:before="240" w:after="240" w:line="288" w:lineRule="auto"/>
      <w:ind w:left="709"/>
      <w:contextualSpacing/>
    </w:pPr>
    <w:rPr>
      <w:rFonts w:ascii="Arial" w:hAnsi="Arial" w:cs="Arial"/>
      <w:color w:val="BC091B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4900FF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4900FF"/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4900FF"/>
    <w:pPr>
      <w:spacing w:line="288" w:lineRule="auto"/>
    </w:pPr>
    <w:rPr>
      <w:rFonts w:ascii="Arial" w:eastAsia="Times New Roman" w:hAnsi="Arial" w:cs="Arial"/>
      <w:b/>
      <w:color w:val="BC091B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4900FF"/>
    <w:rPr>
      <w:rFonts w:ascii="Arial" w:eastAsia="Times New Roman" w:hAnsi="Arial" w:cs="Arial"/>
      <w:b/>
      <w:color w:val="BC091B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Odstavecseseznamem">
    <w:name w:val="List Paragraph"/>
    <w:basedOn w:val="Normln"/>
    <w:uiPriority w:val="34"/>
    <w:qFormat/>
    <w:rsid w:val="00A67C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67C12"/>
    <w:pPr>
      <w:spacing w:after="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67C12"/>
    <w:rPr>
      <w:rFonts w:asciiTheme="minorHAnsi" w:eastAsia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A67C12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67C12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67C12"/>
    <w:pPr>
      <w:widowControl w:val="0"/>
      <w:tabs>
        <w:tab w:val="left" w:pos="0"/>
        <w:tab w:val="left" w:pos="60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85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9F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9FB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9FB"/>
    <w:rPr>
      <w:rFonts w:ascii="Arial" w:eastAsia="Times New Roman" w:hAnsi="Arial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6B7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character" w:styleId="AkronymHTML">
    <w:name w:val="HTML Acronym"/>
    <w:basedOn w:val="Standardnpsmoodstavce"/>
    <w:uiPriority w:val="99"/>
    <w:semiHidden/>
    <w:unhideWhenUsed/>
    <w:rsid w:val="00FF6B7E"/>
  </w:style>
  <w:style w:type="character" w:styleId="Sledovanodkaz">
    <w:name w:val="FollowedHyperlink"/>
    <w:basedOn w:val="Standardnpsmoodstavce"/>
    <w:uiPriority w:val="99"/>
    <w:semiHidden/>
    <w:unhideWhenUsed/>
    <w:rsid w:val="00FF6B7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F6B7E"/>
    <w:rPr>
      <w:rFonts w:asciiTheme="minorHAnsi" w:eastAsiaTheme="minorHAnsi" w:hAnsiTheme="minorHAnsi" w:cstheme="minorBidi"/>
      <w:sz w:val="22"/>
      <w:szCs w:val="22"/>
    </w:rPr>
  </w:style>
  <w:style w:type="table" w:customStyle="1" w:styleId="Tabulkasmkou4zvraznn21">
    <w:name w:val="Tabulka s mřížkou 4 – zvýraznění 21"/>
    <w:basedOn w:val="Normlntabulka"/>
    <w:uiPriority w:val="49"/>
    <w:rsid w:val="00FF6B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FA77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A77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0068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nes.cz/jihlava/zpravy/skola-vyssi-odborna-vysocina-vzdelavani-studium-podpora.A220428_662245_jihlava-zpravy_mv" TargetMode="External"/><Relationship Id="rId2" Type="http://schemas.openxmlformats.org/officeDocument/2006/relationships/hyperlink" Target="http://www.oecd-ilibrary.org/sites/a81152f4-en/1/3/1/index.html?itemId=/content/publication/a81152f4-en&amp;_csp_=6b3f27abfd94c3159a3215a6acc9141b&amp;itemIGO=oecd&amp;itemContentType=book" TargetMode="External"/><Relationship Id="rId1" Type="http://schemas.openxmlformats.org/officeDocument/2006/relationships/hyperlink" Target="https://www.czso.cz/csu/czso/klasifikace_vzdelani_cz_isced_2011" TargetMode="External"/><Relationship Id="rId4" Type="http://schemas.openxmlformats.org/officeDocument/2006/relationships/hyperlink" Target="https://infoabsolvent.cz/Temata/PublikaceAbsolventi?Stranka=9-0-178&amp;NazevSeo=Nezamestnanost-absolventu-skol-se-strednim-a-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sparova3676\Downloads\Publikace%20bar%20CZ_lide%20a%20spolecnost_2017-08-14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kasparova3676\Desktop\&#352;A&#352;Z\&#352;A&#352;Z_2023\23004223t_vypln&#283;no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sparova3676\Desktop\&#352;A&#352;Z\&#352;A&#352;Z_2023\&#352;A&#352;Z_graf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sparova3676\Desktop\&#352;A&#352;Z\&#352;A&#352;Z_2023\&#352;A&#352;Z_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sparova3676\Desktop\&#352;A&#352;Z\&#352;A&#352;Z_2023\&#352;A&#352;Z_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List11!$B$15</c:f>
              <c:strCache>
                <c:ptCount val="1"/>
                <c:pt idx="0">
                  <c:v>počet studentů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List11!$A$16:$A$26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List11!$B$16:$B$26</c:f>
              <c:numCache>
                <c:formatCode>#,##0</c:formatCode>
                <c:ptCount val="11"/>
                <c:pt idx="0">
                  <c:v>28980</c:v>
                </c:pt>
                <c:pt idx="1">
                  <c:v>28332</c:v>
                </c:pt>
                <c:pt idx="2">
                  <c:v>26964</c:v>
                </c:pt>
                <c:pt idx="3">
                  <c:v>24786</c:v>
                </c:pt>
                <c:pt idx="4">
                  <c:v>22002</c:v>
                </c:pt>
                <c:pt idx="5">
                  <c:v>19883</c:v>
                </c:pt>
                <c:pt idx="6">
                  <c:v>18416</c:v>
                </c:pt>
                <c:pt idx="7">
                  <c:v>17954</c:v>
                </c:pt>
                <c:pt idx="8">
                  <c:v>18458</c:v>
                </c:pt>
                <c:pt idx="9">
                  <c:v>20096</c:v>
                </c:pt>
                <c:pt idx="10">
                  <c:v>20639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17-48C3-AA9A-81FD89FBD73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308526592"/>
        <c:axId val="355184000"/>
      </c:barChart>
      <c:lineChart>
        <c:grouping val="standard"/>
        <c:varyColors val="0"/>
        <c:ser>
          <c:idx val="1"/>
          <c:order val="1"/>
          <c:tx>
            <c:strRef>
              <c:f>List11!$C$15</c:f>
              <c:strCache>
                <c:ptCount val="1"/>
                <c:pt idx="0">
                  <c:v>z toho ženy</c:v>
                </c:pt>
              </c:strCache>
            </c:strRef>
          </c:tx>
          <c:spPr>
            <a:ln w="22225"/>
          </c:spPr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List11!$A$16:$A$26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List11!$C$16:$C$26</c:f>
              <c:numCache>
                <c:formatCode>0.0%</c:formatCode>
                <c:ptCount val="11"/>
                <c:pt idx="0">
                  <c:v>0.71228433402346447</c:v>
                </c:pt>
                <c:pt idx="1">
                  <c:v>0.7166807849781166</c:v>
                </c:pt>
                <c:pt idx="2">
                  <c:v>0.72133214656579148</c:v>
                </c:pt>
                <c:pt idx="3">
                  <c:v>0.72694262890341321</c:v>
                </c:pt>
                <c:pt idx="4">
                  <c:v>0.72420689028270158</c:v>
                </c:pt>
                <c:pt idx="5">
                  <c:v>0.7274556153497963</c:v>
                </c:pt>
                <c:pt idx="6">
                  <c:v>0.72996307558644657</c:v>
                </c:pt>
                <c:pt idx="7">
                  <c:v>0.74562771527236271</c:v>
                </c:pt>
                <c:pt idx="8">
                  <c:v>0.7527359410553689</c:v>
                </c:pt>
                <c:pt idx="9">
                  <c:v>0.76736664012738853</c:v>
                </c:pt>
                <c:pt idx="10">
                  <c:v>0.77227578855564705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17-48C3-AA9A-81FD89FBD732}"/>
            </c:ext>
          </c:extLst>
        </c:ser>
        <c:ser>
          <c:idx val="2"/>
          <c:order val="2"/>
          <c:tx>
            <c:strRef>
              <c:f>List11!$D$15</c:f>
              <c:strCache>
                <c:ptCount val="1"/>
                <c:pt idx="0">
                  <c:v>z toho cizinci</c:v>
                </c:pt>
              </c:strCache>
            </c:strRef>
          </c:tx>
          <c:spPr>
            <a:ln w="19050">
              <a:solidFill>
                <a:srgbClr val="4F81BD">
                  <a:lumMod val="75000"/>
                </a:srgbClr>
              </a:solidFill>
            </a:ln>
          </c:spPr>
          <c:marker>
            <c:spPr>
              <a:ln w="6350">
                <a:solidFill>
                  <a:srgbClr val="4F81BD">
                    <a:lumMod val="75000"/>
                  </a:srgbClr>
                </a:solidFill>
              </a:ln>
            </c:spPr>
          </c:marker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List11!$A$16:$A$26</c:f>
              <c:strCache>
                <c:ptCount val="11"/>
                <c:pt idx="0">
                  <c:v>2012/13</c:v>
                </c:pt>
                <c:pt idx="1">
                  <c:v>2013/14</c:v>
                </c:pt>
                <c:pt idx="2">
                  <c:v>2014/15</c:v>
                </c:pt>
                <c:pt idx="3">
                  <c:v>2015/16</c:v>
                </c:pt>
                <c:pt idx="4">
                  <c:v>2016/17</c:v>
                </c:pt>
                <c:pt idx="5">
                  <c:v>2017/18</c:v>
                </c:pt>
                <c:pt idx="6">
                  <c:v>2018/19</c:v>
                </c:pt>
                <c:pt idx="7">
                  <c:v>2019/20</c:v>
                </c:pt>
                <c:pt idx="8">
                  <c:v>2020/21</c:v>
                </c:pt>
                <c:pt idx="9">
                  <c:v>2021/22</c:v>
                </c:pt>
                <c:pt idx="10">
                  <c:v>2022/23</c:v>
                </c:pt>
              </c:strCache>
            </c:strRef>
          </c:cat>
          <c:val>
            <c:numRef>
              <c:f>List11!$D$16:$D$26</c:f>
              <c:numCache>
                <c:formatCode>0.0%</c:formatCode>
                <c:ptCount val="11"/>
                <c:pt idx="0">
                  <c:v>1.7598343685300208E-2</c:v>
                </c:pt>
                <c:pt idx="1">
                  <c:v>1.9306790907807427E-2</c:v>
                </c:pt>
                <c:pt idx="2">
                  <c:v>2.0471740097908322E-2</c:v>
                </c:pt>
                <c:pt idx="3">
                  <c:v>2.3682724118453968E-2</c:v>
                </c:pt>
                <c:pt idx="4">
                  <c:v>2.7815653122443416E-2</c:v>
                </c:pt>
                <c:pt idx="5">
                  <c:v>3.2540361112508173E-2</c:v>
                </c:pt>
                <c:pt idx="6">
                  <c:v>3.8281928757602085E-2</c:v>
                </c:pt>
                <c:pt idx="7">
                  <c:v>4.0770858861535031E-2</c:v>
                </c:pt>
                <c:pt idx="8">
                  <c:v>3.9928486293206195E-2</c:v>
                </c:pt>
                <c:pt idx="9">
                  <c:v>3.5877786624203822E-2</c:v>
                </c:pt>
                <c:pt idx="10">
                  <c:v>3.6920393429914239E-2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B17-48C3-AA9A-81FD89FBD7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51707136"/>
        <c:axId val="355184576"/>
      </c:lineChart>
      <c:catAx>
        <c:axId val="308526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5184000"/>
        <c:crosses val="autoZero"/>
        <c:auto val="1"/>
        <c:lblAlgn val="ctr"/>
        <c:lblOffset val="100"/>
        <c:noMultiLvlLbl val="0"/>
      </c:catAx>
      <c:valAx>
        <c:axId val="355184000"/>
        <c:scaling>
          <c:orientation val="minMax"/>
          <c:max val="40000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08526592"/>
        <c:crosses val="autoZero"/>
        <c:crossBetween val="between"/>
      </c:valAx>
      <c:valAx>
        <c:axId val="355184576"/>
        <c:scaling>
          <c:orientation val="minMax"/>
          <c:max val="0.8"/>
          <c:min val="0"/>
        </c:scaling>
        <c:delete val="0"/>
        <c:axPos val="r"/>
        <c:numFmt formatCode="0\ %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1707136"/>
        <c:crosses val="max"/>
        <c:crossBetween val="between"/>
      </c:valAx>
      <c:catAx>
        <c:axId val="351707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518457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7.7676004785116144E-3"/>
          <c:y val="0.89616797900262468"/>
          <c:w val="0.99223239952148834"/>
          <c:h val="8.0037409116963831E-2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858476023830355E-2"/>
          <c:y val="5.2380952380952382E-2"/>
          <c:w val="0.84124102542737711"/>
          <c:h val="0.655079829822716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'5.2'!$B$2</c:f>
              <c:strCache>
                <c:ptCount val="1"/>
                <c:pt idx="0">
                  <c:v>počet studentů</c:v>
                </c:pt>
              </c:strCache>
            </c:strRef>
          </c:tx>
          <c:invertIfNegative val="0"/>
          <c:dLbls>
            <c:dLbl>
              <c:idx val="10"/>
              <c:layout>
                <c:manualLayout>
                  <c:x val="8.2536852704732668E-8"/>
                  <c:y val="7.0631342562324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800">
                      <a:solidFill>
                        <a:schemeClr val="bg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230690503309717E-2"/>
                      <c:h val="5.38870727801623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D37A-4A2C-AC20-F09BACFF41A9}"/>
                </c:ext>
              </c:extLst>
            </c:dLbl>
            <c:dLbl>
              <c:idx val="11"/>
              <c:layout>
                <c:manualLayout>
                  <c:x val="0"/>
                  <c:y val="6.84844177871268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7A-4A2C-AC20-F09BACFF41A9}"/>
                </c:ext>
              </c:extLst>
            </c:dLbl>
            <c:dLbl>
              <c:idx val="12"/>
              <c:layout>
                <c:manualLayout>
                  <c:x val="-4.192872117400573E-3"/>
                  <c:y val="9.611843463387191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D8-40E8-BB5F-E2875BF64A59}"/>
                </c:ext>
              </c:extLst>
            </c:dLbl>
            <c:dLbl>
              <c:idx val="13"/>
              <c:layout>
                <c:manualLayout>
                  <c:x val="-2.0964360587002098E-3"/>
                  <c:y val="7.909404582854108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D8-40E8-BB5F-E2875BF64A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'5.2'!$A$3:$A$16</c:f>
              <c:strCache>
                <c:ptCount val="14"/>
                <c:pt idx="0">
                  <c:v>Praha</c:v>
                </c:pt>
                <c:pt idx="1">
                  <c:v>Moravskoslezský</c:v>
                </c:pt>
                <c:pt idx="2">
                  <c:v>Jihomoravský</c:v>
                </c:pt>
                <c:pt idx="3">
                  <c:v>Plzeňský</c:v>
                </c:pt>
                <c:pt idx="4">
                  <c:v>Ústecký</c:v>
                </c:pt>
                <c:pt idx="5">
                  <c:v>Olomoucký</c:v>
                </c:pt>
                <c:pt idx="6">
                  <c:v>Středočeský</c:v>
                </c:pt>
                <c:pt idx="7">
                  <c:v>Pardubický</c:v>
                </c:pt>
                <c:pt idx="8">
                  <c:v>Kraj Vysočina</c:v>
                </c:pt>
                <c:pt idx="9">
                  <c:v>Zlínský</c:v>
                </c:pt>
                <c:pt idx="10">
                  <c:v>Jihočeský</c:v>
                </c:pt>
                <c:pt idx="11">
                  <c:v>Královéhradecký</c:v>
                </c:pt>
                <c:pt idx="12">
                  <c:v>Karlovarský</c:v>
                </c:pt>
                <c:pt idx="13">
                  <c:v>Liberecký</c:v>
                </c:pt>
              </c:strCache>
            </c:strRef>
          </c:cat>
          <c:val>
            <c:numRef>
              <c:f>'5.2'!$B$3:$B$16</c:f>
              <c:numCache>
                <c:formatCode>#\ ##0_ ;\-#\ ##0\ </c:formatCode>
                <c:ptCount val="14"/>
                <c:pt idx="0">
                  <c:v>4880</c:v>
                </c:pt>
                <c:pt idx="1">
                  <c:v>3308</c:v>
                </c:pt>
                <c:pt idx="2">
                  <c:v>1848</c:v>
                </c:pt>
                <c:pt idx="3">
                  <c:v>1723</c:v>
                </c:pt>
                <c:pt idx="4">
                  <c:v>1624</c:v>
                </c:pt>
                <c:pt idx="5">
                  <c:v>1465</c:v>
                </c:pt>
                <c:pt idx="6">
                  <c:v>1226</c:v>
                </c:pt>
                <c:pt idx="7">
                  <c:v>912</c:v>
                </c:pt>
                <c:pt idx="8">
                  <c:v>896</c:v>
                </c:pt>
                <c:pt idx="9">
                  <c:v>846</c:v>
                </c:pt>
                <c:pt idx="10">
                  <c:v>745</c:v>
                </c:pt>
                <c:pt idx="11">
                  <c:v>660</c:v>
                </c:pt>
                <c:pt idx="12">
                  <c:v>294</c:v>
                </c:pt>
                <c:pt idx="13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D8-40E8-BB5F-E2875BF64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"/>
        <c:axId val="308523008"/>
        <c:axId val="355185152"/>
      </c:barChart>
      <c:lineChart>
        <c:grouping val="standard"/>
        <c:varyColors val="0"/>
        <c:ser>
          <c:idx val="1"/>
          <c:order val="1"/>
          <c:tx>
            <c:strRef>
              <c:f>'5.2'!$C$2</c:f>
              <c:strCache>
                <c:ptCount val="1"/>
                <c:pt idx="0">
                  <c:v>z toho cizinců</c:v>
                </c:pt>
              </c:strCache>
            </c:strRef>
          </c:tx>
          <c:spPr>
            <a:ln w="19050">
              <a:noFill/>
            </a:ln>
          </c:spPr>
          <c:marker>
            <c:symbol val="square"/>
            <c:size val="5"/>
            <c:spPr>
              <a:solidFill>
                <a:srgbClr val="FFC000"/>
              </a:solidFill>
              <a:ln w="3175"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1"/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>
                      <a:solidFill>
                        <a:srgbClr val="FFC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cs-CZ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CD8-40E8-BB5F-E2875BF64A59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'5.2'!$A$3:$A$16</c:f>
              <c:strCache>
                <c:ptCount val="14"/>
                <c:pt idx="0">
                  <c:v>Praha</c:v>
                </c:pt>
                <c:pt idx="1">
                  <c:v>Moravskoslezský</c:v>
                </c:pt>
                <c:pt idx="2">
                  <c:v>Jihomoravský</c:v>
                </c:pt>
                <c:pt idx="3">
                  <c:v>Plzeňský</c:v>
                </c:pt>
                <c:pt idx="4">
                  <c:v>Ústecký</c:v>
                </c:pt>
                <c:pt idx="5">
                  <c:v>Olomoucký</c:v>
                </c:pt>
                <c:pt idx="6">
                  <c:v>Středočeský</c:v>
                </c:pt>
                <c:pt idx="7">
                  <c:v>Pardubický</c:v>
                </c:pt>
                <c:pt idx="8">
                  <c:v>Kraj Vysočina</c:v>
                </c:pt>
                <c:pt idx="9">
                  <c:v>Zlínský</c:v>
                </c:pt>
                <c:pt idx="10">
                  <c:v>Jihočeský</c:v>
                </c:pt>
                <c:pt idx="11">
                  <c:v>Královéhradecký</c:v>
                </c:pt>
                <c:pt idx="12">
                  <c:v>Karlovarský</c:v>
                </c:pt>
                <c:pt idx="13">
                  <c:v>Liberecký</c:v>
                </c:pt>
              </c:strCache>
            </c:strRef>
          </c:cat>
          <c:val>
            <c:numRef>
              <c:f>'5.2'!$C$3:$C$16</c:f>
              <c:numCache>
                <c:formatCode>0.0%</c:formatCode>
                <c:ptCount val="14"/>
                <c:pt idx="0">
                  <c:v>7.4999999999999997E-2</c:v>
                </c:pt>
                <c:pt idx="1">
                  <c:v>1.1487303506650543E-2</c:v>
                </c:pt>
                <c:pt idx="2">
                  <c:v>3.2467532467532464E-2</c:v>
                </c:pt>
                <c:pt idx="3">
                  <c:v>3.6564132327336039E-2</c:v>
                </c:pt>
                <c:pt idx="4">
                  <c:v>2.4014778325123151E-2</c:v>
                </c:pt>
                <c:pt idx="5">
                  <c:v>1.9112627986348121E-2</c:v>
                </c:pt>
                <c:pt idx="6">
                  <c:v>3.7520391517128875E-2</c:v>
                </c:pt>
                <c:pt idx="7">
                  <c:v>3.399122807017544E-2</c:v>
                </c:pt>
                <c:pt idx="8">
                  <c:v>4.0178571428571432E-2</c:v>
                </c:pt>
                <c:pt idx="9">
                  <c:v>2.0094562647754138E-2</c:v>
                </c:pt>
                <c:pt idx="10">
                  <c:v>1.74496644295302E-2</c:v>
                </c:pt>
                <c:pt idx="11">
                  <c:v>2.1212121212121213E-2</c:v>
                </c:pt>
                <c:pt idx="12">
                  <c:v>2.3809523809523808E-2</c:v>
                </c:pt>
                <c:pt idx="13">
                  <c:v>1.8867924528301886E-2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CD8-40E8-BB5F-E2875BF64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1708672"/>
        <c:axId val="355185728"/>
      </c:lineChart>
      <c:catAx>
        <c:axId val="308523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5185152"/>
        <c:crosses val="autoZero"/>
        <c:auto val="1"/>
        <c:lblAlgn val="ctr"/>
        <c:lblOffset val="100"/>
        <c:noMultiLvlLbl val="0"/>
      </c:catAx>
      <c:valAx>
        <c:axId val="355185152"/>
        <c:scaling>
          <c:orientation val="minMax"/>
          <c:max val="8000"/>
        </c:scaling>
        <c:delete val="0"/>
        <c:axPos val="l"/>
        <c:majorGridlines>
          <c:spPr>
            <a:ln>
              <a:noFill/>
            </a:ln>
          </c:spPr>
        </c:majorGridlines>
        <c:numFmt formatCode="#\ ##0_ ;\-#\ ##0\ 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08523008"/>
        <c:crosses val="autoZero"/>
        <c:crossBetween val="between"/>
      </c:valAx>
      <c:valAx>
        <c:axId val="355185728"/>
        <c:scaling>
          <c:orientation val="minMax"/>
          <c:max val="8.0000000000000016E-2"/>
        </c:scaling>
        <c:delete val="0"/>
        <c:axPos val="r"/>
        <c:numFmt formatCode="0\ %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351708672"/>
        <c:crosses val="max"/>
        <c:crossBetween val="between"/>
      </c:valAx>
      <c:catAx>
        <c:axId val="3517086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518572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68539642450354088"/>
          <c:y val="4.6533014833819927E-2"/>
          <c:w val="0.20416761584047274"/>
          <c:h val="0.14467545489398095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916666666666665E-2"/>
          <c:y val="7.0970062752308263E-3"/>
          <c:w val="0.95416666666666672"/>
          <c:h val="0.83984003128277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'5.3'!$B$16</c:f>
              <c:strCache>
                <c:ptCount val="1"/>
                <c:pt idx="0">
                  <c:v>19letí a mladší</c:v>
                </c:pt>
              </c:strCache>
            </c:strRef>
          </c:tx>
          <c:spPr>
            <a:solidFill>
              <a:srgbClr val="CEE1F2"/>
            </a:solidFill>
            <a:ln>
              <a:noFill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'5.3'!$B$17:$B$19</c:f>
              <c:numCache>
                <c:formatCode>0.0%</c:formatCode>
                <c:ptCount val="3"/>
                <c:pt idx="0">
                  <c:v>8.228676720166804E-2</c:v>
                </c:pt>
                <c:pt idx="1">
                  <c:v>0.12528384621407876</c:v>
                </c:pt>
                <c:pt idx="2">
                  <c:v>1.2353540499235864E-2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E7-4024-B4DA-B695AC23F985}"/>
            </c:ext>
          </c:extLst>
        </c:ser>
        <c:ser>
          <c:idx val="1"/>
          <c:order val="1"/>
          <c:tx>
            <c:strRef>
              <c:f>'5.3'!$C$16</c:f>
              <c:strCache>
                <c:ptCount val="1"/>
                <c:pt idx="0">
                  <c:v>20 až 24letí</c:v>
                </c:pt>
              </c:strCache>
            </c:strRef>
          </c:tx>
          <c:spPr>
            <a:solidFill>
              <a:srgbClr val="92BCE2"/>
            </a:solidFill>
            <a:ln>
              <a:noFill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'5.3'!$C$17:$C$19</c:f>
              <c:numCache>
                <c:formatCode>0.0%</c:formatCode>
                <c:ptCount val="3"/>
                <c:pt idx="0">
                  <c:v>0.59341511904184652</c:v>
                </c:pt>
                <c:pt idx="1">
                  <c:v>0.80032887009631193</c:v>
                </c:pt>
                <c:pt idx="2">
                  <c:v>0.25687722873153335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E7-4024-B4DA-B695AC23F985}"/>
            </c:ext>
          </c:extLst>
        </c:ser>
        <c:ser>
          <c:idx val="2"/>
          <c:order val="2"/>
          <c:tx>
            <c:strRef>
              <c:f>'5.3'!$D$16</c:f>
              <c:strCache>
                <c:ptCount val="1"/>
                <c:pt idx="0">
                  <c:v>25 až 29letí</c:v>
                </c:pt>
              </c:strCache>
            </c:strRef>
          </c:tx>
          <c:spPr>
            <a:solidFill>
              <a:srgbClr val="4089CC"/>
            </a:solidFill>
            <a:ln>
              <a:noFill/>
            </a:ln>
            <a:effectLst/>
          </c:spPr>
          <c:invertIfNegative val="0"/>
          <c:dLbls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'5.3'!$D$17:$D$19</c:f>
              <c:numCache>
                <c:formatCode>0.0%</c:formatCode>
                <c:ptCount val="3"/>
                <c:pt idx="0">
                  <c:v>0.10362216942248946</c:v>
                </c:pt>
                <c:pt idx="1">
                  <c:v>4.9408816850677315E-2</c:v>
                </c:pt>
                <c:pt idx="2">
                  <c:v>0.19179826795720836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E7-4024-B4DA-B695AC23F985}"/>
            </c:ext>
          </c:extLst>
        </c:ser>
        <c:ser>
          <c:idx val="3"/>
          <c:order val="3"/>
          <c:tx>
            <c:strRef>
              <c:f>'5.3'!$E$16</c:f>
              <c:strCache>
                <c:ptCount val="1"/>
                <c:pt idx="0">
                  <c:v>30 až 34letí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0.17708333333333334"/>
                  <c:y val="8.7283671933784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E7-4024-B4DA-B695AC23F985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'5.3'!$E$17:$E$19</c:f>
              <c:numCache>
                <c:formatCode>0.0%</c:formatCode>
                <c:ptCount val="3"/>
                <c:pt idx="0">
                  <c:v>6.7448964748096779E-2</c:v>
                </c:pt>
                <c:pt idx="1">
                  <c:v>1.0414219716545298E-2</c:v>
                </c:pt>
                <c:pt idx="2">
                  <c:v>0.16021395822720327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E7-4024-B4DA-B695AC23F985}"/>
            </c:ext>
          </c:extLst>
        </c:ser>
        <c:ser>
          <c:idx val="4"/>
          <c:order val="4"/>
          <c:tx>
            <c:strRef>
              <c:f>'5.3'!$F$16</c:f>
              <c:strCache>
                <c:ptCount val="1"/>
                <c:pt idx="0">
                  <c:v>35 až 39letí</c:v>
                </c:pt>
              </c:strCache>
            </c:strRef>
          </c:tx>
          <c:spPr>
            <a:solidFill>
              <a:srgbClr val="F6BA9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0.17083333333333342"/>
                  <c:y val="5.1166290443942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E7-4024-B4DA-B695AC23F985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'5.3'!$F$17:$F$19</c:f>
              <c:numCache>
                <c:formatCode>0.0%</c:formatCode>
                <c:ptCount val="3"/>
                <c:pt idx="0">
                  <c:v>5.1204965329971389E-2</c:v>
                </c:pt>
                <c:pt idx="1">
                  <c:v>5.9509826951687416E-3</c:v>
                </c:pt>
                <c:pt idx="2">
                  <c:v>0.12480896586856852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EE7-4024-B4DA-B695AC23F985}"/>
            </c:ext>
          </c:extLst>
        </c:ser>
        <c:ser>
          <c:idx val="5"/>
          <c:order val="5"/>
          <c:tx>
            <c:strRef>
              <c:f>'5.3'!$G$16</c:f>
              <c:strCache>
                <c:ptCount val="1"/>
                <c:pt idx="0">
                  <c:v>40letí a starší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0.16875000000000001"/>
                  <c:y val="1.5048908954100828E-2"/>
                </c:manualLayout>
              </c:layout>
              <c:numFmt formatCode="0.0\ 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E7-4024-B4DA-B695AC23F985}"/>
                </c:ext>
              </c:extLst>
            </c:dLbl>
            <c:numFmt formatCode="0.0\ 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'5.3'!$A$17:$A$19</c:f>
              <c:strCache>
                <c:ptCount val="3"/>
                <c:pt idx="0">
                  <c:v>celkem</c:v>
                </c:pt>
                <c:pt idx="1">
                  <c:v>denní forma</c:v>
                </c:pt>
                <c:pt idx="2">
                  <c:v>ostatní formy</c:v>
                </c:pt>
              </c:strCache>
            </c:strRef>
          </c:cat>
          <c:val>
            <c:numRef>
              <c:f>'5.3'!$G$17:$G$19</c:f>
              <c:numCache>
                <c:formatCode>0.0%</c:formatCode>
                <c:ptCount val="3"/>
                <c:pt idx="0">
                  <c:v>0.10202201425592784</c:v>
                </c:pt>
                <c:pt idx="1">
                  <c:v>8.6132644272179162E-3</c:v>
                </c:pt>
                <c:pt idx="2">
                  <c:v>0.25394803871625066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EE7-4024-B4DA-B695AC23F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100"/>
        <c:axId val="201491536"/>
        <c:axId val="201489872"/>
      </c:barChart>
      <c:catAx>
        <c:axId val="20149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01489872"/>
        <c:crosses val="autoZero"/>
        <c:auto val="1"/>
        <c:lblAlgn val="ctr"/>
        <c:lblOffset val="100"/>
        <c:noMultiLvlLbl val="0"/>
      </c:catAx>
      <c:valAx>
        <c:axId val="201489872"/>
        <c:scaling>
          <c:orientation val="minMax"/>
          <c:max val="1"/>
        </c:scaling>
        <c:delete val="0"/>
        <c:axPos val="l"/>
        <c:numFmt formatCode="0\ %" sourceLinked="0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201491536"/>
        <c:crosses val="autoZero"/>
        <c:crossBetween val="between"/>
      </c:valAx>
      <c:spPr>
        <a:noFill/>
        <a:ln>
          <a:solidFill>
            <a:schemeClr val="bg1">
              <a:lumMod val="7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3.728838582677163E-3"/>
          <c:y val="0.91210329256393385"/>
          <c:w val="0.96582595144356953"/>
          <c:h val="7.12018731471515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6149979996219065"/>
          <c:y val="3.6879432624113473E-2"/>
          <c:w val="0.49603784451566668"/>
          <c:h val="0.906078740157480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List27!$C$1:$C$2</c:f>
              <c:strCache>
                <c:ptCount val="2"/>
                <c:pt idx="0">
                  <c:v>2022/23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List27!$A$3:$A$16</c:f>
              <c:strCache>
                <c:ptCount val="14"/>
                <c:pt idx="0">
                  <c:v>doprava a spoje</c:v>
                </c:pt>
                <c:pt idx="1">
                  <c:v>publicistika, knihovnictví a informatika</c:v>
                </c:pt>
                <c:pt idx="2">
                  <c:v>zemědělství a lesnictví</c:v>
                </c:pt>
                <c:pt idx="3">
                  <c:v>strojírenství a strojírenská výroba</c:v>
                </c:pt>
                <c:pt idx="4">
                  <c:v>speciální a interdisciplinární obory</c:v>
                </c:pt>
                <c:pt idx="5">
                  <c:v>veterinářství a veterinární prevence</c:v>
                </c:pt>
                <c:pt idx="6">
                  <c:v>podnikání v oborech, odvětví</c:v>
                </c:pt>
                <c:pt idx="7">
                  <c:v>elektrotechnika, telekomunikační a výpočetní technika</c:v>
                </c:pt>
                <c:pt idx="8">
                  <c:v>gastronomie, hotelnictví a turismus</c:v>
                </c:pt>
                <c:pt idx="9">
                  <c:v>ekonomika a administrativa</c:v>
                </c:pt>
                <c:pt idx="10">
                  <c:v>umění a užité umění</c:v>
                </c:pt>
                <c:pt idx="11">
                  <c:v>právo, právní a veřejnosprávní činnost</c:v>
                </c:pt>
                <c:pt idx="12">
                  <c:v>pedagogika, učitelství a sociální péče</c:v>
                </c:pt>
                <c:pt idx="13">
                  <c:v>zdravotnictví</c:v>
                </c:pt>
              </c:strCache>
            </c:strRef>
          </c:cat>
          <c:val>
            <c:numRef>
              <c:f>List27!$C$3:$C$16</c:f>
              <c:numCache>
                <c:formatCode>#,##0</c:formatCode>
                <c:ptCount val="14"/>
                <c:pt idx="0">
                  <c:v>149</c:v>
                </c:pt>
                <c:pt idx="1">
                  <c:v>219</c:v>
                </c:pt>
                <c:pt idx="2">
                  <c:v>275</c:v>
                </c:pt>
                <c:pt idx="3">
                  <c:v>283</c:v>
                </c:pt>
                <c:pt idx="4">
                  <c:v>354</c:v>
                </c:pt>
                <c:pt idx="5">
                  <c:v>483</c:v>
                </c:pt>
                <c:pt idx="6">
                  <c:v>507</c:v>
                </c:pt>
                <c:pt idx="7">
                  <c:v>619</c:v>
                </c:pt>
                <c:pt idx="8">
                  <c:v>809</c:v>
                </c:pt>
                <c:pt idx="9">
                  <c:v>869</c:v>
                </c:pt>
                <c:pt idx="10">
                  <c:v>1394</c:v>
                </c:pt>
                <c:pt idx="11">
                  <c:v>1597</c:v>
                </c:pt>
                <c:pt idx="12">
                  <c:v>6235</c:v>
                </c:pt>
                <c:pt idx="13">
                  <c:v>6461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1C-4BF3-AFD6-26083CCFBBAF}"/>
            </c:ext>
          </c:extLst>
        </c:ser>
        <c:ser>
          <c:idx val="1"/>
          <c:order val="1"/>
          <c:tx>
            <c:strRef>
              <c:f>List27!$D$1:$D$2</c:f>
              <c:strCache>
                <c:ptCount val="2"/>
                <c:pt idx="0">
                  <c:v>2017/18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List27!$A$3:$A$16</c:f>
              <c:strCache>
                <c:ptCount val="14"/>
                <c:pt idx="0">
                  <c:v>doprava a spoje</c:v>
                </c:pt>
                <c:pt idx="1">
                  <c:v>publicistika, knihovnictví a informatika</c:v>
                </c:pt>
                <c:pt idx="2">
                  <c:v>zemědělství a lesnictví</c:v>
                </c:pt>
                <c:pt idx="3">
                  <c:v>strojírenství a strojírenská výroba</c:v>
                </c:pt>
                <c:pt idx="4">
                  <c:v>speciální a interdisciplinární obory</c:v>
                </c:pt>
                <c:pt idx="5">
                  <c:v>veterinářství a veterinární prevence</c:v>
                </c:pt>
                <c:pt idx="6">
                  <c:v>podnikání v oborech, odvětví</c:v>
                </c:pt>
                <c:pt idx="7">
                  <c:v>elektrotechnika, telekomunikační a výpočetní technika</c:v>
                </c:pt>
                <c:pt idx="8">
                  <c:v>gastronomie, hotelnictví a turismus</c:v>
                </c:pt>
                <c:pt idx="9">
                  <c:v>ekonomika a administrativa</c:v>
                </c:pt>
                <c:pt idx="10">
                  <c:v>umění a užité umění</c:v>
                </c:pt>
                <c:pt idx="11">
                  <c:v>právo, právní a veřejnosprávní činnost</c:v>
                </c:pt>
                <c:pt idx="12">
                  <c:v>pedagogika, učitelství a sociální péče</c:v>
                </c:pt>
                <c:pt idx="13">
                  <c:v>zdravotnictví</c:v>
                </c:pt>
              </c:strCache>
            </c:strRef>
          </c:cat>
          <c:val>
            <c:numRef>
              <c:f>List27!$D$3:$D$16</c:f>
              <c:numCache>
                <c:formatCode>#,##0</c:formatCode>
                <c:ptCount val="14"/>
                <c:pt idx="0">
                  <c:v>208</c:v>
                </c:pt>
                <c:pt idx="1">
                  <c:v>457</c:v>
                </c:pt>
                <c:pt idx="2">
                  <c:v>323</c:v>
                </c:pt>
                <c:pt idx="3">
                  <c:v>434</c:v>
                </c:pt>
                <c:pt idx="4">
                  <c:v>498</c:v>
                </c:pt>
                <c:pt idx="5" formatCode="#\ ##0_ ;\-#\ ##0\ ">
                  <c:v>0</c:v>
                </c:pt>
                <c:pt idx="6">
                  <c:v>586</c:v>
                </c:pt>
                <c:pt idx="7">
                  <c:v>716</c:v>
                </c:pt>
                <c:pt idx="8">
                  <c:v>1087</c:v>
                </c:pt>
                <c:pt idx="9">
                  <c:v>1616</c:v>
                </c:pt>
                <c:pt idx="10">
                  <c:v>1028</c:v>
                </c:pt>
                <c:pt idx="11">
                  <c:v>1875</c:v>
                </c:pt>
                <c:pt idx="12">
                  <c:v>4531</c:v>
                </c:pt>
                <c:pt idx="13">
                  <c:v>5811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1C-4BF3-AFD6-26083CCFB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axId val="351710208"/>
        <c:axId val="355187456"/>
      </c:barChart>
      <c:catAx>
        <c:axId val="35171020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355187456"/>
        <c:crosses val="autoZero"/>
        <c:auto val="1"/>
        <c:lblAlgn val="ctr"/>
        <c:lblOffset val="100"/>
        <c:noMultiLvlLbl val="0"/>
      </c:catAx>
      <c:valAx>
        <c:axId val="355187456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#,##0" sourceLinked="1"/>
        <c:majorTickMark val="out"/>
        <c:minorTickMark val="none"/>
        <c:tickLblPos val="nextTo"/>
        <c:crossAx val="3517102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76030036446449223"/>
          <c:y val="0.8642573295359357"/>
          <c:w val="0.19814558356084885"/>
          <c:h val="4.2115150499804549E-2"/>
        </c:manualLayout>
      </c:layout>
      <c:overlay val="0"/>
    </c:legend>
    <c:plotVisOnly val="1"/>
    <c:dispBlanksAs val="gap"/>
    <c:showDLblsOverMax val="0"/>
  </c:chart>
  <c:spPr>
    <a:ln>
      <a:solidFill>
        <a:schemeClr val="bg1">
          <a:lumMod val="85000"/>
        </a:schemeClr>
      </a:solidFill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5BAC-6E38-44A1-ADF5-BF0F3E12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CZ_lide a spolecnost_2017-08-14.dotx</Template>
  <TotalTime>9</TotalTime>
  <Pages>5</Pages>
  <Words>1673</Words>
  <Characters>9874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Analýza - celá</vt:lpstr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11524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- celá</dc:title>
  <dc:subject/>
  <dc:creator>hykysova23070</dc:creator>
  <cp:keywords/>
  <dc:description/>
  <cp:lastModifiedBy>Kašparová Vendula</cp:lastModifiedBy>
  <cp:revision>6</cp:revision>
  <cp:lastPrinted>2022-08-30T10:14:00Z</cp:lastPrinted>
  <dcterms:created xsi:type="dcterms:W3CDTF">2023-08-09T08:01:00Z</dcterms:created>
  <dcterms:modified xsi:type="dcterms:W3CDTF">2023-08-09T08:12:00Z</dcterms:modified>
</cp:coreProperties>
</file>