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31" w:rsidRDefault="00362D31" w:rsidP="00362D31">
      <w:pPr>
        <w:pStyle w:val="datum0"/>
        <w:rPr>
          <w:lang w:val="cs-CZ"/>
        </w:rPr>
      </w:pPr>
      <w:r>
        <w:rPr>
          <w:lang w:val="cs-CZ"/>
        </w:rPr>
        <w:t>10</w:t>
      </w:r>
      <w:r w:rsidRPr="00E90A44">
        <w:rPr>
          <w:lang w:val="cs-CZ"/>
        </w:rPr>
        <w:t xml:space="preserve">. </w:t>
      </w:r>
      <w:r>
        <w:rPr>
          <w:lang w:val="cs-CZ"/>
        </w:rPr>
        <w:t>7. 2020</w:t>
      </w:r>
    </w:p>
    <w:p w:rsidR="00362D31" w:rsidRPr="00941B72" w:rsidRDefault="00362D31" w:rsidP="00362D31">
      <w:pPr>
        <w:pStyle w:val="Nzev"/>
        <w:rPr>
          <w:rFonts w:cs="Arial"/>
        </w:rPr>
      </w:pPr>
      <w:bookmarkStart w:id="0" w:name="_GoBack"/>
      <w:bookmarkEnd w:id="0"/>
      <w:r w:rsidRPr="00941B72">
        <w:rPr>
          <w:rFonts w:cs="Arial"/>
        </w:rPr>
        <w:t>Vývo</w:t>
      </w:r>
      <w:r>
        <w:rPr>
          <w:rFonts w:cs="Arial"/>
        </w:rPr>
        <w:t>j indexů spotřebitelských cen ve 2</w:t>
      </w:r>
      <w:r w:rsidRPr="00941B72">
        <w:rPr>
          <w:rFonts w:cs="Arial"/>
        </w:rPr>
        <w:t xml:space="preserve">. čtvrtletí </w:t>
      </w:r>
      <w:r>
        <w:rPr>
          <w:rFonts w:cs="Arial"/>
        </w:rPr>
        <w:t>2020</w:t>
      </w:r>
    </w:p>
    <w:p w:rsidR="00362D31" w:rsidRPr="00941B72" w:rsidRDefault="00362D31" w:rsidP="00362D31">
      <w:pPr>
        <w:pStyle w:val="Perex"/>
      </w:pPr>
      <w:r>
        <w:t>Ve 2</w:t>
      </w:r>
      <w:r w:rsidRPr="00941B72">
        <w:t xml:space="preserve">. čtvrtletí </w:t>
      </w:r>
      <w:r>
        <w:t>2020</w:t>
      </w:r>
      <w:r w:rsidRPr="00941B72">
        <w:t xml:space="preserve"> vzro</w:t>
      </w:r>
      <w:r>
        <w:t>stly spotřebitelské ceny proti 1</w:t>
      </w:r>
      <w:r w:rsidRPr="00941B72">
        <w:t>. </w:t>
      </w:r>
      <w:r>
        <w:t>čtvrtletí 2020</w:t>
      </w:r>
      <w:r w:rsidRPr="00941B72">
        <w:t xml:space="preserve"> </w:t>
      </w:r>
      <w:r>
        <w:t>o 0,3</w:t>
      </w:r>
      <w:r w:rsidRPr="00941B72">
        <w:t xml:space="preserve"> %. V meziročním srovnání vzrostly </w:t>
      </w:r>
      <w:r>
        <w:t>spotřebitelské ceny ve 2. čtvrtletí 2020</w:t>
      </w:r>
      <w:r w:rsidRPr="00941B72">
        <w:t xml:space="preserve"> o </w:t>
      </w:r>
      <w:r>
        <w:t>3,1</w:t>
      </w:r>
      <w:r w:rsidRPr="00941B72">
        <w:t> %</w:t>
      </w:r>
      <w:r>
        <w:t>, což je o 0,5</w:t>
      </w:r>
      <w:r w:rsidRPr="00941B72">
        <w:t xml:space="preserve"> procentního bodu </w:t>
      </w:r>
      <w:r>
        <w:t>méně než v 1</w:t>
      </w:r>
      <w:r w:rsidRPr="00941B72">
        <w:t>. čtvrtletí</w:t>
      </w:r>
      <w:r>
        <w:t xml:space="preserve"> 2020</w:t>
      </w:r>
      <w:r w:rsidRPr="00941B72">
        <w:t>.</w:t>
      </w:r>
    </w:p>
    <w:p w:rsidR="00362D31" w:rsidRDefault="00362D31" w:rsidP="00AD46F9">
      <w:pPr>
        <w:pStyle w:val="Perex"/>
        <w:spacing w:after="240"/>
        <w:rPr>
          <w:b w:val="0"/>
          <w:spacing w:val="-1"/>
          <w:szCs w:val="20"/>
        </w:rPr>
      </w:pPr>
      <w:r w:rsidRPr="00941B72">
        <w:rPr>
          <w:spacing w:val="-1"/>
          <w:szCs w:val="20"/>
        </w:rPr>
        <w:t>Mezičtvrtletní</w:t>
      </w:r>
      <w:r>
        <w:rPr>
          <w:b w:val="0"/>
          <w:spacing w:val="-1"/>
          <w:szCs w:val="20"/>
        </w:rPr>
        <w:t xml:space="preserve"> vývoj spotřebitelských cen ve 2</w:t>
      </w:r>
      <w:r w:rsidRPr="00941B72">
        <w:rPr>
          <w:b w:val="0"/>
          <w:spacing w:val="-1"/>
          <w:szCs w:val="20"/>
        </w:rPr>
        <w:t xml:space="preserve">. čtvrtletí </w:t>
      </w:r>
      <w:r>
        <w:rPr>
          <w:b w:val="0"/>
          <w:spacing w:val="-1"/>
          <w:szCs w:val="20"/>
        </w:rPr>
        <w:t>2020</w:t>
      </w:r>
      <w:r w:rsidRPr="00941B72">
        <w:rPr>
          <w:b w:val="0"/>
          <w:spacing w:val="-1"/>
          <w:szCs w:val="20"/>
        </w:rPr>
        <w:t xml:space="preserve"> ovlivnilo zejména zvýše</w:t>
      </w:r>
      <w:r>
        <w:rPr>
          <w:b w:val="0"/>
          <w:spacing w:val="-1"/>
          <w:szCs w:val="20"/>
        </w:rPr>
        <w:t xml:space="preserve">ní cen v oddílech </w:t>
      </w:r>
      <w:r w:rsidRPr="00941B72">
        <w:rPr>
          <w:b w:val="0"/>
          <w:spacing w:val="-1"/>
          <w:szCs w:val="20"/>
        </w:rPr>
        <w:t>po</w:t>
      </w:r>
      <w:r>
        <w:rPr>
          <w:b w:val="0"/>
          <w:spacing w:val="-1"/>
          <w:szCs w:val="20"/>
        </w:rPr>
        <w:t>traviny a nealkoholické nápoje, alkoholické nápoje, tabák, odívání a obuv</w:t>
      </w:r>
      <w:r w:rsidRPr="00941B72">
        <w:rPr>
          <w:b w:val="0"/>
          <w:spacing w:val="-1"/>
          <w:szCs w:val="20"/>
        </w:rPr>
        <w:t xml:space="preserve">. </w:t>
      </w:r>
      <w:r>
        <w:rPr>
          <w:b w:val="0"/>
          <w:spacing w:val="-1"/>
          <w:szCs w:val="20"/>
        </w:rPr>
        <w:t>V oddíle potraviny a </w:t>
      </w:r>
      <w:r w:rsidRPr="00941B72">
        <w:rPr>
          <w:b w:val="0"/>
          <w:spacing w:val="-1"/>
          <w:szCs w:val="20"/>
        </w:rPr>
        <w:t>nealkoholické nápoje byly vyšší zejména ceny</w:t>
      </w:r>
      <w:r>
        <w:rPr>
          <w:b w:val="0"/>
          <w:spacing w:val="-1"/>
          <w:szCs w:val="20"/>
        </w:rPr>
        <w:t xml:space="preserve"> ovoce o 8,5 %,</w:t>
      </w:r>
      <w:r w:rsidRPr="00941B72">
        <w:rPr>
          <w:b w:val="0"/>
          <w:spacing w:val="-1"/>
          <w:szCs w:val="20"/>
        </w:rPr>
        <w:t xml:space="preserve"> </w:t>
      </w:r>
      <w:r>
        <w:rPr>
          <w:b w:val="0"/>
          <w:spacing w:val="-1"/>
          <w:szCs w:val="20"/>
        </w:rPr>
        <w:t>zeleniny o 7,3 %, masa</w:t>
      </w:r>
      <w:r w:rsidRPr="00CA3416">
        <w:rPr>
          <w:b w:val="0"/>
          <w:spacing w:val="-1"/>
          <w:szCs w:val="20"/>
        </w:rPr>
        <w:t xml:space="preserve"> o </w:t>
      </w:r>
      <w:r>
        <w:rPr>
          <w:b w:val="0"/>
          <w:spacing w:val="-1"/>
          <w:szCs w:val="20"/>
        </w:rPr>
        <w:t>1,1</w:t>
      </w:r>
      <w:r w:rsidRPr="00CA3416">
        <w:rPr>
          <w:b w:val="0"/>
          <w:spacing w:val="-1"/>
          <w:szCs w:val="20"/>
        </w:rPr>
        <w:t> %</w:t>
      </w:r>
      <w:r>
        <w:rPr>
          <w:b w:val="0"/>
          <w:spacing w:val="-1"/>
          <w:szCs w:val="20"/>
        </w:rPr>
        <w:t xml:space="preserve">, pekárenských výrobků a obilovin o 1,1 %. </w:t>
      </w:r>
      <w:r w:rsidRPr="00CA3416">
        <w:rPr>
          <w:b w:val="0"/>
          <w:spacing w:val="-1"/>
        </w:rPr>
        <w:t xml:space="preserve">V oddíle </w:t>
      </w:r>
      <w:r>
        <w:rPr>
          <w:b w:val="0"/>
          <w:spacing w:val="-1"/>
        </w:rPr>
        <w:t>alkoholické nápoje, tabák se zvýšily ceny tabáku a tabákových výrobků o 5,0 %, naopak ceny lihovin se snížily o 0,2</w:t>
      </w:r>
      <w:r w:rsidRPr="00CA3416">
        <w:rPr>
          <w:b w:val="0"/>
          <w:spacing w:val="-1"/>
        </w:rPr>
        <w:t> %</w:t>
      </w:r>
      <w:r>
        <w:rPr>
          <w:b w:val="0"/>
          <w:spacing w:val="-1"/>
        </w:rPr>
        <w:t>, vína o 1,2</w:t>
      </w:r>
      <w:r w:rsidRPr="00CA3416">
        <w:rPr>
          <w:b w:val="0"/>
          <w:spacing w:val="-1"/>
        </w:rPr>
        <w:t> %</w:t>
      </w:r>
      <w:r>
        <w:rPr>
          <w:b w:val="0"/>
          <w:spacing w:val="-1"/>
        </w:rPr>
        <w:t>, piva o 1,4 %. V oddíle odívání a obuv vzrostly ceny oděvů o 2,4 % a obuvi o 2,2 %.</w:t>
      </w:r>
      <w:r w:rsidRPr="00CA3416">
        <w:rPr>
          <w:b w:val="0"/>
          <w:spacing w:val="-1"/>
        </w:rPr>
        <w:t xml:space="preserve"> </w:t>
      </w:r>
      <w:r>
        <w:rPr>
          <w:b w:val="0"/>
          <w:spacing w:val="-1"/>
          <w:szCs w:val="20"/>
        </w:rPr>
        <w:t>Protisměrně, tj. </w:t>
      </w:r>
      <w:r w:rsidRPr="00CA3416">
        <w:rPr>
          <w:b w:val="0"/>
          <w:spacing w:val="-1"/>
          <w:szCs w:val="20"/>
        </w:rPr>
        <w:t xml:space="preserve">na snižování cenové hladiny, působil pokles cen v oddíle </w:t>
      </w:r>
      <w:r>
        <w:rPr>
          <w:b w:val="0"/>
          <w:spacing w:val="-1"/>
        </w:rPr>
        <w:t xml:space="preserve">doprava, kde klesly </w:t>
      </w:r>
      <w:r w:rsidRPr="000F051B">
        <w:rPr>
          <w:b w:val="0"/>
          <w:spacing w:val="-1"/>
        </w:rPr>
        <w:t xml:space="preserve">ceny </w:t>
      </w:r>
      <w:r>
        <w:rPr>
          <w:b w:val="0"/>
          <w:spacing w:val="-1"/>
        </w:rPr>
        <w:t xml:space="preserve">pohonných hmot a olejů o 15,4 %. Snížení cen v oddíle rekreace a kultura bylo způsobeno především poklesem cen dovolených s komplexními službami o 5,4 %. </w:t>
      </w:r>
      <w:r w:rsidRPr="00941B72">
        <w:rPr>
          <w:b w:val="0"/>
          <w:spacing w:val="-1"/>
          <w:szCs w:val="20"/>
        </w:rPr>
        <w:t>Průměrný meziměsíční přírůstek úhrnnéh</w:t>
      </w:r>
      <w:r>
        <w:rPr>
          <w:b w:val="0"/>
          <w:spacing w:val="-1"/>
          <w:szCs w:val="20"/>
        </w:rPr>
        <w:t>o indexu spotřebitelských cen ve 2. čtvrtletí 2020</w:t>
      </w:r>
      <w:r w:rsidRPr="00941B72">
        <w:rPr>
          <w:spacing w:val="-1"/>
        </w:rPr>
        <w:t xml:space="preserve"> </w:t>
      </w:r>
      <w:r w:rsidRPr="00941B72">
        <w:rPr>
          <w:b w:val="0"/>
          <w:spacing w:val="-1"/>
          <w:szCs w:val="20"/>
        </w:rPr>
        <w:t xml:space="preserve">byl </w:t>
      </w:r>
      <w:r>
        <w:rPr>
          <w:b w:val="0"/>
          <w:spacing w:val="-1"/>
          <w:szCs w:val="20"/>
        </w:rPr>
        <w:t>0,3 %, v 1</w:t>
      </w:r>
      <w:r w:rsidRPr="00941B72">
        <w:rPr>
          <w:b w:val="0"/>
          <w:spacing w:val="-1"/>
          <w:szCs w:val="20"/>
        </w:rPr>
        <w:t xml:space="preserve">. čtvrtletí </w:t>
      </w:r>
      <w:r>
        <w:rPr>
          <w:b w:val="0"/>
          <w:spacing w:val="-1"/>
          <w:szCs w:val="20"/>
        </w:rPr>
        <w:t xml:space="preserve">2020 </w:t>
      </w:r>
      <w:r w:rsidRPr="00941B72">
        <w:rPr>
          <w:b w:val="0"/>
          <w:spacing w:val="-1"/>
          <w:szCs w:val="20"/>
        </w:rPr>
        <w:t xml:space="preserve">to bylo </w:t>
      </w:r>
      <w:r>
        <w:rPr>
          <w:b w:val="0"/>
          <w:spacing w:val="-1"/>
          <w:szCs w:val="20"/>
        </w:rPr>
        <w:t>0,5</w:t>
      </w:r>
      <w:r w:rsidRPr="00941B72">
        <w:rPr>
          <w:b w:val="0"/>
          <w:spacing w:val="-1"/>
          <w:szCs w:val="20"/>
        </w:rPr>
        <w:t> %.</w:t>
      </w:r>
    </w:p>
    <w:p w:rsidR="00362D31" w:rsidRPr="00EF125D" w:rsidRDefault="00362D31" w:rsidP="00362D31">
      <w:pPr>
        <w:pStyle w:val="Perex"/>
      </w:pPr>
      <w:r w:rsidRPr="00EF125D">
        <w:rPr>
          <w:b w:val="0"/>
          <w:szCs w:val="20"/>
        </w:rPr>
        <w:tab/>
      </w:r>
      <w:r w:rsidRPr="00EF125D">
        <w:rPr>
          <w:b w:val="0"/>
          <w:szCs w:val="20"/>
        </w:rPr>
        <w:tab/>
      </w:r>
      <w:r w:rsidRPr="00EF125D">
        <w:t>Indexy spotřebitelských cen (předchozí čtvrtletí = 100)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1234"/>
        <w:gridCol w:w="1134"/>
        <w:gridCol w:w="1137"/>
        <w:gridCol w:w="1279"/>
        <w:gridCol w:w="1270"/>
      </w:tblGrid>
      <w:tr w:rsidR="00362D31" w:rsidRPr="00EF125D" w:rsidTr="00582336">
        <w:trPr>
          <w:trHeight w:val="424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58233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3505" w:type="dxa"/>
            <w:gridSpan w:val="3"/>
            <w:vAlign w:val="center"/>
          </w:tcPr>
          <w:p w:rsidR="00362D31" w:rsidRPr="00CE43E5" w:rsidRDefault="00362D31" w:rsidP="0058233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2019</w:t>
            </w:r>
          </w:p>
        </w:tc>
        <w:tc>
          <w:tcPr>
            <w:tcW w:w="2549" w:type="dxa"/>
            <w:gridSpan w:val="2"/>
            <w:vAlign w:val="center"/>
          </w:tcPr>
          <w:p w:rsidR="00362D31" w:rsidRPr="00CE43E5" w:rsidRDefault="00362D31" w:rsidP="0058233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2020</w:t>
            </w:r>
          </w:p>
        </w:tc>
      </w:tr>
      <w:tr w:rsidR="00362D31" w:rsidRPr="00EF125D" w:rsidTr="00582336">
        <w:trPr>
          <w:trHeight w:val="284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  <w:t>ODDÍL</w:t>
            </w:r>
          </w:p>
        </w:tc>
        <w:tc>
          <w:tcPr>
            <w:tcW w:w="1234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2. čtvrtletí</w:t>
            </w:r>
          </w:p>
        </w:tc>
        <w:tc>
          <w:tcPr>
            <w:tcW w:w="1134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3. čtvrtletí</w:t>
            </w:r>
          </w:p>
        </w:tc>
        <w:tc>
          <w:tcPr>
            <w:tcW w:w="1137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4. čtvrtletí</w:t>
            </w:r>
          </w:p>
        </w:tc>
        <w:tc>
          <w:tcPr>
            <w:tcW w:w="1279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270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</w:tr>
      <w:tr w:rsidR="00362D31" w:rsidRPr="00EF125D" w:rsidTr="00582336">
        <w:trPr>
          <w:trHeight w:val="284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ÚHRN</w:t>
            </w:r>
          </w:p>
        </w:tc>
        <w:tc>
          <w:tcPr>
            <w:tcW w:w="1234" w:type="dxa"/>
            <w:vAlign w:val="center"/>
          </w:tcPr>
          <w:p w:rsidR="00362D31" w:rsidRPr="00336529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36529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100,7</w:t>
            </w:r>
          </w:p>
        </w:tc>
        <w:tc>
          <w:tcPr>
            <w:tcW w:w="1134" w:type="dxa"/>
            <w:vAlign w:val="center"/>
          </w:tcPr>
          <w:p w:rsidR="00362D31" w:rsidRPr="00CE59F4" w:rsidRDefault="00362D31" w:rsidP="00AD46F9">
            <w:pPr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CE59F4">
              <w:rPr>
                <w:rFonts w:cs="Arial"/>
                <w:sz w:val="18"/>
                <w:szCs w:val="18"/>
              </w:rPr>
              <w:t>100,6</w:t>
            </w:r>
          </w:p>
        </w:tc>
        <w:tc>
          <w:tcPr>
            <w:tcW w:w="1137" w:type="dxa"/>
            <w:vAlign w:val="center"/>
          </w:tcPr>
          <w:p w:rsidR="00362D31" w:rsidRPr="00FD2717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279" w:type="dxa"/>
            <w:vAlign w:val="center"/>
          </w:tcPr>
          <w:p w:rsidR="00362D31" w:rsidRPr="00DE75DF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270" w:type="dxa"/>
            <w:vAlign w:val="center"/>
          </w:tcPr>
          <w:p w:rsidR="00362D31" w:rsidRPr="00DB1D2A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100,3</w:t>
            </w:r>
          </w:p>
        </w:tc>
      </w:tr>
      <w:tr w:rsidR="00362D31" w:rsidRPr="00EF125D" w:rsidTr="00582336">
        <w:trPr>
          <w:trHeight w:val="284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Potraviny a nealkoholické nápoje</w:t>
            </w:r>
          </w:p>
        </w:tc>
        <w:tc>
          <w:tcPr>
            <w:tcW w:w="1234" w:type="dxa"/>
            <w:vAlign w:val="center"/>
          </w:tcPr>
          <w:p w:rsidR="00362D31" w:rsidRPr="00336529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36529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101,0</w:t>
            </w:r>
          </w:p>
        </w:tc>
        <w:tc>
          <w:tcPr>
            <w:tcW w:w="1134" w:type="dxa"/>
            <w:vAlign w:val="center"/>
          </w:tcPr>
          <w:p w:rsidR="00362D31" w:rsidRPr="00CE59F4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137" w:type="dxa"/>
            <w:vAlign w:val="center"/>
          </w:tcPr>
          <w:p w:rsidR="00362D31" w:rsidRPr="00FD2717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101,4</w:t>
            </w:r>
          </w:p>
        </w:tc>
        <w:tc>
          <w:tcPr>
            <w:tcW w:w="1279" w:type="dxa"/>
            <w:vAlign w:val="center"/>
          </w:tcPr>
          <w:p w:rsidR="00362D31" w:rsidRPr="00DE75DF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103,5</w:t>
            </w:r>
          </w:p>
        </w:tc>
        <w:tc>
          <w:tcPr>
            <w:tcW w:w="1270" w:type="dxa"/>
            <w:vAlign w:val="center"/>
          </w:tcPr>
          <w:p w:rsidR="00362D31" w:rsidRPr="00DB1D2A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101,5</w:t>
            </w:r>
          </w:p>
        </w:tc>
      </w:tr>
      <w:tr w:rsidR="00362D31" w:rsidRPr="00EF125D" w:rsidTr="00582336">
        <w:trPr>
          <w:trHeight w:val="284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Alkoholické nápoje, tabák</w:t>
            </w:r>
          </w:p>
        </w:tc>
        <w:tc>
          <w:tcPr>
            <w:tcW w:w="1234" w:type="dxa"/>
            <w:vAlign w:val="center"/>
          </w:tcPr>
          <w:p w:rsidR="00362D31" w:rsidRPr="00336529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36529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99,3</w:t>
            </w:r>
          </w:p>
        </w:tc>
        <w:tc>
          <w:tcPr>
            <w:tcW w:w="1134" w:type="dxa"/>
            <w:vAlign w:val="center"/>
          </w:tcPr>
          <w:p w:rsidR="00362D31" w:rsidRPr="00CE59F4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137" w:type="dxa"/>
            <w:vAlign w:val="center"/>
          </w:tcPr>
          <w:p w:rsidR="00362D31" w:rsidRPr="00FD2717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279" w:type="dxa"/>
            <w:vAlign w:val="center"/>
          </w:tcPr>
          <w:p w:rsidR="00362D31" w:rsidRPr="00DE75DF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103,7</w:t>
            </w:r>
          </w:p>
        </w:tc>
        <w:tc>
          <w:tcPr>
            <w:tcW w:w="1270" w:type="dxa"/>
            <w:vAlign w:val="center"/>
          </w:tcPr>
          <w:p w:rsidR="00362D31" w:rsidRPr="00DB1D2A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102,2</w:t>
            </w:r>
          </w:p>
        </w:tc>
      </w:tr>
      <w:tr w:rsidR="00362D31" w:rsidRPr="00EF125D" w:rsidTr="00582336">
        <w:trPr>
          <w:trHeight w:val="318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Odívání a obuv</w:t>
            </w:r>
          </w:p>
        </w:tc>
        <w:tc>
          <w:tcPr>
            <w:tcW w:w="1234" w:type="dxa"/>
            <w:vAlign w:val="center"/>
          </w:tcPr>
          <w:p w:rsidR="00362D31" w:rsidRPr="00336529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36529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102,3</w:t>
            </w:r>
          </w:p>
        </w:tc>
        <w:tc>
          <w:tcPr>
            <w:tcW w:w="1134" w:type="dxa"/>
            <w:vAlign w:val="center"/>
          </w:tcPr>
          <w:p w:rsidR="00362D31" w:rsidRPr="00CE59F4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97,0</w:t>
            </w:r>
          </w:p>
        </w:tc>
        <w:tc>
          <w:tcPr>
            <w:tcW w:w="1137" w:type="dxa"/>
            <w:vAlign w:val="center"/>
          </w:tcPr>
          <w:p w:rsidR="00362D31" w:rsidRPr="00FD2717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104,3</w:t>
            </w:r>
          </w:p>
        </w:tc>
        <w:tc>
          <w:tcPr>
            <w:tcW w:w="1279" w:type="dxa"/>
            <w:vAlign w:val="center"/>
          </w:tcPr>
          <w:p w:rsidR="00362D31" w:rsidRPr="00DE75DF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270" w:type="dxa"/>
            <w:vAlign w:val="center"/>
          </w:tcPr>
          <w:p w:rsidR="00362D31" w:rsidRPr="00DB1D2A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102,2</w:t>
            </w:r>
          </w:p>
        </w:tc>
      </w:tr>
      <w:tr w:rsidR="00362D31" w:rsidRPr="00EF125D" w:rsidTr="00582336">
        <w:trPr>
          <w:trHeight w:val="284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Bydlení, voda, energie, paliva</w:t>
            </w:r>
          </w:p>
        </w:tc>
        <w:tc>
          <w:tcPr>
            <w:tcW w:w="1234" w:type="dxa"/>
            <w:vAlign w:val="center"/>
          </w:tcPr>
          <w:p w:rsidR="00362D31" w:rsidRPr="00336529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36529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101,1</w:t>
            </w:r>
          </w:p>
        </w:tc>
        <w:tc>
          <w:tcPr>
            <w:tcW w:w="1134" w:type="dxa"/>
            <w:vAlign w:val="center"/>
          </w:tcPr>
          <w:p w:rsidR="00362D31" w:rsidRPr="00CE59F4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100,6</w:t>
            </w:r>
          </w:p>
        </w:tc>
        <w:tc>
          <w:tcPr>
            <w:tcW w:w="1137" w:type="dxa"/>
            <w:vAlign w:val="center"/>
          </w:tcPr>
          <w:p w:rsidR="00362D31" w:rsidRPr="00FD2717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100,9</w:t>
            </w:r>
          </w:p>
        </w:tc>
        <w:tc>
          <w:tcPr>
            <w:tcW w:w="1279" w:type="dxa"/>
            <w:vAlign w:val="center"/>
          </w:tcPr>
          <w:p w:rsidR="00362D31" w:rsidRPr="00DE75DF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101,5</w:t>
            </w:r>
          </w:p>
        </w:tc>
        <w:tc>
          <w:tcPr>
            <w:tcW w:w="1270" w:type="dxa"/>
            <w:vAlign w:val="center"/>
          </w:tcPr>
          <w:p w:rsidR="00362D31" w:rsidRPr="00DB1D2A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100,1</w:t>
            </w:r>
          </w:p>
        </w:tc>
      </w:tr>
      <w:tr w:rsidR="00362D31" w:rsidRPr="00EF125D" w:rsidTr="00582336">
        <w:trPr>
          <w:trHeight w:val="526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Bytové vybavení, zařízení domácnosti, opravy</w:t>
            </w:r>
          </w:p>
        </w:tc>
        <w:tc>
          <w:tcPr>
            <w:tcW w:w="1234" w:type="dxa"/>
            <w:vAlign w:val="center"/>
          </w:tcPr>
          <w:p w:rsidR="00362D31" w:rsidRPr="00336529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36529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100,5</w:t>
            </w:r>
          </w:p>
        </w:tc>
        <w:tc>
          <w:tcPr>
            <w:tcW w:w="1134" w:type="dxa"/>
            <w:vAlign w:val="center"/>
          </w:tcPr>
          <w:p w:rsidR="00362D31" w:rsidRPr="00CE59F4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137" w:type="dxa"/>
            <w:vAlign w:val="center"/>
          </w:tcPr>
          <w:p w:rsidR="00362D31" w:rsidRPr="00FD2717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100,9</w:t>
            </w:r>
          </w:p>
        </w:tc>
        <w:tc>
          <w:tcPr>
            <w:tcW w:w="1279" w:type="dxa"/>
            <w:vAlign w:val="center"/>
          </w:tcPr>
          <w:p w:rsidR="00362D31" w:rsidRPr="00DE75DF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270" w:type="dxa"/>
            <w:vAlign w:val="center"/>
          </w:tcPr>
          <w:p w:rsidR="00362D31" w:rsidRPr="00DB1D2A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101,3</w:t>
            </w:r>
          </w:p>
        </w:tc>
      </w:tr>
      <w:tr w:rsidR="00362D31" w:rsidRPr="00EF125D" w:rsidTr="00582336">
        <w:trPr>
          <w:trHeight w:val="284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Zdraví</w:t>
            </w:r>
          </w:p>
        </w:tc>
        <w:tc>
          <w:tcPr>
            <w:tcW w:w="1234" w:type="dxa"/>
            <w:vAlign w:val="center"/>
          </w:tcPr>
          <w:p w:rsidR="00362D31" w:rsidRPr="00336529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36529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101,6</w:t>
            </w:r>
          </w:p>
        </w:tc>
        <w:tc>
          <w:tcPr>
            <w:tcW w:w="1134" w:type="dxa"/>
            <w:vAlign w:val="center"/>
          </w:tcPr>
          <w:p w:rsidR="00362D31" w:rsidRPr="00CE59F4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137" w:type="dxa"/>
            <w:vAlign w:val="center"/>
          </w:tcPr>
          <w:p w:rsidR="00362D31" w:rsidRPr="00FD2717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99,3</w:t>
            </w:r>
          </w:p>
        </w:tc>
        <w:tc>
          <w:tcPr>
            <w:tcW w:w="1279" w:type="dxa"/>
            <w:vAlign w:val="center"/>
          </w:tcPr>
          <w:p w:rsidR="00362D31" w:rsidRPr="00DE75DF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270" w:type="dxa"/>
            <w:vAlign w:val="center"/>
          </w:tcPr>
          <w:p w:rsidR="00362D31" w:rsidRPr="00DB1D2A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101,9</w:t>
            </w:r>
          </w:p>
        </w:tc>
      </w:tr>
      <w:tr w:rsidR="00362D31" w:rsidRPr="00EF125D" w:rsidTr="00582336">
        <w:trPr>
          <w:trHeight w:val="284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Doprava</w:t>
            </w:r>
          </w:p>
        </w:tc>
        <w:tc>
          <w:tcPr>
            <w:tcW w:w="1234" w:type="dxa"/>
            <w:vAlign w:val="center"/>
          </w:tcPr>
          <w:p w:rsidR="00362D31" w:rsidRPr="00336529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36529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101,9</w:t>
            </w:r>
          </w:p>
        </w:tc>
        <w:tc>
          <w:tcPr>
            <w:tcW w:w="1134" w:type="dxa"/>
            <w:vAlign w:val="center"/>
          </w:tcPr>
          <w:p w:rsidR="00362D31" w:rsidRPr="00CE59F4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641845">
              <w:rPr>
                <w:rFonts w:cs="Arial"/>
                <w:sz w:val="18"/>
                <w:szCs w:val="18"/>
              </w:rPr>
              <w:t>99,8</w:t>
            </w:r>
          </w:p>
        </w:tc>
        <w:tc>
          <w:tcPr>
            <w:tcW w:w="1137" w:type="dxa"/>
            <w:vAlign w:val="center"/>
          </w:tcPr>
          <w:p w:rsidR="00362D31" w:rsidRPr="00FD2717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99,8</w:t>
            </w:r>
          </w:p>
        </w:tc>
        <w:tc>
          <w:tcPr>
            <w:tcW w:w="1279" w:type="dxa"/>
            <w:vAlign w:val="center"/>
          </w:tcPr>
          <w:p w:rsidR="00362D31" w:rsidRPr="00DE75DF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270" w:type="dxa"/>
            <w:vAlign w:val="center"/>
          </w:tcPr>
          <w:p w:rsidR="00362D31" w:rsidRPr="00DB1D2A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96,7</w:t>
            </w:r>
          </w:p>
        </w:tc>
      </w:tr>
      <w:tr w:rsidR="00362D31" w:rsidRPr="00EF125D" w:rsidTr="00582336">
        <w:trPr>
          <w:trHeight w:val="284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Pošty a telekomunikace</w:t>
            </w:r>
          </w:p>
        </w:tc>
        <w:tc>
          <w:tcPr>
            <w:tcW w:w="1234" w:type="dxa"/>
            <w:vAlign w:val="center"/>
          </w:tcPr>
          <w:p w:rsidR="00362D31" w:rsidRPr="00336529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36529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99,6</w:t>
            </w:r>
          </w:p>
        </w:tc>
        <w:tc>
          <w:tcPr>
            <w:tcW w:w="1134" w:type="dxa"/>
            <w:vAlign w:val="center"/>
          </w:tcPr>
          <w:p w:rsidR="00362D31" w:rsidRPr="00CE59F4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99,5</w:t>
            </w:r>
          </w:p>
        </w:tc>
        <w:tc>
          <w:tcPr>
            <w:tcW w:w="1137" w:type="dxa"/>
            <w:vAlign w:val="center"/>
          </w:tcPr>
          <w:p w:rsidR="00362D31" w:rsidRPr="00FD2717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98,0</w:t>
            </w:r>
          </w:p>
        </w:tc>
        <w:tc>
          <w:tcPr>
            <w:tcW w:w="1279" w:type="dxa"/>
            <w:vAlign w:val="center"/>
          </w:tcPr>
          <w:p w:rsidR="00362D31" w:rsidRPr="00DE75DF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98,6</w:t>
            </w:r>
          </w:p>
        </w:tc>
        <w:tc>
          <w:tcPr>
            <w:tcW w:w="1270" w:type="dxa"/>
            <w:vAlign w:val="center"/>
          </w:tcPr>
          <w:p w:rsidR="00362D31" w:rsidRPr="00DB1D2A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99,6</w:t>
            </w:r>
          </w:p>
        </w:tc>
      </w:tr>
      <w:tr w:rsidR="00362D31" w:rsidRPr="00EF125D" w:rsidTr="00582336">
        <w:trPr>
          <w:trHeight w:val="284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Rekreace a kultura</w:t>
            </w:r>
          </w:p>
        </w:tc>
        <w:tc>
          <w:tcPr>
            <w:tcW w:w="1234" w:type="dxa"/>
            <w:vAlign w:val="center"/>
          </w:tcPr>
          <w:p w:rsidR="00362D31" w:rsidRPr="00336529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36529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98,7</w:t>
            </w:r>
          </w:p>
        </w:tc>
        <w:tc>
          <w:tcPr>
            <w:tcW w:w="1134" w:type="dxa"/>
            <w:vAlign w:val="center"/>
          </w:tcPr>
          <w:p w:rsidR="00362D31" w:rsidRPr="00CE59F4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104,5</w:t>
            </w:r>
          </w:p>
        </w:tc>
        <w:tc>
          <w:tcPr>
            <w:tcW w:w="1137" w:type="dxa"/>
            <w:vAlign w:val="center"/>
          </w:tcPr>
          <w:p w:rsidR="00362D31" w:rsidRPr="00FD2717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96,0</w:t>
            </w:r>
          </w:p>
        </w:tc>
        <w:tc>
          <w:tcPr>
            <w:tcW w:w="1279" w:type="dxa"/>
            <w:vAlign w:val="center"/>
          </w:tcPr>
          <w:p w:rsidR="00362D31" w:rsidRPr="00DE75DF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270" w:type="dxa"/>
            <w:vAlign w:val="center"/>
          </w:tcPr>
          <w:p w:rsidR="00362D31" w:rsidRPr="00DB1D2A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98,6</w:t>
            </w:r>
          </w:p>
        </w:tc>
      </w:tr>
      <w:tr w:rsidR="00362D31" w:rsidRPr="00EF125D" w:rsidTr="00582336">
        <w:trPr>
          <w:trHeight w:val="284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Vzdělávání</w:t>
            </w:r>
          </w:p>
        </w:tc>
        <w:tc>
          <w:tcPr>
            <w:tcW w:w="1234" w:type="dxa"/>
            <w:vAlign w:val="center"/>
          </w:tcPr>
          <w:p w:rsidR="00362D31" w:rsidRPr="00336529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36529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100,0</w:t>
            </w:r>
          </w:p>
        </w:tc>
        <w:tc>
          <w:tcPr>
            <w:tcW w:w="1134" w:type="dxa"/>
            <w:vAlign w:val="center"/>
          </w:tcPr>
          <w:p w:rsidR="00362D31" w:rsidRPr="00CE59F4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101,2</w:t>
            </w:r>
          </w:p>
        </w:tc>
        <w:tc>
          <w:tcPr>
            <w:tcW w:w="1137" w:type="dxa"/>
            <w:vAlign w:val="center"/>
          </w:tcPr>
          <w:p w:rsidR="00362D31" w:rsidRPr="00FD2717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102,5</w:t>
            </w:r>
          </w:p>
        </w:tc>
        <w:tc>
          <w:tcPr>
            <w:tcW w:w="1279" w:type="dxa"/>
            <w:vAlign w:val="center"/>
          </w:tcPr>
          <w:p w:rsidR="00362D31" w:rsidRPr="00DE75DF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270" w:type="dxa"/>
            <w:vAlign w:val="center"/>
          </w:tcPr>
          <w:p w:rsidR="00362D31" w:rsidRPr="00DB1D2A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100,1</w:t>
            </w:r>
          </w:p>
        </w:tc>
      </w:tr>
      <w:tr w:rsidR="00362D31" w:rsidRPr="00EF125D" w:rsidTr="00582336">
        <w:trPr>
          <w:trHeight w:val="284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Stravování a ubytování</w:t>
            </w:r>
          </w:p>
        </w:tc>
        <w:tc>
          <w:tcPr>
            <w:tcW w:w="1234" w:type="dxa"/>
            <w:vAlign w:val="center"/>
          </w:tcPr>
          <w:p w:rsidR="00362D31" w:rsidRPr="00336529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36529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101,2</w:t>
            </w:r>
          </w:p>
        </w:tc>
        <w:tc>
          <w:tcPr>
            <w:tcW w:w="1134" w:type="dxa"/>
            <w:vAlign w:val="center"/>
          </w:tcPr>
          <w:p w:rsidR="00362D31" w:rsidRPr="00CE59F4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101,3</w:t>
            </w:r>
          </w:p>
        </w:tc>
        <w:tc>
          <w:tcPr>
            <w:tcW w:w="1137" w:type="dxa"/>
            <w:vAlign w:val="center"/>
          </w:tcPr>
          <w:p w:rsidR="00362D31" w:rsidRPr="00FD2717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101,1</w:t>
            </w:r>
          </w:p>
        </w:tc>
        <w:tc>
          <w:tcPr>
            <w:tcW w:w="1279" w:type="dxa"/>
            <w:vAlign w:val="center"/>
          </w:tcPr>
          <w:p w:rsidR="00362D31" w:rsidRPr="00DE75DF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270" w:type="dxa"/>
            <w:vAlign w:val="center"/>
          </w:tcPr>
          <w:p w:rsidR="00362D31" w:rsidRPr="00DB1D2A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100,8</w:t>
            </w:r>
          </w:p>
        </w:tc>
      </w:tr>
      <w:tr w:rsidR="00362D31" w:rsidRPr="00EF125D" w:rsidTr="00582336">
        <w:trPr>
          <w:trHeight w:val="284"/>
          <w:jc w:val="center"/>
        </w:trPr>
        <w:tc>
          <w:tcPr>
            <w:tcW w:w="2443" w:type="dxa"/>
            <w:vAlign w:val="center"/>
          </w:tcPr>
          <w:p w:rsidR="00362D31" w:rsidRPr="00CE43E5" w:rsidRDefault="00362D31" w:rsidP="00AD46F9">
            <w:pPr>
              <w:pStyle w:val="Zkladntextodsazen2"/>
              <w:spacing w:line="276" w:lineRule="au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Ostatní zboží a služby</w:t>
            </w:r>
          </w:p>
        </w:tc>
        <w:tc>
          <w:tcPr>
            <w:tcW w:w="1234" w:type="dxa"/>
            <w:vAlign w:val="center"/>
          </w:tcPr>
          <w:p w:rsidR="00362D31" w:rsidRPr="00336529" w:rsidRDefault="00362D31" w:rsidP="00AD46F9">
            <w:pPr>
              <w:pStyle w:val="Zkladntextodsazen2"/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36529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101,0</w:t>
            </w:r>
          </w:p>
        </w:tc>
        <w:tc>
          <w:tcPr>
            <w:tcW w:w="1134" w:type="dxa"/>
            <w:vAlign w:val="center"/>
          </w:tcPr>
          <w:p w:rsidR="00362D31" w:rsidRPr="00CE59F4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CE59F4">
              <w:rPr>
                <w:rFonts w:cs="Arial"/>
                <w:sz w:val="18"/>
                <w:szCs w:val="18"/>
              </w:rPr>
              <w:t>100,6</w:t>
            </w:r>
          </w:p>
        </w:tc>
        <w:tc>
          <w:tcPr>
            <w:tcW w:w="1137" w:type="dxa"/>
            <w:vAlign w:val="center"/>
          </w:tcPr>
          <w:p w:rsidR="00362D31" w:rsidRPr="00FD2717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FD2717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279" w:type="dxa"/>
            <w:vAlign w:val="center"/>
          </w:tcPr>
          <w:p w:rsidR="00362D31" w:rsidRPr="00DE75DF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E75DF">
              <w:rPr>
                <w:rFonts w:cs="Arial"/>
                <w:sz w:val="18"/>
                <w:szCs w:val="18"/>
              </w:rPr>
              <w:t>101,7</w:t>
            </w:r>
          </w:p>
        </w:tc>
        <w:tc>
          <w:tcPr>
            <w:tcW w:w="1270" w:type="dxa"/>
            <w:vAlign w:val="center"/>
          </w:tcPr>
          <w:p w:rsidR="00362D31" w:rsidRPr="00DB1D2A" w:rsidRDefault="00362D31" w:rsidP="00AD46F9">
            <w:pPr>
              <w:jc w:val="center"/>
              <w:rPr>
                <w:rFonts w:cs="Arial"/>
                <w:sz w:val="18"/>
                <w:szCs w:val="18"/>
              </w:rPr>
            </w:pPr>
            <w:r w:rsidRPr="00DB1D2A">
              <w:rPr>
                <w:rFonts w:cs="Arial"/>
                <w:sz w:val="18"/>
                <w:szCs w:val="18"/>
              </w:rPr>
              <w:t>100,8</w:t>
            </w:r>
          </w:p>
        </w:tc>
      </w:tr>
    </w:tbl>
    <w:p w:rsidR="00362D31" w:rsidRDefault="00362D31" w:rsidP="00362D31">
      <w:pPr>
        <w:rPr>
          <w:rFonts w:cs="Arial"/>
          <w:b/>
          <w:szCs w:val="20"/>
        </w:rPr>
      </w:pPr>
    </w:p>
    <w:p w:rsidR="00362D31" w:rsidRDefault="00362D31" w:rsidP="00362D31">
      <w:pPr>
        <w:rPr>
          <w:rFonts w:cs="Arial"/>
          <w:b/>
          <w:szCs w:val="20"/>
        </w:rPr>
      </w:pPr>
    </w:p>
    <w:p w:rsidR="00362D31" w:rsidRDefault="00362D31" w:rsidP="00362D31">
      <w:pPr>
        <w:rPr>
          <w:rFonts w:cs="Arial"/>
          <w:szCs w:val="20"/>
        </w:rPr>
      </w:pPr>
      <w:r w:rsidRPr="00EF125D">
        <w:rPr>
          <w:rFonts w:cs="Arial"/>
          <w:b/>
          <w:szCs w:val="20"/>
        </w:rPr>
        <w:lastRenderedPageBreak/>
        <w:t xml:space="preserve">Meziročně </w:t>
      </w:r>
      <w:r>
        <w:rPr>
          <w:rFonts w:cs="Arial"/>
          <w:szCs w:val="20"/>
        </w:rPr>
        <w:t>vzrostly spotřebitelské ceny ve</w:t>
      </w:r>
      <w:r w:rsidRPr="00EF125D">
        <w:rPr>
          <w:rFonts w:cs="Arial"/>
          <w:szCs w:val="20"/>
        </w:rPr>
        <w:t> </w:t>
      </w:r>
      <w:r>
        <w:rPr>
          <w:rFonts w:cs="Arial"/>
          <w:b/>
          <w:szCs w:val="20"/>
        </w:rPr>
        <w:t>2. čtvrtletí 2020</w:t>
      </w:r>
      <w:r w:rsidRPr="00EF125D">
        <w:rPr>
          <w:rFonts w:cs="Arial"/>
          <w:szCs w:val="20"/>
        </w:rPr>
        <w:t xml:space="preserve"> </w:t>
      </w:r>
      <w:r w:rsidRPr="00EF125D">
        <w:rPr>
          <w:rFonts w:cs="Arial"/>
          <w:b/>
          <w:szCs w:val="20"/>
        </w:rPr>
        <w:t xml:space="preserve">proti </w:t>
      </w:r>
      <w:r>
        <w:rPr>
          <w:rFonts w:cs="Arial"/>
          <w:b/>
          <w:szCs w:val="20"/>
        </w:rPr>
        <w:t>2</w:t>
      </w:r>
      <w:r w:rsidRPr="00EF125D">
        <w:rPr>
          <w:rFonts w:cs="Arial"/>
          <w:b/>
          <w:szCs w:val="20"/>
        </w:rPr>
        <w:t>. </w:t>
      </w:r>
      <w:r w:rsidRPr="00CA3416">
        <w:rPr>
          <w:rFonts w:cs="Arial"/>
          <w:b/>
          <w:szCs w:val="20"/>
        </w:rPr>
        <w:t>čtvrtletí 201</w:t>
      </w:r>
      <w:r>
        <w:rPr>
          <w:rFonts w:cs="Arial"/>
          <w:b/>
          <w:szCs w:val="20"/>
        </w:rPr>
        <w:t>9</w:t>
      </w:r>
      <w:r w:rsidRPr="00CA3416">
        <w:rPr>
          <w:rFonts w:cs="Arial"/>
          <w:szCs w:val="20"/>
        </w:rPr>
        <w:t xml:space="preserve"> </w:t>
      </w:r>
      <w:r>
        <w:rPr>
          <w:rFonts w:cs="Arial"/>
          <w:bCs/>
          <w:szCs w:val="20"/>
        </w:rPr>
        <w:t>o 3,1</w:t>
      </w:r>
      <w:r w:rsidRPr="00CA3416">
        <w:rPr>
          <w:rFonts w:cs="Arial"/>
          <w:bCs/>
          <w:szCs w:val="20"/>
        </w:rPr>
        <w:t xml:space="preserve"> %, tedy </w:t>
      </w:r>
      <w:r>
        <w:rPr>
          <w:rFonts w:cs="Arial"/>
          <w:bCs/>
          <w:szCs w:val="20"/>
        </w:rPr>
        <w:t>o 0,5</w:t>
      </w:r>
      <w:r w:rsidRPr="00CA3416">
        <w:rPr>
          <w:rFonts w:cs="Arial"/>
          <w:bCs/>
          <w:szCs w:val="20"/>
        </w:rPr>
        <w:t xml:space="preserve"> procentního bodu </w:t>
      </w:r>
      <w:r>
        <w:rPr>
          <w:rFonts w:cs="Arial"/>
          <w:bCs/>
          <w:szCs w:val="20"/>
        </w:rPr>
        <w:t>méně než v 1</w:t>
      </w:r>
      <w:r w:rsidRPr="00CA3416">
        <w:rPr>
          <w:rFonts w:cs="Arial"/>
          <w:bCs/>
          <w:szCs w:val="20"/>
        </w:rPr>
        <w:t>.</w:t>
      </w:r>
      <w:r w:rsidRPr="00CA3416">
        <w:rPr>
          <w:rFonts w:cs="Arial"/>
          <w:szCs w:val="20"/>
        </w:rPr>
        <w:t xml:space="preserve"> čtvrtletí. Tento vývoj ovlivnil zejména </w:t>
      </w:r>
      <w:r>
        <w:rPr>
          <w:rFonts w:cs="Arial"/>
          <w:szCs w:val="20"/>
        </w:rPr>
        <w:t>přechod z</w:t>
      </w:r>
      <w:r w:rsidR="00AD46F9">
        <w:rPr>
          <w:rFonts w:cs="Arial"/>
          <w:szCs w:val="20"/>
        </w:rPr>
        <w:t> </w:t>
      </w:r>
      <w:r w:rsidRPr="00CA3416">
        <w:rPr>
          <w:rFonts w:cs="Arial"/>
          <w:szCs w:val="20"/>
        </w:rPr>
        <w:t xml:space="preserve">cenového růstu </w:t>
      </w:r>
      <w:r>
        <w:rPr>
          <w:rFonts w:cs="Arial"/>
          <w:szCs w:val="20"/>
        </w:rPr>
        <w:t xml:space="preserve">v pokles </w:t>
      </w:r>
      <w:r w:rsidRPr="00CA3416">
        <w:rPr>
          <w:rFonts w:cs="Arial"/>
          <w:szCs w:val="20"/>
        </w:rPr>
        <w:t xml:space="preserve">v oddíle </w:t>
      </w:r>
      <w:r>
        <w:rPr>
          <w:rFonts w:cs="Arial"/>
          <w:szCs w:val="20"/>
        </w:rPr>
        <w:t xml:space="preserve">doprava a zpomalení růstu v oddíle bydlení. </w:t>
      </w:r>
      <w:r w:rsidR="00AD46F9">
        <w:rPr>
          <w:rFonts w:cs="Arial"/>
          <w:szCs w:val="20"/>
        </w:rPr>
        <w:t>Opačně, tj. na </w:t>
      </w:r>
      <w:r>
        <w:rPr>
          <w:rFonts w:cs="Arial"/>
          <w:szCs w:val="20"/>
        </w:rPr>
        <w:t>rychlejší zvyšování cen, působil především cenový vývoj v oddíle alkoholické nápoje, tabák.</w:t>
      </w:r>
    </w:p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  <w:r>
        <w:rPr>
          <w:rFonts w:cs="Arial"/>
        </w:rPr>
        <w:t>Změny ve vývoji cen ve 2</w:t>
      </w:r>
      <w:r w:rsidRPr="00EF125D">
        <w:rPr>
          <w:rFonts w:cs="Arial"/>
        </w:rPr>
        <w:t>. čtv</w:t>
      </w:r>
      <w:r>
        <w:rPr>
          <w:rFonts w:cs="Arial"/>
        </w:rPr>
        <w:t>rtletí 2020 se promítly do</w:t>
      </w:r>
      <w:r w:rsidRPr="00EF125D">
        <w:rPr>
          <w:rFonts w:cs="Arial"/>
        </w:rPr>
        <w:t xml:space="preserve"> </w:t>
      </w:r>
      <w:r>
        <w:rPr>
          <w:rFonts w:cs="Arial"/>
        </w:rPr>
        <w:t xml:space="preserve">zpomalení </w:t>
      </w:r>
      <w:r w:rsidRPr="00EF125D">
        <w:rPr>
          <w:rFonts w:cs="Arial"/>
        </w:rPr>
        <w:t xml:space="preserve">meziročního růstu tržních cen </w:t>
      </w:r>
      <w:r>
        <w:rPr>
          <w:rFonts w:cs="Arial"/>
        </w:rPr>
        <w:t>na 3,1</w:t>
      </w:r>
      <w:r w:rsidRPr="00EF125D">
        <w:rPr>
          <w:rFonts w:cs="Arial"/>
        </w:rPr>
        <w:t> %</w:t>
      </w:r>
      <w:r>
        <w:rPr>
          <w:rFonts w:cs="Arial"/>
        </w:rPr>
        <w:t xml:space="preserve"> (v 1. čtvrtletí 2020 růst o 3,5 %).</w:t>
      </w:r>
      <w:r w:rsidRPr="00EF125D">
        <w:rPr>
          <w:rFonts w:cs="Arial"/>
        </w:rPr>
        <w:t xml:space="preserve"> </w:t>
      </w:r>
      <w:r>
        <w:rPr>
          <w:rFonts w:cs="Arial"/>
        </w:rPr>
        <w:t>Růst regulovaných cen ve 2. čtvrtletí 2020 zpomalil na 3,4 % ze 4,2 </w:t>
      </w:r>
      <w:r w:rsidRPr="00EF125D">
        <w:rPr>
          <w:rFonts w:cs="Arial"/>
        </w:rPr>
        <w:t>% v</w:t>
      </w:r>
      <w:r>
        <w:rPr>
          <w:rFonts w:cs="Arial"/>
        </w:rPr>
        <w:t> 1. č</w:t>
      </w:r>
      <w:r w:rsidRPr="00EF125D">
        <w:rPr>
          <w:rFonts w:cs="Arial"/>
        </w:rPr>
        <w:t>tvrtletí</w:t>
      </w:r>
      <w:r>
        <w:rPr>
          <w:rFonts w:cs="Arial"/>
        </w:rPr>
        <w:t xml:space="preserve"> 2020</w:t>
      </w:r>
      <w:r w:rsidRPr="00EF125D">
        <w:rPr>
          <w:rFonts w:cs="Arial"/>
        </w:rPr>
        <w:t>.</w:t>
      </w:r>
    </w:p>
    <w:p w:rsidR="00362D31" w:rsidRPr="00EF125D" w:rsidRDefault="00362D31" w:rsidP="00362D31"/>
    <w:p w:rsidR="00362D31" w:rsidRPr="00EF125D" w:rsidRDefault="00362D31" w:rsidP="00362D31"/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  <w:r w:rsidRPr="00E154D6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54" type="#_x0000_t75" style="width:425.25pt;height:225pt;visibility:visible;mso-wrap-style:square">
            <v:imagedata r:id="rId7" o:title=""/>
          </v:shape>
        </w:pict>
      </w: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lastRenderedPageBreak/>
        <w:t xml:space="preserve">Největší vliv na zpomalení růstu cenové hladiny měly ceny v oddíle </w:t>
      </w:r>
      <w:r w:rsidRPr="00626EE2">
        <w:rPr>
          <w:rFonts w:cs="Arial"/>
          <w:b/>
        </w:rPr>
        <w:t>doprava</w:t>
      </w:r>
      <w:r>
        <w:rPr>
          <w:rFonts w:cs="Arial"/>
        </w:rPr>
        <w:t xml:space="preserve">, kde se snížily ceny pohonných hmot a olejů o 19,2 % (v 1. čtvrtletí růst o 1,2 %). </w:t>
      </w:r>
      <w:r w:rsidRPr="00EF125D">
        <w:rPr>
          <w:rFonts w:eastAsia="Times New Roman" w:cs="Arial"/>
          <w:szCs w:val="20"/>
          <w:lang w:eastAsia="cs-CZ"/>
        </w:rPr>
        <w:t>Cena benzínu Natural 95 byla v </w:t>
      </w:r>
      <w:r>
        <w:rPr>
          <w:rFonts w:eastAsia="Times New Roman" w:cs="Arial"/>
          <w:szCs w:val="20"/>
          <w:lang w:eastAsia="cs-CZ"/>
        </w:rPr>
        <w:t>červnu 26,44 Kč a cena nafty 26,33</w:t>
      </w:r>
      <w:r w:rsidRPr="00EF125D">
        <w:rPr>
          <w:rFonts w:eastAsia="Times New Roman" w:cs="Arial"/>
          <w:szCs w:val="20"/>
          <w:lang w:eastAsia="cs-CZ"/>
        </w:rPr>
        <w:t> Kč.</w:t>
      </w:r>
    </w:p>
    <w:p w:rsidR="00362D31" w:rsidRDefault="00362D31" w:rsidP="00362D31">
      <w:pPr>
        <w:rPr>
          <w:rFonts w:eastAsia="Times New Roman" w:cs="Arial"/>
          <w:szCs w:val="20"/>
          <w:lang w:eastAsia="cs-CZ"/>
        </w:rPr>
      </w:pPr>
    </w:p>
    <w:p w:rsidR="00362D31" w:rsidRPr="00EF125D" w:rsidRDefault="00362D31" w:rsidP="00362D31">
      <w:pPr>
        <w:rPr>
          <w:rFonts w:eastAsia="Times New Roman" w:cs="Arial"/>
          <w:szCs w:val="20"/>
          <w:lang w:eastAsia="cs-CZ"/>
        </w:rPr>
      </w:pPr>
      <w:r w:rsidRPr="00E154D6">
        <w:rPr>
          <w:noProof/>
          <w:lang w:eastAsia="cs-CZ"/>
        </w:rPr>
        <w:pict>
          <v:shape id="Obrázek 4" o:spid="_x0000_i1053" type="#_x0000_t75" style="width:425.25pt;height:267.75pt;visibility:visible;mso-wrap-style:square">
            <v:imagedata r:id="rId8" o:title=""/>
          </v:shape>
        </w:pict>
      </w:r>
    </w:p>
    <w:p w:rsidR="00362D31" w:rsidRDefault="00362D31" w:rsidP="00362D31">
      <w:pPr>
        <w:rPr>
          <w:rFonts w:cs="Arial"/>
        </w:rPr>
      </w:pPr>
      <w:r>
        <w:rPr>
          <w:rFonts w:cs="Arial"/>
        </w:rPr>
        <w:t xml:space="preserve"> </w:t>
      </w: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cs="Arial"/>
        </w:rPr>
      </w:pPr>
      <w:r>
        <w:rPr>
          <w:rFonts w:cs="Arial"/>
        </w:rPr>
        <w:lastRenderedPageBreak/>
        <w:t>V</w:t>
      </w:r>
      <w:r w:rsidRPr="00EF125D">
        <w:rPr>
          <w:rFonts w:cs="Arial"/>
        </w:rPr>
        <w:t xml:space="preserve"> oddíle </w:t>
      </w:r>
      <w:r>
        <w:rPr>
          <w:rFonts w:cs="Arial"/>
          <w:b/>
        </w:rPr>
        <w:t xml:space="preserve">bydlení </w:t>
      </w:r>
      <w:r>
        <w:rPr>
          <w:rFonts w:cs="Arial"/>
        </w:rPr>
        <w:t>se zvýšily ceny elektřiny o 8,0</w:t>
      </w:r>
      <w:r w:rsidRPr="00EF125D">
        <w:rPr>
          <w:rFonts w:cs="Arial"/>
        </w:rPr>
        <w:t xml:space="preserve"> % </w:t>
      </w:r>
      <w:r>
        <w:rPr>
          <w:rFonts w:cs="Arial"/>
        </w:rPr>
        <w:t>a c</w:t>
      </w:r>
      <w:r w:rsidRPr="00EF125D">
        <w:rPr>
          <w:rFonts w:cs="Arial"/>
        </w:rPr>
        <w:t xml:space="preserve">eny </w:t>
      </w:r>
      <w:r>
        <w:rPr>
          <w:rFonts w:cs="Arial"/>
        </w:rPr>
        <w:t>zemního plynu o 0,4</w:t>
      </w:r>
      <w:r w:rsidRPr="00EF125D">
        <w:rPr>
          <w:rFonts w:cs="Arial"/>
        </w:rPr>
        <w:t> %</w:t>
      </w:r>
      <w:r>
        <w:rPr>
          <w:rFonts w:cs="Arial"/>
        </w:rPr>
        <w:t>. Ceny</w:t>
      </w:r>
      <w:r w:rsidRPr="00EF125D">
        <w:rPr>
          <w:rFonts w:cs="Arial"/>
        </w:rPr>
        <w:t xml:space="preserve"> nájemného</w:t>
      </w:r>
      <w:r>
        <w:rPr>
          <w:rFonts w:cs="Arial"/>
        </w:rPr>
        <w:t xml:space="preserve"> z bytu</w:t>
      </w:r>
      <w:r w:rsidRPr="00EF125D">
        <w:rPr>
          <w:rFonts w:cs="Arial"/>
        </w:rPr>
        <w:t xml:space="preserve"> vzrostly o </w:t>
      </w:r>
      <w:r>
        <w:rPr>
          <w:rFonts w:cs="Arial"/>
        </w:rPr>
        <w:t>3,7 %, vodného o 2,9 %, stočného o 2,5 </w:t>
      </w:r>
      <w:r w:rsidRPr="00EF125D">
        <w:rPr>
          <w:rFonts w:cs="Arial"/>
        </w:rPr>
        <w:t>%</w:t>
      </w:r>
      <w:r>
        <w:rPr>
          <w:rFonts w:cs="Arial"/>
        </w:rPr>
        <w:t>. Ceny tepla a teplé vody se snížily o 1,5 </w:t>
      </w:r>
      <w:r w:rsidRPr="00EF125D">
        <w:rPr>
          <w:rFonts w:cs="Arial"/>
        </w:rPr>
        <w:t>%.</w:t>
      </w:r>
      <w:r>
        <w:rPr>
          <w:rFonts w:cs="Arial"/>
        </w:rPr>
        <w:t xml:space="preserve"> Imputované nájemné (náklady vlastnického bydlení) se zvýšilo o </w:t>
      </w:r>
      <w:r w:rsidR="00AD46F9">
        <w:rPr>
          <w:rFonts w:cs="Arial"/>
        </w:rPr>
        <w:t>2,6 % (v 1. čtvrtletí o 3,7 %).</w:t>
      </w: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  <w:r w:rsidRPr="00E154D6">
        <w:rPr>
          <w:noProof/>
          <w:lang w:eastAsia="cs-CZ"/>
        </w:rPr>
        <w:pict>
          <v:shape id="Obrázek 5" o:spid="_x0000_i1052" type="#_x0000_t75" style="width:425.25pt;height:270.75pt;visibility:visible;mso-wrap-style:square">
            <v:imagedata r:id="rId9" o:title=""/>
          </v:shape>
        </w:pict>
      </w: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Pr="00EF125D" w:rsidRDefault="00362D31" w:rsidP="00362D31">
      <w:pPr>
        <w:rPr>
          <w:rFonts w:eastAsia="Times New Roman" w:cs="Arial"/>
          <w:szCs w:val="20"/>
          <w:lang w:eastAsia="cs-CZ"/>
        </w:rPr>
      </w:pPr>
      <w:r w:rsidRPr="00EF125D">
        <w:rPr>
          <w:rFonts w:eastAsia="Times New Roman" w:cs="Arial"/>
          <w:szCs w:val="20"/>
          <w:lang w:eastAsia="cs-CZ"/>
        </w:rPr>
        <w:lastRenderedPageBreak/>
        <w:t xml:space="preserve">V oddíle </w:t>
      </w:r>
      <w:r w:rsidRPr="00EF125D">
        <w:rPr>
          <w:rFonts w:eastAsia="Times New Roman" w:cs="Arial"/>
          <w:b/>
          <w:szCs w:val="20"/>
          <w:lang w:eastAsia="cs-CZ"/>
        </w:rPr>
        <w:t xml:space="preserve">alkoholické </w:t>
      </w:r>
      <w:r w:rsidRPr="00941B72">
        <w:rPr>
          <w:rFonts w:eastAsia="Times New Roman" w:cs="Arial"/>
          <w:b/>
          <w:szCs w:val="20"/>
          <w:lang w:eastAsia="cs-CZ"/>
        </w:rPr>
        <w:t xml:space="preserve">nápoje, tabák </w:t>
      </w:r>
      <w:r w:rsidRPr="00941B72">
        <w:rPr>
          <w:rFonts w:eastAsia="Times New Roman" w:cs="Arial"/>
          <w:szCs w:val="20"/>
          <w:lang w:eastAsia="cs-CZ"/>
        </w:rPr>
        <w:t>se zvýšily ceny tabákových výrobků</w:t>
      </w:r>
      <w:r>
        <w:rPr>
          <w:rFonts w:eastAsia="Times New Roman" w:cs="Arial"/>
          <w:szCs w:val="20"/>
          <w:lang w:eastAsia="cs-CZ"/>
        </w:rPr>
        <w:t xml:space="preserve"> o 7,5</w:t>
      </w:r>
      <w:r w:rsidRPr="00EF125D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>.</w:t>
      </w:r>
      <w:r w:rsidRPr="00EF125D">
        <w:rPr>
          <w:rFonts w:eastAsia="Times New Roman" w:cs="Arial"/>
          <w:szCs w:val="20"/>
          <w:lang w:eastAsia="cs-CZ"/>
        </w:rPr>
        <w:t xml:space="preserve"> Ceny lihovin </w:t>
      </w:r>
      <w:r>
        <w:rPr>
          <w:rFonts w:eastAsia="Times New Roman" w:cs="Arial"/>
          <w:szCs w:val="20"/>
          <w:lang w:eastAsia="cs-CZ"/>
        </w:rPr>
        <w:t>vzrostly</w:t>
      </w:r>
      <w:r w:rsidRPr="00EF125D">
        <w:rPr>
          <w:rFonts w:eastAsia="Times New Roman" w:cs="Arial"/>
          <w:szCs w:val="20"/>
          <w:lang w:eastAsia="cs-CZ"/>
        </w:rPr>
        <w:t xml:space="preserve"> o </w:t>
      </w:r>
      <w:r>
        <w:rPr>
          <w:rFonts w:eastAsia="Times New Roman" w:cs="Arial"/>
          <w:szCs w:val="20"/>
          <w:lang w:eastAsia="cs-CZ"/>
        </w:rPr>
        <w:t>9,0</w:t>
      </w:r>
      <w:r w:rsidRPr="00EF125D">
        <w:rPr>
          <w:rFonts w:eastAsia="Times New Roman" w:cs="Arial"/>
          <w:szCs w:val="20"/>
          <w:lang w:eastAsia="cs-CZ"/>
        </w:rPr>
        <w:t> </w:t>
      </w:r>
      <w:r w:rsidRPr="00CA3416">
        <w:rPr>
          <w:rFonts w:eastAsia="Times New Roman" w:cs="Arial"/>
          <w:szCs w:val="20"/>
          <w:lang w:eastAsia="cs-CZ"/>
        </w:rPr>
        <w:t>%</w:t>
      </w:r>
      <w:r>
        <w:rPr>
          <w:rFonts w:eastAsia="Times New Roman" w:cs="Arial"/>
          <w:szCs w:val="20"/>
          <w:lang w:eastAsia="cs-CZ"/>
        </w:rPr>
        <w:t>, vína o 1,8 % a piva o 4,2</w:t>
      </w:r>
      <w:r w:rsidR="00AD46F9">
        <w:rPr>
          <w:rFonts w:eastAsia="Times New Roman" w:cs="Arial"/>
          <w:szCs w:val="20"/>
          <w:lang w:eastAsia="cs-CZ"/>
        </w:rPr>
        <w:t> %.</w:t>
      </w: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t xml:space="preserve">Vliv na růst cenové hladiny dále měly ceny v oddíle </w:t>
      </w:r>
      <w:r>
        <w:rPr>
          <w:rFonts w:cs="Arial"/>
          <w:b/>
        </w:rPr>
        <w:t>potraviny a nealkoholické nápoje.</w:t>
      </w:r>
      <w:r>
        <w:rPr>
          <w:rFonts w:eastAsia="Times New Roman" w:cs="Arial"/>
          <w:szCs w:val="20"/>
          <w:lang w:eastAsia="cs-CZ"/>
        </w:rPr>
        <w:t xml:space="preserve"> Ceny masa se zvýšily o 10,8</w:t>
      </w:r>
      <w:r w:rsidRPr="00EF125D">
        <w:rPr>
          <w:rFonts w:eastAsia="Times New Roman" w:cs="Arial"/>
          <w:szCs w:val="20"/>
          <w:lang w:eastAsia="cs-CZ"/>
        </w:rPr>
        <w:t> %, z toho ceny vepřového</w:t>
      </w:r>
      <w:r>
        <w:rPr>
          <w:rFonts w:eastAsia="Times New Roman" w:cs="Arial"/>
          <w:szCs w:val="20"/>
          <w:lang w:eastAsia="cs-CZ"/>
        </w:rPr>
        <w:t xml:space="preserve"> masa o 14,2</w:t>
      </w:r>
      <w:r w:rsidRPr="00EF125D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 xml:space="preserve"> a uzenin o 13,0 %</w:t>
      </w:r>
      <w:r w:rsidRPr="00EF125D">
        <w:rPr>
          <w:rFonts w:eastAsia="Times New Roman" w:cs="Arial"/>
          <w:szCs w:val="20"/>
          <w:lang w:eastAsia="cs-CZ"/>
        </w:rPr>
        <w:t xml:space="preserve">. Ceny ryb </w:t>
      </w:r>
      <w:r>
        <w:rPr>
          <w:rFonts w:eastAsia="Times New Roman" w:cs="Arial"/>
          <w:szCs w:val="20"/>
          <w:lang w:eastAsia="cs-CZ"/>
        </w:rPr>
        <w:t>vzrostly o 1,5 %. C</w:t>
      </w:r>
      <w:r w:rsidRPr="00EF125D">
        <w:rPr>
          <w:rFonts w:eastAsia="Times New Roman" w:cs="Arial"/>
          <w:szCs w:val="20"/>
          <w:lang w:eastAsia="cs-CZ"/>
        </w:rPr>
        <w:t>en</w:t>
      </w:r>
      <w:r>
        <w:rPr>
          <w:rFonts w:eastAsia="Times New Roman" w:cs="Arial"/>
          <w:szCs w:val="20"/>
          <w:lang w:eastAsia="cs-CZ"/>
        </w:rPr>
        <w:t>y</w:t>
      </w:r>
      <w:r w:rsidRPr="00EF125D">
        <w:rPr>
          <w:rFonts w:eastAsia="Times New Roman" w:cs="Arial"/>
          <w:szCs w:val="20"/>
          <w:lang w:eastAsia="cs-CZ"/>
        </w:rPr>
        <w:t xml:space="preserve"> ve skupině mléko, sýry, vejce</w:t>
      </w:r>
      <w:r>
        <w:rPr>
          <w:rFonts w:eastAsia="Times New Roman" w:cs="Arial"/>
          <w:szCs w:val="20"/>
          <w:lang w:eastAsia="cs-CZ"/>
        </w:rPr>
        <w:t xml:space="preserve"> se</w:t>
      </w:r>
      <w:r w:rsidRPr="00EF125D">
        <w:rPr>
          <w:rFonts w:eastAsia="Times New Roman" w:cs="Arial"/>
          <w:szCs w:val="20"/>
          <w:lang w:eastAsia="cs-CZ"/>
        </w:rPr>
        <w:t xml:space="preserve"> v</w:t>
      </w:r>
      <w:r>
        <w:rPr>
          <w:rFonts w:eastAsia="Times New Roman" w:cs="Arial"/>
          <w:szCs w:val="20"/>
          <w:lang w:eastAsia="cs-CZ"/>
        </w:rPr>
        <w:t>e 2. čtvrtletí meziročně zvýšily o 2,2</w:t>
      </w:r>
      <w:r w:rsidRPr="00EF125D">
        <w:rPr>
          <w:rFonts w:eastAsia="Times New Roman" w:cs="Arial"/>
          <w:szCs w:val="20"/>
          <w:lang w:eastAsia="cs-CZ"/>
        </w:rPr>
        <w:t> %,</w:t>
      </w:r>
      <w:r>
        <w:rPr>
          <w:rFonts w:eastAsia="Times New Roman" w:cs="Arial"/>
          <w:szCs w:val="20"/>
          <w:lang w:eastAsia="cs-CZ"/>
        </w:rPr>
        <w:t xml:space="preserve"> z toho ceny sýrů a tvarohů o 3,7 % a polotučného trvanlivého mléka o 3,4 % (v 1. čtvrtletí nárůst o 3,0 %). Ceny jogurtů meziročně klesly o 2,6 (v 1. čtvrtletí pokles o 2,4 %). Ceny vajec vzrostly o 2,5 %</w:t>
      </w:r>
      <w:r w:rsidRPr="00EF125D">
        <w:rPr>
          <w:rFonts w:eastAsia="Times New Roman" w:cs="Arial"/>
          <w:szCs w:val="20"/>
          <w:lang w:eastAsia="cs-CZ"/>
        </w:rPr>
        <w:t xml:space="preserve">. Ceny olejů a tuků </w:t>
      </w:r>
      <w:r>
        <w:rPr>
          <w:rFonts w:eastAsia="Times New Roman" w:cs="Arial"/>
          <w:szCs w:val="20"/>
          <w:lang w:eastAsia="cs-CZ"/>
        </w:rPr>
        <w:t>byly niž</w:t>
      </w:r>
      <w:r w:rsidRPr="00EF125D">
        <w:rPr>
          <w:rFonts w:eastAsia="Times New Roman" w:cs="Arial"/>
          <w:szCs w:val="20"/>
          <w:lang w:eastAsia="cs-CZ"/>
        </w:rPr>
        <w:t>ší</w:t>
      </w:r>
      <w:r>
        <w:rPr>
          <w:rFonts w:eastAsia="Times New Roman" w:cs="Arial"/>
          <w:szCs w:val="20"/>
          <w:lang w:eastAsia="cs-CZ"/>
        </w:rPr>
        <w:t xml:space="preserve"> o 2,8</w:t>
      </w:r>
      <w:r w:rsidRPr="00EF125D">
        <w:rPr>
          <w:rFonts w:eastAsia="Times New Roman" w:cs="Arial"/>
          <w:szCs w:val="20"/>
          <w:lang w:eastAsia="cs-CZ"/>
        </w:rPr>
        <w:t xml:space="preserve"> %, z toho ceny másla </w:t>
      </w:r>
      <w:r>
        <w:rPr>
          <w:rFonts w:eastAsia="Times New Roman" w:cs="Arial"/>
          <w:szCs w:val="20"/>
          <w:lang w:eastAsia="cs-CZ"/>
        </w:rPr>
        <w:t>o 7,3 %. Ceny cukru vzrostly o 14,5</w:t>
      </w:r>
      <w:r w:rsidRPr="00EF125D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>.</w:t>
      </w:r>
      <w:r w:rsidRPr="00EF125D">
        <w:rPr>
          <w:rFonts w:eastAsia="Times New Roman" w:cs="Arial"/>
          <w:szCs w:val="20"/>
          <w:lang w:eastAsia="cs-CZ"/>
        </w:rPr>
        <w:t xml:space="preserve"> Ceny chleba </w:t>
      </w:r>
      <w:r>
        <w:rPr>
          <w:rFonts w:eastAsia="Times New Roman" w:cs="Arial"/>
          <w:szCs w:val="20"/>
          <w:lang w:eastAsia="cs-CZ"/>
        </w:rPr>
        <w:t>byly vyšší o 1,8 % a ceny mouky a jiných obilovin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o 14,5</w:t>
      </w:r>
      <w:r w:rsidRPr="00EF125D">
        <w:rPr>
          <w:rFonts w:eastAsia="Times New Roman" w:cs="Arial"/>
          <w:szCs w:val="20"/>
          <w:lang w:eastAsia="cs-CZ"/>
        </w:rPr>
        <w:t> %. </w:t>
      </w:r>
      <w:r>
        <w:rPr>
          <w:rFonts w:eastAsia="Times New Roman" w:cs="Arial"/>
          <w:szCs w:val="20"/>
          <w:lang w:eastAsia="cs-CZ"/>
        </w:rPr>
        <w:t>Ceny ovoce se zvýšily o 25,8</w:t>
      </w:r>
      <w:r w:rsidRPr="00EF125D">
        <w:rPr>
          <w:rFonts w:eastAsia="Times New Roman" w:cs="Arial"/>
          <w:szCs w:val="20"/>
          <w:lang w:eastAsia="cs-CZ"/>
        </w:rPr>
        <w:t xml:space="preserve"> %. </w:t>
      </w:r>
      <w:r w:rsidRPr="00941B72">
        <w:rPr>
          <w:rFonts w:eastAsia="Times New Roman" w:cs="Arial"/>
          <w:szCs w:val="20"/>
          <w:lang w:eastAsia="cs-CZ"/>
        </w:rPr>
        <w:t>Ceny nealkoholických</w:t>
      </w:r>
      <w:r w:rsidRPr="00EF125D">
        <w:rPr>
          <w:rFonts w:eastAsia="Times New Roman" w:cs="Arial"/>
          <w:szCs w:val="20"/>
          <w:lang w:eastAsia="cs-CZ"/>
        </w:rPr>
        <w:t xml:space="preserve"> nápojů </w:t>
      </w:r>
      <w:r>
        <w:rPr>
          <w:rFonts w:eastAsia="Times New Roman" w:cs="Arial"/>
          <w:szCs w:val="20"/>
          <w:lang w:eastAsia="cs-CZ"/>
        </w:rPr>
        <w:t>vzrostly o 2,0</w:t>
      </w:r>
      <w:r w:rsidRPr="00EF125D">
        <w:rPr>
          <w:rFonts w:eastAsia="Times New Roman" w:cs="Arial"/>
          <w:szCs w:val="20"/>
          <w:lang w:eastAsia="cs-CZ"/>
        </w:rPr>
        <w:t xml:space="preserve"> %, </w:t>
      </w:r>
      <w:r>
        <w:rPr>
          <w:rFonts w:eastAsia="Times New Roman" w:cs="Arial"/>
          <w:szCs w:val="20"/>
          <w:lang w:eastAsia="cs-CZ"/>
        </w:rPr>
        <w:t>přičemž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 w:rsidRPr="000F051B">
        <w:rPr>
          <w:rFonts w:eastAsia="Times New Roman" w:cs="Arial"/>
          <w:szCs w:val="20"/>
          <w:lang w:eastAsia="cs-CZ"/>
        </w:rPr>
        <w:t>ceny kávy byly</w:t>
      </w:r>
      <w:r>
        <w:rPr>
          <w:rFonts w:eastAsia="Times New Roman" w:cs="Arial"/>
          <w:szCs w:val="20"/>
          <w:lang w:eastAsia="cs-CZ"/>
        </w:rPr>
        <w:t xml:space="preserve"> nižší o 0,2 %.</w:t>
      </w:r>
      <w:r w:rsidR="00AD46F9">
        <w:rPr>
          <w:rFonts w:eastAsia="Times New Roman" w:cs="Arial"/>
          <w:szCs w:val="20"/>
          <w:lang w:eastAsia="cs-CZ"/>
        </w:rPr>
        <w:t xml:space="preserve"> </w:t>
      </w:r>
      <w:r w:rsidRPr="00EF125D">
        <w:rPr>
          <w:rFonts w:eastAsia="Times New Roman" w:cs="Arial"/>
          <w:szCs w:val="20"/>
          <w:lang w:eastAsia="cs-CZ"/>
        </w:rPr>
        <w:t>Ceny zeleniny</w:t>
      </w:r>
      <w:r>
        <w:rPr>
          <w:rFonts w:eastAsia="Times New Roman" w:cs="Arial"/>
          <w:szCs w:val="20"/>
          <w:lang w:eastAsia="cs-CZ"/>
        </w:rPr>
        <w:t xml:space="preserve"> byly vyšší o 6,5 %, z toho</w:t>
      </w:r>
      <w:r w:rsidRPr="00EF125D">
        <w:rPr>
          <w:rFonts w:eastAsia="Times New Roman" w:cs="Arial"/>
          <w:szCs w:val="20"/>
          <w:lang w:eastAsia="cs-CZ"/>
        </w:rPr>
        <w:t xml:space="preserve"> brambor</w:t>
      </w:r>
      <w:r>
        <w:rPr>
          <w:rFonts w:eastAsia="Times New Roman" w:cs="Arial"/>
          <w:szCs w:val="20"/>
          <w:lang w:eastAsia="cs-CZ"/>
        </w:rPr>
        <w:t xml:space="preserve"> </w:t>
      </w:r>
      <w:r w:rsidRPr="00EF125D">
        <w:rPr>
          <w:rFonts w:eastAsia="Times New Roman" w:cs="Arial"/>
          <w:szCs w:val="20"/>
          <w:lang w:eastAsia="cs-CZ"/>
        </w:rPr>
        <w:t>o </w:t>
      </w:r>
      <w:r>
        <w:rPr>
          <w:rFonts w:eastAsia="Times New Roman" w:cs="Arial"/>
          <w:szCs w:val="20"/>
          <w:lang w:eastAsia="cs-CZ"/>
        </w:rPr>
        <w:t>0,8 % (v 1</w:t>
      </w:r>
      <w:r w:rsidRPr="00941B72">
        <w:rPr>
          <w:rFonts w:eastAsia="Times New Roman" w:cs="Arial"/>
          <w:szCs w:val="20"/>
          <w:lang w:eastAsia="cs-CZ"/>
        </w:rPr>
        <w:t xml:space="preserve">. čtvrtletí </w:t>
      </w:r>
      <w:r>
        <w:rPr>
          <w:rFonts w:eastAsia="Times New Roman" w:cs="Arial"/>
          <w:szCs w:val="20"/>
          <w:lang w:eastAsia="cs-CZ"/>
        </w:rPr>
        <w:t xml:space="preserve">pokles </w:t>
      </w:r>
      <w:r w:rsidRPr="00941B72">
        <w:rPr>
          <w:rFonts w:eastAsia="Times New Roman" w:cs="Arial"/>
          <w:szCs w:val="20"/>
          <w:lang w:eastAsia="cs-CZ"/>
        </w:rPr>
        <w:t>o </w:t>
      </w:r>
      <w:r>
        <w:rPr>
          <w:rFonts w:eastAsia="Times New Roman" w:cs="Arial"/>
          <w:szCs w:val="20"/>
          <w:lang w:eastAsia="cs-CZ"/>
        </w:rPr>
        <w:t>0,2</w:t>
      </w:r>
      <w:r w:rsidRPr="00941B72">
        <w:rPr>
          <w:rFonts w:eastAsia="Times New Roman" w:cs="Arial"/>
          <w:szCs w:val="20"/>
          <w:lang w:eastAsia="cs-CZ"/>
        </w:rPr>
        <w:t> %).</w:t>
      </w:r>
    </w:p>
    <w:p w:rsidR="00362D31" w:rsidRDefault="00362D31" w:rsidP="00362D31">
      <w:pPr>
        <w:rPr>
          <w:rFonts w:eastAsia="Times New Roman" w:cs="Arial"/>
          <w:szCs w:val="20"/>
          <w:lang w:eastAsia="cs-CZ"/>
        </w:rPr>
      </w:pPr>
    </w:p>
    <w:p w:rsidR="00362D31" w:rsidRPr="00EF125D" w:rsidRDefault="00362D31" w:rsidP="00362D31">
      <w:pPr>
        <w:rPr>
          <w:rFonts w:eastAsia="Times New Roman" w:cs="Arial"/>
          <w:szCs w:val="20"/>
          <w:lang w:eastAsia="cs-CZ"/>
        </w:rPr>
      </w:pPr>
    </w:p>
    <w:p w:rsidR="00362D31" w:rsidRPr="00EF125D" w:rsidRDefault="00362D31" w:rsidP="00362D31">
      <w:pPr>
        <w:rPr>
          <w:rFonts w:eastAsia="Times New Roman" w:cs="Arial"/>
          <w:szCs w:val="20"/>
          <w:lang w:eastAsia="cs-CZ"/>
        </w:rPr>
      </w:pPr>
      <w:r w:rsidRPr="00E154D6">
        <w:rPr>
          <w:noProof/>
          <w:lang w:eastAsia="cs-CZ"/>
        </w:rPr>
        <w:pict>
          <v:shape id="Obrázek 7" o:spid="_x0000_i1051" type="#_x0000_t75" style="width:425.25pt;height:297pt;visibility:visible;mso-wrap-style:square">
            <v:imagedata r:id="rId10" o:title=""/>
          </v:shape>
        </w:pict>
      </w:r>
    </w:p>
    <w:p w:rsidR="00362D31" w:rsidRPr="00B2127E" w:rsidRDefault="00362D31" w:rsidP="00362D31">
      <w:pPr>
        <w:rPr>
          <w:rFonts w:eastAsia="Times New Roman" w:cs="Arial"/>
          <w:szCs w:val="20"/>
          <w:lang w:eastAsia="cs-CZ"/>
        </w:rPr>
      </w:pPr>
      <w:r w:rsidRPr="00B2127E">
        <w:rPr>
          <w:rFonts w:eastAsia="Times New Roman" w:cs="Arial"/>
          <w:sz w:val="24"/>
          <w:szCs w:val="24"/>
          <w:vertAlign w:val="superscript"/>
          <w:lang w:eastAsia="cs-CZ"/>
        </w:rPr>
        <w:t xml:space="preserve">* </w:t>
      </w:r>
      <w:r w:rsidRPr="00B2127E">
        <w:rPr>
          <w:rFonts w:eastAsia="Times New Roman" w:cs="Arial"/>
          <w:szCs w:val="20"/>
          <w:lang w:eastAsia="cs-CZ"/>
        </w:rPr>
        <w:t>Se</w:t>
      </w:r>
      <w:r>
        <w:rPr>
          <w:rFonts w:eastAsia="Times New Roman" w:cs="Arial"/>
          <w:szCs w:val="20"/>
          <w:lang w:eastAsia="cs-CZ"/>
        </w:rPr>
        <w:t>zónní potraviny zahrnují ryby a mořské plody, ovoce a zeleninu.</w:t>
      </w:r>
    </w:p>
    <w:p w:rsidR="00362D31" w:rsidRPr="00EF125D" w:rsidRDefault="00362D31" w:rsidP="00362D31">
      <w:pPr>
        <w:rPr>
          <w:rFonts w:eastAsia="Times New Roman" w:cs="Arial"/>
          <w:szCs w:val="20"/>
          <w:lang w:eastAsia="cs-CZ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AD46F9" w:rsidRDefault="00AD46F9" w:rsidP="00362D31">
      <w:pPr>
        <w:rPr>
          <w:rFonts w:cs="Arial"/>
        </w:rPr>
      </w:pPr>
    </w:p>
    <w:p w:rsidR="00AD46F9" w:rsidRDefault="00AD46F9" w:rsidP="00362D31">
      <w:pPr>
        <w:rPr>
          <w:rFonts w:cs="Arial"/>
        </w:rPr>
      </w:pPr>
    </w:p>
    <w:p w:rsidR="00362D31" w:rsidRDefault="00362D31" w:rsidP="00362D31">
      <w:pPr>
        <w:rPr>
          <w:rFonts w:eastAsia="Times New Roman" w:cs="Arial"/>
          <w:szCs w:val="20"/>
          <w:lang w:eastAsia="cs-CZ"/>
        </w:rPr>
      </w:pPr>
    </w:p>
    <w:p w:rsidR="00362D31" w:rsidRDefault="00362D31" w:rsidP="00362D31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 xml:space="preserve">V oddíle </w:t>
      </w:r>
      <w:r w:rsidRPr="00A9350F">
        <w:rPr>
          <w:rFonts w:eastAsia="Times New Roman" w:cs="Arial"/>
          <w:b/>
          <w:szCs w:val="20"/>
          <w:lang w:eastAsia="cs-CZ"/>
        </w:rPr>
        <w:t>odívání a obuv</w:t>
      </w:r>
      <w:r>
        <w:rPr>
          <w:rFonts w:eastAsia="Times New Roman" w:cs="Arial"/>
          <w:szCs w:val="20"/>
          <w:lang w:eastAsia="cs-CZ"/>
        </w:rPr>
        <w:t xml:space="preserve"> vzrostly ceny oděvů o 4,2 % a obuvi o 1,9 %.</w:t>
      </w:r>
    </w:p>
    <w:p w:rsidR="00362D31" w:rsidRDefault="00362D31" w:rsidP="00362D31">
      <w:pPr>
        <w:rPr>
          <w:rFonts w:eastAsia="Times New Roman" w:cs="Arial"/>
          <w:szCs w:val="20"/>
          <w:lang w:eastAsia="cs-CZ"/>
        </w:rPr>
      </w:pPr>
    </w:p>
    <w:p w:rsidR="00362D31" w:rsidRDefault="00362D31" w:rsidP="00362D31">
      <w:pPr>
        <w:rPr>
          <w:rFonts w:cs="Arial"/>
        </w:rPr>
      </w:pPr>
      <w:r>
        <w:rPr>
          <w:rFonts w:eastAsia="Times New Roman" w:cs="Arial"/>
          <w:szCs w:val="20"/>
          <w:lang w:eastAsia="cs-CZ"/>
        </w:rPr>
        <w:t xml:space="preserve">V oddíle </w:t>
      </w:r>
      <w:r w:rsidRPr="003456B8">
        <w:rPr>
          <w:rFonts w:eastAsia="Times New Roman" w:cs="Arial"/>
          <w:b/>
          <w:szCs w:val="20"/>
          <w:lang w:eastAsia="cs-CZ"/>
        </w:rPr>
        <w:t>stravování a ubytování</w:t>
      </w:r>
      <w:r>
        <w:rPr>
          <w:rFonts w:eastAsia="Times New Roman" w:cs="Arial"/>
          <w:szCs w:val="20"/>
          <w:lang w:eastAsia="cs-CZ"/>
        </w:rPr>
        <w:t xml:space="preserve"> se zvýšily ceny stravovacích služeb o 5,5 % a ubytovacích služeb o 2,5 %. </w:t>
      </w:r>
    </w:p>
    <w:p w:rsidR="00362D31" w:rsidRDefault="00362D31" w:rsidP="00362D31">
      <w:pPr>
        <w:rPr>
          <w:rFonts w:eastAsia="Times New Roman" w:cs="Arial"/>
          <w:szCs w:val="20"/>
          <w:lang w:eastAsia="cs-CZ"/>
        </w:rPr>
      </w:pPr>
    </w:p>
    <w:p w:rsidR="00362D31" w:rsidRPr="00DC3E02" w:rsidRDefault="00362D31" w:rsidP="00362D31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V</w:t>
      </w:r>
      <w:r w:rsidRPr="00EF125D">
        <w:rPr>
          <w:rFonts w:eastAsia="Times New Roman" w:cs="Arial"/>
          <w:szCs w:val="20"/>
          <w:lang w:eastAsia="cs-CZ"/>
        </w:rPr>
        <w:t xml:space="preserve"> oddíle </w:t>
      </w:r>
      <w:r w:rsidRPr="00EF125D">
        <w:rPr>
          <w:rFonts w:eastAsia="Times New Roman" w:cs="Arial"/>
          <w:b/>
          <w:szCs w:val="20"/>
          <w:lang w:eastAsia="cs-CZ"/>
        </w:rPr>
        <w:t>ostatní zboží a služby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byly vyšší ceny finančních služeb o 2,5</w:t>
      </w:r>
      <w:r w:rsidR="008B7866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 xml:space="preserve">. Ceny zboží a služeb pro osobní péči vzrostly o 3,7 %. </w:t>
      </w:r>
    </w:p>
    <w:p w:rsidR="00362D31" w:rsidRDefault="00362D31" w:rsidP="00362D31">
      <w:pPr>
        <w:rPr>
          <w:rFonts w:eastAsia="Times New Roman" w:cs="Arial"/>
          <w:szCs w:val="20"/>
          <w:lang w:eastAsia="cs-CZ"/>
        </w:rPr>
      </w:pPr>
    </w:p>
    <w:p w:rsidR="00362D31" w:rsidRDefault="00362D31" w:rsidP="00362D31">
      <w:pPr>
        <w:rPr>
          <w:rFonts w:cs="Arial"/>
        </w:rPr>
      </w:pPr>
    </w:p>
    <w:p w:rsidR="00362D31" w:rsidRDefault="00362D31" w:rsidP="00362D31">
      <w:pPr>
        <w:rPr>
          <w:rFonts w:cs="Arial"/>
        </w:rPr>
      </w:pPr>
    </w:p>
    <w:p w:rsidR="00362D31" w:rsidRPr="00EF125D" w:rsidRDefault="00362D31" w:rsidP="00362D31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t xml:space="preserve">Výše uvedené pohyby spotřebitelských cen se projevily v růstu cen </w:t>
      </w:r>
      <w:r w:rsidRPr="00EF125D">
        <w:rPr>
          <w:rFonts w:ascii="Arial" w:hAnsi="Arial"/>
          <w:b/>
          <w:bCs/>
          <w:sz w:val="20"/>
          <w:szCs w:val="20"/>
        </w:rPr>
        <w:t>zboží úhrnem</w:t>
      </w:r>
      <w:r w:rsidRPr="00EF125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 3,0</w:t>
      </w:r>
      <w:r w:rsidRPr="00EF125D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 a </w:t>
      </w:r>
      <w:r w:rsidRPr="00EF125D">
        <w:rPr>
          <w:rFonts w:ascii="Arial" w:hAnsi="Arial"/>
          <w:sz w:val="20"/>
          <w:szCs w:val="20"/>
        </w:rPr>
        <w:t xml:space="preserve">cen </w:t>
      </w:r>
      <w:r w:rsidRPr="00EF125D">
        <w:rPr>
          <w:rFonts w:ascii="Arial" w:hAnsi="Arial"/>
          <w:b/>
          <w:sz w:val="20"/>
          <w:szCs w:val="20"/>
        </w:rPr>
        <w:t xml:space="preserve">služeb </w:t>
      </w:r>
      <w:r>
        <w:rPr>
          <w:rFonts w:ascii="Arial" w:hAnsi="Arial"/>
          <w:sz w:val="20"/>
          <w:szCs w:val="20"/>
        </w:rPr>
        <w:t>o 3,3</w:t>
      </w:r>
      <w:r w:rsidRPr="00EF125D">
        <w:rPr>
          <w:rFonts w:ascii="Arial" w:hAnsi="Arial"/>
          <w:sz w:val="20"/>
          <w:szCs w:val="20"/>
        </w:rPr>
        <w:t> %.</w:t>
      </w:r>
    </w:p>
    <w:p w:rsidR="00362D31" w:rsidRPr="00EF125D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62D31" w:rsidRPr="00EF125D" w:rsidRDefault="00362D31" w:rsidP="00362D31">
      <w:pPr>
        <w:pStyle w:val="Zkladntext"/>
        <w:spacing w:line="276" w:lineRule="auto"/>
        <w:rPr>
          <w:szCs w:val="20"/>
        </w:rPr>
      </w:pPr>
    </w:p>
    <w:p w:rsidR="00362D31" w:rsidRPr="00EF125D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62D31" w:rsidRPr="00EF125D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62D31" w:rsidRPr="00EF125D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E154D6">
        <w:rPr>
          <w:noProof/>
          <w:lang w:eastAsia="cs-CZ"/>
        </w:rPr>
        <w:pict>
          <v:shape id="Obrázek 9" o:spid="_x0000_i1050" type="#_x0000_t75" style="width:425.25pt;height:240pt;visibility:visible;mso-wrap-style:square">
            <v:imagedata r:id="rId11" o:title=""/>
          </v:shape>
        </w:pict>
      </w:r>
    </w:p>
    <w:p w:rsidR="00362D31" w:rsidRPr="00EF125D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:rsidR="00362D31" w:rsidRPr="00EF125D" w:rsidRDefault="00362D31" w:rsidP="00362D31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Harm</w:t>
      </w:r>
      <w:r w:rsidRPr="00EF125D">
        <w:rPr>
          <w:rFonts w:ascii="Arial" w:hAnsi="Arial"/>
          <w:b/>
          <w:sz w:val="20"/>
          <w:szCs w:val="20"/>
        </w:rPr>
        <w:t>onizova</w:t>
      </w:r>
      <w:r>
        <w:rPr>
          <w:rFonts w:ascii="Arial" w:hAnsi="Arial"/>
          <w:b/>
          <w:sz w:val="20"/>
          <w:szCs w:val="20"/>
        </w:rPr>
        <w:t>ný index spotřebitelských cen v </w:t>
      </w:r>
      <w:r w:rsidRPr="00EF125D">
        <w:rPr>
          <w:rFonts w:ascii="Arial" w:hAnsi="Arial"/>
          <w:b/>
          <w:sz w:val="20"/>
          <w:szCs w:val="20"/>
        </w:rPr>
        <w:t xml:space="preserve">zóně </w:t>
      </w:r>
      <w:r>
        <w:rPr>
          <w:rFonts w:ascii="Arial" w:hAnsi="Arial"/>
          <w:b/>
          <w:sz w:val="20"/>
          <w:szCs w:val="20"/>
        </w:rPr>
        <w:t>EU27</w:t>
      </w:r>
    </w:p>
    <w:p w:rsidR="00362D31" w:rsidRPr="00EF125D" w:rsidRDefault="00362D31" w:rsidP="00362D3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t>Meziroční změna harmonizovaného index</w:t>
      </w:r>
      <w:r>
        <w:rPr>
          <w:rFonts w:ascii="Arial" w:hAnsi="Arial"/>
          <w:sz w:val="20"/>
          <w:szCs w:val="20"/>
        </w:rPr>
        <w:t>u spotřebitelských cen (HICP) 27</w:t>
      </w:r>
      <w:r w:rsidRPr="00EF125D">
        <w:rPr>
          <w:rFonts w:ascii="Arial" w:hAnsi="Arial"/>
          <w:sz w:val="20"/>
          <w:szCs w:val="20"/>
        </w:rPr>
        <w:t xml:space="preserve"> členských zemí EU byla podle údajů Eurostatu </w:t>
      </w:r>
      <w:r>
        <w:rPr>
          <w:rFonts w:ascii="Arial" w:hAnsi="Arial"/>
          <w:sz w:val="20"/>
          <w:szCs w:val="20"/>
        </w:rPr>
        <w:t xml:space="preserve">v roce 2020 </w:t>
      </w:r>
      <w:r w:rsidRPr="00EF125D">
        <w:rPr>
          <w:rFonts w:ascii="Arial" w:hAnsi="Arial"/>
          <w:sz w:val="20"/>
          <w:szCs w:val="20"/>
        </w:rPr>
        <w:t>v </w:t>
      </w:r>
      <w:r>
        <w:rPr>
          <w:rFonts w:ascii="Arial" w:hAnsi="Arial"/>
          <w:sz w:val="20"/>
          <w:szCs w:val="20"/>
        </w:rPr>
        <w:t>dubnu 0,6 </w:t>
      </w:r>
      <w:r w:rsidRPr="00EF125D">
        <w:rPr>
          <w:rFonts w:ascii="Arial" w:hAnsi="Arial"/>
          <w:sz w:val="20"/>
          <w:szCs w:val="20"/>
        </w:rPr>
        <w:t>% a v </w:t>
      </w:r>
      <w:r>
        <w:rPr>
          <w:rFonts w:ascii="Arial" w:hAnsi="Arial"/>
          <w:sz w:val="20"/>
          <w:szCs w:val="20"/>
        </w:rPr>
        <w:t>květnu</w:t>
      </w:r>
      <w:r w:rsidRPr="00EF125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0,5 </w:t>
      </w:r>
      <w:r w:rsidRPr="00EF125D">
        <w:rPr>
          <w:rFonts w:ascii="Arial" w:hAnsi="Arial"/>
          <w:sz w:val="20"/>
          <w:szCs w:val="20"/>
        </w:rPr>
        <w:t xml:space="preserve">%. </w:t>
      </w:r>
      <w:r>
        <w:rPr>
          <w:rFonts w:ascii="Arial" w:hAnsi="Arial"/>
          <w:sz w:val="20"/>
          <w:szCs w:val="20"/>
        </w:rPr>
        <w:t>V </w:t>
      </w:r>
      <w:r w:rsidRPr="00941B72">
        <w:rPr>
          <w:rFonts w:ascii="Arial" w:hAnsi="Arial"/>
          <w:sz w:val="20"/>
          <w:szCs w:val="20"/>
        </w:rPr>
        <w:t>ČR byly meziroční</w:t>
      </w:r>
      <w:r w:rsidRPr="00EF125D">
        <w:rPr>
          <w:rFonts w:ascii="Arial" w:hAnsi="Arial"/>
          <w:sz w:val="20"/>
          <w:szCs w:val="20"/>
        </w:rPr>
        <w:t xml:space="preserve"> hodnoty HICP v</w:t>
      </w:r>
      <w:r>
        <w:rPr>
          <w:rFonts w:ascii="Arial" w:hAnsi="Arial"/>
          <w:sz w:val="20"/>
          <w:szCs w:val="20"/>
        </w:rPr>
        <w:t> dubnu 3,3</w:t>
      </w:r>
      <w:r w:rsidRPr="00EF125D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 a v květnu 3,1 %.</w:t>
      </w:r>
      <w:r w:rsidRPr="00EF125D">
        <w:rPr>
          <w:rFonts w:ascii="Arial" w:hAnsi="Arial"/>
          <w:sz w:val="20"/>
          <w:szCs w:val="20"/>
        </w:rPr>
        <w:t xml:space="preserve"> Podle předběžných výpočtů vzrostl v </w:t>
      </w:r>
      <w:r>
        <w:rPr>
          <w:rFonts w:ascii="Arial" w:hAnsi="Arial"/>
          <w:sz w:val="20"/>
          <w:szCs w:val="20"/>
        </w:rPr>
        <w:t>červnu HICP v ČR meziročně o 3,4</w:t>
      </w:r>
      <w:r w:rsidRPr="00EF125D">
        <w:rPr>
          <w:rFonts w:ascii="Arial" w:hAnsi="Arial"/>
          <w:sz w:val="20"/>
          <w:szCs w:val="20"/>
        </w:rPr>
        <w:t xml:space="preserve"> %. </w:t>
      </w:r>
      <w:r>
        <w:rPr>
          <w:rFonts w:ascii="Arial" w:hAnsi="Arial" w:cs="Arial"/>
          <w:sz w:val="20"/>
          <w:szCs w:val="20"/>
        </w:rPr>
        <w:t>Z </w:t>
      </w:r>
      <w:r w:rsidRPr="00EF125D">
        <w:rPr>
          <w:rFonts w:ascii="Arial" w:hAnsi="Arial" w:cs="Arial"/>
          <w:sz w:val="20"/>
          <w:szCs w:val="20"/>
        </w:rPr>
        <w:t>níže uvedeného grafu je</w:t>
      </w:r>
      <w:r>
        <w:rPr>
          <w:rFonts w:ascii="Arial" w:hAnsi="Arial" w:cs="Arial"/>
          <w:sz w:val="20"/>
          <w:szCs w:val="20"/>
        </w:rPr>
        <w:t xml:space="preserve"> zřejmé, že HICP v ČR byl od ledna 2019 vyšší než v EU, přičemž rozdíl v hodnotách za ČR a EU se postupně zvyšoval. </w:t>
      </w:r>
      <w:r w:rsidRPr="00CA3416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květnu</w:t>
      </w:r>
      <w:r w:rsidRPr="00CA34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2020 </w:t>
      </w:r>
      <w:r w:rsidRPr="00CA3416">
        <w:rPr>
          <w:rFonts w:ascii="Arial" w:hAnsi="Arial" w:cs="Arial"/>
          <w:sz w:val="20"/>
          <w:szCs w:val="20"/>
        </w:rPr>
        <w:t xml:space="preserve">byl meziroční přírůstek HICP ve </w:t>
      </w:r>
      <w:r>
        <w:rPr>
          <w:rFonts w:ascii="Arial" w:hAnsi="Arial" w:cs="Arial"/>
          <w:sz w:val="20"/>
          <w:szCs w:val="20"/>
        </w:rPr>
        <w:t>14</w:t>
      </w:r>
      <w:r w:rsidRPr="00CA3416">
        <w:rPr>
          <w:rFonts w:ascii="Arial" w:hAnsi="Arial" w:cs="Arial"/>
          <w:sz w:val="20"/>
          <w:szCs w:val="20"/>
        </w:rPr>
        <w:t xml:space="preserve"> státech EU </w:t>
      </w:r>
      <w:r>
        <w:rPr>
          <w:rFonts w:ascii="Arial" w:hAnsi="Arial" w:cs="Arial"/>
          <w:sz w:val="20"/>
          <w:szCs w:val="20"/>
        </w:rPr>
        <w:t>záporný</w:t>
      </w:r>
      <w:r w:rsidRPr="00CA3416">
        <w:rPr>
          <w:rFonts w:ascii="Arial" w:hAnsi="Arial" w:cs="Arial"/>
          <w:sz w:val="20"/>
          <w:szCs w:val="20"/>
        </w:rPr>
        <w:t>, přičemž</w:t>
      </w:r>
      <w:r w:rsidR="00AD46F9">
        <w:rPr>
          <w:rFonts w:ascii="Arial" w:hAnsi="Arial" w:cs="Arial"/>
          <w:sz w:val="20"/>
          <w:szCs w:val="20"/>
        </w:rPr>
        <w:t xml:space="preserve"> se jeho hodnoty pohybovaly od –</w:t>
      </w:r>
      <w:r>
        <w:rPr>
          <w:rFonts w:ascii="Arial" w:hAnsi="Arial" w:cs="Arial"/>
          <w:sz w:val="20"/>
          <w:szCs w:val="20"/>
        </w:rPr>
        <w:t>1,8 % v Estonsku do 3,4 % v  Polsku.</w:t>
      </w:r>
    </w:p>
    <w:p w:rsidR="00362D31" w:rsidRPr="00EF125D" w:rsidRDefault="00362D31" w:rsidP="00362D3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szCs w:val="20"/>
        </w:rPr>
      </w:pPr>
      <w:r w:rsidRPr="00E154D6">
        <w:rPr>
          <w:noProof/>
          <w:lang w:eastAsia="cs-CZ"/>
        </w:rPr>
        <w:pict>
          <v:shape id="Obrázek 1" o:spid="_x0000_i1049" type="#_x0000_t75" style="width:404.25pt;height:261pt;visibility:visible;mso-wrap-style:square">
            <v:imagedata r:id="rId12" o:title=""/>
          </v:shape>
        </w:pict>
      </w:r>
    </w:p>
    <w:p w:rsidR="00362D31" w:rsidRPr="00EF125D" w:rsidRDefault="00362D31" w:rsidP="00362D31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362D31" w:rsidRDefault="00362D31" w:rsidP="00362D31">
      <w:pPr>
        <w:pStyle w:val="Zkladntext"/>
        <w:rPr>
          <w:rFonts w:ascii="Arial" w:hAnsi="Arial" w:cs="Arial"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62D31" w:rsidRPr="0045480C" w:rsidRDefault="00362D31" w:rsidP="00362D31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 w:rsidRPr="0045480C">
        <w:rPr>
          <w:rFonts w:ascii="Arial" w:hAnsi="Arial" w:cs="Arial"/>
          <w:b/>
          <w:sz w:val="20"/>
          <w:szCs w:val="20"/>
        </w:rPr>
        <w:lastRenderedPageBreak/>
        <w:t>Vývoj indexu spotřebitelských cen v členění dle </w:t>
      </w:r>
      <w:r w:rsidRPr="00CA3416">
        <w:rPr>
          <w:rFonts w:ascii="Arial" w:hAnsi="Arial" w:cs="Arial"/>
          <w:b/>
          <w:sz w:val="20"/>
          <w:szCs w:val="20"/>
        </w:rPr>
        <w:t>oddílů ECOICOP</w:t>
      </w:r>
    </w:p>
    <w:p w:rsidR="00362D31" w:rsidRPr="00EF125D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Pr="009363D1" w:rsidRDefault="00362D31" w:rsidP="00362D31">
      <w:pPr>
        <w:pStyle w:val="Zkladntext"/>
        <w:spacing w:line="276" w:lineRule="auto"/>
        <w:jc w:val="center"/>
        <w:rPr>
          <w:szCs w:val="22"/>
        </w:rPr>
      </w:pPr>
      <w:r w:rsidRPr="00E154D6">
        <w:rPr>
          <w:noProof/>
          <w:lang w:eastAsia="cs-CZ"/>
        </w:rPr>
        <w:pict>
          <v:shape id="Obrázek 11" o:spid="_x0000_i1048" type="#_x0000_t75" style="width:425.25pt;height:243.75pt;visibility:visible;mso-wrap-style:square">
            <v:imagedata r:id="rId13" o:title=""/>
          </v:shape>
        </w:pict>
      </w: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Pr="00EF125D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154D6">
        <w:rPr>
          <w:noProof/>
          <w:lang w:eastAsia="cs-CZ"/>
        </w:rPr>
        <w:pict>
          <v:shape id="Obrázek 12" o:spid="_x0000_i1047" type="#_x0000_t75" style="width:425.25pt;height:246pt;visibility:visible;mso-wrap-style:square">
            <v:imagedata r:id="rId14" o:title=""/>
          </v:shape>
        </w:pict>
      </w: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154D6">
        <w:rPr>
          <w:noProof/>
          <w:lang w:eastAsia="cs-CZ"/>
        </w:rPr>
        <w:lastRenderedPageBreak/>
        <w:pict>
          <v:shape id="Obrázek 13" o:spid="_x0000_i1046" type="#_x0000_t75" style="width:425.25pt;height:243.75pt;visibility:visible;mso-wrap-style:square">
            <v:imagedata r:id="rId15" o:title=""/>
          </v:shape>
        </w:pict>
      </w: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51AD">
        <w:rPr>
          <w:rFonts w:ascii="Arial" w:hAnsi="Arial" w:cs="Arial"/>
          <w:b/>
          <w:sz w:val="22"/>
          <w:szCs w:val="22"/>
        </w:rPr>
        <w:lastRenderedPageBreak/>
        <w:t>Indexy spotřebi</w:t>
      </w:r>
      <w:r>
        <w:rPr>
          <w:rFonts w:ascii="Arial" w:hAnsi="Arial" w:cs="Arial"/>
          <w:b/>
          <w:sz w:val="22"/>
          <w:szCs w:val="22"/>
        </w:rPr>
        <w:t xml:space="preserve">telských cen ve 2. čtvrtletí 2020 </w:t>
      </w:r>
    </w:p>
    <w:p w:rsidR="00362D31" w:rsidRDefault="00362D31" w:rsidP="00362D31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31" w:rsidRDefault="00362D31" w:rsidP="00362D31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E154D6">
        <w:rPr>
          <w:noProof/>
          <w:lang w:eastAsia="cs-CZ"/>
        </w:rPr>
        <w:pict>
          <v:shape id="Obrázek 8" o:spid="_x0000_i1045" type="#_x0000_t75" style="width:425.25pt;height:462.75pt;visibility:visible;mso-wrap-style:square">
            <v:imagedata r:id="rId16" o:title=""/>
          </v:shape>
        </w:pict>
      </w:r>
    </w:p>
    <w:p w:rsidR="00362D31" w:rsidRDefault="00362D31" w:rsidP="00362D31">
      <w:pPr>
        <w:pStyle w:val="Zkladntext"/>
        <w:rPr>
          <w:rFonts w:ascii="Arial" w:hAnsi="Arial" w:cs="Arial"/>
          <w:sz w:val="20"/>
          <w:szCs w:val="20"/>
        </w:rPr>
      </w:pPr>
    </w:p>
    <w:p w:rsidR="00362D31" w:rsidRPr="0064085C" w:rsidRDefault="00362D31" w:rsidP="00362D31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:rsidR="00362D31" w:rsidRPr="0064085C" w:rsidRDefault="00362D31" w:rsidP="00362D31">
      <w:pPr>
        <w:pStyle w:val="Zkladntext"/>
        <w:rPr>
          <w:rFonts w:ascii="Arial" w:hAnsi="Arial" w:cs="Arial"/>
          <w:sz w:val="20"/>
          <w:szCs w:val="20"/>
        </w:rPr>
      </w:pPr>
    </w:p>
    <w:p w:rsidR="00362D31" w:rsidRPr="0064085C" w:rsidRDefault="00362D31" w:rsidP="00362D31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:rsidR="00362D31" w:rsidRPr="0064085C" w:rsidRDefault="00362D31" w:rsidP="00362D31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Ing. Jiří Trexler</w:t>
      </w:r>
    </w:p>
    <w:p w:rsidR="00362D31" w:rsidRPr="0064085C" w:rsidRDefault="00362D31" w:rsidP="00362D31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:rsidR="00362D31" w:rsidRPr="0064085C" w:rsidRDefault="00362D31" w:rsidP="00362D31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p w:rsidR="004920AD" w:rsidRPr="00362D31" w:rsidRDefault="00362D31" w:rsidP="00AD46F9">
      <w:pPr>
        <w:pStyle w:val="Zkladntext"/>
      </w:pPr>
      <w:r w:rsidRPr="0064085C">
        <w:rPr>
          <w:rFonts w:ascii="Arial" w:hAnsi="Arial" w:cs="Arial"/>
          <w:sz w:val="20"/>
          <w:szCs w:val="20"/>
        </w:rPr>
        <w:t>Tel.: 274 054</w:t>
      </w:r>
      <w:r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</w:p>
    <w:sectPr w:rsidR="004920AD" w:rsidRPr="00362D31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1B" w:rsidRDefault="0033111B" w:rsidP="00BA6370">
      <w:r>
        <w:separator/>
      </w:r>
    </w:p>
  </w:endnote>
  <w:endnote w:type="continuationSeparator" w:id="0">
    <w:p w:rsidR="0033111B" w:rsidRDefault="0033111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3111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200D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200DE" w:rsidRPr="004E479E">
                  <w:rPr>
                    <w:rFonts w:cs="Arial"/>
                    <w:szCs w:val="15"/>
                  </w:rPr>
                  <w:fldChar w:fldCharType="separate"/>
                </w:r>
                <w:r w:rsidR="008B7866">
                  <w:rPr>
                    <w:rFonts w:cs="Arial"/>
                    <w:noProof/>
                    <w:szCs w:val="15"/>
                  </w:rPr>
                  <w:t>1</w:t>
                </w:r>
                <w:r w:rsidR="009200D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1B" w:rsidRDefault="0033111B" w:rsidP="00BA6370">
      <w:r>
        <w:separator/>
      </w:r>
    </w:p>
  </w:footnote>
  <w:footnote w:type="continuationSeparator" w:id="0">
    <w:p w:rsidR="0033111B" w:rsidRDefault="0033111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3111B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272"/>
    <w:rsid w:val="00043BF4"/>
    <w:rsid w:val="000843A5"/>
    <w:rsid w:val="000B6F63"/>
    <w:rsid w:val="000F5B28"/>
    <w:rsid w:val="00110D2C"/>
    <w:rsid w:val="00127216"/>
    <w:rsid w:val="001404AB"/>
    <w:rsid w:val="001658A9"/>
    <w:rsid w:val="0017231D"/>
    <w:rsid w:val="00175ABA"/>
    <w:rsid w:val="001810DC"/>
    <w:rsid w:val="001A59BF"/>
    <w:rsid w:val="001B607F"/>
    <w:rsid w:val="001D2496"/>
    <w:rsid w:val="001D369A"/>
    <w:rsid w:val="001F6C45"/>
    <w:rsid w:val="002070FB"/>
    <w:rsid w:val="00213729"/>
    <w:rsid w:val="002406FA"/>
    <w:rsid w:val="00294272"/>
    <w:rsid w:val="002B2E47"/>
    <w:rsid w:val="002D6A6C"/>
    <w:rsid w:val="003301A3"/>
    <w:rsid w:val="0033111B"/>
    <w:rsid w:val="00362D31"/>
    <w:rsid w:val="0036777B"/>
    <w:rsid w:val="0038282A"/>
    <w:rsid w:val="00397580"/>
    <w:rsid w:val="003A1794"/>
    <w:rsid w:val="003A45C8"/>
    <w:rsid w:val="003C2DCF"/>
    <w:rsid w:val="003C7FE7"/>
    <w:rsid w:val="003D0499"/>
    <w:rsid w:val="003F526A"/>
    <w:rsid w:val="00405244"/>
    <w:rsid w:val="004436EE"/>
    <w:rsid w:val="0045547F"/>
    <w:rsid w:val="00461AA0"/>
    <w:rsid w:val="004920AD"/>
    <w:rsid w:val="004D05B3"/>
    <w:rsid w:val="004E479E"/>
    <w:rsid w:val="004F78E6"/>
    <w:rsid w:val="00512D99"/>
    <w:rsid w:val="00521C2A"/>
    <w:rsid w:val="00531DBB"/>
    <w:rsid w:val="005320B3"/>
    <w:rsid w:val="00544B6D"/>
    <w:rsid w:val="00553DAA"/>
    <w:rsid w:val="005646B3"/>
    <w:rsid w:val="00576430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C09DD"/>
    <w:rsid w:val="006E024F"/>
    <w:rsid w:val="006E4E81"/>
    <w:rsid w:val="00707F7D"/>
    <w:rsid w:val="00717EC5"/>
    <w:rsid w:val="00737B80"/>
    <w:rsid w:val="007A57F2"/>
    <w:rsid w:val="007B1333"/>
    <w:rsid w:val="007E23A3"/>
    <w:rsid w:val="007F4AEB"/>
    <w:rsid w:val="007F75B2"/>
    <w:rsid w:val="008043C4"/>
    <w:rsid w:val="00815588"/>
    <w:rsid w:val="00830309"/>
    <w:rsid w:val="00831B1B"/>
    <w:rsid w:val="00861D0E"/>
    <w:rsid w:val="00867569"/>
    <w:rsid w:val="008A18A9"/>
    <w:rsid w:val="008A750A"/>
    <w:rsid w:val="008B7866"/>
    <w:rsid w:val="008C384C"/>
    <w:rsid w:val="008D0F11"/>
    <w:rsid w:val="008F73B4"/>
    <w:rsid w:val="0090741A"/>
    <w:rsid w:val="009200DE"/>
    <w:rsid w:val="00931A52"/>
    <w:rsid w:val="009B55B1"/>
    <w:rsid w:val="00A4343D"/>
    <w:rsid w:val="00A502F1"/>
    <w:rsid w:val="00A56C80"/>
    <w:rsid w:val="00A70A83"/>
    <w:rsid w:val="00A81EB3"/>
    <w:rsid w:val="00AD46F9"/>
    <w:rsid w:val="00B00C1D"/>
    <w:rsid w:val="00B33194"/>
    <w:rsid w:val="00B525B5"/>
    <w:rsid w:val="00B7482C"/>
    <w:rsid w:val="00BA439F"/>
    <w:rsid w:val="00BA6370"/>
    <w:rsid w:val="00BC748B"/>
    <w:rsid w:val="00C269D4"/>
    <w:rsid w:val="00C4160D"/>
    <w:rsid w:val="00C8406E"/>
    <w:rsid w:val="00CB2709"/>
    <w:rsid w:val="00CB6F89"/>
    <w:rsid w:val="00CE228C"/>
    <w:rsid w:val="00CF545B"/>
    <w:rsid w:val="00D27D69"/>
    <w:rsid w:val="00D448C2"/>
    <w:rsid w:val="00D666C3"/>
    <w:rsid w:val="00DB7467"/>
    <w:rsid w:val="00DD1EAE"/>
    <w:rsid w:val="00DE60A7"/>
    <w:rsid w:val="00DF47FE"/>
    <w:rsid w:val="00E26704"/>
    <w:rsid w:val="00E31980"/>
    <w:rsid w:val="00E42E00"/>
    <w:rsid w:val="00E6423C"/>
    <w:rsid w:val="00E93830"/>
    <w:rsid w:val="00E93E0E"/>
    <w:rsid w:val="00EA006B"/>
    <w:rsid w:val="00EA7B94"/>
    <w:rsid w:val="00EB1ED3"/>
    <w:rsid w:val="00EB4B5C"/>
    <w:rsid w:val="00EC2D51"/>
    <w:rsid w:val="00ED7B69"/>
    <w:rsid w:val="00F13564"/>
    <w:rsid w:val="00F26395"/>
    <w:rsid w:val="00F32DA4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  <w14:docId w14:val="085233BA"/>
  <w15:docId w15:val="{BA2E3A50-CFA3-4EF4-8E5B-084EA52D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A006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2">
    <w:name w:val="Body Text Indent 2"/>
    <w:basedOn w:val="Normln"/>
    <w:link w:val="Zkladntextodsazen2Char"/>
    <w:rsid w:val="00EA006B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EA006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EA006B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EA006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atum0">
    <w:name w:val="datum"/>
    <w:next w:val="Normln"/>
    <w:qFormat/>
    <w:rsid w:val="00362D31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KRI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53B6-FF63-4602-9A42-289ED1C7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7</TotalTime>
  <Pages>10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Trexler</dc:creator>
  <cp:lastModifiedBy>Jana Henkrichová</cp:lastModifiedBy>
  <cp:revision>3</cp:revision>
  <dcterms:created xsi:type="dcterms:W3CDTF">2020-07-08T09:36:00Z</dcterms:created>
  <dcterms:modified xsi:type="dcterms:W3CDTF">2020-07-08T09:43:00Z</dcterms:modified>
</cp:coreProperties>
</file>