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7B085" w14:textId="3C390E75" w:rsidR="00C715CC" w:rsidRPr="000A5DBC" w:rsidRDefault="00C715CC" w:rsidP="00C715CC">
      <w:pPr>
        <w:pStyle w:val="Nadpis11"/>
        <w:rPr>
          <w:lang w:val="en-GB"/>
        </w:rPr>
      </w:pPr>
      <w:bookmarkStart w:id="0" w:name="_Toc532558287"/>
      <w:bookmarkStart w:id="1" w:name="_Toc37403646"/>
      <w:r w:rsidRPr="000A5DBC">
        <w:rPr>
          <w:lang w:val="en-GB"/>
        </w:rPr>
        <w:t>7. M</w:t>
      </w:r>
      <w:r w:rsidR="00C74E4E" w:rsidRPr="000A5DBC">
        <w:rPr>
          <w:lang w:val="en-GB"/>
        </w:rPr>
        <w:t>onetary Conditions</w:t>
      </w:r>
      <w:bookmarkEnd w:id="0"/>
      <w:bookmarkEnd w:id="1"/>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DB5E3A" w:rsidRPr="000A5DBC" w14:paraId="3D0986B0" w14:textId="77777777" w:rsidTr="00A1053B">
        <w:trPr>
          <w:trHeight w:val="145"/>
        </w:trPr>
        <w:tc>
          <w:tcPr>
            <w:tcW w:w="1802" w:type="dxa"/>
            <w:shd w:val="clear" w:color="auto" w:fill="auto"/>
            <w:tcMar>
              <w:left w:w="0" w:type="dxa"/>
            </w:tcMar>
          </w:tcPr>
          <w:p w14:paraId="131BD0A9" w14:textId="77777777" w:rsidR="00DB5E3A" w:rsidRPr="000A5DBC" w:rsidRDefault="00DB5E3A" w:rsidP="00A1053B">
            <w:pPr>
              <w:pStyle w:val="Marginlie"/>
              <w:rPr>
                <w:lang w:val="en-GB"/>
              </w:rPr>
            </w:pPr>
            <w:r w:rsidRPr="000A5DBC">
              <w:rPr>
                <w:lang w:val="en-GB"/>
              </w:rPr>
              <w:t>M</w:t>
            </w:r>
            <w:r w:rsidR="00041BB2" w:rsidRPr="000A5DBC">
              <w:rPr>
                <w:lang w:val="en-GB"/>
              </w:rPr>
              <w:t>onetary policy-relevant interest rates were changed only once last year.</w:t>
            </w:r>
          </w:p>
        </w:tc>
        <w:tc>
          <w:tcPr>
            <w:tcW w:w="229" w:type="dxa"/>
            <w:shd w:val="clear" w:color="auto" w:fill="auto"/>
            <w:tcMar>
              <w:left w:w="0" w:type="dxa"/>
            </w:tcMar>
          </w:tcPr>
          <w:p w14:paraId="2D209DEA" w14:textId="77777777" w:rsidR="00DB5E3A" w:rsidRPr="000A5DBC" w:rsidRDefault="00DB5E3A" w:rsidP="00A1053B">
            <w:pPr>
              <w:pStyle w:val="Textpoznpodarou"/>
              <w:jc w:val="both"/>
              <w:rPr>
                <w:spacing w:val="-4"/>
                <w:lang w:val="en-GB"/>
              </w:rPr>
            </w:pPr>
          </w:p>
        </w:tc>
        <w:tc>
          <w:tcPr>
            <w:tcW w:w="7610" w:type="dxa"/>
            <w:shd w:val="clear" w:color="auto" w:fill="auto"/>
            <w:tcMar>
              <w:left w:w="0" w:type="dxa"/>
            </w:tcMar>
          </w:tcPr>
          <w:p w14:paraId="5756EE87" w14:textId="77777777" w:rsidR="00DB5E3A" w:rsidRPr="000A5DBC" w:rsidRDefault="00EC1061" w:rsidP="00A1053B">
            <w:pPr>
              <w:rPr>
                <w:spacing w:val="-2"/>
                <w:lang w:val="en-GB"/>
              </w:rPr>
            </w:pPr>
            <w:r w:rsidRPr="000A5DBC">
              <w:rPr>
                <w:spacing w:val="-2"/>
                <w:lang w:val="en-GB"/>
              </w:rPr>
              <w:t>Set up of basic monetary policy-relevant rat</w:t>
            </w:r>
            <w:r w:rsidR="00955301" w:rsidRPr="000A5DBC">
              <w:rPr>
                <w:spacing w:val="-2"/>
                <w:lang w:val="en-GB"/>
              </w:rPr>
              <w:t>e</w:t>
            </w:r>
            <w:r w:rsidRPr="000A5DBC">
              <w:rPr>
                <w:spacing w:val="-2"/>
                <w:lang w:val="en-GB"/>
              </w:rPr>
              <w:t xml:space="preserve">s of the CNB was last year adjusted only once, concretely in May. </w:t>
            </w:r>
            <w:r w:rsidR="002E3320" w:rsidRPr="000A5DBC">
              <w:rPr>
                <w:spacing w:val="-2"/>
                <w:lang w:val="en-GB"/>
              </w:rPr>
              <w:t>Thus,</w:t>
            </w:r>
            <w:r w:rsidR="001205FF" w:rsidRPr="000A5DBC">
              <w:rPr>
                <w:spacing w:val="-2"/>
                <w:lang w:val="en-GB"/>
              </w:rPr>
              <w:t xml:space="preserve"> repo rate was </w:t>
            </w:r>
            <w:r w:rsidR="00DB5E3A" w:rsidRPr="000A5DBC">
              <w:rPr>
                <w:spacing w:val="-2"/>
                <w:lang w:val="en-GB"/>
              </w:rPr>
              <w:t>2%, dis</w:t>
            </w:r>
            <w:r w:rsidR="001205FF" w:rsidRPr="000A5DBC">
              <w:rPr>
                <w:spacing w:val="-2"/>
                <w:lang w:val="en-GB"/>
              </w:rPr>
              <w:t xml:space="preserve">count rate </w:t>
            </w:r>
            <w:r w:rsidR="00DB5E3A" w:rsidRPr="000A5DBC">
              <w:rPr>
                <w:spacing w:val="-2"/>
                <w:lang w:val="en-GB"/>
              </w:rPr>
              <w:t>1% a</w:t>
            </w:r>
            <w:r w:rsidR="00F717EE" w:rsidRPr="000A5DBC">
              <w:rPr>
                <w:spacing w:val="-2"/>
                <w:lang w:val="en-GB"/>
              </w:rPr>
              <w:t xml:space="preserve">nd Lombard </w:t>
            </w:r>
            <w:r w:rsidR="002E3320" w:rsidRPr="000A5DBC">
              <w:rPr>
                <w:spacing w:val="-2"/>
                <w:lang w:val="en-GB"/>
              </w:rPr>
              <w:t>rate 3</w:t>
            </w:r>
            <w:r w:rsidR="00DB5E3A" w:rsidRPr="000A5DBC">
              <w:rPr>
                <w:spacing w:val="-2"/>
                <w:lang w:val="en-GB"/>
              </w:rPr>
              <w:t>%</w:t>
            </w:r>
            <w:r w:rsidR="001205FF" w:rsidRPr="000A5DBC">
              <w:rPr>
                <w:spacing w:val="-2"/>
                <w:lang w:val="en-GB"/>
              </w:rPr>
              <w:t xml:space="preserve"> till the end of the year</w:t>
            </w:r>
            <w:r w:rsidR="00DB5E3A" w:rsidRPr="000A5DBC">
              <w:rPr>
                <w:spacing w:val="-2"/>
                <w:lang w:val="en-GB"/>
              </w:rPr>
              <w:t xml:space="preserve">. </w:t>
            </w:r>
            <w:r w:rsidR="00E0757D" w:rsidRPr="000A5DBC">
              <w:rPr>
                <w:spacing w:val="-2"/>
                <w:lang w:val="en-GB"/>
              </w:rPr>
              <w:t xml:space="preserve">Koruna foreign exchange against euro moved in the range between </w:t>
            </w:r>
            <w:r w:rsidR="00DB5E3A" w:rsidRPr="000A5DBC">
              <w:rPr>
                <w:spacing w:val="-2"/>
                <w:lang w:val="en-GB"/>
              </w:rPr>
              <w:t>25</w:t>
            </w:r>
            <w:r w:rsidR="00E0757D" w:rsidRPr="000A5DBC">
              <w:rPr>
                <w:spacing w:val="-2"/>
                <w:lang w:val="en-GB"/>
              </w:rPr>
              <w:t>.</w:t>
            </w:r>
            <w:r w:rsidR="00DB5E3A" w:rsidRPr="000A5DBC">
              <w:rPr>
                <w:spacing w:val="-2"/>
                <w:lang w:val="en-GB"/>
              </w:rPr>
              <w:t>40 a</w:t>
            </w:r>
            <w:r w:rsidR="00E0757D" w:rsidRPr="000A5DBC">
              <w:rPr>
                <w:spacing w:val="-2"/>
                <w:lang w:val="en-GB"/>
              </w:rPr>
              <w:t>nd</w:t>
            </w:r>
            <w:r w:rsidR="00DB5E3A" w:rsidRPr="000A5DBC">
              <w:rPr>
                <w:spacing w:val="-2"/>
                <w:lang w:val="en-GB"/>
              </w:rPr>
              <w:t> 25</w:t>
            </w:r>
            <w:r w:rsidR="00E0757D" w:rsidRPr="000A5DBC">
              <w:rPr>
                <w:spacing w:val="-2"/>
                <w:lang w:val="en-GB"/>
              </w:rPr>
              <w:t>.</w:t>
            </w:r>
            <w:r w:rsidR="00DB5E3A" w:rsidRPr="000A5DBC">
              <w:rPr>
                <w:spacing w:val="-2"/>
                <w:lang w:val="en-GB"/>
              </w:rPr>
              <w:t>90 korun</w:t>
            </w:r>
            <w:r w:rsidR="00E0757D" w:rsidRPr="000A5DBC">
              <w:rPr>
                <w:spacing w:val="-2"/>
                <w:lang w:val="en-GB"/>
              </w:rPr>
              <w:t>a per euro</w:t>
            </w:r>
            <w:r w:rsidR="00DB5E3A" w:rsidRPr="000A5DBC">
              <w:rPr>
                <w:rStyle w:val="Znakapoznpodarou"/>
                <w:spacing w:val="-2"/>
                <w:lang w:val="en-GB"/>
              </w:rPr>
              <w:footnoteReference w:id="1"/>
            </w:r>
            <w:r w:rsidR="00E0757D" w:rsidRPr="000A5DBC">
              <w:rPr>
                <w:spacing w:val="-2"/>
                <w:lang w:val="en-GB"/>
              </w:rPr>
              <w:t xml:space="preserve"> for the whole year</w:t>
            </w:r>
            <w:r w:rsidR="00DB5E3A" w:rsidRPr="000A5DBC">
              <w:rPr>
                <w:spacing w:val="-2"/>
                <w:lang w:val="en-GB"/>
              </w:rPr>
              <w:t xml:space="preserve">. </w:t>
            </w:r>
            <w:r w:rsidR="002E3320" w:rsidRPr="000A5DBC">
              <w:rPr>
                <w:spacing w:val="-2"/>
                <w:lang w:val="en-GB"/>
              </w:rPr>
              <w:t xml:space="preserve">Average value of the foreign exchange attained </w:t>
            </w:r>
            <w:r w:rsidR="00DB5E3A" w:rsidRPr="000A5DBC">
              <w:rPr>
                <w:spacing w:val="-2"/>
                <w:lang w:val="en-GB"/>
              </w:rPr>
              <w:t>25</w:t>
            </w:r>
            <w:r w:rsidR="002E3320" w:rsidRPr="000A5DBC">
              <w:rPr>
                <w:spacing w:val="-2"/>
                <w:lang w:val="en-GB"/>
              </w:rPr>
              <w:t>.</w:t>
            </w:r>
            <w:r w:rsidR="00DB5E3A" w:rsidRPr="000A5DBC">
              <w:rPr>
                <w:spacing w:val="-2"/>
                <w:lang w:val="en-GB"/>
              </w:rPr>
              <w:t>68 korun</w:t>
            </w:r>
            <w:r w:rsidR="002E3320" w:rsidRPr="000A5DBC">
              <w:rPr>
                <w:spacing w:val="-2"/>
                <w:lang w:val="en-GB"/>
              </w:rPr>
              <w:t xml:space="preserve">a in </w:t>
            </w:r>
            <w:r w:rsidR="00D56658">
              <w:rPr>
                <w:spacing w:val="-2"/>
                <w:lang w:val="en-GB"/>
              </w:rPr>
              <w:t>Q</w:t>
            </w:r>
            <w:r w:rsidR="00DB5E3A" w:rsidRPr="000A5DBC">
              <w:rPr>
                <w:spacing w:val="-2"/>
                <w:lang w:val="en-GB"/>
              </w:rPr>
              <w:t>1</w:t>
            </w:r>
            <w:r w:rsidR="00D56658">
              <w:rPr>
                <w:spacing w:val="-2"/>
                <w:lang w:val="en-GB"/>
              </w:rPr>
              <w:t xml:space="preserve"> and Q2</w:t>
            </w:r>
            <w:r w:rsidR="002E3320" w:rsidRPr="000A5DBC">
              <w:rPr>
                <w:spacing w:val="-2"/>
                <w:lang w:val="en-GB"/>
              </w:rPr>
              <w:t xml:space="preserve"> and </w:t>
            </w:r>
            <w:r w:rsidR="00DB5E3A" w:rsidRPr="000A5DBC">
              <w:rPr>
                <w:spacing w:val="-2"/>
                <w:lang w:val="en-GB"/>
              </w:rPr>
              <w:t>25</w:t>
            </w:r>
            <w:r w:rsidR="002E3320" w:rsidRPr="000A5DBC">
              <w:rPr>
                <w:spacing w:val="-2"/>
                <w:lang w:val="en-GB"/>
              </w:rPr>
              <w:t>.</w:t>
            </w:r>
            <w:r w:rsidR="00DB5E3A" w:rsidRPr="000A5DBC">
              <w:rPr>
                <w:spacing w:val="-2"/>
                <w:lang w:val="en-GB"/>
              </w:rPr>
              <w:t>74</w:t>
            </w:r>
            <w:r w:rsidR="002E3320" w:rsidRPr="000A5DBC">
              <w:rPr>
                <w:spacing w:val="-2"/>
                <w:lang w:val="en-GB"/>
              </w:rPr>
              <w:t xml:space="preserve"> koruna in Q</w:t>
            </w:r>
            <w:r w:rsidR="00DB5E3A" w:rsidRPr="000A5DBC">
              <w:rPr>
                <w:spacing w:val="-2"/>
                <w:lang w:val="en-GB"/>
              </w:rPr>
              <w:t>3</w:t>
            </w:r>
            <w:r w:rsidR="002E3320" w:rsidRPr="000A5DBC">
              <w:rPr>
                <w:spacing w:val="-2"/>
                <w:lang w:val="en-GB"/>
              </w:rPr>
              <w:t xml:space="preserve"> and </w:t>
            </w:r>
            <w:r w:rsidR="00DB5E3A" w:rsidRPr="000A5DBC">
              <w:rPr>
                <w:spacing w:val="-2"/>
                <w:lang w:val="en-GB"/>
              </w:rPr>
              <w:t>25</w:t>
            </w:r>
            <w:r w:rsidR="002E3320" w:rsidRPr="000A5DBC">
              <w:rPr>
                <w:spacing w:val="-2"/>
                <w:lang w:val="en-GB"/>
              </w:rPr>
              <w:t>.</w:t>
            </w:r>
            <w:r w:rsidR="00DB5E3A" w:rsidRPr="000A5DBC">
              <w:rPr>
                <w:spacing w:val="-2"/>
                <w:lang w:val="en-GB"/>
              </w:rPr>
              <w:t>58 korun</w:t>
            </w:r>
            <w:r w:rsidR="002E3320" w:rsidRPr="000A5DBC">
              <w:rPr>
                <w:spacing w:val="-2"/>
                <w:lang w:val="en-GB"/>
              </w:rPr>
              <w:t>a in Q</w:t>
            </w:r>
            <w:r w:rsidR="00DB5E3A" w:rsidRPr="000A5DBC">
              <w:rPr>
                <w:spacing w:val="-2"/>
                <w:lang w:val="en-GB"/>
              </w:rPr>
              <w:t>4.</w:t>
            </w:r>
            <w:r w:rsidR="002E3320" w:rsidRPr="000A5DBC">
              <w:rPr>
                <w:spacing w:val="-2"/>
                <w:lang w:val="en-GB"/>
              </w:rPr>
              <w:t xml:space="preserve"> </w:t>
            </w:r>
            <w:r w:rsidR="00156342" w:rsidRPr="000A5DBC">
              <w:rPr>
                <w:spacing w:val="-2"/>
                <w:lang w:val="en-GB"/>
              </w:rPr>
              <w:t>Neither the year-on-year nor the quarter-on-quarter movement of the exchange rate thus w</w:t>
            </w:r>
            <w:r w:rsidR="00955301" w:rsidRPr="000A5DBC">
              <w:rPr>
                <w:spacing w:val="-2"/>
                <w:lang w:val="en-GB"/>
              </w:rPr>
              <w:t>ere</w:t>
            </w:r>
            <w:r w:rsidR="00156342" w:rsidRPr="000A5DBC">
              <w:rPr>
                <w:spacing w:val="-2"/>
                <w:lang w:val="en-GB"/>
              </w:rPr>
              <w:t xml:space="preserve"> not very significant. </w:t>
            </w:r>
            <w:r w:rsidR="004C2A3B" w:rsidRPr="000A5DBC">
              <w:rPr>
                <w:spacing w:val="-2"/>
                <w:lang w:val="en-GB"/>
              </w:rPr>
              <w:t xml:space="preserve">Koruna foreign exchange against dollar was characterised by a tendency to depreciate in Q1 to 3 </w:t>
            </w:r>
            <w:r w:rsidR="00DB5E3A" w:rsidRPr="000A5DBC">
              <w:rPr>
                <w:spacing w:val="-2"/>
                <w:lang w:val="en-GB"/>
              </w:rPr>
              <w:t>(</w:t>
            </w:r>
            <w:r w:rsidR="004C2A3B" w:rsidRPr="000A5DBC">
              <w:rPr>
                <w:spacing w:val="-2"/>
                <w:lang w:val="en-GB"/>
              </w:rPr>
              <w:t xml:space="preserve">with the exception of short appreciation during June, average foreign exchange was </w:t>
            </w:r>
            <w:r w:rsidR="00DB5E3A" w:rsidRPr="000A5DBC">
              <w:rPr>
                <w:spacing w:val="-2"/>
                <w:lang w:val="en-GB"/>
              </w:rPr>
              <w:t>22</w:t>
            </w:r>
            <w:r w:rsidR="004C2A3B" w:rsidRPr="000A5DBC">
              <w:rPr>
                <w:spacing w:val="-2"/>
                <w:lang w:val="en-GB"/>
              </w:rPr>
              <w:t>.</w:t>
            </w:r>
            <w:r w:rsidR="00DB5E3A" w:rsidRPr="000A5DBC">
              <w:rPr>
                <w:spacing w:val="-2"/>
                <w:lang w:val="en-GB"/>
              </w:rPr>
              <w:t>61, 22</w:t>
            </w:r>
            <w:r w:rsidR="004C2A3B" w:rsidRPr="000A5DBC">
              <w:rPr>
                <w:spacing w:val="-2"/>
                <w:lang w:val="en-GB"/>
              </w:rPr>
              <w:t>.</w:t>
            </w:r>
            <w:r w:rsidR="00DB5E3A" w:rsidRPr="000A5DBC">
              <w:rPr>
                <w:spacing w:val="-2"/>
                <w:lang w:val="en-GB"/>
              </w:rPr>
              <w:t>86 a</w:t>
            </w:r>
            <w:r w:rsidR="004C2A3B" w:rsidRPr="000A5DBC">
              <w:rPr>
                <w:spacing w:val="-2"/>
                <w:lang w:val="en-GB"/>
              </w:rPr>
              <w:t>nd</w:t>
            </w:r>
            <w:r w:rsidR="00DB5E3A" w:rsidRPr="000A5DBC">
              <w:rPr>
                <w:spacing w:val="-2"/>
                <w:lang w:val="en-GB"/>
              </w:rPr>
              <w:t> 23</w:t>
            </w:r>
            <w:r w:rsidR="004C2A3B" w:rsidRPr="000A5DBC">
              <w:rPr>
                <w:spacing w:val="-2"/>
                <w:lang w:val="en-GB"/>
              </w:rPr>
              <w:t>.</w:t>
            </w:r>
            <w:r w:rsidR="00DB5E3A" w:rsidRPr="000A5DBC">
              <w:rPr>
                <w:spacing w:val="-2"/>
                <w:lang w:val="en-GB"/>
              </w:rPr>
              <w:t>15 korun</w:t>
            </w:r>
            <w:r w:rsidR="004C2A3B" w:rsidRPr="000A5DBC">
              <w:rPr>
                <w:spacing w:val="-2"/>
                <w:lang w:val="en-GB"/>
              </w:rPr>
              <w:t>a in Q</w:t>
            </w:r>
            <w:r w:rsidR="00DB5E3A" w:rsidRPr="000A5DBC">
              <w:rPr>
                <w:spacing w:val="-2"/>
                <w:lang w:val="en-GB"/>
              </w:rPr>
              <w:t>1., 2. a</w:t>
            </w:r>
            <w:r w:rsidR="004C2A3B" w:rsidRPr="000A5DBC">
              <w:rPr>
                <w:spacing w:val="-2"/>
                <w:lang w:val="en-GB"/>
              </w:rPr>
              <w:t>nd</w:t>
            </w:r>
            <w:r w:rsidR="00DB5E3A" w:rsidRPr="000A5DBC">
              <w:rPr>
                <w:spacing w:val="-2"/>
                <w:lang w:val="en-GB"/>
              </w:rPr>
              <w:t xml:space="preserve"> 3). </w:t>
            </w:r>
            <w:r w:rsidR="00455B79" w:rsidRPr="000A5DBC">
              <w:rPr>
                <w:spacing w:val="-2"/>
                <w:lang w:val="en-GB"/>
              </w:rPr>
              <w:t>Koruna foreign exchange mildly appreciated in Q</w:t>
            </w:r>
            <w:r w:rsidR="00DB5E3A" w:rsidRPr="000A5DBC">
              <w:rPr>
                <w:spacing w:val="-2"/>
                <w:lang w:val="en-GB"/>
              </w:rPr>
              <w:t>4</w:t>
            </w:r>
            <w:r w:rsidR="00455B79" w:rsidRPr="000A5DBC">
              <w:rPr>
                <w:spacing w:val="-2"/>
                <w:lang w:val="en-GB"/>
              </w:rPr>
              <w:t xml:space="preserve"> </w:t>
            </w:r>
            <w:r w:rsidR="00DB5E3A" w:rsidRPr="000A5DBC">
              <w:rPr>
                <w:spacing w:val="-2"/>
                <w:lang w:val="en-GB"/>
              </w:rPr>
              <w:t>(</w:t>
            </w:r>
            <w:r w:rsidR="00455B79" w:rsidRPr="000A5DBC">
              <w:rPr>
                <w:spacing w:val="-2"/>
                <w:lang w:val="en-GB"/>
              </w:rPr>
              <w:t xml:space="preserve">average </w:t>
            </w:r>
            <w:r w:rsidR="00DB5E3A" w:rsidRPr="000A5DBC">
              <w:rPr>
                <w:spacing w:val="-2"/>
                <w:lang w:val="en-GB"/>
              </w:rPr>
              <w:t>23</w:t>
            </w:r>
            <w:r w:rsidR="00455B79" w:rsidRPr="000A5DBC">
              <w:rPr>
                <w:spacing w:val="-2"/>
                <w:lang w:val="en-GB"/>
              </w:rPr>
              <w:t>.</w:t>
            </w:r>
            <w:r w:rsidR="00DB5E3A" w:rsidRPr="000A5DBC">
              <w:rPr>
                <w:spacing w:val="-2"/>
                <w:lang w:val="en-GB"/>
              </w:rPr>
              <w:t>11 </w:t>
            </w:r>
            <w:r w:rsidR="00455B79" w:rsidRPr="000A5DBC">
              <w:rPr>
                <w:spacing w:val="-2"/>
                <w:lang w:val="en-GB"/>
              </w:rPr>
              <w:t>koruna per dollar</w:t>
            </w:r>
            <w:r w:rsidR="00DB5E3A" w:rsidRPr="000A5DBC">
              <w:rPr>
                <w:spacing w:val="-2"/>
                <w:lang w:val="en-GB"/>
              </w:rPr>
              <w:t xml:space="preserve">). </w:t>
            </w:r>
            <w:r w:rsidR="003F7093" w:rsidRPr="000A5DBC">
              <w:rPr>
                <w:spacing w:val="-2"/>
                <w:lang w:val="en-GB"/>
              </w:rPr>
              <w:t xml:space="preserve">Compared to year </w:t>
            </w:r>
            <w:r w:rsidR="00DB5E3A" w:rsidRPr="000A5DBC">
              <w:rPr>
                <w:spacing w:val="-2"/>
                <w:lang w:val="en-GB"/>
              </w:rPr>
              <w:t>2018</w:t>
            </w:r>
            <w:r w:rsidR="003F7093" w:rsidRPr="000A5DBC">
              <w:rPr>
                <w:spacing w:val="-2"/>
                <w:lang w:val="en-GB"/>
              </w:rPr>
              <w:t xml:space="preserve">, the foreign exchange rate against dollar was markedly weaker </w:t>
            </w:r>
            <w:r w:rsidR="00DB5E3A" w:rsidRPr="000A5DBC">
              <w:rPr>
                <w:spacing w:val="-2"/>
                <w:lang w:val="en-GB"/>
              </w:rPr>
              <w:t>(</w:t>
            </w:r>
            <w:r w:rsidR="003F7093" w:rsidRPr="000A5DBC">
              <w:rPr>
                <w:spacing w:val="-2"/>
                <w:lang w:val="en-GB"/>
              </w:rPr>
              <w:t xml:space="preserve">annual average was </w:t>
            </w:r>
            <w:r w:rsidR="00DB5E3A" w:rsidRPr="000A5DBC">
              <w:rPr>
                <w:spacing w:val="-2"/>
                <w:lang w:val="en-GB"/>
              </w:rPr>
              <w:t>21</w:t>
            </w:r>
            <w:r w:rsidR="003F7093" w:rsidRPr="000A5DBC">
              <w:rPr>
                <w:spacing w:val="-2"/>
                <w:lang w:val="en-GB"/>
              </w:rPr>
              <w:t>.</w:t>
            </w:r>
            <w:r w:rsidR="00DB5E3A" w:rsidRPr="000A5DBC">
              <w:rPr>
                <w:spacing w:val="-2"/>
                <w:lang w:val="en-GB"/>
              </w:rPr>
              <w:t>74 CZK/USD</w:t>
            </w:r>
            <w:r w:rsidR="003F7093" w:rsidRPr="000A5DBC">
              <w:rPr>
                <w:spacing w:val="-2"/>
                <w:lang w:val="en-GB"/>
              </w:rPr>
              <w:t xml:space="preserve"> in 2018</w:t>
            </w:r>
            <w:r w:rsidR="00DB5E3A" w:rsidRPr="000A5DBC">
              <w:rPr>
                <w:spacing w:val="-2"/>
                <w:lang w:val="en-GB"/>
              </w:rPr>
              <w:t xml:space="preserve">, </w:t>
            </w:r>
            <w:r w:rsidR="003F7093" w:rsidRPr="000A5DBC">
              <w:rPr>
                <w:spacing w:val="-2"/>
                <w:lang w:val="en-GB"/>
              </w:rPr>
              <w:t xml:space="preserve">it was </w:t>
            </w:r>
            <w:r w:rsidR="00DB5E3A" w:rsidRPr="000A5DBC">
              <w:rPr>
                <w:spacing w:val="-2"/>
                <w:lang w:val="en-GB"/>
              </w:rPr>
              <w:t>22</w:t>
            </w:r>
            <w:r w:rsidR="003F7093" w:rsidRPr="000A5DBC">
              <w:rPr>
                <w:spacing w:val="-2"/>
                <w:lang w:val="en-GB"/>
              </w:rPr>
              <w:t>.</w:t>
            </w:r>
            <w:r w:rsidR="00DB5E3A" w:rsidRPr="000A5DBC">
              <w:rPr>
                <w:spacing w:val="-2"/>
                <w:lang w:val="en-GB"/>
              </w:rPr>
              <w:t>93 CZK/USD</w:t>
            </w:r>
            <w:r w:rsidR="003F7093" w:rsidRPr="000A5DBC">
              <w:rPr>
                <w:spacing w:val="-2"/>
                <w:lang w:val="en-GB"/>
              </w:rPr>
              <w:t xml:space="preserve"> last year</w:t>
            </w:r>
            <w:r w:rsidR="00DB5E3A" w:rsidRPr="000A5DBC">
              <w:rPr>
                <w:spacing w:val="-2"/>
                <w:lang w:val="en-GB"/>
              </w:rPr>
              <w:t>).</w:t>
            </w:r>
          </w:p>
        </w:tc>
      </w:tr>
      <w:tr w:rsidR="00DB5E3A" w:rsidRPr="000A5DBC" w14:paraId="5610828A" w14:textId="77777777" w:rsidTr="00A1053B">
        <w:trPr>
          <w:trHeight w:val="145"/>
        </w:trPr>
        <w:tc>
          <w:tcPr>
            <w:tcW w:w="1802" w:type="dxa"/>
            <w:shd w:val="clear" w:color="auto" w:fill="auto"/>
            <w:tcMar>
              <w:left w:w="0" w:type="dxa"/>
            </w:tcMar>
          </w:tcPr>
          <w:p w14:paraId="3180D904" w14:textId="77777777" w:rsidR="00DB5E3A" w:rsidRPr="000A5DBC" w:rsidRDefault="001B1168" w:rsidP="00A1053B">
            <w:pPr>
              <w:pStyle w:val="Marginlie"/>
              <w:rPr>
                <w:lang w:val="en-GB"/>
              </w:rPr>
            </w:pPr>
            <w:r w:rsidRPr="000A5DBC">
              <w:rPr>
                <w:lang w:val="en-GB"/>
              </w:rPr>
              <w:t>Yields of government bonds have been growing since September</w:t>
            </w:r>
            <w:r w:rsidR="00DB5E3A" w:rsidRPr="000A5DBC">
              <w:rPr>
                <w:lang w:val="en-GB"/>
              </w:rPr>
              <w:t>.</w:t>
            </w:r>
          </w:p>
        </w:tc>
        <w:tc>
          <w:tcPr>
            <w:tcW w:w="229" w:type="dxa"/>
            <w:shd w:val="clear" w:color="auto" w:fill="auto"/>
            <w:tcMar>
              <w:left w:w="0" w:type="dxa"/>
            </w:tcMar>
          </w:tcPr>
          <w:p w14:paraId="37124871" w14:textId="77777777" w:rsidR="00DB5E3A" w:rsidRPr="000A5DBC" w:rsidRDefault="00DB5E3A" w:rsidP="00A1053B">
            <w:pPr>
              <w:pStyle w:val="Textpoznpodarou"/>
              <w:jc w:val="both"/>
              <w:rPr>
                <w:spacing w:val="-4"/>
                <w:lang w:val="en-GB"/>
              </w:rPr>
            </w:pPr>
          </w:p>
        </w:tc>
        <w:tc>
          <w:tcPr>
            <w:tcW w:w="7610" w:type="dxa"/>
            <w:shd w:val="clear" w:color="auto" w:fill="auto"/>
            <w:tcMar>
              <w:left w:w="0" w:type="dxa"/>
            </w:tcMar>
          </w:tcPr>
          <w:p w14:paraId="5371F6A9" w14:textId="77777777" w:rsidR="00DB5E3A" w:rsidRPr="000A5DBC" w:rsidRDefault="00934D84" w:rsidP="00A1053B">
            <w:pPr>
              <w:rPr>
                <w:spacing w:val="-1"/>
                <w:lang w:val="en-GB"/>
              </w:rPr>
            </w:pPr>
            <w:r w:rsidRPr="000A5DBC">
              <w:rPr>
                <w:spacing w:val="-1"/>
                <w:lang w:val="en-GB"/>
              </w:rPr>
              <w:t xml:space="preserve">Interbank interest rates essentially copy the development </w:t>
            </w:r>
            <w:r w:rsidR="00955301" w:rsidRPr="000A5DBC">
              <w:rPr>
                <w:spacing w:val="-1"/>
                <w:lang w:val="en-GB"/>
              </w:rPr>
              <w:t xml:space="preserve">of </w:t>
            </w:r>
            <w:r w:rsidRPr="000A5DBC">
              <w:rPr>
                <w:spacing w:val="-1"/>
                <w:lang w:val="en-GB"/>
              </w:rPr>
              <w:t xml:space="preserve">those monetary policy-relevant rates, so the </w:t>
            </w:r>
            <w:r w:rsidR="00DB5E3A" w:rsidRPr="000A5DBC">
              <w:rPr>
                <w:spacing w:val="-1"/>
                <w:lang w:val="en-GB"/>
              </w:rPr>
              <w:t>PRIBOR</w:t>
            </w:r>
            <w:r w:rsidRPr="000A5DBC">
              <w:rPr>
                <w:spacing w:val="-1"/>
                <w:lang w:val="en-GB"/>
              </w:rPr>
              <w:t xml:space="preserve"> interest rate</w:t>
            </w:r>
            <w:r w:rsidR="00DB5E3A" w:rsidRPr="000A5DBC">
              <w:rPr>
                <w:spacing w:val="-1"/>
                <w:lang w:val="en-GB"/>
              </w:rPr>
              <w:t xml:space="preserve"> (</w:t>
            </w:r>
            <w:r w:rsidRPr="000A5DBC">
              <w:rPr>
                <w:spacing w:val="-1"/>
                <w:lang w:val="en-GB"/>
              </w:rPr>
              <w:t>all types</w:t>
            </w:r>
            <w:r w:rsidR="00DB5E3A" w:rsidRPr="000A5DBC">
              <w:rPr>
                <w:spacing w:val="-1"/>
                <w:lang w:val="en-GB"/>
              </w:rPr>
              <w:t>)</w:t>
            </w:r>
            <w:r w:rsidRPr="000A5DBC">
              <w:rPr>
                <w:spacing w:val="-1"/>
                <w:lang w:val="en-GB"/>
              </w:rPr>
              <w:t xml:space="preserve"> did not change much following the May increase. </w:t>
            </w:r>
            <w:r w:rsidR="00971F0B" w:rsidRPr="000A5DBC">
              <w:rPr>
                <w:spacing w:val="-1"/>
                <w:lang w:val="en-GB"/>
              </w:rPr>
              <w:t>Three-month</w:t>
            </w:r>
            <w:r w:rsidR="00E914CF" w:rsidRPr="000A5DBC">
              <w:rPr>
                <w:spacing w:val="-1"/>
                <w:lang w:val="en-GB"/>
              </w:rPr>
              <w:t xml:space="preserve"> rate </w:t>
            </w:r>
            <w:r w:rsidR="00DB5E3A" w:rsidRPr="000A5DBC">
              <w:rPr>
                <w:spacing w:val="-1"/>
                <w:lang w:val="en-GB"/>
              </w:rPr>
              <w:t xml:space="preserve">PRIBOR </w:t>
            </w:r>
            <w:r w:rsidR="00E914CF" w:rsidRPr="000A5DBC">
              <w:rPr>
                <w:spacing w:val="-1"/>
                <w:lang w:val="en-GB"/>
              </w:rPr>
              <w:t xml:space="preserve">came up to </w:t>
            </w:r>
            <w:r w:rsidR="00DB5E3A" w:rsidRPr="000A5DBC">
              <w:rPr>
                <w:spacing w:val="-1"/>
                <w:lang w:val="en-GB"/>
              </w:rPr>
              <w:t>2</w:t>
            </w:r>
            <w:r w:rsidR="00E914CF" w:rsidRPr="000A5DBC">
              <w:rPr>
                <w:spacing w:val="-1"/>
                <w:lang w:val="en-GB"/>
              </w:rPr>
              <w:t>.</w:t>
            </w:r>
            <w:r w:rsidR="00DB5E3A" w:rsidRPr="000A5DBC">
              <w:rPr>
                <w:spacing w:val="-1"/>
                <w:lang w:val="en-GB"/>
              </w:rPr>
              <w:t>18%</w:t>
            </w:r>
            <w:r w:rsidR="00E914CF" w:rsidRPr="000A5DBC">
              <w:rPr>
                <w:spacing w:val="-1"/>
                <w:lang w:val="en-GB"/>
              </w:rPr>
              <w:t xml:space="preserve"> towards the end of the year</w:t>
            </w:r>
            <w:r w:rsidR="00DB5E3A" w:rsidRPr="000A5DBC">
              <w:rPr>
                <w:spacing w:val="-1"/>
                <w:lang w:val="en-GB"/>
              </w:rPr>
              <w:t xml:space="preserve">. </w:t>
            </w:r>
            <w:r w:rsidR="00C8710F" w:rsidRPr="000A5DBC">
              <w:rPr>
                <w:spacing w:val="-1"/>
                <w:lang w:val="en-GB"/>
              </w:rPr>
              <w:t xml:space="preserve">The development of yields of government bonds was more interesting last year. Average rate of all bond maturities </w:t>
            </w:r>
            <w:r w:rsidR="00DB5E3A" w:rsidRPr="000A5DBC">
              <w:rPr>
                <w:spacing w:val="-1"/>
                <w:lang w:val="en-GB"/>
              </w:rPr>
              <w:t>(</w:t>
            </w:r>
            <w:r w:rsidR="00C8710F" w:rsidRPr="000A5DBC">
              <w:rPr>
                <w:spacing w:val="-1"/>
                <w:lang w:val="en-GB"/>
              </w:rPr>
              <w:t xml:space="preserve">short-term, medium-term and long-term) slightly oscillated </w:t>
            </w:r>
            <w:r w:rsidR="00DB5E3A" w:rsidRPr="000A5DBC">
              <w:rPr>
                <w:spacing w:val="-1"/>
                <w:lang w:val="en-GB"/>
              </w:rPr>
              <w:t>(</w:t>
            </w:r>
            <w:r w:rsidR="00C8710F" w:rsidRPr="000A5DBC">
              <w:rPr>
                <w:spacing w:val="-1"/>
                <w:lang w:val="en-GB"/>
              </w:rPr>
              <w:t xml:space="preserve">around </w:t>
            </w:r>
            <w:r w:rsidR="00DB5E3A" w:rsidRPr="000A5DBC">
              <w:rPr>
                <w:spacing w:val="-1"/>
                <w:lang w:val="en-GB"/>
              </w:rPr>
              <w:t>1</w:t>
            </w:r>
            <w:r w:rsidR="00C8710F" w:rsidRPr="000A5DBC">
              <w:rPr>
                <w:spacing w:val="-1"/>
                <w:lang w:val="en-GB"/>
              </w:rPr>
              <w:t>.</w:t>
            </w:r>
            <w:r w:rsidR="00DB5E3A" w:rsidRPr="000A5DBC">
              <w:rPr>
                <w:spacing w:val="-1"/>
                <w:lang w:val="en-GB"/>
              </w:rPr>
              <w:t>65%</w:t>
            </w:r>
            <w:r w:rsidR="00C8710F" w:rsidRPr="000A5DBC">
              <w:rPr>
                <w:spacing w:val="-1"/>
                <w:lang w:val="en-GB"/>
              </w:rPr>
              <w:t xml:space="preserve"> for short-term</w:t>
            </w:r>
            <w:r w:rsidR="00DB5E3A" w:rsidRPr="000A5DBC">
              <w:rPr>
                <w:spacing w:val="-1"/>
                <w:lang w:val="en-GB"/>
              </w:rPr>
              <w:t>, 1</w:t>
            </w:r>
            <w:r w:rsidR="00C8710F" w:rsidRPr="000A5DBC">
              <w:rPr>
                <w:spacing w:val="-1"/>
                <w:lang w:val="en-GB"/>
              </w:rPr>
              <w:t>.</w:t>
            </w:r>
            <w:r w:rsidR="00DB5E3A" w:rsidRPr="000A5DBC">
              <w:rPr>
                <w:spacing w:val="-1"/>
                <w:lang w:val="en-GB"/>
              </w:rPr>
              <w:t>60%</w:t>
            </w:r>
            <w:r w:rsidR="00C8710F" w:rsidRPr="000A5DBC">
              <w:rPr>
                <w:spacing w:val="-1"/>
                <w:lang w:val="en-GB"/>
              </w:rPr>
              <w:t xml:space="preserve"> for medium-term </w:t>
            </w:r>
            <w:r w:rsidR="00DB5E3A" w:rsidRPr="000A5DBC">
              <w:rPr>
                <w:spacing w:val="-1"/>
                <w:lang w:val="en-GB"/>
              </w:rPr>
              <w:t>a</w:t>
            </w:r>
            <w:r w:rsidR="00C8710F" w:rsidRPr="000A5DBC">
              <w:rPr>
                <w:spacing w:val="-1"/>
                <w:lang w:val="en-GB"/>
              </w:rPr>
              <w:t>nd</w:t>
            </w:r>
            <w:r w:rsidR="00DB5E3A" w:rsidRPr="000A5DBC">
              <w:rPr>
                <w:spacing w:val="-1"/>
                <w:lang w:val="en-GB"/>
              </w:rPr>
              <w:t> 1</w:t>
            </w:r>
            <w:r w:rsidR="00C8710F" w:rsidRPr="000A5DBC">
              <w:rPr>
                <w:spacing w:val="-1"/>
                <w:lang w:val="en-GB"/>
              </w:rPr>
              <w:t>.</w:t>
            </w:r>
            <w:r w:rsidR="00DB5E3A" w:rsidRPr="000A5DBC">
              <w:rPr>
                <w:spacing w:val="-1"/>
                <w:lang w:val="en-GB"/>
              </w:rPr>
              <w:t>80%</w:t>
            </w:r>
            <w:r w:rsidR="00C8710F" w:rsidRPr="000A5DBC">
              <w:rPr>
                <w:spacing w:val="-1"/>
                <w:lang w:val="en-GB"/>
              </w:rPr>
              <w:t xml:space="preserve"> for long-term</w:t>
            </w:r>
            <w:r w:rsidR="00DB5E3A" w:rsidRPr="000A5DBC">
              <w:rPr>
                <w:spacing w:val="-1"/>
                <w:lang w:val="en-GB"/>
              </w:rPr>
              <w:t>)</w:t>
            </w:r>
            <w:r w:rsidR="00C8710F" w:rsidRPr="000A5DBC">
              <w:rPr>
                <w:spacing w:val="-1"/>
                <w:lang w:val="en-GB"/>
              </w:rPr>
              <w:t xml:space="preserve"> from January till May</w:t>
            </w:r>
            <w:r w:rsidR="00DB5E3A" w:rsidRPr="000A5DBC">
              <w:rPr>
                <w:spacing w:val="-1"/>
                <w:lang w:val="en-GB"/>
              </w:rPr>
              <w:t>,</w:t>
            </w:r>
            <w:r w:rsidR="00C8710F" w:rsidRPr="000A5DBC">
              <w:rPr>
                <w:spacing w:val="-1"/>
                <w:lang w:val="en-GB"/>
              </w:rPr>
              <w:t xml:space="preserve"> but did not change much.</w:t>
            </w:r>
            <w:r w:rsidR="00DB5E3A" w:rsidRPr="000A5DBC">
              <w:rPr>
                <w:spacing w:val="-1"/>
                <w:lang w:val="en-GB"/>
              </w:rPr>
              <w:t xml:space="preserve"> </w:t>
            </w:r>
            <w:r w:rsidR="000B73B6" w:rsidRPr="000A5DBC">
              <w:rPr>
                <w:spacing w:val="-1"/>
                <w:lang w:val="en-GB"/>
              </w:rPr>
              <w:t xml:space="preserve">Nevertheless, the yields considerably declined during June to August </w:t>
            </w:r>
            <w:r w:rsidR="00DB5E3A" w:rsidRPr="000A5DBC">
              <w:rPr>
                <w:spacing w:val="-1"/>
                <w:lang w:val="en-GB"/>
              </w:rPr>
              <w:t>(</w:t>
            </w:r>
            <w:r w:rsidR="000B73B6" w:rsidRPr="000A5DBC">
              <w:rPr>
                <w:spacing w:val="-1"/>
                <w:lang w:val="en-GB"/>
              </w:rPr>
              <w:t xml:space="preserve">averages of all bond types fell below </w:t>
            </w:r>
            <w:r w:rsidR="00DB5E3A" w:rsidRPr="000A5DBC">
              <w:rPr>
                <w:spacing w:val="-1"/>
                <w:lang w:val="en-GB"/>
              </w:rPr>
              <w:t>1%</w:t>
            </w:r>
            <w:r w:rsidR="000B73B6" w:rsidRPr="000A5DBC">
              <w:rPr>
                <w:spacing w:val="-1"/>
                <w:lang w:val="en-GB"/>
              </w:rPr>
              <w:t xml:space="preserve"> in August</w:t>
            </w:r>
            <w:r w:rsidR="00DB5E3A" w:rsidRPr="000A5DBC">
              <w:rPr>
                <w:spacing w:val="-1"/>
                <w:lang w:val="en-GB"/>
              </w:rPr>
              <w:t>).</w:t>
            </w:r>
            <w:r w:rsidR="000B73B6" w:rsidRPr="000A5DBC">
              <w:rPr>
                <w:spacing w:val="-1"/>
                <w:lang w:val="en-GB"/>
              </w:rPr>
              <w:t xml:space="preserve"> The government bond yields then kept growing till the end of the year and amounted to 1.</w:t>
            </w:r>
            <w:r w:rsidR="00DB5E3A" w:rsidRPr="000A5DBC">
              <w:rPr>
                <w:spacing w:val="-1"/>
                <w:lang w:val="en-GB"/>
              </w:rPr>
              <w:t>36%</w:t>
            </w:r>
            <w:r w:rsidR="000B73B6" w:rsidRPr="000A5DBC">
              <w:rPr>
                <w:spacing w:val="-1"/>
                <w:lang w:val="en-GB"/>
              </w:rPr>
              <w:t xml:space="preserve"> for short-term, 1.</w:t>
            </w:r>
            <w:r w:rsidR="00DB5E3A" w:rsidRPr="000A5DBC">
              <w:rPr>
                <w:spacing w:val="-1"/>
                <w:lang w:val="en-GB"/>
              </w:rPr>
              <w:t>31%</w:t>
            </w:r>
            <w:r w:rsidR="000B73B6" w:rsidRPr="000A5DBC">
              <w:rPr>
                <w:spacing w:val="-1"/>
                <w:lang w:val="en-GB"/>
              </w:rPr>
              <w:t xml:space="preserve"> for medium-term and </w:t>
            </w:r>
            <w:r w:rsidR="00DB5E3A" w:rsidRPr="000A5DBC">
              <w:rPr>
                <w:spacing w:val="-1"/>
                <w:lang w:val="en-GB"/>
              </w:rPr>
              <w:t>1</w:t>
            </w:r>
            <w:r w:rsidR="000B73B6" w:rsidRPr="000A5DBC">
              <w:rPr>
                <w:spacing w:val="-1"/>
                <w:lang w:val="en-GB"/>
              </w:rPr>
              <w:t>.</w:t>
            </w:r>
            <w:r w:rsidR="00DB5E3A" w:rsidRPr="000A5DBC">
              <w:rPr>
                <w:spacing w:val="-1"/>
                <w:lang w:val="en-GB"/>
              </w:rPr>
              <w:t>51%</w:t>
            </w:r>
            <w:r w:rsidR="000B73B6" w:rsidRPr="000A5DBC">
              <w:rPr>
                <w:spacing w:val="-1"/>
                <w:lang w:val="en-GB"/>
              </w:rPr>
              <w:t xml:space="preserve"> for long-term as of 31.12.</w:t>
            </w:r>
          </w:p>
        </w:tc>
      </w:tr>
      <w:tr w:rsidR="00DB5E3A" w:rsidRPr="000A5DBC" w14:paraId="307987E1" w14:textId="77777777" w:rsidTr="00A1053B">
        <w:trPr>
          <w:trHeight w:val="145"/>
        </w:trPr>
        <w:tc>
          <w:tcPr>
            <w:tcW w:w="1802" w:type="dxa"/>
            <w:shd w:val="clear" w:color="auto" w:fill="auto"/>
            <w:tcMar>
              <w:left w:w="0" w:type="dxa"/>
            </w:tcMar>
          </w:tcPr>
          <w:p w14:paraId="526CDD78" w14:textId="77777777" w:rsidR="00DB5E3A" w:rsidRPr="000A5DBC" w:rsidRDefault="005F055A" w:rsidP="00A1053B">
            <w:pPr>
              <w:pStyle w:val="Marginlie"/>
              <w:rPr>
                <w:lang w:val="en-GB"/>
              </w:rPr>
            </w:pPr>
            <w:r w:rsidRPr="000A5DBC">
              <w:rPr>
                <w:lang w:val="en-GB"/>
              </w:rPr>
              <w:t>Interests on deposits with agreed maturity w</w:t>
            </w:r>
            <w:r w:rsidR="00955301" w:rsidRPr="000A5DBC">
              <w:rPr>
                <w:lang w:val="en-GB"/>
              </w:rPr>
              <w:t>ere</w:t>
            </w:r>
            <w:r w:rsidRPr="000A5DBC">
              <w:rPr>
                <w:lang w:val="en-GB"/>
              </w:rPr>
              <w:t xml:space="preserve"> growing last year, which attracted relatively large volume of funds. </w:t>
            </w:r>
          </w:p>
        </w:tc>
        <w:tc>
          <w:tcPr>
            <w:tcW w:w="229" w:type="dxa"/>
            <w:shd w:val="clear" w:color="auto" w:fill="auto"/>
            <w:tcMar>
              <w:left w:w="0" w:type="dxa"/>
            </w:tcMar>
          </w:tcPr>
          <w:p w14:paraId="35792FAB" w14:textId="77777777" w:rsidR="00DB5E3A" w:rsidRPr="000A5DBC" w:rsidRDefault="00DB5E3A" w:rsidP="00A1053B">
            <w:pPr>
              <w:pStyle w:val="Textpoznpodarou"/>
              <w:jc w:val="both"/>
              <w:rPr>
                <w:spacing w:val="-4"/>
                <w:lang w:val="en-GB"/>
              </w:rPr>
            </w:pPr>
          </w:p>
        </w:tc>
        <w:tc>
          <w:tcPr>
            <w:tcW w:w="7610" w:type="dxa"/>
            <w:shd w:val="clear" w:color="auto" w:fill="auto"/>
            <w:tcMar>
              <w:left w:w="0" w:type="dxa"/>
            </w:tcMar>
          </w:tcPr>
          <w:p w14:paraId="05267C41" w14:textId="77777777" w:rsidR="00DB5E3A" w:rsidRPr="000A5DBC" w:rsidRDefault="005F055A" w:rsidP="00E819B1">
            <w:pPr>
              <w:rPr>
                <w:spacing w:val="-3"/>
                <w:lang w:val="en-GB"/>
              </w:rPr>
            </w:pPr>
            <w:r w:rsidRPr="000A5DBC">
              <w:rPr>
                <w:spacing w:val="-3"/>
                <w:lang w:val="en-GB"/>
              </w:rPr>
              <w:t xml:space="preserve">Even though the interests on current accounts for households remained on the same (nearly zero) level for the whole year, deposits with agreed maturity had their average rates changed during the year. </w:t>
            </w:r>
            <w:r w:rsidR="005114E1" w:rsidRPr="000A5DBC">
              <w:rPr>
                <w:spacing w:val="-3"/>
                <w:lang w:val="en-GB"/>
              </w:rPr>
              <w:t>More notable upward shift was captured already in H</w:t>
            </w:r>
            <w:r w:rsidR="00DB5E3A" w:rsidRPr="000A5DBC">
              <w:rPr>
                <w:spacing w:val="-3"/>
                <w:lang w:val="en-GB"/>
              </w:rPr>
              <w:t>2</w:t>
            </w:r>
            <w:r w:rsidR="005114E1" w:rsidRPr="000A5DBC">
              <w:rPr>
                <w:spacing w:val="-3"/>
                <w:lang w:val="en-GB"/>
              </w:rPr>
              <w:t xml:space="preserve"> </w:t>
            </w:r>
            <w:r w:rsidR="00DB5E3A" w:rsidRPr="000A5DBC">
              <w:rPr>
                <w:spacing w:val="-3"/>
                <w:lang w:val="en-GB"/>
              </w:rPr>
              <w:t>2018</w:t>
            </w:r>
            <w:r w:rsidR="005114E1" w:rsidRPr="000A5DBC">
              <w:rPr>
                <w:spacing w:val="-3"/>
                <w:lang w:val="en-GB"/>
              </w:rPr>
              <w:t xml:space="preserve"> and last year´s Q</w:t>
            </w:r>
            <w:r w:rsidR="00DB5E3A" w:rsidRPr="000A5DBC">
              <w:rPr>
                <w:spacing w:val="-3"/>
                <w:lang w:val="en-GB"/>
              </w:rPr>
              <w:t>1</w:t>
            </w:r>
            <w:r w:rsidR="005114E1" w:rsidRPr="000A5DBC">
              <w:rPr>
                <w:spacing w:val="-3"/>
                <w:lang w:val="en-GB"/>
              </w:rPr>
              <w:t xml:space="preserve"> to </w:t>
            </w:r>
            <w:r w:rsidR="00DB5E3A" w:rsidRPr="000A5DBC">
              <w:rPr>
                <w:spacing w:val="-3"/>
                <w:lang w:val="en-GB"/>
              </w:rPr>
              <w:t>3</w:t>
            </w:r>
            <w:r w:rsidR="005114E1" w:rsidRPr="000A5DBC">
              <w:rPr>
                <w:spacing w:val="-3"/>
                <w:lang w:val="en-GB"/>
              </w:rPr>
              <w:t xml:space="preserve"> built on this development</w:t>
            </w:r>
            <w:r w:rsidR="00DB5E3A" w:rsidRPr="000A5DBC">
              <w:rPr>
                <w:spacing w:val="-3"/>
                <w:lang w:val="en-GB"/>
              </w:rPr>
              <w:t>.</w:t>
            </w:r>
            <w:r w:rsidR="005114E1" w:rsidRPr="000A5DBC">
              <w:rPr>
                <w:spacing w:val="-3"/>
                <w:lang w:val="en-GB"/>
              </w:rPr>
              <w:t xml:space="preserve"> </w:t>
            </w:r>
            <w:r w:rsidR="00462F09" w:rsidRPr="000A5DBC">
              <w:rPr>
                <w:spacing w:val="-3"/>
                <w:lang w:val="en-GB"/>
              </w:rPr>
              <w:t xml:space="preserve">The average interest rate on deposits with agreed maturity increased by </w:t>
            </w:r>
            <w:r w:rsidR="00DB5E3A" w:rsidRPr="000A5DBC">
              <w:rPr>
                <w:spacing w:val="-3"/>
                <w:lang w:val="en-GB"/>
              </w:rPr>
              <w:t>0</w:t>
            </w:r>
            <w:r w:rsidR="00462F09" w:rsidRPr="000A5DBC">
              <w:rPr>
                <w:spacing w:val="-3"/>
                <w:lang w:val="en-GB"/>
              </w:rPr>
              <w:t>.</w:t>
            </w:r>
            <w:r w:rsidR="00DB5E3A" w:rsidRPr="000A5DBC">
              <w:rPr>
                <w:spacing w:val="-3"/>
                <w:lang w:val="en-GB"/>
              </w:rPr>
              <w:t>25 p.</w:t>
            </w:r>
            <w:r w:rsidR="00462F09" w:rsidRPr="000A5DBC">
              <w:rPr>
                <w:spacing w:val="-3"/>
                <w:lang w:val="en-GB"/>
              </w:rPr>
              <w:t>p</w:t>
            </w:r>
            <w:r w:rsidR="00DB5E3A" w:rsidRPr="000A5DBC">
              <w:rPr>
                <w:spacing w:val="-3"/>
                <w:lang w:val="en-GB"/>
              </w:rPr>
              <w:t xml:space="preserve">. </w:t>
            </w:r>
            <w:r w:rsidR="00462F09" w:rsidRPr="000A5DBC">
              <w:rPr>
                <w:spacing w:val="-3"/>
                <w:lang w:val="en-GB"/>
              </w:rPr>
              <w:t xml:space="preserve">to </w:t>
            </w:r>
            <w:r w:rsidR="00DB5E3A" w:rsidRPr="000A5DBC">
              <w:rPr>
                <w:spacing w:val="-3"/>
                <w:lang w:val="en-GB"/>
              </w:rPr>
              <w:t>1</w:t>
            </w:r>
            <w:r w:rsidR="00462F09" w:rsidRPr="000A5DBC">
              <w:rPr>
                <w:spacing w:val="-3"/>
                <w:lang w:val="en-GB"/>
              </w:rPr>
              <w:t>.</w:t>
            </w:r>
            <w:r w:rsidR="00DB5E3A" w:rsidRPr="000A5DBC">
              <w:rPr>
                <w:spacing w:val="-3"/>
                <w:lang w:val="en-GB"/>
              </w:rPr>
              <w:t>6%</w:t>
            </w:r>
            <w:r w:rsidR="00462F09" w:rsidRPr="000A5DBC">
              <w:rPr>
                <w:spacing w:val="-3"/>
                <w:lang w:val="en-GB"/>
              </w:rPr>
              <w:t xml:space="preserve"> from January till September 2019</w:t>
            </w:r>
            <w:r w:rsidR="00DB5E3A" w:rsidRPr="000A5DBC">
              <w:rPr>
                <w:spacing w:val="-3"/>
                <w:lang w:val="en-GB"/>
              </w:rPr>
              <w:t xml:space="preserve">. </w:t>
            </w:r>
            <w:r w:rsidR="00462F09" w:rsidRPr="000A5DBC">
              <w:rPr>
                <w:spacing w:val="-3"/>
                <w:lang w:val="en-GB"/>
              </w:rPr>
              <w:t xml:space="preserve">But the interest rates decreased in Q4 </w:t>
            </w:r>
            <w:r w:rsidR="00DB5E3A" w:rsidRPr="000A5DBC">
              <w:rPr>
                <w:spacing w:val="-3"/>
                <w:lang w:val="en-GB"/>
              </w:rPr>
              <w:t>(</w:t>
            </w:r>
            <w:r w:rsidR="00462F09" w:rsidRPr="000A5DBC">
              <w:rPr>
                <w:spacing w:val="-3"/>
                <w:lang w:val="en-GB"/>
              </w:rPr>
              <w:t xml:space="preserve">average amounted to </w:t>
            </w:r>
            <w:r w:rsidR="00DB5E3A" w:rsidRPr="000A5DBC">
              <w:rPr>
                <w:spacing w:val="-3"/>
                <w:lang w:val="en-GB"/>
              </w:rPr>
              <w:t>1</w:t>
            </w:r>
            <w:r w:rsidR="00462F09" w:rsidRPr="000A5DBC">
              <w:rPr>
                <w:spacing w:val="-3"/>
                <w:lang w:val="en-GB"/>
              </w:rPr>
              <w:t>.</w:t>
            </w:r>
            <w:r w:rsidR="00DB5E3A" w:rsidRPr="000A5DBC">
              <w:rPr>
                <w:spacing w:val="-3"/>
                <w:lang w:val="en-GB"/>
              </w:rPr>
              <w:t>52%</w:t>
            </w:r>
            <w:r w:rsidR="00462F09" w:rsidRPr="000A5DBC">
              <w:rPr>
                <w:spacing w:val="-3"/>
                <w:lang w:val="en-GB"/>
              </w:rPr>
              <w:t xml:space="preserve"> as of 31.12.</w:t>
            </w:r>
            <w:r w:rsidR="00DB5E3A" w:rsidRPr="000A5DBC">
              <w:rPr>
                <w:spacing w:val="-3"/>
                <w:lang w:val="en-GB"/>
              </w:rPr>
              <w:t>). N</w:t>
            </w:r>
            <w:r w:rsidR="001302F1" w:rsidRPr="000A5DBC">
              <w:rPr>
                <w:spacing w:val="-3"/>
                <w:lang w:val="en-GB"/>
              </w:rPr>
              <w:t xml:space="preserve">on-financial businesses </w:t>
            </w:r>
            <w:r w:rsidR="00462F09" w:rsidRPr="000A5DBC">
              <w:rPr>
                <w:spacing w:val="-3"/>
                <w:lang w:val="en-GB"/>
              </w:rPr>
              <w:t xml:space="preserve">enjoyed slightly better terms on the current accounts than households last year – the average interest rate went up to 0.22% during H1 2019 and stayed at this level till the end of the year </w:t>
            </w:r>
            <w:r w:rsidR="00DB5E3A" w:rsidRPr="000A5DBC">
              <w:rPr>
                <w:spacing w:val="-3"/>
                <w:lang w:val="en-GB"/>
              </w:rPr>
              <w:t>(0</w:t>
            </w:r>
            <w:r w:rsidR="00462F09" w:rsidRPr="000A5DBC">
              <w:rPr>
                <w:spacing w:val="-3"/>
                <w:lang w:val="en-GB"/>
              </w:rPr>
              <w:t>.</w:t>
            </w:r>
            <w:r w:rsidR="00DB5E3A" w:rsidRPr="000A5DBC">
              <w:rPr>
                <w:spacing w:val="-3"/>
                <w:lang w:val="en-GB"/>
              </w:rPr>
              <w:t xml:space="preserve">21% </w:t>
            </w:r>
            <w:r w:rsidR="00462F09" w:rsidRPr="000A5DBC">
              <w:rPr>
                <w:spacing w:val="-3"/>
                <w:lang w:val="en-GB"/>
              </w:rPr>
              <w:t xml:space="preserve">as of </w:t>
            </w:r>
            <w:r w:rsidR="00DB5E3A" w:rsidRPr="000A5DBC">
              <w:rPr>
                <w:spacing w:val="-3"/>
                <w:lang w:val="en-GB"/>
              </w:rPr>
              <w:t xml:space="preserve">31. 12.). </w:t>
            </w:r>
            <w:r w:rsidR="00C96E8B" w:rsidRPr="000A5DBC">
              <w:rPr>
                <w:spacing w:val="-3"/>
                <w:lang w:val="en-GB"/>
              </w:rPr>
              <w:t xml:space="preserve">Average interest on deposits with agreed maturity for non-financial businesses followed similar development as for households – it grew during Q1 to 3 and slightly fell in Q4 </w:t>
            </w:r>
            <w:r w:rsidR="00DB5E3A" w:rsidRPr="000A5DBC">
              <w:rPr>
                <w:spacing w:val="-3"/>
                <w:lang w:val="en-GB"/>
              </w:rPr>
              <w:t>(</w:t>
            </w:r>
            <w:r w:rsidR="00C96E8B" w:rsidRPr="000A5DBC">
              <w:rPr>
                <w:spacing w:val="-3"/>
                <w:lang w:val="en-GB"/>
              </w:rPr>
              <w:t xml:space="preserve">it was </w:t>
            </w:r>
            <w:r w:rsidR="00DB5E3A" w:rsidRPr="000A5DBC">
              <w:rPr>
                <w:spacing w:val="-3"/>
                <w:lang w:val="en-GB"/>
              </w:rPr>
              <w:t>1</w:t>
            </w:r>
            <w:r w:rsidR="00C96E8B" w:rsidRPr="000A5DBC">
              <w:rPr>
                <w:spacing w:val="-3"/>
                <w:lang w:val="en-GB"/>
              </w:rPr>
              <w:t>.</w:t>
            </w:r>
            <w:r w:rsidR="00DB5E3A" w:rsidRPr="000A5DBC">
              <w:rPr>
                <w:spacing w:val="-3"/>
                <w:lang w:val="en-GB"/>
              </w:rPr>
              <w:t>52%</w:t>
            </w:r>
            <w:r w:rsidR="00C96E8B" w:rsidRPr="000A5DBC">
              <w:rPr>
                <w:spacing w:val="-3"/>
                <w:lang w:val="en-GB"/>
              </w:rPr>
              <w:t xml:space="preserve"> as of 31.12.</w:t>
            </w:r>
            <w:r w:rsidR="00DB5E3A" w:rsidRPr="000A5DBC">
              <w:rPr>
                <w:spacing w:val="-3"/>
                <w:lang w:val="en-GB"/>
              </w:rPr>
              <w:t xml:space="preserve">). </w:t>
            </w:r>
            <w:r w:rsidR="00E819B1" w:rsidRPr="000A5DBC">
              <w:rPr>
                <w:spacing w:val="-3"/>
                <w:lang w:val="en-GB"/>
              </w:rPr>
              <w:t>Described development of the interest rates also affected the structure of the</w:t>
            </w:r>
            <w:r w:rsidR="00C96E8B" w:rsidRPr="000A5DBC">
              <w:rPr>
                <w:spacing w:val="-3"/>
                <w:lang w:val="en-GB"/>
              </w:rPr>
              <w:t xml:space="preserve"> money stock. Its year-on-year growth notably moderated in years </w:t>
            </w:r>
            <w:r w:rsidR="00DB5E3A" w:rsidRPr="000A5DBC">
              <w:rPr>
                <w:spacing w:val="-3"/>
                <w:lang w:val="en-GB"/>
              </w:rPr>
              <w:t>2018 a</w:t>
            </w:r>
            <w:r w:rsidR="00C96E8B" w:rsidRPr="000A5DBC">
              <w:rPr>
                <w:spacing w:val="-3"/>
                <w:lang w:val="en-GB"/>
              </w:rPr>
              <w:t>nd</w:t>
            </w:r>
            <w:r w:rsidR="00DB5E3A" w:rsidRPr="000A5DBC">
              <w:rPr>
                <w:spacing w:val="-3"/>
                <w:lang w:val="en-GB"/>
              </w:rPr>
              <w:t> 2019</w:t>
            </w:r>
            <w:r w:rsidR="00C96E8B" w:rsidRPr="000A5DBC">
              <w:rPr>
                <w:spacing w:val="-3"/>
                <w:lang w:val="en-GB"/>
              </w:rPr>
              <w:t>, mainly under the influence of currency and one day deposits. But the volume of funds in the form of deposits with agreed maturity sharply hiked up (</w:t>
            </w:r>
            <w:r w:rsidR="00E819B1" w:rsidRPr="000A5DBC">
              <w:rPr>
                <w:spacing w:val="-3"/>
                <w:lang w:val="en-GB"/>
              </w:rPr>
              <w:t xml:space="preserve">it expanded by </w:t>
            </w:r>
            <w:r w:rsidR="00DB5E3A" w:rsidRPr="000A5DBC">
              <w:rPr>
                <w:spacing w:val="-3"/>
                <w:lang w:val="en-GB"/>
              </w:rPr>
              <w:t>128</w:t>
            </w:r>
            <w:r w:rsidR="00E819B1" w:rsidRPr="000A5DBC">
              <w:rPr>
                <w:spacing w:val="-3"/>
                <w:lang w:val="en-GB"/>
              </w:rPr>
              <w:t>.</w:t>
            </w:r>
            <w:r w:rsidR="00DB5E3A" w:rsidRPr="000A5DBC">
              <w:rPr>
                <w:spacing w:val="-3"/>
                <w:lang w:val="en-GB"/>
              </w:rPr>
              <w:t>7</w:t>
            </w:r>
            <w:r w:rsidR="00E819B1" w:rsidRPr="000A5DBC">
              <w:rPr>
                <w:spacing w:val="-3"/>
                <w:lang w:val="en-GB"/>
              </w:rPr>
              <w:t xml:space="preserve"> CZK bn during the year 2019</w:t>
            </w:r>
            <w:r w:rsidR="00DB5E3A" w:rsidRPr="000A5DBC">
              <w:rPr>
                <w:spacing w:val="-3"/>
                <w:lang w:val="en-GB"/>
              </w:rPr>
              <w:t>, 59</w:t>
            </w:r>
            <w:r w:rsidR="00E819B1" w:rsidRPr="000A5DBC">
              <w:rPr>
                <w:spacing w:val="-3"/>
                <w:lang w:val="en-GB"/>
              </w:rPr>
              <w:t>.</w:t>
            </w:r>
            <w:r w:rsidR="00DB5E3A" w:rsidRPr="000A5DBC">
              <w:rPr>
                <w:spacing w:val="-3"/>
                <w:lang w:val="en-GB"/>
              </w:rPr>
              <w:t>2%).</w:t>
            </w:r>
          </w:p>
        </w:tc>
      </w:tr>
      <w:tr w:rsidR="00DB5E3A" w:rsidRPr="000A5DBC" w14:paraId="25B0D49D" w14:textId="77777777" w:rsidTr="00A1053B">
        <w:trPr>
          <w:trHeight w:val="145"/>
        </w:trPr>
        <w:tc>
          <w:tcPr>
            <w:tcW w:w="1802" w:type="dxa"/>
            <w:shd w:val="clear" w:color="auto" w:fill="auto"/>
            <w:tcMar>
              <w:left w:w="0" w:type="dxa"/>
            </w:tcMar>
          </w:tcPr>
          <w:p w14:paraId="415E9A68" w14:textId="77777777" w:rsidR="00DB5E3A" w:rsidRPr="000A5DBC" w:rsidRDefault="00E819B1" w:rsidP="00E819B1">
            <w:pPr>
              <w:pStyle w:val="Marginlie"/>
              <w:rPr>
                <w:lang w:val="en-GB"/>
              </w:rPr>
            </w:pPr>
            <w:r w:rsidRPr="000A5DBC">
              <w:rPr>
                <w:lang w:val="en-GB"/>
              </w:rPr>
              <w:t xml:space="preserve">Year-on-year growth of volume of mortgages provided to households slowed down last year. </w:t>
            </w:r>
          </w:p>
        </w:tc>
        <w:tc>
          <w:tcPr>
            <w:tcW w:w="229" w:type="dxa"/>
            <w:shd w:val="clear" w:color="auto" w:fill="auto"/>
            <w:tcMar>
              <w:left w:w="0" w:type="dxa"/>
            </w:tcMar>
          </w:tcPr>
          <w:p w14:paraId="65564F30" w14:textId="77777777" w:rsidR="00DB5E3A" w:rsidRPr="000A5DBC" w:rsidRDefault="00DB5E3A" w:rsidP="00A1053B">
            <w:pPr>
              <w:pStyle w:val="Textpoznpodarou"/>
              <w:jc w:val="both"/>
              <w:rPr>
                <w:spacing w:val="-4"/>
                <w:lang w:val="en-GB"/>
              </w:rPr>
            </w:pPr>
          </w:p>
        </w:tc>
        <w:tc>
          <w:tcPr>
            <w:tcW w:w="7610" w:type="dxa"/>
            <w:shd w:val="clear" w:color="auto" w:fill="auto"/>
            <w:tcMar>
              <w:left w:w="0" w:type="dxa"/>
            </w:tcMar>
          </w:tcPr>
          <w:p w14:paraId="3B28C240" w14:textId="77777777" w:rsidR="00DB5E3A" w:rsidRPr="000A5DBC" w:rsidRDefault="00E819B1" w:rsidP="00E819B1">
            <w:pPr>
              <w:rPr>
                <w:lang w:val="en-GB"/>
              </w:rPr>
            </w:pPr>
            <w:r w:rsidRPr="000A5DBC">
              <w:rPr>
                <w:lang w:val="en-GB"/>
              </w:rPr>
              <w:t xml:space="preserve">Level of interest rates of credit for households was decreasing during the last year. </w:t>
            </w:r>
            <w:r w:rsidR="00663609" w:rsidRPr="000A5DBC">
              <w:rPr>
                <w:lang w:val="en-GB"/>
              </w:rPr>
              <w:t xml:space="preserve">Average interest on consumer credit went down </w:t>
            </w:r>
            <w:r w:rsidR="00DB5E3A" w:rsidRPr="000A5DBC">
              <w:rPr>
                <w:lang w:val="en-GB"/>
              </w:rPr>
              <w:t>(</w:t>
            </w:r>
            <w:r w:rsidR="00663609" w:rsidRPr="000A5DBC">
              <w:rPr>
                <w:lang w:val="en-GB"/>
              </w:rPr>
              <w:t xml:space="preserve">it was </w:t>
            </w:r>
            <w:r w:rsidR="00DB5E3A" w:rsidRPr="000A5DBC">
              <w:rPr>
                <w:lang w:val="en-GB"/>
              </w:rPr>
              <w:t>8</w:t>
            </w:r>
            <w:r w:rsidR="00663609" w:rsidRPr="000A5DBC">
              <w:rPr>
                <w:lang w:val="en-GB"/>
              </w:rPr>
              <w:t>.</w:t>
            </w:r>
            <w:r w:rsidR="00DB5E3A" w:rsidRPr="000A5DBC">
              <w:rPr>
                <w:lang w:val="en-GB"/>
              </w:rPr>
              <w:t>28%</w:t>
            </w:r>
            <w:r w:rsidR="00663609" w:rsidRPr="000A5DBC">
              <w:rPr>
                <w:lang w:val="en-GB"/>
              </w:rPr>
              <w:t xml:space="preserve"> as of 31.12.</w:t>
            </w:r>
            <w:r w:rsidR="00DB5E3A" w:rsidRPr="000A5DBC">
              <w:rPr>
                <w:lang w:val="en-GB"/>
              </w:rPr>
              <w:t xml:space="preserve">, </w:t>
            </w:r>
            <w:r w:rsidR="00663609" w:rsidRPr="000A5DBC">
              <w:rPr>
                <w:lang w:val="en-GB"/>
              </w:rPr>
              <w:t xml:space="preserve">it decreased by </w:t>
            </w:r>
            <w:r w:rsidR="00DB5E3A" w:rsidRPr="000A5DBC">
              <w:rPr>
                <w:lang w:val="en-GB"/>
              </w:rPr>
              <w:t>0</w:t>
            </w:r>
            <w:r w:rsidR="00663609" w:rsidRPr="000A5DBC">
              <w:rPr>
                <w:lang w:val="en-GB"/>
              </w:rPr>
              <w:t>.</w:t>
            </w:r>
            <w:r w:rsidR="00DB5E3A" w:rsidRPr="000A5DBC">
              <w:rPr>
                <w:lang w:val="en-GB"/>
              </w:rPr>
              <w:t>35 p.</w:t>
            </w:r>
            <w:r w:rsidR="00663609" w:rsidRPr="000A5DBC">
              <w:rPr>
                <w:lang w:val="en-GB"/>
              </w:rPr>
              <w:t>p</w:t>
            </w:r>
            <w:r w:rsidR="00DB5E3A" w:rsidRPr="000A5DBC">
              <w:rPr>
                <w:lang w:val="en-GB"/>
              </w:rPr>
              <w:t>.</w:t>
            </w:r>
            <w:r w:rsidR="00663609" w:rsidRPr="000A5DBC">
              <w:rPr>
                <w:lang w:val="en-GB"/>
              </w:rPr>
              <w:t xml:space="preserve"> year-on-year</w:t>
            </w:r>
            <w:r w:rsidR="00DB5E3A" w:rsidRPr="000A5DBC">
              <w:rPr>
                <w:lang w:val="en-GB"/>
              </w:rPr>
              <w:t>).</w:t>
            </w:r>
            <w:r w:rsidRPr="000A5DBC">
              <w:rPr>
                <w:lang w:val="en-GB"/>
              </w:rPr>
              <w:t xml:space="preserve"> The average interest on mortgages fell even more markedly.</w:t>
            </w:r>
            <w:r w:rsidR="00DB5E3A" w:rsidRPr="000A5DBC">
              <w:rPr>
                <w:lang w:val="en-GB"/>
              </w:rPr>
              <w:t xml:space="preserve"> </w:t>
            </w:r>
            <w:r w:rsidR="008A3185" w:rsidRPr="000A5DBC">
              <w:rPr>
                <w:lang w:val="en-GB"/>
              </w:rPr>
              <w:t xml:space="preserve">The rate did slightly increase in Q1 </w:t>
            </w:r>
            <w:r w:rsidR="00DB5E3A" w:rsidRPr="000A5DBC">
              <w:rPr>
                <w:lang w:val="en-GB"/>
              </w:rPr>
              <w:t>(</w:t>
            </w:r>
            <w:r w:rsidR="008A3185" w:rsidRPr="000A5DBC">
              <w:rPr>
                <w:lang w:val="en-GB"/>
              </w:rPr>
              <w:t>to</w:t>
            </w:r>
            <w:r w:rsidR="00DB5E3A" w:rsidRPr="000A5DBC">
              <w:rPr>
                <w:lang w:val="en-GB"/>
              </w:rPr>
              <w:t xml:space="preserve"> 2</w:t>
            </w:r>
            <w:r w:rsidR="008A3185" w:rsidRPr="000A5DBC">
              <w:rPr>
                <w:lang w:val="en-GB"/>
              </w:rPr>
              <w:t>.</w:t>
            </w:r>
            <w:r w:rsidR="00DB5E3A" w:rsidRPr="000A5DBC">
              <w:rPr>
                <w:lang w:val="en-GB"/>
              </w:rPr>
              <w:t>97%</w:t>
            </w:r>
            <w:r w:rsidR="008A3185" w:rsidRPr="000A5DBC">
              <w:rPr>
                <w:lang w:val="en-GB"/>
              </w:rPr>
              <w:t xml:space="preserve"> as of </w:t>
            </w:r>
            <w:r w:rsidR="00DB5E3A" w:rsidRPr="000A5DBC">
              <w:rPr>
                <w:lang w:val="en-GB"/>
              </w:rPr>
              <w:t xml:space="preserve">31.3.), </w:t>
            </w:r>
            <w:r w:rsidR="008A3185" w:rsidRPr="000A5DBC">
              <w:rPr>
                <w:lang w:val="en-GB"/>
              </w:rPr>
              <w:t xml:space="preserve">however a large cut occurred during following quarters down to </w:t>
            </w:r>
            <w:r w:rsidR="00DB5E3A" w:rsidRPr="000A5DBC">
              <w:rPr>
                <w:lang w:val="en-GB"/>
              </w:rPr>
              <w:t>2</w:t>
            </w:r>
            <w:r w:rsidR="008A3185" w:rsidRPr="000A5DBC">
              <w:rPr>
                <w:lang w:val="en-GB"/>
              </w:rPr>
              <w:t>.</w:t>
            </w:r>
            <w:r w:rsidR="00DB5E3A" w:rsidRPr="000A5DBC">
              <w:rPr>
                <w:lang w:val="en-GB"/>
              </w:rPr>
              <w:t xml:space="preserve">49% </w:t>
            </w:r>
            <w:r w:rsidR="008A3185" w:rsidRPr="000A5DBC">
              <w:rPr>
                <w:lang w:val="en-GB"/>
              </w:rPr>
              <w:t xml:space="preserve">towards the end of year </w:t>
            </w:r>
            <w:r w:rsidR="00DB5E3A" w:rsidRPr="000A5DBC">
              <w:rPr>
                <w:lang w:val="en-GB"/>
              </w:rPr>
              <w:t xml:space="preserve">2019. </w:t>
            </w:r>
            <w:r w:rsidR="00663609" w:rsidRPr="000A5DBC">
              <w:rPr>
                <w:lang w:val="en-GB"/>
              </w:rPr>
              <w:t>Described cut was evident for all types of fixation of the rate. Y</w:t>
            </w:r>
            <w:r w:rsidR="008A3185" w:rsidRPr="000A5DBC">
              <w:rPr>
                <w:lang w:val="en-GB"/>
              </w:rPr>
              <w:t>e</w:t>
            </w:r>
            <w:r w:rsidR="00663609" w:rsidRPr="000A5DBC">
              <w:rPr>
                <w:lang w:val="en-GB"/>
              </w:rPr>
              <w:t>ar</w:t>
            </w:r>
            <w:r w:rsidR="008A3185" w:rsidRPr="000A5DBC">
              <w:rPr>
                <w:lang w:val="en-GB"/>
              </w:rPr>
              <w:t>-</w:t>
            </w:r>
            <w:r w:rsidR="00663609" w:rsidRPr="000A5DBC">
              <w:rPr>
                <w:lang w:val="en-GB"/>
              </w:rPr>
              <w:t>on-year growth of the</w:t>
            </w:r>
            <w:r w:rsidR="008A3185" w:rsidRPr="000A5DBC">
              <w:rPr>
                <w:lang w:val="en-GB"/>
              </w:rPr>
              <w:t xml:space="preserve"> </w:t>
            </w:r>
            <w:r w:rsidR="00663609" w:rsidRPr="000A5DBC">
              <w:rPr>
                <w:lang w:val="en-GB"/>
              </w:rPr>
              <w:t>volume of consum</w:t>
            </w:r>
            <w:r w:rsidR="00926E41" w:rsidRPr="000A5DBC">
              <w:rPr>
                <w:lang w:val="en-GB"/>
              </w:rPr>
              <w:t>e</w:t>
            </w:r>
            <w:r w:rsidR="00663609" w:rsidRPr="000A5DBC">
              <w:rPr>
                <w:lang w:val="en-GB"/>
              </w:rPr>
              <w:t xml:space="preserve">r credit accelerated to </w:t>
            </w:r>
            <w:r w:rsidR="00DB5E3A" w:rsidRPr="000A5DBC">
              <w:rPr>
                <w:lang w:val="en-GB"/>
              </w:rPr>
              <w:t>8</w:t>
            </w:r>
            <w:r w:rsidR="00926E41" w:rsidRPr="000A5DBC">
              <w:rPr>
                <w:lang w:val="en-GB"/>
              </w:rPr>
              <w:t>.</w:t>
            </w:r>
            <w:r w:rsidR="00DB5E3A" w:rsidRPr="000A5DBC">
              <w:rPr>
                <w:lang w:val="en-GB"/>
              </w:rPr>
              <w:t>9%</w:t>
            </w:r>
            <w:r w:rsidR="00663609" w:rsidRPr="000A5DBC">
              <w:rPr>
                <w:lang w:val="en-GB"/>
              </w:rPr>
              <w:t xml:space="preserve"> towards the end of the last year and the volume </w:t>
            </w:r>
            <w:r w:rsidR="00663609" w:rsidRPr="000A5DBC">
              <w:rPr>
                <w:lang w:val="en-GB"/>
              </w:rPr>
              <w:lastRenderedPageBreak/>
              <w:t xml:space="preserve">of provided credit totalled </w:t>
            </w:r>
            <w:r w:rsidR="00DB5E3A" w:rsidRPr="000A5DBC">
              <w:rPr>
                <w:lang w:val="en-GB"/>
              </w:rPr>
              <w:t>234</w:t>
            </w:r>
            <w:r w:rsidR="00663609" w:rsidRPr="000A5DBC">
              <w:rPr>
                <w:lang w:val="en-GB"/>
              </w:rPr>
              <w:t>.</w:t>
            </w:r>
            <w:r w:rsidR="00DB5E3A" w:rsidRPr="000A5DBC">
              <w:rPr>
                <w:lang w:val="en-GB"/>
              </w:rPr>
              <w:t>4</w:t>
            </w:r>
            <w:r w:rsidR="00663609" w:rsidRPr="000A5DBC">
              <w:rPr>
                <w:lang w:val="en-GB"/>
              </w:rPr>
              <w:t xml:space="preserve"> CZK bn as of 31.12. </w:t>
            </w:r>
            <w:r w:rsidR="00DB5E3A" w:rsidRPr="000A5DBC">
              <w:rPr>
                <w:lang w:val="en-GB"/>
              </w:rPr>
              <w:t>(</w:t>
            </w:r>
            <w:r w:rsidR="00663609" w:rsidRPr="000A5DBC">
              <w:rPr>
                <w:lang w:val="en-GB"/>
              </w:rPr>
              <w:t xml:space="preserve">year-on-year increase of </w:t>
            </w:r>
            <w:r w:rsidR="00DB5E3A" w:rsidRPr="000A5DBC">
              <w:rPr>
                <w:lang w:val="en-GB"/>
              </w:rPr>
              <w:t>19</w:t>
            </w:r>
            <w:r w:rsidR="00663609" w:rsidRPr="000A5DBC">
              <w:rPr>
                <w:lang w:val="en-GB"/>
              </w:rPr>
              <w:t>.</w:t>
            </w:r>
            <w:r w:rsidR="00DB5E3A" w:rsidRPr="000A5DBC">
              <w:rPr>
                <w:lang w:val="en-GB"/>
              </w:rPr>
              <w:t>1</w:t>
            </w:r>
            <w:r w:rsidR="00663609" w:rsidRPr="000A5DBC">
              <w:rPr>
                <w:lang w:val="en-GB"/>
              </w:rPr>
              <w:t xml:space="preserve"> bn</w:t>
            </w:r>
            <w:r w:rsidR="00DB5E3A" w:rsidRPr="000A5DBC">
              <w:rPr>
                <w:lang w:val="en-GB"/>
              </w:rPr>
              <w:t xml:space="preserve">). </w:t>
            </w:r>
            <w:r w:rsidR="006349CD" w:rsidRPr="000A5DBC">
              <w:rPr>
                <w:lang w:val="en-GB"/>
              </w:rPr>
              <w:t>Year-on-year growth of the volume of mortgages has been gradually slowing down since the beginning of the year. In Q4, their volume expanded by</w:t>
            </w:r>
            <w:r w:rsidR="00DB5E3A" w:rsidRPr="000A5DBC">
              <w:rPr>
                <w:lang w:val="en-GB"/>
              </w:rPr>
              <w:t> 6</w:t>
            </w:r>
            <w:r w:rsidR="006349CD" w:rsidRPr="000A5DBC">
              <w:rPr>
                <w:lang w:val="en-GB"/>
              </w:rPr>
              <w:t>.</w:t>
            </w:r>
            <w:r w:rsidR="00DB5E3A" w:rsidRPr="000A5DBC">
              <w:rPr>
                <w:lang w:val="en-GB"/>
              </w:rPr>
              <w:t>7% (</w:t>
            </w:r>
            <w:r w:rsidR="006349CD" w:rsidRPr="000A5DBC">
              <w:rPr>
                <w:lang w:val="en-GB"/>
              </w:rPr>
              <w:t>for the first time since Q</w:t>
            </w:r>
            <w:r w:rsidR="00DB5E3A" w:rsidRPr="000A5DBC">
              <w:rPr>
                <w:lang w:val="en-GB"/>
              </w:rPr>
              <w:t>2</w:t>
            </w:r>
            <w:r w:rsidR="006349CD" w:rsidRPr="000A5DBC">
              <w:rPr>
                <w:lang w:val="en-GB"/>
              </w:rPr>
              <w:t xml:space="preserve"> </w:t>
            </w:r>
            <w:r w:rsidR="00DB5E3A" w:rsidRPr="000A5DBC">
              <w:rPr>
                <w:lang w:val="en-GB"/>
              </w:rPr>
              <w:t>2015</w:t>
            </w:r>
            <w:r w:rsidR="006349CD" w:rsidRPr="000A5DBC">
              <w:rPr>
                <w:lang w:val="en-GB"/>
              </w:rPr>
              <w:t xml:space="preserve"> the pace dropped below </w:t>
            </w:r>
            <w:r w:rsidR="00DB5E3A" w:rsidRPr="000A5DBC">
              <w:rPr>
                <w:lang w:val="en-GB"/>
              </w:rPr>
              <w:t xml:space="preserve">7%). </w:t>
            </w:r>
            <w:r w:rsidR="006349CD" w:rsidRPr="000A5DBC">
              <w:rPr>
                <w:lang w:val="en-GB"/>
              </w:rPr>
              <w:t xml:space="preserve">Number of new mortgage contracts reached </w:t>
            </w:r>
            <w:r w:rsidR="00DB5E3A" w:rsidRPr="000A5DBC">
              <w:rPr>
                <w:lang w:val="en-GB"/>
              </w:rPr>
              <w:t>154</w:t>
            </w:r>
            <w:r w:rsidR="006349CD" w:rsidRPr="000A5DBC">
              <w:rPr>
                <w:lang w:val="en-GB"/>
              </w:rPr>
              <w:t>.</w:t>
            </w:r>
            <w:r w:rsidR="00DB5E3A" w:rsidRPr="000A5DBC">
              <w:rPr>
                <w:lang w:val="en-GB"/>
              </w:rPr>
              <w:t>2 t</w:t>
            </w:r>
            <w:r w:rsidR="006349CD" w:rsidRPr="000A5DBC">
              <w:rPr>
                <w:lang w:val="en-GB"/>
              </w:rPr>
              <w:t xml:space="preserve">housand last year and it thus sank by </w:t>
            </w:r>
            <w:r w:rsidR="00DB5E3A" w:rsidRPr="000A5DBC">
              <w:rPr>
                <w:lang w:val="en-GB"/>
              </w:rPr>
              <w:t>29</w:t>
            </w:r>
            <w:r w:rsidR="006349CD" w:rsidRPr="000A5DBC">
              <w:rPr>
                <w:lang w:val="en-GB"/>
              </w:rPr>
              <w:t>.</w:t>
            </w:r>
            <w:r w:rsidR="00DB5E3A" w:rsidRPr="000A5DBC">
              <w:rPr>
                <w:lang w:val="en-GB"/>
              </w:rPr>
              <w:t>3</w:t>
            </w:r>
            <w:r w:rsidR="006349CD" w:rsidRPr="000A5DBC">
              <w:rPr>
                <w:lang w:val="en-GB"/>
              </w:rPr>
              <w:t xml:space="preserve"> thousand year-on-year. Total indebtedness of households arrived at </w:t>
            </w:r>
            <w:r w:rsidR="00DB5E3A" w:rsidRPr="000A5DBC">
              <w:rPr>
                <w:lang w:val="en-GB"/>
              </w:rPr>
              <w:t>1</w:t>
            </w:r>
            <w:r w:rsidR="006349CD" w:rsidRPr="000A5DBC">
              <w:rPr>
                <w:lang w:val="en-GB"/>
              </w:rPr>
              <w:t> </w:t>
            </w:r>
            <w:r w:rsidR="00DB5E3A" w:rsidRPr="000A5DBC">
              <w:rPr>
                <w:lang w:val="en-GB"/>
              </w:rPr>
              <w:t>816</w:t>
            </w:r>
            <w:r w:rsidR="006349CD" w:rsidRPr="000A5DBC">
              <w:rPr>
                <w:lang w:val="en-GB"/>
              </w:rPr>
              <w:t>.</w:t>
            </w:r>
            <w:r w:rsidR="00DB5E3A" w:rsidRPr="000A5DBC">
              <w:rPr>
                <w:lang w:val="en-GB"/>
              </w:rPr>
              <w:t>4</w:t>
            </w:r>
            <w:r w:rsidR="006349CD" w:rsidRPr="000A5DBC">
              <w:rPr>
                <w:lang w:val="en-GB"/>
              </w:rPr>
              <w:t xml:space="preserve"> CZK bn at the end of year 201</w:t>
            </w:r>
            <w:r w:rsidR="00B1259F" w:rsidRPr="000A5DBC">
              <w:rPr>
                <w:lang w:val="en-GB"/>
              </w:rPr>
              <w:t>9</w:t>
            </w:r>
            <w:r w:rsidR="006349CD" w:rsidRPr="000A5DBC">
              <w:rPr>
                <w:lang w:val="en-GB"/>
              </w:rPr>
              <w:t xml:space="preserve"> and it enlarged by 1</w:t>
            </w:r>
            <w:r w:rsidR="00DB5E3A" w:rsidRPr="000A5DBC">
              <w:rPr>
                <w:lang w:val="en-GB"/>
              </w:rPr>
              <w:t>03</w:t>
            </w:r>
            <w:r w:rsidR="006349CD" w:rsidRPr="000A5DBC">
              <w:rPr>
                <w:lang w:val="en-GB"/>
              </w:rPr>
              <w:t>.</w:t>
            </w:r>
            <w:r w:rsidR="00DB5E3A" w:rsidRPr="000A5DBC">
              <w:rPr>
                <w:lang w:val="en-GB"/>
              </w:rPr>
              <w:t>3 </w:t>
            </w:r>
            <w:r w:rsidR="006349CD" w:rsidRPr="000A5DBC">
              <w:rPr>
                <w:lang w:val="en-GB"/>
              </w:rPr>
              <w:t>CZK bn year</w:t>
            </w:r>
            <w:r w:rsidR="00F15F8F" w:rsidRPr="000A5DBC">
              <w:rPr>
                <w:lang w:val="en-GB"/>
              </w:rPr>
              <w:t>-</w:t>
            </w:r>
            <w:r w:rsidR="006349CD" w:rsidRPr="000A5DBC">
              <w:rPr>
                <w:lang w:val="en-GB"/>
              </w:rPr>
              <w:t xml:space="preserve">on-year </w:t>
            </w:r>
            <w:r w:rsidR="00DB5E3A" w:rsidRPr="000A5DBC">
              <w:rPr>
                <w:lang w:val="en-GB"/>
              </w:rPr>
              <w:t>(6</w:t>
            </w:r>
            <w:r w:rsidR="006349CD" w:rsidRPr="000A5DBC">
              <w:rPr>
                <w:lang w:val="en-GB"/>
              </w:rPr>
              <w:t>.</w:t>
            </w:r>
            <w:r w:rsidR="00DB5E3A" w:rsidRPr="000A5DBC">
              <w:rPr>
                <w:lang w:val="en-GB"/>
              </w:rPr>
              <w:t xml:space="preserve">0%). </w:t>
            </w:r>
            <w:r w:rsidR="00F15F8F" w:rsidRPr="000A5DBC">
              <w:rPr>
                <w:lang w:val="en-GB"/>
              </w:rPr>
              <w:t xml:space="preserve">Mortgages comprised the majority of this debt </w:t>
            </w:r>
            <w:r w:rsidR="00DB5E3A" w:rsidRPr="000A5DBC">
              <w:rPr>
                <w:lang w:val="en-GB"/>
              </w:rPr>
              <w:t>(82</w:t>
            </w:r>
            <w:r w:rsidR="00F15F8F" w:rsidRPr="000A5DBC">
              <w:rPr>
                <w:lang w:val="en-GB"/>
              </w:rPr>
              <w:t>.</w:t>
            </w:r>
            <w:r w:rsidR="00DB5E3A" w:rsidRPr="000A5DBC">
              <w:rPr>
                <w:lang w:val="en-GB"/>
              </w:rPr>
              <w:t>1</w:t>
            </w:r>
            <w:r w:rsidR="00F15F8F" w:rsidRPr="000A5DBC">
              <w:rPr>
                <w:lang w:val="en-GB"/>
              </w:rPr>
              <w:t xml:space="preserve"> bn</w:t>
            </w:r>
            <w:r w:rsidR="00DB5E3A" w:rsidRPr="000A5DBC">
              <w:rPr>
                <w:lang w:val="en-GB"/>
              </w:rPr>
              <w:t>).</w:t>
            </w:r>
          </w:p>
        </w:tc>
      </w:tr>
      <w:tr w:rsidR="00182F98" w:rsidRPr="000A5DBC" w14:paraId="663E1AC6" w14:textId="77777777" w:rsidTr="00182F98">
        <w:trPr>
          <w:trHeight w:val="168"/>
        </w:trPr>
        <w:tc>
          <w:tcPr>
            <w:tcW w:w="1802" w:type="dxa"/>
            <w:vMerge w:val="restart"/>
            <w:shd w:val="clear" w:color="auto" w:fill="auto"/>
            <w:tcMar>
              <w:left w:w="0" w:type="dxa"/>
            </w:tcMar>
          </w:tcPr>
          <w:p w14:paraId="0BD949D4" w14:textId="77777777" w:rsidR="00182F98" w:rsidRPr="000A5DBC" w:rsidRDefault="00182F98" w:rsidP="00182F98">
            <w:pPr>
              <w:pStyle w:val="Marginlie"/>
              <w:rPr>
                <w:lang w:val="en-GB"/>
              </w:rPr>
            </w:pPr>
          </w:p>
        </w:tc>
        <w:tc>
          <w:tcPr>
            <w:tcW w:w="229" w:type="dxa"/>
            <w:vMerge w:val="restart"/>
            <w:shd w:val="clear" w:color="auto" w:fill="auto"/>
            <w:tcMar>
              <w:left w:w="0" w:type="dxa"/>
            </w:tcMar>
          </w:tcPr>
          <w:p w14:paraId="29F205BC"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44D2CE38" w14:textId="77777777" w:rsidR="00182F98" w:rsidRPr="000A5DBC" w:rsidRDefault="00182F98" w:rsidP="00182F98">
            <w:pPr>
              <w:spacing w:after="0"/>
              <w:rPr>
                <w:lang w:val="en-GB"/>
              </w:rPr>
            </w:pPr>
            <w:r w:rsidRPr="000A5DBC">
              <w:rPr>
                <w:rFonts w:cs="Arial"/>
                <w:b/>
                <w:bCs/>
                <w:color w:val="000000"/>
                <w:sz w:val="18"/>
                <w:szCs w:val="18"/>
                <w:lang w:val="en-GB"/>
              </w:rPr>
              <w:t>Chart 15 Market interest rates</w:t>
            </w:r>
            <w:r w:rsidRPr="000A5DBC">
              <w:rPr>
                <w:b/>
                <w:spacing w:val="-4"/>
                <w:sz w:val="18"/>
                <w:szCs w:val="18"/>
                <w:lang w:val="en-GB"/>
              </w:rPr>
              <w:t xml:space="preserve"> </w:t>
            </w:r>
            <w:r w:rsidRPr="000A5DBC">
              <w:rPr>
                <w:bCs/>
                <w:spacing w:val="-4"/>
                <w:sz w:val="18"/>
                <w:szCs w:val="18"/>
                <w:lang w:val="en-GB"/>
              </w:rPr>
              <w:t>(in %)</w:t>
            </w:r>
          </w:p>
        </w:tc>
      </w:tr>
      <w:tr w:rsidR="00182F98" w:rsidRPr="000A5DBC" w14:paraId="5FCE9A69" w14:textId="77777777" w:rsidTr="00A1053B">
        <w:trPr>
          <w:trHeight w:val="166"/>
        </w:trPr>
        <w:tc>
          <w:tcPr>
            <w:tcW w:w="1802" w:type="dxa"/>
            <w:vMerge/>
            <w:shd w:val="clear" w:color="auto" w:fill="auto"/>
            <w:tcMar>
              <w:left w:w="0" w:type="dxa"/>
            </w:tcMar>
          </w:tcPr>
          <w:p w14:paraId="7796155D" w14:textId="77777777" w:rsidR="00182F98" w:rsidRPr="000A5DBC" w:rsidRDefault="00182F98" w:rsidP="00182F98">
            <w:pPr>
              <w:pStyle w:val="Marginlie"/>
              <w:rPr>
                <w:lang w:val="en-GB"/>
              </w:rPr>
            </w:pPr>
          </w:p>
        </w:tc>
        <w:tc>
          <w:tcPr>
            <w:tcW w:w="229" w:type="dxa"/>
            <w:vMerge/>
            <w:shd w:val="clear" w:color="auto" w:fill="auto"/>
            <w:tcMar>
              <w:left w:w="0" w:type="dxa"/>
            </w:tcMar>
          </w:tcPr>
          <w:p w14:paraId="53BE7F27"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4E20EA70" w14:textId="77777777" w:rsidR="00182F98" w:rsidRPr="000A5DBC" w:rsidRDefault="00182F98" w:rsidP="00182F98">
            <w:pPr>
              <w:spacing w:after="0"/>
              <w:rPr>
                <w:sz w:val="14"/>
                <w:szCs w:val="14"/>
                <w:lang w:val="en-GB"/>
              </w:rPr>
            </w:pPr>
            <w:r>
              <w:rPr>
                <w:noProof/>
              </w:rPr>
              <w:drawing>
                <wp:inline distT="0" distB="0" distL="0" distR="0" wp14:anchorId="1AAD4E65" wp14:editId="05A53F34">
                  <wp:extent cx="4737600" cy="3432550"/>
                  <wp:effectExtent l="0" t="0" r="6350" b="0"/>
                  <wp:docPr id="23" name="Graf 23">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82F98" w:rsidRPr="000A5DBC" w14:paraId="79C95F18" w14:textId="77777777" w:rsidTr="00A1053B">
        <w:trPr>
          <w:trHeight w:val="166"/>
        </w:trPr>
        <w:tc>
          <w:tcPr>
            <w:tcW w:w="1802" w:type="dxa"/>
            <w:vMerge/>
            <w:shd w:val="clear" w:color="auto" w:fill="auto"/>
            <w:tcMar>
              <w:left w:w="0" w:type="dxa"/>
            </w:tcMar>
          </w:tcPr>
          <w:p w14:paraId="1406922D" w14:textId="77777777" w:rsidR="00182F98" w:rsidRPr="000A5DBC" w:rsidRDefault="00182F98" w:rsidP="00182F98">
            <w:pPr>
              <w:pStyle w:val="Marginlie"/>
              <w:rPr>
                <w:lang w:val="en-GB"/>
              </w:rPr>
            </w:pPr>
          </w:p>
        </w:tc>
        <w:tc>
          <w:tcPr>
            <w:tcW w:w="229" w:type="dxa"/>
            <w:vMerge/>
            <w:shd w:val="clear" w:color="auto" w:fill="auto"/>
            <w:tcMar>
              <w:left w:w="0" w:type="dxa"/>
            </w:tcMar>
          </w:tcPr>
          <w:p w14:paraId="5B228EA1"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57C69EDD" w14:textId="77777777" w:rsidR="00182F98" w:rsidRPr="000A5DBC" w:rsidRDefault="00182F98" w:rsidP="00182F98">
            <w:pPr>
              <w:rPr>
                <w:sz w:val="14"/>
                <w:szCs w:val="14"/>
                <w:lang w:val="en-GB"/>
              </w:rPr>
            </w:pPr>
            <w:r w:rsidRPr="000A5DBC">
              <w:rPr>
                <w:sz w:val="14"/>
                <w:szCs w:val="14"/>
                <w:lang w:val="en-GB"/>
              </w:rPr>
              <w:t>Source: CNB</w:t>
            </w:r>
          </w:p>
        </w:tc>
      </w:tr>
      <w:tr w:rsidR="00182F98" w:rsidRPr="000A5DBC" w14:paraId="2B0A6083" w14:textId="77777777" w:rsidTr="00A1053B">
        <w:trPr>
          <w:trHeight w:val="145"/>
        </w:trPr>
        <w:tc>
          <w:tcPr>
            <w:tcW w:w="1802" w:type="dxa"/>
            <w:shd w:val="clear" w:color="auto" w:fill="auto"/>
            <w:tcMar>
              <w:left w:w="0" w:type="dxa"/>
            </w:tcMar>
          </w:tcPr>
          <w:p w14:paraId="3D52219E" w14:textId="77777777" w:rsidR="00182F98" w:rsidRPr="000A5DBC" w:rsidRDefault="00182F98" w:rsidP="00182F98">
            <w:pPr>
              <w:pStyle w:val="Marginlie"/>
              <w:rPr>
                <w:lang w:val="en-GB"/>
              </w:rPr>
            </w:pPr>
            <w:r w:rsidRPr="000A5DBC">
              <w:rPr>
                <w:lang w:val="en-GB"/>
              </w:rPr>
              <w:t>Credit denominated in foreign currencies formed a large part of credit provided to non-financial corporations.</w:t>
            </w:r>
          </w:p>
        </w:tc>
        <w:tc>
          <w:tcPr>
            <w:tcW w:w="229" w:type="dxa"/>
            <w:shd w:val="clear" w:color="auto" w:fill="auto"/>
            <w:tcMar>
              <w:left w:w="0" w:type="dxa"/>
            </w:tcMar>
          </w:tcPr>
          <w:p w14:paraId="12E074A8" w14:textId="77777777" w:rsidR="00182F98" w:rsidRPr="000A5DBC" w:rsidRDefault="00182F98" w:rsidP="00182F98">
            <w:pPr>
              <w:pStyle w:val="Textpoznpodarou"/>
              <w:jc w:val="both"/>
              <w:rPr>
                <w:spacing w:val="-4"/>
                <w:lang w:val="en-GB"/>
              </w:rPr>
            </w:pPr>
          </w:p>
        </w:tc>
        <w:tc>
          <w:tcPr>
            <w:tcW w:w="7610" w:type="dxa"/>
            <w:shd w:val="clear" w:color="auto" w:fill="auto"/>
            <w:tcMar>
              <w:left w:w="0" w:type="dxa"/>
            </w:tcMar>
          </w:tcPr>
          <w:p w14:paraId="47E804BB" w14:textId="77777777" w:rsidR="00182F98" w:rsidRPr="000A5DBC" w:rsidRDefault="00182F98" w:rsidP="00182F98">
            <w:pPr>
              <w:rPr>
                <w:lang w:val="en-GB"/>
              </w:rPr>
            </w:pPr>
            <w:r w:rsidRPr="000A5DBC">
              <w:rPr>
                <w:lang w:val="en-GB"/>
              </w:rPr>
              <w:t>Terms of credit provision for non-financial businesses were changing depending on the volume of provided funds in 2019. The average interest grew to 4.33% in Q1 and 4.42% in Q3 for credit category up to 7.5 CZK mil, but decrease emerged to 4.11% at the end of the year. Rates for the medium category of credit (7.5–30 CZK mil) fluctuated throughout the whole year (3.32%, 3.45% and 3.39% at the end of Q1., 2. and 3) and climbed up to 3.53% at the end of the year. Interest on credit over 30 mil oscillated the least last year – only in the order of hundredths p.p. – and amounted to 3.76% as of 31. 12. Following relatively strong year-on-year increase in Q1 (6.2%), the pace of volume of credit and receivables of non-financial businesses moderated. As of 31. 12., the balance was by 3</w:t>
            </w:r>
            <w:r w:rsidR="00D56658">
              <w:rPr>
                <w:lang w:val="en-GB"/>
              </w:rPr>
              <w:t>.</w:t>
            </w:r>
            <w:r w:rsidRPr="000A5DBC">
              <w:rPr>
                <w:lang w:val="en-GB"/>
              </w:rPr>
              <w:t>7% year-on-year higher. Volume of medium term (5.8%) and long-term credit (5.0%) was expanding. Credit financing denominated in foreign currencies became the standard. It comprised 33.3% of all credit and receivables as of 31.12. and the year-on-year increase of the total volume of credit (39.7 CZK bn) consisted for the absolute majority of those denominated in foreign currency (37.2 bn). The year-on-year rate of growth of the volume of credit considerably sank in some branches in the past year. Reason was however among other things the high comparative basis of year 2018</w:t>
            </w:r>
            <w:r w:rsidRPr="000A5DBC">
              <w:rPr>
                <w:rStyle w:val="Znakapoznpodarou"/>
                <w:lang w:val="en-GB"/>
              </w:rPr>
              <w:footnoteReference w:id="2"/>
            </w:r>
            <w:r w:rsidRPr="000A5DBC">
              <w:rPr>
                <w:lang w:val="en-GB"/>
              </w:rPr>
              <w:t>. Volume of provided credit decreased year-on-year in transportation and storage as of 31. 12. (</w:t>
            </w:r>
            <w:r>
              <w:rPr>
                <w:lang w:val="en-GB"/>
              </w:rPr>
              <w:t>-</w:t>
            </w:r>
            <w:r w:rsidRPr="000A5DBC">
              <w:rPr>
                <w:lang w:val="en-GB"/>
              </w:rPr>
              <w:t>9.5%, increase was 14.0% in 2018), accommodation, food</w:t>
            </w:r>
            <w:r>
              <w:rPr>
                <w:lang w:val="en-GB"/>
              </w:rPr>
              <w:t> </w:t>
            </w:r>
            <w:r w:rsidRPr="000A5DBC">
              <w:rPr>
                <w:lang w:val="en-GB"/>
              </w:rPr>
              <w:t>service and restaurants (</w:t>
            </w:r>
            <w:r>
              <w:rPr>
                <w:lang w:val="en-GB"/>
              </w:rPr>
              <w:t>-</w:t>
            </w:r>
            <w:r w:rsidRPr="000A5DBC">
              <w:rPr>
                <w:lang w:val="en-GB"/>
              </w:rPr>
              <w:t xml:space="preserve">5.5%, 15.4% in 2018) or information </w:t>
            </w:r>
            <w:r w:rsidRPr="000A5DBC">
              <w:rPr>
                <w:lang w:val="en-GB"/>
              </w:rPr>
              <w:lastRenderedPageBreak/>
              <w:t>and communication (</w:t>
            </w:r>
            <w:r>
              <w:rPr>
                <w:lang w:val="en-GB"/>
              </w:rPr>
              <w:t>-</w:t>
            </w:r>
            <w:r w:rsidRPr="000A5DBC">
              <w:rPr>
                <w:lang w:val="en-GB"/>
              </w:rPr>
              <w:t>5.1%, 15.4% in 2018). Increase of credit in manufacturing was only small (1.6%). In spite of slowdown in comparison to the previous year, the favourable development of the situation in the branch was reflected in the increase of credit provided in construction (8.8%). The volume of credit also solidly grew in the area of real estate activities (7.5%).</w:t>
            </w:r>
          </w:p>
        </w:tc>
      </w:tr>
    </w:tbl>
    <w:p w14:paraId="48254E9E" w14:textId="77777777" w:rsidR="00182F98" w:rsidRDefault="00182F98" w:rsidP="0067514E">
      <w:pPr>
        <w:pStyle w:val="Nadpis11"/>
        <w:rPr>
          <w:color w:val="auto"/>
          <w:sz w:val="16"/>
          <w:szCs w:val="16"/>
          <w:lang w:val="en-GB"/>
        </w:rPr>
      </w:pPr>
      <w:bookmarkStart w:id="2" w:name="_Toc37403647"/>
      <w:bookmarkStart w:id="3" w:name="_Toc26865023"/>
    </w:p>
    <w:p w14:paraId="5A45D2BF" w14:textId="7C2BB19F" w:rsidR="00182F98" w:rsidRDefault="00182F98">
      <w:pPr>
        <w:spacing w:after="0" w:line="240" w:lineRule="auto"/>
        <w:jc w:val="left"/>
        <w:rPr>
          <w:rFonts w:eastAsia="MS Gothic"/>
          <w:b/>
          <w:bCs/>
          <w:sz w:val="16"/>
          <w:szCs w:val="16"/>
          <w:lang w:val="en-GB"/>
        </w:rPr>
      </w:pPr>
    </w:p>
    <w:bookmarkEnd w:id="2"/>
    <w:bookmarkEnd w:id="3"/>
    <w:sectPr w:rsidR="00182F98" w:rsidSect="00AC766D">
      <w:headerReference w:type="even" r:id="rId10"/>
      <w:headerReference w:type="default" r:id="rId11"/>
      <w:footerReference w:type="even" r:id="rId12"/>
      <w:footerReference w:type="default" r:id="rId13"/>
      <w:pgSz w:w="11906" w:h="16838" w:code="9"/>
      <w:pgMar w:top="1134" w:right="1134" w:bottom="1418" w:left="1134" w:header="680" w:footer="737"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E3F86" w14:textId="77777777" w:rsidR="000F13F8" w:rsidRDefault="000F13F8" w:rsidP="00E71A58">
      <w:r>
        <w:separator/>
      </w:r>
    </w:p>
  </w:endnote>
  <w:endnote w:type="continuationSeparator" w:id="0">
    <w:p w14:paraId="50BA106C" w14:textId="77777777" w:rsidR="000F13F8" w:rsidRDefault="000F13F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4D79" w14:textId="22D2CA09" w:rsidR="00E71422" w:rsidRPr="00932443" w:rsidRDefault="00E71422" w:rsidP="00A418BC">
    <w:pPr>
      <w:pStyle w:val="Zpat"/>
      <w:rPr>
        <w:szCs w:val="16"/>
      </w:rPr>
    </w:pPr>
    <w:r>
      <w:rPr>
        <w:szCs w:val="16"/>
        <w:lang w:eastAsia="cs-CZ"/>
      </w:rPr>
      <w:drawing>
        <wp:anchor distT="0" distB="0" distL="114300" distR="114300" simplePos="0" relativeHeight="251667968" behindDoc="0" locked="0" layoutInCell="1" allowOverlap="1" wp14:anchorId="62B4BAC6" wp14:editId="4A6E1F69">
          <wp:simplePos x="0" y="0"/>
          <wp:positionH relativeFrom="column">
            <wp:align>right</wp:align>
          </wp:positionH>
          <wp:positionV relativeFrom="paragraph">
            <wp:posOffset>-64770</wp:posOffset>
          </wp:positionV>
          <wp:extent cx="428625" cy="201295"/>
          <wp:effectExtent l="0" t="0" r="3175" b="1905"/>
          <wp:wrapNone/>
          <wp:docPr id="4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7B66F8">
      <w:rPr>
        <w:szCs w:val="16"/>
      </w:rPr>
      <w:t>20</w:t>
    </w:r>
    <w:r w:rsidRPr="00932443">
      <w:rPr>
        <w:szCs w:val="16"/>
      </w:rPr>
      <w:fldChar w:fldCharType="end"/>
    </w:r>
    <w:r w:rsidRPr="00932443">
      <w:rPr>
        <w:szCs w:val="16"/>
      </w:rPr>
      <w:tab/>
    </w:r>
    <w:r>
      <w:rPr>
        <w:szCs w:val="16"/>
      </w:rPr>
      <w:t>Year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BC6B5" w14:textId="5DA60D38" w:rsidR="00E71422" w:rsidRPr="00932443" w:rsidRDefault="00E71422" w:rsidP="00FA6CB6">
    <w:pPr>
      <w:pStyle w:val="Zpat"/>
      <w:rPr>
        <w:szCs w:val="16"/>
      </w:rPr>
    </w:pPr>
    <w:r w:rsidRPr="00FA6CB6">
      <w:rPr>
        <w:szCs w:val="16"/>
      </w:rPr>
      <w:tab/>
    </w:r>
    <w:r>
      <w:rPr>
        <w:szCs w:val="16"/>
      </w:rPr>
      <w:t xml:space="preserve">Year </w:t>
    </w:r>
    <w:r>
      <w:rPr>
        <w:szCs w:val="16"/>
        <w:lang w:eastAsia="cs-CZ"/>
      </w:rPr>
      <w:drawing>
        <wp:anchor distT="0" distB="0" distL="114300" distR="114300" simplePos="0" relativeHeight="251658752" behindDoc="0" locked="0" layoutInCell="1" allowOverlap="1" wp14:anchorId="7DB7E50B" wp14:editId="12DAD866">
          <wp:simplePos x="0" y="0"/>
          <wp:positionH relativeFrom="column">
            <wp:align>left</wp:align>
          </wp:positionH>
          <wp:positionV relativeFrom="paragraph">
            <wp:posOffset>-122555</wp:posOffset>
          </wp:positionV>
          <wp:extent cx="510540" cy="272415"/>
          <wp:effectExtent l="0" t="0" r="0" b="6985"/>
          <wp:wrapNone/>
          <wp:docPr id="45"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019</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7B66F8">
      <w:rPr>
        <w:rStyle w:val="ZpatChar"/>
        <w:szCs w:val="16"/>
      </w:rPr>
      <w:t>3</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5C7C6" w14:textId="77777777" w:rsidR="000F13F8" w:rsidRDefault="000F13F8" w:rsidP="00A21B4D">
      <w:pPr>
        <w:spacing w:after="0"/>
      </w:pPr>
      <w:r>
        <w:separator/>
      </w:r>
    </w:p>
  </w:footnote>
  <w:footnote w:type="continuationSeparator" w:id="0">
    <w:p w14:paraId="693BB67F" w14:textId="77777777" w:rsidR="000F13F8" w:rsidRDefault="000F13F8" w:rsidP="00E71A58">
      <w:r>
        <w:continuationSeparator/>
      </w:r>
    </w:p>
  </w:footnote>
  <w:footnote w:id="1">
    <w:p w14:paraId="4EE11F48" w14:textId="77777777" w:rsidR="00E71422" w:rsidRPr="00971F0B" w:rsidRDefault="00E71422" w:rsidP="00971F0B">
      <w:pPr>
        <w:pStyle w:val="Textpoznpodarou"/>
        <w:jc w:val="both"/>
        <w:rPr>
          <w:sz w:val="16"/>
          <w:szCs w:val="16"/>
          <w:lang w:val="en-GB"/>
        </w:rPr>
      </w:pPr>
      <w:r w:rsidRPr="004470E6">
        <w:rPr>
          <w:rStyle w:val="Znakapoznpodarou"/>
          <w:sz w:val="16"/>
          <w:szCs w:val="16"/>
        </w:rPr>
        <w:footnoteRef/>
      </w:r>
      <w:r w:rsidRPr="004470E6">
        <w:rPr>
          <w:sz w:val="16"/>
          <w:szCs w:val="16"/>
        </w:rPr>
        <w:t xml:space="preserve"> </w:t>
      </w:r>
      <w:r w:rsidRPr="00971F0B">
        <w:rPr>
          <w:sz w:val="16"/>
          <w:szCs w:val="16"/>
          <w:lang w:val="en-GB"/>
        </w:rPr>
        <w:t>Unless stated otherwise, the source of data</w:t>
      </w:r>
      <w:r>
        <w:rPr>
          <w:sz w:val="16"/>
          <w:szCs w:val="16"/>
          <w:lang w:val="en-GB"/>
        </w:rPr>
        <w:t xml:space="preserve"> </w:t>
      </w:r>
      <w:r w:rsidRPr="00971F0B">
        <w:rPr>
          <w:sz w:val="16"/>
          <w:szCs w:val="16"/>
          <w:lang w:val="en-GB"/>
        </w:rPr>
        <w:t xml:space="preserve">in the chapter is the Czech National Bank database ARAD. </w:t>
      </w:r>
    </w:p>
  </w:footnote>
  <w:footnote w:id="2">
    <w:p w14:paraId="2D79E413" w14:textId="77777777" w:rsidR="00E71422" w:rsidRPr="00A87AEC" w:rsidRDefault="00E71422" w:rsidP="00A87AEC">
      <w:pPr>
        <w:pStyle w:val="Textpoznpodarou"/>
        <w:jc w:val="both"/>
        <w:rPr>
          <w:sz w:val="16"/>
          <w:szCs w:val="16"/>
          <w:lang w:val="en-GB"/>
        </w:rPr>
      </w:pPr>
      <w:r w:rsidRPr="00AB3D25">
        <w:rPr>
          <w:rStyle w:val="Znakapoznpodarou"/>
          <w:sz w:val="16"/>
          <w:szCs w:val="16"/>
        </w:rPr>
        <w:footnoteRef/>
      </w:r>
      <w:r w:rsidRPr="00AB3D25">
        <w:rPr>
          <w:sz w:val="16"/>
          <w:szCs w:val="16"/>
        </w:rPr>
        <w:t xml:space="preserve"> </w:t>
      </w:r>
      <w:r w:rsidRPr="00A87AEC">
        <w:rPr>
          <w:sz w:val="16"/>
          <w:szCs w:val="16"/>
          <w:lang w:val="en-GB"/>
        </w:rPr>
        <w:t>Construction, where the cycle of financing from European fund</w:t>
      </w:r>
      <w:r>
        <w:rPr>
          <w:sz w:val="16"/>
          <w:szCs w:val="16"/>
          <w:lang w:val="en-GB"/>
        </w:rPr>
        <w:t>s</w:t>
      </w:r>
      <w:r w:rsidRPr="00A87AEC">
        <w:rPr>
          <w:sz w:val="16"/>
          <w:szCs w:val="16"/>
          <w:lang w:val="en-GB"/>
        </w:rPr>
        <w:t xml:space="preserve"> is often obvious, represents the primary example</w:t>
      </w:r>
      <w:r>
        <w:rPr>
          <w:sz w:val="16"/>
          <w:szCs w:val="16"/>
          <w:lang w:val="en-GB"/>
        </w:rPr>
        <w:t xml:space="preserve">. </w:t>
      </w:r>
      <w:r w:rsidRPr="00A87AEC">
        <w:rPr>
          <w:sz w:val="16"/>
          <w:szCs w:val="16"/>
          <w:lang w:val="en-GB"/>
        </w:rPr>
        <w:t>Volume of provided credit increased by 12</w:t>
      </w:r>
      <w:r>
        <w:rPr>
          <w:sz w:val="16"/>
          <w:szCs w:val="16"/>
          <w:lang w:val="en-GB"/>
        </w:rPr>
        <w:t>.</w:t>
      </w:r>
      <w:r w:rsidRPr="00A87AEC">
        <w:rPr>
          <w:sz w:val="16"/>
          <w:szCs w:val="16"/>
          <w:lang w:val="en-GB"/>
        </w:rPr>
        <w:t>7%</w:t>
      </w:r>
      <w:r>
        <w:rPr>
          <w:sz w:val="16"/>
          <w:szCs w:val="16"/>
          <w:lang w:val="en-GB"/>
        </w:rPr>
        <w:t xml:space="preserve"> here</w:t>
      </w:r>
      <w:r w:rsidRPr="00A87AEC">
        <w:rPr>
          <w:sz w:val="16"/>
          <w:szCs w:val="16"/>
          <w:lang w:val="en-GB"/>
        </w:rPr>
        <w:t xml:space="preserve"> during year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B45C" w14:textId="77777777" w:rsidR="00E71422" w:rsidRPr="00A12F0E" w:rsidRDefault="00E71422" w:rsidP="00937AE2">
    <w:pPr>
      <w:pStyle w:val="Zhlav"/>
      <w:rPr>
        <w:lang w:val="en-GB"/>
      </w:rPr>
    </w:pPr>
    <w:r w:rsidRPr="00A12F0E">
      <w:rPr>
        <w:lang w:val="en-GB"/>
      </w:rPr>
      <w:t xml:space="preserve">The Czech Economy Development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582F2" w14:textId="77777777" w:rsidR="00E71422" w:rsidRPr="000F79D5" w:rsidRDefault="00E71422" w:rsidP="00937AE2">
    <w:pPr>
      <w:pStyle w:val="Zhlav"/>
      <w:rPr>
        <w:lang w:val="en-GB"/>
      </w:rPr>
    </w:pPr>
    <w:r w:rsidRPr="000F79D5">
      <w:rPr>
        <w:lang w:val="en-GB"/>
      </w:rPr>
      <w:t>The Czech Economy Development</w:t>
    </w:r>
  </w:p>
  <w:p w14:paraId="0DDD5F40" w14:textId="77777777" w:rsidR="00E71422" w:rsidRPr="006F5416" w:rsidRDefault="00E71422"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1.5pt;height:11.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B55"/>
    <w:rsid w:val="00001487"/>
    <w:rsid w:val="0000209D"/>
    <w:rsid w:val="00002566"/>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3560"/>
    <w:rsid w:val="0001387D"/>
    <w:rsid w:val="00016420"/>
    <w:rsid w:val="00017775"/>
    <w:rsid w:val="00017B01"/>
    <w:rsid w:val="000205D1"/>
    <w:rsid w:val="00020F22"/>
    <w:rsid w:val="0002195D"/>
    <w:rsid w:val="000228AE"/>
    <w:rsid w:val="000233D1"/>
    <w:rsid w:val="000234D6"/>
    <w:rsid w:val="00023D29"/>
    <w:rsid w:val="00024348"/>
    <w:rsid w:val="00026389"/>
    <w:rsid w:val="000279E5"/>
    <w:rsid w:val="00031AE0"/>
    <w:rsid w:val="00031BB2"/>
    <w:rsid w:val="000322EF"/>
    <w:rsid w:val="00033A2D"/>
    <w:rsid w:val="00033FCD"/>
    <w:rsid w:val="00034DF7"/>
    <w:rsid w:val="00034E68"/>
    <w:rsid w:val="000350C8"/>
    <w:rsid w:val="00036195"/>
    <w:rsid w:val="000366B2"/>
    <w:rsid w:val="000374B2"/>
    <w:rsid w:val="000376C0"/>
    <w:rsid w:val="000403A7"/>
    <w:rsid w:val="00040453"/>
    <w:rsid w:val="00040632"/>
    <w:rsid w:val="00041AFC"/>
    <w:rsid w:val="00041BB2"/>
    <w:rsid w:val="00041CEC"/>
    <w:rsid w:val="00044183"/>
    <w:rsid w:val="0004431D"/>
    <w:rsid w:val="00044FD1"/>
    <w:rsid w:val="0004694F"/>
    <w:rsid w:val="00046F2F"/>
    <w:rsid w:val="00047AD4"/>
    <w:rsid w:val="00047D54"/>
    <w:rsid w:val="00047E68"/>
    <w:rsid w:val="00050477"/>
    <w:rsid w:val="00050981"/>
    <w:rsid w:val="00051506"/>
    <w:rsid w:val="000522E4"/>
    <w:rsid w:val="00053713"/>
    <w:rsid w:val="0005434E"/>
    <w:rsid w:val="0005510F"/>
    <w:rsid w:val="00055CB6"/>
    <w:rsid w:val="000572DD"/>
    <w:rsid w:val="00057B1E"/>
    <w:rsid w:val="000610E1"/>
    <w:rsid w:val="000616AD"/>
    <w:rsid w:val="000622A6"/>
    <w:rsid w:val="00062BF9"/>
    <w:rsid w:val="00062EC5"/>
    <w:rsid w:val="00062F22"/>
    <w:rsid w:val="00063975"/>
    <w:rsid w:val="00063CEA"/>
    <w:rsid w:val="0006444D"/>
    <w:rsid w:val="000645FC"/>
    <w:rsid w:val="0006533F"/>
    <w:rsid w:val="00065348"/>
    <w:rsid w:val="00065662"/>
    <w:rsid w:val="00065A75"/>
    <w:rsid w:val="00066558"/>
    <w:rsid w:val="00070A87"/>
    <w:rsid w:val="000712B3"/>
    <w:rsid w:val="00072FF5"/>
    <w:rsid w:val="00073FB1"/>
    <w:rsid w:val="0007474E"/>
    <w:rsid w:val="00074988"/>
    <w:rsid w:val="0007512B"/>
    <w:rsid w:val="00075551"/>
    <w:rsid w:val="000767F5"/>
    <w:rsid w:val="00076D90"/>
    <w:rsid w:val="0007767F"/>
    <w:rsid w:val="00077A4E"/>
    <w:rsid w:val="00077BA9"/>
    <w:rsid w:val="00077FF0"/>
    <w:rsid w:val="00081A55"/>
    <w:rsid w:val="0008263E"/>
    <w:rsid w:val="00082C19"/>
    <w:rsid w:val="00082F89"/>
    <w:rsid w:val="000837CD"/>
    <w:rsid w:val="00083BEC"/>
    <w:rsid w:val="000847FF"/>
    <w:rsid w:val="00084BFF"/>
    <w:rsid w:val="00085395"/>
    <w:rsid w:val="00086896"/>
    <w:rsid w:val="00086AC1"/>
    <w:rsid w:val="00086D19"/>
    <w:rsid w:val="0008724C"/>
    <w:rsid w:val="00087634"/>
    <w:rsid w:val="00087F2B"/>
    <w:rsid w:val="00090694"/>
    <w:rsid w:val="00090FC6"/>
    <w:rsid w:val="0009111A"/>
    <w:rsid w:val="000913B1"/>
    <w:rsid w:val="0009239C"/>
    <w:rsid w:val="00093241"/>
    <w:rsid w:val="00094A84"/>
    <w:rsid w:val="00095025"/>
    <w:rsid w:val="00095135"/>
    <w:rsid w:val="00095C9F"/>
    <w:rsid w:val="0009626E"/>
    <w:rsid w:val="0009689A"/>
    <w:rsid w:val="00097191"/>
    <w:rsid w:val="000974D1"/>
    <w:rsid w:val="0009799E"/>
    <w:rsid w:val="000A07CB"/>
    <w:rsid w:val="000A0BC0"/>
    <w:rsid w:val="000A1183"/>
    <w:rsid w:val="000A212B"/>
    <w:rsid w:val="000A242D"/>
    <w:rsid w:val="000A256D"/>
    <w:rsid w:val="000A2D80"/>
    <w:rsid w:val="000A3361"/>
    <w:rsid w:val="000A3A2C"/>
    <w:rsid w:val="000A3D9E"/>
    <w:rsid w:val="000A4A54"/>
    <w:rsid w:val="000A4ED9"/>
    <w:rsid w:val="000A5DB7"/>
    <w:rsid w:val="000A5DBC"/>
    <w:rsid w:val="000A62F6"/>
    <w:rsid w:val="000A6AFE"/>
    <w:rsid w:val="000A6D94"/>
    <w:rsid w:val="000A7377"/>
    <w:rsid w:val="000A7FF4"/>
    <w:rsid w:val="000B03CC"/>
    <w:rsid w:val="000B095B"/>
    <w:rsid w:val="000B4212"/>
    <w:rsid w:val="000B4999"/>
    <w:rsid w:val="000B624C"/>
    <w:rsid w:val="000B73B6"/>
    <w:rsid w:val="000C0EA8"/>
    <w:rsid w:val="000C13A2"/>
    <w:rsid w:val="000C21E7"/>
    <w:rsid w:val="000C23EC"/>
    <w:rsid w:val="000C272A"/>
    <w:rsid w:val="000C30C3"/>
    <w:rsid w:val="000C3408"/>
    <w:rsid w:val="000C35AB"/>
    <w:rsid w:val="000C3F7B"/>
    <w:rsid w:val="000C4769"/>
    <w:rsid w:val="000C4D56"/>
    <w:rsid w:val="000C57C9"/>
    <w:rsid w:val="000C5DFA"/>
    <w:rsid w:val="000C632E"/>
    <w:rsid w:val="000C6AFD"/>
    <w:rsid w:val="000C6C90"/>
    <w:rsid w:val="000D0A26"/>
    <w:rsid w:val="000D0D6B"/>
    <w:rsid w:val="000D29A2"/>
    <w:rsid w:val="000D3058"/>
    <w:rsid w:val="000D310A"/>
    <w:rsid w:val="000D3EF4"/>
    <w:rsid w:val="000D41D5"/>
    <w:rsid w:val="000D4E3C"/>
    <w:rsid w:val="000D5637"/>
    <w:rsid w:val="000D581B"/>
    <w:rsid w:val="000D6F4E"/>
    <w:rsid w:val="000E0E96"/>
    <w:rsid w:val="000E298B"/>
    <w:rsid w:val="000E2C7D"/>
    <w:rsid w:val="000E37DB"/>
    <w:rsid w:val="000E37EB"/>
    <w:rsid w:val="000E440D"/>
    <w:rsid w:val="000E4655"/>
    <w:rsid w:val="000E4AC5"/>
    <w:rsid w:val="000E5A47"/>
    <w:rsid w:val="000E6253"/>
    <w:rsid w:val="000E6E4D"/>
    <w:rsid w:val="000E6FBD"/>
    <w:rsid w:val="000E6FCB"/>
    <w:rsid w:val="000E7033"/>
    <w:rsid w:val="000F090B"/>
    <w:rsid w:val="000F13F8"/>
    <w:rsid w:val="000F3F3B"/>
    <w:rsid w:val="000F47E8"/>
    <w:rsid w:val="000F70E4"/>
    <w:rsid w:val="000F76EA"/>
    <w:rsid w:val="000F79D5"/>
    <w:rsid w:val="00100F5C"/>
    <w:rsid w:val="00101CDA"/>
    <w:rsid w:val="00102037"/>
    <w:rsid w:val="00103DCB"/>
    <w:rsid w:val="00104C4C"/>
    <w:rsid w:val="00105015"/>
    <w:rsid w:val="001055D2"/>
    <w:rsid w:val="001057C2"/>
    <w:rsid w:val="00107996"/>
    <w:rsid w:val="0011038E"/>
    <w:rsid w:val="00110DB1"/>
    <w:rsid w:val="001125EF"/>
    <w:rsid w:val="00112CAB"/>
    <w:rsid w:val="00116D3F"/>
    <w:rsid w:val="00117474"/>
    <w:rsid w:val="0011758C"/>
    <w:rsid w:val="00117623"/>
    <w:rsid w:val="00117E24"/>
    <w:rsid w:val="00117FEA"/>
    <w:rsid w:val="001200CF"/>
    <w:rsid w:val="001205FF"/>
    <w:rsid w:val="001208E3"/>
    <w:rsid w:val="00121170"/>
    <w:rsid w:val="0012192F"/>
    <w:rsid w:val="00122994"/>
    <w:rsid w:val="00122D11"/>
    <w:rsid w:val="00123841"/>
    <w:rsid w:val="00123AD0"/>
    <w:rsid w:val="00123AD2"/>
    <w:rsid w:val="00124B46"/>
    <w:rsid w:val="001257E0"/>
    <w:rsid w:val="00125D69"/>
    <w:rsid w:val="001260F8"/>
    <w:rsid w:val="0012799C"/>
    <w:rsid w:val="00127BC2"/>
    <w:rsid w:val="00127E15"/>
    <w:rsid w:val="001302F1"/>
    <w:rsid w:val="00130ADC"/>
    <w:rsid w:val="00130D9F"/>
    <w:rsid w:val="00132C4D"/>
    <w:rsid w:val="00133FC1"/>
    <w:rsid w:val="00134429"/>
    <w:rsid w:val="00134659"/>
    <w:rsid w:val="001405FA"/>
    <w:rsid w:val="00140698"/>
    <w:rsid w:val="00140D1A"/>
    <w:rsid w:val="00141184"/>
    <w:rsid w:val="00141315"/>
    <w:rsid w:val="00141AA0"/>
    <w:rsid w:val="001425C3"/>
    <w:rsid w:val="0014262D"/>
    <w:rsid w:val="00142C54"/>
    <w:rsid w:val="00144588"/>
    <w:rsid w:val="00144675"/>
    <w:rsid w:val="001447DD"/>
    <w:rsid w:val="001459BC"/>
    <w:rsid w:val="00147F6B"/>
    <w:rsid w:val="00151F11"/>
    <w:rsid w:val="00152F4F"/>
    <w:rsid w:val="00153482"/>
    <w:rsid w:val="001544A1"/>
    <w:rsid w:val="00154ECB"/>
    <w:rsid w:val="001553B8"/>
    <w:rsid w:val="001554C2"/>
    <w:rsid w:val="00156342"/>
    <w:rsid w:val="00156AF7"/>
    <w:rsid w:val="001571C0"/>
    <w:rsid w:val="0015753D"/>
    <w:rsid w:val="00157CC9"/>
    <w:rsid w:val="00160C21"/>
    <w:rsid w:val="00160C29"/>
    <w:rsid w:val="001612F4"/>
    <w:rsid w:val="00161553"/>
    <w:rsid w:val="0016256B"/>
    <w:rsid w:val="00162F81"/>
    <w:rsid w:val="00163793"/>
    <w:rsid w:val="00165313"/>
    <w:rsid w:val="00167485"/>
    <w:rsid w:val="00167CB9"/>
    <w:rsid w:val="00167DD8"/>
    <w:rsid w:val="001704D0"/>
    <w:rsid w:val="001705AD"/>
    <w:rsid w:val="001706D6"/>
    <w:rsid w:val="001714F2"/>
    <w:rsid w:val="00171FEA"/>
    <w:rsid w:val="001735E8"/>
    <w:rsid w:val="00175B9F"/>
    <w:rsid w:val="001762F4"/>
    <w:rsid w:val="00181BBC"/>
    <w:rsid w:val="00182D9D"/>
    <w:rsid w:val="00182F98"/>
    <w:rsid w:val="0018385F"/>
    <w:rsid w:val="00184017"/>
    <w:rsid w:val="001847BB"/>
    <w:rsid w:val="00184B08"/>
    <w:rsid w:val="00185010"/>
    <w:rsid w:val="00185C22"/>
    <w:rsid w:val="00186BA9"/>
    <w:rsid w:val="0019196C"/>
    <w:rsid w:val="00191F62"/>
    <w:rsid w:val="00191FBF"/>
    <w:rsid w:val="001922FA"/>
    <w:rsid w:val="00192E20"/>
    <w:rsid w:val="00192F05"/>
    <w:rsid w:val="00194729"/>
    <w:rsid w:val="00194850"/>
    <w:rsid w:val="00194B0C"/>
    <w:rsid w:val="00195234"/>
    <w:rsid w:val="00196016"/>
    <w:rsid w:val="00196046"/>
    <w:rsid w:val="00196117"/>
    <w:rsid w:val="001979A2"/>
    <w:rsid w:val="00197A70"/>
    <w:rsid w:val="00197C0F"/>
    <w:rsid w:val="001A0487"/>
    <w:rsid w:val="001A16D4"/>
    <w:rsid w:val="001A1F68"/>
    <w:rsid w:val="001A21FA"/>
    <w:rsid w:val="001A2A11"/>
    <w:rsid w:val="001A3720"/>
    <w:rsid w:val="001A4EF0"/>
    <w:rsid w:val="001A52E2"/>
    <w:rsid w:val="001A552F"/>
    <w:rsid w:val="001A7B75"/>
    <w:rsid w:val="001B1168"/>
    <w:rsid w:val="001B1334"/>
    <w:rsid w:val="001B2A2C"/>
    <w:rsid w:val="001B2CA9"/>
    <w:rsid w:val="001B3110"/>
    <w:rsid w:val="001B3E38"/>
    <w:rsid w:val="001B40F5"/>
    <w:rsid w:val="001B4729"/>
    <w:rsid w:val="001B4799"/>
    <w:rsid w:val="001B4F0E"/>
    <w:rsid w:val="001B54D9"/>
    <w:rsid w:val="001B6310"/>
    <w:rsid w:val="001B6564"/>
    <w:rsid w:val="001B689D"/>
    <w:rsid w:val="001B6C09"/>
    <w:rsid w:val="001B6E12"/>
    <w:rsid w:val="001C0204"/>
    <w:rsid w:val="001C05CD"/>
    <w:rsid w:val="001C0F17"/>
    <w:rsid w:val="001C19AE"/>
    <w:rsid w:val="001C1B24"/>
    <w:rsid w:val="001C1B66"/>
    <w:rsid w:val="001C31A2"/>
    <w:rsid w:val="001C4BB8"/>
    <w:rsid w:val="001C4FD0"/>
    <w:rsid w:val="001C5E46"/>
    <w:rsid w:val="001C66DE"/>
    <w:rsid w:val="001C6B3B"/>
    <w:rsid w:val="001C7626"/>
    <w:rsid w:val="001C7E3F"/>
    <w:rsid w:val="001D0EF1"/>
    <w:rsid w:val="001D15CD"/>
    <w:rsid w:val="001D1BE6"/>
    <w:rsid w:val="001D1C26"/>
    <w:rsid w:val="001D1C47"/>
    <w:rsid w:val="001D22C2"/>
    <w:rsid w:val="001D2C99"/>
    <w:rsid w:val="001D452E"/>
    <w:rsid w:val="001D54C1"/>
    <w:rsid w:val="001D556E"/>
    <w:rsid w:val="001D5DF2"/>
    <w:rsid w:val="001D68B2"/>
    <w:rsid w:val="001D7EFD"/>
    <w:rsid w:val="001D7F60"/>
    <w:rsid w:val="001E13B1"/>
    <w:rsid w:val="001E3306"/>
    <w:rsid w:val="001E4D8B"/>
    <w:rsid w:val="001E504C"/>
    <w:rsid w:val="001E5A17"/>
    <w:rsid w:val="001E640B"/>
    <w:rsid w:val="001E74C5"/>
    <w:rsid w:val="001F0163"/>
    <w:rsid w:val="001F0C39"/>
    <w:rsid w:val="001F1236"/>
    <w:rsid w:val="001F1C11"/>
    <w:rsid w:val="001F290E"/>
    <w:rsid w:val="001F2F90"/>
    <w:rsid w:val="001F4597"/>
    <w:rsid w:val="001F4826"/>
    <w:rsid w:val="001F5479"/>
    <w:rsid w:val="001F6718"/>
    <w:rsid w:val="001F7CE0"/>
    <w:rsid w:val="00200085"/>
    <w:rsid w:val="00203332"/>
    <w:rsid w:val="002033C8"/>
    <w:rsid w:val="00203CD5"/>
    <w:rsid w:val="00203D8F"/>
    <w:rsid w:val="00203DA4"/>
    <w:rsid w:val="00205186"/>
    <w:rsid w:val="00206516"/>
    <w:rsid w:val="002071D5"/>
    <w:rsid w:val="00210E80"/>
    <w:rsid w:val="002111E5"/>
    <w:rsid w:val="002118B9"/>
    <w:rsid w:val="00213AC6"/>
    <w:rsid w:val="002142C0"/>
    <w:rsid w:val="00217C5B"/>
    <w:rsid w:val="00220A43"/>
    <w:rsid w:val="00220DC7"/>
    <w:rsid w:val="0022139E"/>
    <w:rsid w:val="00222729"/>
    <w:rsid w:val="00223185"/>
    <w:rsid w:val="002233D6"/>
    <w:rsid w:val="0022441D"/>
    <w:rsid w:val="00224574"/>
    <w:rsid w:val="00224E3F"/>
    <w:rsid w:val="002252E0"/>
    <w:rsid w:val="002255F6"/>
    <w:rsid w:val="00225F84"/>
    <w:rsid w:val="00226032"/>
    <w:rsid w:val="0022738D"/>
    <w:rsid w:val="00227605"/>
    <w:rsid w:val="00227850"/>
    <w:rsid w:val="00227A53"/>
    <w:rsid w:val="00227E2E"/>
    <w:rsid w:val="00227F53"/>
    <w:rsid w:val="00230C6E"/>
    <w:rsid w:val="00230E21"/>
    <w:rsid w:val="002316A8"/>
    <w:rsid w:val="002320C9"/>
    <w:rsid w:val="00232300"/>
    <w:rsid w:val="0023288F"/>
    <w:rsid w:val="00232A13"/>
    <w:rsid w:val="00233603"/>
    <w:rsid w:val="002340EF"/>
    <w:rsid w:val="00234110"/>
    <w:rsid w:val="00234B82"/>
    <w:rsid w:val="00236443"/>
    <w:rsid w:val="00236700"/>
    <w:rsid w:val="00240391"/>
    <w:rsid w:val="00240AF3"/>
    <w:rsid w:val="002418D5"/>
    <w:rsid w:val="00241B06"/>
    <w:rsid w:val="00242A56"/>
    <w:rsid w:val="002436BA"/>
    <w:rsid w:val="00244652"/>
    <w:rsid w:val="00244A15"/>
    <w:rsid w:val="00244F4E"/>
    <w:rsid w:val="002452D9"/>
    <w:rsid w:val="00247319"/>
    <w:rsid w:val="0024799E"/>
    <w:rsid w:val="00247E60"/>
    <w:rsid w:val="00251C53"/>
    <w:rsid w:val="00251E41"/>
    <w:rsid w:val="00252AB9"/>
    <w:rsid w:val="0025338B"/>
    <w:rsid w:val="0025392C"/>
    <w:rsid w:val="00253C0F"/>
    <w:rsid w:val="002558C1"/>
    <w:rsid w:val="00256207"/>
    <w:rsid w:val="002575F3"/>
    <w:rsid w:val="00257F29"/>
    <w:rsid w:val="002603E1"/>
    <w:rsid w:val="0026120E"/>
    <w:rsid w:val="00262582"/>
    <w:rsid w:val="0026291D"/>
    <w:rsid w:val="00263DC8"/>
    <w:rsid w:val="00264309"/>
    <w:rsid w:val="00264570"/>
    <w:rsid w:val="002647DF"/>
    <w:rsid w:val="00264905"/>
    <w:rsid w:val="0026564B"/>
    <w:rsid w:val="00265C83"/>
    <w:rsid w:val="00265E85"/>
    <w:rsid w:val="00266F94"/>
    <w:rsid w:val="00267B49"/>
    <w:rsid w:val="002700D9"/>
    <w:rsid w:val="0027025F"/>
    <w:rsid w:val="00270363"/>
    <w:rsid w:val="002709CC"/>
    <w:rsid w:val="00270D25"/>
    <w:rsid w:val="00270E1C"/>
    <w:rsid w:val="00271022"/>
    <w:rsid w:val="00271465"/>
    <w:rsid w:val="00271545"/>
    <w:rsid w:val="00271E47"/>
    <w:rsid w:val="002721F5"/>
    <w:rsid w:val="00272DF4"/>
    <w:rsid w:val="0027583D"/>
    <w:rsid w:val="00275DEF"/>
    <w:rsid w:val="002763A2"/>
    <w:rsid w:val="00276B33"/>
    <w:rsid w:val="002812E3"/>
    <w:rsid w:val="00282082"/>
    <w:rsid w:val="0028341F"/>
    <w:rsid w:val="002837AE"/>
    <w:rsid w:val="00283C13"/>
    <w:rsid w:val="00283F7B"/>
    <w:rsid w:val="0028431A"/>
    <w:rsid w:val="0028460B"/>
    <w:rsid w:val="002853FA"/>
    <w:rsid w:val="00285412"/>
    <w:rsid w:val="00286169"/>
    <w:rsid w:val="00286220"/>
    <w:rsid w:val="0028728F"/>
    <w:rsid w:val="00291640"/>
    <w:rsid w:val="0029237E"/>
    <w:rsid w:val="00292997"/>
    <w:rsid w:val="00293048"/>
    <w:rsid w:val="00293D24"/>
    <w:rsid w:val="00294450"/>
    <w:rsid w:val="00294B5C"/>
    <w:rsid w:val="0029509B"/>
    <w:rsid w:val="0029588F"/>
    <w:rsid w:val="002964C9"/>
    <w:rsid w:val="00297256"/>
    <w:rsid w:val="00297A5C"/>
    <w:rsid w:val="00297D51"/>
    <w:rsid w:val="00297DC4"/>
    <w:rsid w:val="002A00CD"/>
    <w:rsid w:val="002A0122"/>
    <w:rsid w:val="002A016B"/>
    <w:rsid w:val="002A15F8"/>
    <w:rsid w:val="002A16D4"/>
    <w:rsid w:val="002A1E4F"/>
    <w:rsid w:val="002A1F75"/>
    <w:rsid w:val="002A230C"/>
    <w:rsid w:val="002A2AF7"/>
    <w:rsid w:val="002A3209"/>
    <w:rsid w:val="002A3EA2"/>
    <w:rsid w:val="002A51AC"/>
    <w:rsid w:val="002A532A"/>
    <w:rsid w:val="002A55E9"/>
    <w:rsid w:val="002A5846"/>
    <w:rsid w:val="002A5D97"/>
    <w:rsid w:val="002A603E"/>
    <w:rsid w:val="002A63B9"/>
    <w:rsid w:val="002A7089"/>
    <w:rsid w:val="002B1619"/>
    <w:rsid w:val="002B3EF4"/>
    <w:rsid w:val="002B4845"/>
    <w:rsid w:val="002B500B"/>
    <w:rsid w:val="002B5368"/>
    <w:rsid w:val="002B5567"/>
    <w:rsid w:val="002B5812"/>
    <w:rsid w:val="002B61AC"/>
    <w:rsid w:val="002B72AA"/>
    <w:rsid w:val="002C048C"/>
    <w:rsid w:val="002C0B3A"/>
    <w:rsid w:val="002C1110"/>
    <w:rsid w:val="002C15DD"/>
    <w:rsid w:val="002C16EA"/>
    <w:rsid w:val="002C1F09"/>
    <w:rsid w:val="002C22A4"/>
    <w:rsid w:val="002C260B"/>
    <w:rsid w:val="002C27A6"/>
    <w:rsid w:val="002C2C88"/>
    <w:rsid w:val="002C398D"/>
    <w:rsid w:val="002C3F1F"/>
    <w:rsid w:val="002C40D2"/>
    <w:rsid w:val="002C43BD"/>
    <w:rsid w:val="002C5245"/>
    <w:rsid w:val="002C59D8"/>
    <w:rsid w:val="002C641B"/>
    <w:rsid w:val="002D05CB"/>
    <w:rsid w:val="002D0E59"/>
    <w:rsid w:val="002D2C4F"/>
    <w:rsid w:val="002D379D"/>
    <w:rsid w:val="002D3EBB"/>
    <w:rsid w:val="002D455C"/>
    <w:rsid w:val="002D469C"/>
    <w:rsid w:val="002D6066"/>
    <w:rsid w:val="002D7496"/>
    <w:rsid w:val="002D7F73"/>
    <w:rsid w:val="002E02A1"/>
    <w:rsid w:val="002E05E7"/>
    <w:rsid w:val="002E196A"/>
    <w:rsid w:val="002E20C7"/>
    <w:rsid w:val="002E20CD"/>
    <w:rsid w:val="002E222E"/>
    <w:rsid w:val="002E28D8"/>
    <w:rsid w:val="002E3320"/>
    <w:rsid w:val="002E37D1"/>
    <w:rsid w:val="002E3BEE"/>
    <w:rsid w:val="002E4E4C"/>
    <w:rsid w:val="002E4EA7"/>
    <w:rsid w:val="002E534D"/>
    <w:rsid w:val="002E5846"/>
    <w:rsid w:val="002E603D"/>
    <w:rsid w:val="002E740F"/>
    <w:rsid w:val="002E792B"/>
    <w:rsid w:val="002F1B09"/>
    <w:rsid w:val="002F1D56"/>
    <w:rsid w:val="002F1DCB"/>
    <w:rsid w:val="002F1DE4"/>
    <w:rsid w:val="002F333D"/>
    <w:rsid w:val="002F351A"/>
    <w:rsid w:val="002F3893"/>
    <w:rsid w:val="002F46D6"/>
    <w:rsid w:val="002F498A"/>
    <w:rsid w:val="002F4AD8"/>
    <w:rsid w:val="002F5231"/>
    <w:rsid w:val="002F5285"/>
    <w:rsid w:val="002F5820"/>
    <w:rsid w:val="002F64BB"/>
    <w:rsid w:val="00300030"/>
    <w:rsid w:val="00300C31"/>
    <w:rsid w:val="003017EC"/>
    <w:rsid w:val="00301AEC"/>
    <w:rsid w:val="00301F5A"/>
    <w:rsid w:val="00302165"/>
    <w:rsid w:val="003026B5"/>
    <w:rsid w:val="003029F1"/>
    <w:rsid w:val="00304771"/>
    <w:rsid w:val="003052D4"/>
    <w:rsid w:val="00305FCE"/>
    <w:rsid w:val="003060E9"/>
    <w:rsid w:val="00306C5B"/>
    <w:rsid w:val="00307529"/>
    <w:rsid w:val="003076DC"/>
    <w:rsid w:val="00307DB3"/>
    <w:rsid w:val="00307ED2"/>
    <w:rsid w:val="0031076D"/>
    <w:rsid w:val="00311AA6"/>
    <w:rsid w:val="00311C4D"/>
    <w:rsid w:val="003121AB"/>
    <w:rsid w:val="00312663"/>
    <w:rsid w:val="003127B0"/>
    <w:rsid w:val="00315169"/>
    <w:rsid w:val="003153C8"/>
    <w:rsid w:val="00315524"/>
    <w:rsid w:val="0032058C"/>
    <w:rsid w:val="003208D0"/>
    <w:rsid w:val="003209B1"/>
    <w:rsid w:val="003209D6"/>
    <w:rsid w:val="0032159E"/>
    <w:rsid w:val="003217B9"/>
    <w:rsid w:val="00321924"/>
    <w:rsid w:val="00321EB6"/>
    <w:rsid w:val="003220A5"/>
    <w:rsid w:val="00323A1C"/>
    <w:rsid w:val="00324936"/>
    <w:rsid w:val="00324B59"/>
    <w:rsid w:val="0032656E"/>
    <w:rsid w:val="00326B83"/>
    <w:rsid w:val="0032788F"/>
    <w:rsid w:val="00327C3C"/>
    <w:rsid w:val="00331E1C"/>
    <w:rsid w:val="00332190"/>
    <w:rsid w:val="00332A98"/>
    <w:rsid w:val="00333973"/>
    <w:rsid w:val="00333CD0"/>
    <w:rsid w:val="0033448D"/>
    <w:rsid w:val="00334AD2"/>
    <w:rsid w:val="00336FFF"/>
    <w:rsid w:val="0033709C"/>
    <w:rsid w:val="003370C5"/>
    <w:rsid w:val="0033712B"/>
    <w:rsid w:val="003373C6"/>
    <w:rsid w:val="00340BF3"/>
    <w:rsid w:val="00341D26"/>
    <w:rsid w:val="00341DCD"/>
    <w:rsid w:val="00341F05"/>
    <w:rsid w:val="0034335E"/>
    <w:rsid w:val="00344668"/>
    <w:rsid w:val="003449C8"/>
    <w:rsid w:val="00346234"/>
    <w:rsid w:val="003462D9"/>
    <w:rsid w:val="003470CC"/>
    <w:rsid w:val="0034723F"/>
    <w:rsid w:val="00347247"/>
    <w:rsid w:val="003474B6"/>
    <w:rsid w:val="00347DD4"/>
    <w:rsid w:val="00352B43"/>
    <w:rsid w:val="00352C28"/>
    <w:rsid w:val="003543C0"/>
    <w:rsid w:val="0036077F"/>
    <w:rsid w:val="00360C86"/>
    <w:rsid w:val="00360E3F"/>
    <w:rsid w:val="00360F7A"/>
    <w:rsid w:val="00360FBC"/>
    <w:rsid w:val="00361537"/>
    <w:rsid w:val="003615FA"/>
    <w:rsid w:val="0036242A"/>
    <w:rsid w:val="00362C23"/>
    <w:rsid w:val="00362E90"/>
    <w:rsid w:val="0036369D"/>
    <w:rsid w:val="00364FA0"/>
    <w:rsid w:val="003657F3"/>
    <w:rsid w:val="00365844"/>
    <w:rsid w:val="00367F84"/>
    <w:rsid w:val="003712BC"/>
    <w:rsid w:val="0037136E"/>
    <w:rsid w:val="00371F30"/>
    <w:rsid w:val="00372164"/>
    <w:rsid w:val="003738BD"/>
    <w:rsid w:val="00374263"/>
    <w:rsid w:val="003746F0"/>
    <w:rsid w:val="00374A20"/>
    <w:rsid w:val="00374E21"/>
    <w:rsid w:val="0037518A"/>
    <w:rsid w:val="00377B2E"/>
    <w:rsid w:val="00377B84"/>
    <w:rsid w:val="0038084E"/>
    <w:rsid w:val="003810F0"/>
    <w:rsid w:val="003816E0"/>
    <w:rsid w:val="003818DC"/>
    <w:rsid w:val="00381B67"/>
    <w:rsid w:val="0038248F"/>
    <w:rsid w:val="00382513"/>
    <w:rsid w:val="00383388"/>
    <w:rsid w:val="003834F8"/>
    <w:rsid w:val="003838D0"/>
    <w:rsid w:val="003840C2"/>
    <w:rsid w:val="0038418F"/>
    <w:rsid w:val="00384327"/>
    <w:rsid w:val="00384A89"/>
    <w:rsid w:val="00385086"/>
    <w:rsid w:val="00385D98"/>
    <w:rsid w:val="00387299"/>
    <w:rsid w:val="00387E97"/>
    <w:rsid w:val="00390306"/>
    <w:rsid w:val="003908A6"/>
    <w:rsid w:val="00390C94"/>
    <w:rsid w:val="0039109D"/>
    <w:rsid w:val="00391989"/>
    <w:rsid w:val="00391A6C"/>
    <w:rsid w:val="003927F6"/>
    <w:rsid w:val="00394F35"/>
    <w:rsid w:val="00396739"/>
    <w:rsid w:val="00396CB7"/>
    <w:rsid w:val="00397225"/>
    <w:rsid w:val="003A04F6"/>
    <w:rsid w:val="003A0837"/>
    <w:rsid w:val="003A2864"/>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4EB"/>
    <w:rsid w:val="003B0DF4"/>
    <w:rsid w:val="003B12EC"/>
    <w:rsid w:val="003B1562"/>
    <w:rsid w:val="003B1F9D"/>
    <w:rsid w:val="003B2A8D"/>
    <w:rsid w:val="003B2AD1"/>
    <w:rsid w:val="003B2D2E"/>
    <w:rsid w:val="003B461F"/>
    <w:rsid w:val="003B483F"/>
    <w:rsid w:val="003B4998"/>
    <w:rsid w:val="003B5A32"/>
    <w:rsid w:val="003B7133"/>
    <w:rsid w:val="003B7B50"/>
    <w:rsid w:val="003C057D"/>
    <w:rsid w:val="003C0B07"/>
    <w:rsid w:val="003C2CE7"/>
    <w:rsid w:val="003C3490"/>
    <w:rsid w:val="003C3608"/>
    <w:rsid w:val="003C3AE8"/>
    <w:rsid w:val="003C3D2C"/>
    <w:rsid w:val="003C4E13"/>
    <w:rsid w:val="003C6221"/>
    <w:rsid w:val="003C63D7"/>
    <w:rsid w:val="003C68CC"/>
    <w:rsid w:val="003C7E62"/>
    <w:rsid w:val="003D07AC"/>
    <w:rsid w:val="003D12B9"/>
    <w:rsid w:val="003D1D23"/>
    <w:rsid w:val="003D1E7A"/>
    <w:rsid w:val="003D242B"/>
    <w:rsid w:val="003D2492"/>
    <w:rsid w:val="003D29AA"/>
    <w:rsid w:val="003D2A99"/>
    <w:rsid w:val="003D40B0"/>
    <w:rsid w:val="003D6920"/>
    <w:rsid w:val="003E1EF8"/>
    <w:rsid w:val="003E2DFB"/>
    <w:rsid w:val="003E44C7"/>
    <w:rsid w:val="003E4C91"/>
    <w:rsid w:val="003E52D8"/>
    <w:rsid w:val="003E62F1"/>
    <w:rsid w:val="003F1F99"/>
    <w:rsid w:val="003F313C"/>
    <w:rsid w:val="003F37FC"/>
    <w:rsid w:val="003F3CB8"/>
    <w:rsid w:val="003F4318"/>
    <w:rsid w:val="003F4B2C"/>
    <w:rsid w:val="003F551C"/>
    <w:rsid w:val="003F5543"/>
    <w:rsid w:val="003F626D"/>
    <w:rsid w:val="003F694D"/>
    <w:rsid w:val="003F7093"/>
    <w:rsid w:val="003F72ED"/>
    <w:rsid w:val="003F7D23"/>
    <w:rsid w:val="003F7F77"/>
    <w:rsid w:val="00400050"/>
    <w:rsid w:val="004001F4"/>
    <w:rsid w:val="004002C8"/>
    <w:rsid w:val="00400468"/>
    <w:rsid w:val="0040099D"/>
    <w:rsid w:val="00400DF3"/>
    <w:rsid w:val="004016CB"/>
    <w:rsid w:val="00401B23"/>
    <w:rsid w:val="00402ADB"/>
    <w:rsid w:val="0040368D"/>
    <w:rsid w:val="00403D1D"/>
    <w:rsid w:val="00403F57"/>
    <w:rsid w:val="00405318"/>
    <w:rsid w:val="004059D2"/>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54D"/>
    <w:rsid w:val="00416DAC"/>
    <w:rsid w:val="00417E17"/>
    <w:rsid w:val="004205DC"/>
    <w:rsid w:val="00420880"/>
    <w:rsid w:val="00421179"/>
    <w:rsid w:val="004246E7"/>
    <w:rsid w:val="00424CF6"/>
    <w:rsid w:val="00425B35"/>
    <w:rsid w:val="00430020"/>
    <w:rsid w:val="00430C96"/>
    <w:rsid w:val="0043178A"/>
    <w:rsid w:val="00431BFF"/>
    <w:rsid w:val="00432199"/>
    <w:rsid w:val="00432A58"/>
    <w:rsid w:val="004330C8"/>
    <w:rsid w:val="004331C3"/>
    <w:rsid w:val="00433C17"/>
    <w:rsid w:val="00434617"/>
    <w:rsid w:val="00435051"/>
    <w:rsid w:val="004354A3"/>
    <w:rsid w:val="0043568E"/>
    <w:rsid w:val="00435C69"/>
    <w:rsid w:val="004360FB"/>
    <w:rsid w:val="00437CED"/>
    <w:rsid w:val="004407BF"/>
    <w:rsid w:val="00440900"/>
    <w:rsid w:val="0044121D"/>
    <w:rsid w:val="00441BF6"/>
    <w:rsid w:val="00441D2B"/>
    <w:rsid w:val="0044279E"/>
    <w:rsid w:val="004441A0"/>
    <w:rsid w:val="00445861"/>
    <w:rsid w:val="00445A8E"/>
    <w:rsid w:val="00446D44"/>
    <w:rsid w:val="0045078A"/>
    <w:rsid w:val="0045086D"/>
    <w:rsid w:val="00450DAB"/>
    <w:rsid w:val="00450DAF"/>
    <w:rsid w:val="00451EF1"/>
    <w:rsid w:val="00452E60"/>
    <w:rsid w:val="0045321B"/>
    <w:rsid w:val="00453E3D"/>
    <w:rsid w:val="00454E1D"/>
    <w:rsid w:val="00455B79"/>
    <w:rsid w:val="00456FE5"/>
    <w:rsid w:val="00457490"/>
    <w:rsid w:val="00457953"/>
    <w:rsid w:val="004604D8"/>
    <w:rsid w:val="00460656"/>
    <w:rsid w:val="00460AAD"/>
    <w:rsid w:val="00460FB3"/>
    <w:rsid w:val="00461221"/>
    <w:rsid w:val="00462F09"/>
    <w:rsid w:val="00463169"/>
    <w:rsid w:val="00463D3C"/>
    <w:rsid w:val="00464851"/>
    <w:rsid w:val="00467248"/>
    <w:rsid w:val="0046746A"/>
    <w:rsid w:val="00467B14"/>
    <w:rsid w:val="004707FE"/>
    <w:rsid w:val="00470EDC"/>
    <w:rsid w:val="00472118"/>
    <w:rsid w:val="004722B9"/>
    <w:rsid w:val="0047276D"/>
    <w:rsid w:val="00472AF6"/>
    <w:rsid w:val="00473482"/>
    <w:rsid w:val="00474A04"/>
    <w:rsid w:val="00474FC6"/>
    <w:rsid w:val="00476240"/>
    <w:rsid w:val="00476439"/>
    <w:rsid w:val="004769E1"/>
    <w:rsid w:val="0047735C"/>
    <w:rsid w:val="004776BC"/>
    <w:rsid w:val="00477820"/>
    <w:rsid w:val="004779F3"/>
    <w:rsid w:val="00477B96"/>
    <w:rsid w:val="00477ED0"/>
    <w:rsid w:val="00480BAE"/>
    <w:rsid w:val="0048139F"/>
    <w:rsid w:val="004816C8"/>
    <w:rsid w:val="00481E40"/>
    <w:rsid w:val="00482405"/>
    <w:rsid w:val="004826A7"/>
    <w:rsid w:val="0048368C"/>
    <w:rsid w:val="0048372F"/>
    <w:rsid w:val="00484ECE"/>
    <w:rsid w:val="00485987"/>
    <w:rsid w:val="00485E82"/>
    <w:rsid w:val="00486132"/>
    <w:rsid w:val="0048686D"/>
    <w:rsid w:val="00486A4D"/>
    <w:rsid w:val="004915CB"/>
    <w:rsid w:val="004924DC"/>
    <w:rsid w:val="00492879"/>
    <w:rsid w:val="00493E85"/>
    <w:rsid w:val="00495145"/>
    <w:rsid w:val="004979A5"/>
    <w:rsid w:val="004A0144"/>
    <w:rsid w:val="004A036E"/>
    <w:rsid w:val="004A14E4"/>
    <w:rsid w:val="004A204E"/>
    <w:rsid w:val="004A26A5"/>
    <w:rsid w:val="004A27F0"/>
    <w:rsid w:val="004A2BCF"/>
    <w:rsid w:val="004A2CC7"/>
    <w:rsid w:val="004A3212"/>
    <w:rsid w:val="004A37CD"/>
    <w:rsid w:val="004A40D9"/>
    <w:rsid w:val="004A43F4"/>
    <w:rsid w:val="004A49A5"/>
    <w:rsid w:val="004A4CB1"/>
    <w:rsid w:val="004A4F8A"/>
    <w:rsid w:val="004A5494"/>
    <w:rsid w:val="004A5D4E"/>
    <w:rsid w:val="004A61C5"/>
    <w:rsid w:val="004A62A0"/>
    <w:rsid w:val="004A7039"/>
    <w:rsid w:val="004A77DF"/>
    <w:rsid w:val="004B1417"/>
    <w:rsid w:val="004B305C"/>
    <w:rsid w:val="004B339A"/>
    <w:rsid w:val="004B3614"/>
    <w:rsid w:val="004B460C"/>
    <w:rsid w:val="004B4C83"/>
    <w:rsid w:val="004B55B7"/>
    <w:rsid w:val="004B5BFA"/>
    <w:rsid w:val="004B6468"/>
    <w:rsid w:val="004B6EF8"/>
    <w:rsid w:val="004B7125"/>
    <w:rsid w:val="004B756A"/>
    <w:rsid w:val="004B7BFC"/>
    <w:rsid w:val="004B7FB1"/>
    <w:rsid w:val="004C0A61"/>
    <w:rsid w:val="004C0B3F"/>
    <w:rsid w:val="004C2224"/>
    <w:rsid w:val="004C2794"/>
    <w:rsid w:val="004C2A3B"/>
    <w:rsid w:val="004C2BB6"/>
    <w:rsid w:val="004C2C2D"/>
    <w:rsid w:val="004C3027"/>
    <w:rsid w:val="004C384C"/>
    <w:rsid w:val="004C3867"/>
    <w:rsid w:val="004C3DB0"/>
    <w:rsid w:val="004C439A"/>
    <w:rsid w:val="004C4720"/>
    <w:rsid w:val="004C4CD0"/>
    <w:rsid w:val="004C5060"/>
    <w:rsid w:val="004C5165"/>
    <w:rsid w:val="004C589C"/>
    <w:rsid w:val="004C5AE8"/>
    <w:rsid w:val="004C667D"/>
    <w:rsid w:val="004C6959"/>
    <w:rsid w:val="004C6E0E"/>
    <w:rsid w:val="004C7044"/>
    <w:rsid w:val="004C70DC"/>
    <w:rsid w:val="004D0211"/>
    <w:rsid w:val="004D0794"/>
    <w:rsid w:val="004D1B6B"/>
    <w:rsid w:val="004D26B6"/>
    <w:rsid w:val="004D2E03"/>
    <w:rsid w:val="004D3296"/>
    <w:rsid w:val="004D4056"/>
    <w:rsid w:val="004D4CB0"/>
    <w:rsid w:val="004D5B0F"/>
    <w:rsid w:val="004D6D28"/>
    <w:rsid w:val="004D75C4"/>
    <w:rsid w:val="004D7626"/>
    <w:rsid w:val="004D7B7C"/>
    <w:rsid w:val="004E186A"/>
    <w:rsid w:val="004E1A40"/>
    <w:rsid w:val="004E200A"/>
    <w:rsid w:val="004E23FC"/>
    <w:rsid w:val="004E2409"/>
    <w:rsid w:val="004E261D"/>
    <w:rsid w:val="004E2D26"/>
    <w:rsid w:val="004E4C02"/>
    <w:rsid w:val="004E57BF"/>
    <w:rsid w:val="004E5F41"/>
    <w:rsid w:val="004E6DE6"/>
    <w:rsid w:val="004E765E"/>
    <w:rsid w:val="004E7815"/>
    <w:rsid w:val="004F064A"/>
    <w:rsid w:val="004F06F5"/>
    <w:rsid w:val="004F0980"/>
    <w:rsid w:val="004F12A4"/>
    <w:rsid w:val="004F253F"/>
    <w:rsid w:val="004F33A0"/>
    <w:rsid w:val="004F3586"/>
    <w:rsid w:val="004F3BD2"/>
    <w:rsid w:val="004F46ED"/>
    <w:rsid w:val="004F4C99"/>
    <w:rsid w:val="004F4E00"/>
    <w:rsid w:val="004F6539"/>
    <w:rsid w:val="004F7964"/>
    <w:rsid w:val="00500E6F"/>
    <w:rsid w:val="00503D54"/>
    <w:rsid w:val="005048E2"/>
    <w:rsid w:val="00505FC8"/>
    <w:rsid w:val="00506603"/>
    <w:rsid w:val="0050689D"/>
    <w:rsid w:val="005077F5"/>
    <w:rsid w:val="005108C0"/>
    <w:rsid w:val="0051094F"/>
    <w:rsid w:val="005114E1"/>
    <w:rsid w:val="00511873"/>
    <w:rsid w:val="00512461"/>
    <w:rsid w:val="00512585"/>
    <w:rsid w:val="005128AC"/>
    <w:rsid w:val="00512A2F"/>
    <w:rsid w:val="00513B7E"/>
    <w:rsid w:val="00513E9D"/>
    <w:rsid w:val="0051475D"/>
    <w:rsid w:val="00514B11"/>
    <w:rsid w:val="00515485"/>
    <w:rsid w:val="00515BE9"/>
    <w:rsid w:val="00515C74"/>
    <w:rsid w:val="0051630F"/>
    <w:rsid w:val="00516516"/>
    <w:rsid w:val="00517113"/>
    <w:rsid w:val="0052007E"/>
    <w:rsid w:val="00521CAD"/>
    <w:rsid w:val="0052200D"/>
    <w:rsid w:val="00522E01"/>
    <w:rsid w:val="0052337A"/>
    <w:rsid w:val="00523A67"/>
    <w:rsid w:val="00524385"/>
    <w:rsid w:val="005246BE"/>
    <w:rsid w:val="00525137"/>
    <w:rsid w:val="005251DD"/>
    <w:rsid w:val="0053012B"/>
    <w:rsid w:val="005301A6"/>
    <w:rsid w:val="00530258"/>
    <w:rsid w:val="00530A68"/>
    <w:rsid w:val="00530AD4"/>
    <w:rsid w:val="00531854"/>
    <w:rsid w:val="00531C5A"/>
    <w:rsid w:val="00532CE7"/>
    <w:rsid w:val="00532D8B"/>
    <w:rsid w:val="0053324C"/>
    <w:rsid w:val="00534A28"/>
    <w:rsid w:val="00535018"/>
    <w:rsid w:val="005354E2"/>
    <w:rsid w:val="0053595E"/>
    <w:rsid w:val="00537203"/>
    <w:rsid w:val="00537571"/>
    <w:rsid w:val="00540056"/>
    <w:rsid w:val="005410E2"/>
    <w:rsid w:val="00541508"/>
    <w:rsid w:val="00541AE3"/>
    <w:rsid w:val="00543498"/>
    <w:rsid w:val="00544011"/>
    <w:rsid w:val="00544BE5"/>
    <w:rsid w:val="005452FC"/>
    <w:rsid w:val="005455F6"/>
    <w:rsid w:val="0054582F"/>
    <w:rsid w:val="00547FBF"/>
    <w:rsid w:val="005500F9"/>
    <w:rsid w:val="00550160"/>
    <w:rsid w:val="005523A8"/>
    <w:rsid w:val="00552CA4"/>
    <w:rsid w:val="00552F2C"/>
    <w:rsid w:val="00553A25"/>
    <w:rsid w:val="005547EB"/>
    <w:rsid w:val="005555E0"/>
    <w:rsid w:val="0055599F"/>
    <w:rsid w:val="0055602D"/>
    <w:rsid w:val="00556D68"/>
    <w:rsid w:val="005570D6"/>
    <w:rsid w:val="00557150"/>
    <w:rsid w:val="00557E45"/>
    <w:rsid w:val="0056017F"/>
    <w:rsid w:val="00560AB8"/>
    <w:rsid w:val="005619F2"/>
    <w:rsid w:val="00561F44"/>
    <w:rsid w:val="00562B4D"/>
    <w:rsid w:val="005636D8"/>
    <w:rsid w:val="00563EB8"/>
    <w:rsid w:val="005647BF"/>
    <w:rsid w:val="00564996"/>
    <w:rsid w:val="00564AF1"/>
    <w:rsid w:val="005655DB"/>
    <w:rsid w:val="005658AB"/>
    <w:rsid w:val="00565E88"/>
    <w:rsid w:val="00567F62"/>
    <w:rsid w:val="00570270"/>
    <w:rsid w:val="00570464"/>
    <w:rsid w:val="00570BC3"/>
    <w:rsid w:val="0057182A"/>
    <w:rsid w:val="00571E59"/>
    <w:rsid w:val="00572079"/>
    <w:rsid w:val="00572900"/>
    <w:rsid w:val="00573602"/>
    <w:rsid w:val="0057364B"/>
    <w:rsid w:val="00574773"/>
    <w:rsid w:val="005757F3"/>
    <w:rsid w:val="005761EC"/>
    <w:rsid w:val="00577C07"/>
    <w:rsid w:val="00577DB1"/>
    <w:rsid w:val="00580AD3"/>
    <w:rsid w:val="00580DE7"/>
    <w:rsid w:val="005810E1"/>
    <w:rsid w:val="00581C4F"/>
    <w:rsid w:val="00583011"/>
    <w:rsid w:val="0058382A"/>
    <w:rsid w:val="00583E52"/>
    <w:rsid w:val="00583FFD"/>
    <w:rsid w:val="0058519A"/>
    <w:rsid w:val="005856BD"/>
    <w:rsid w:val="0058665D"/>
    <w:rsid w:val="005866B7"/>
    <w:rsid w:val="00586BCA"/>
    <w:rsid w:val="00587038"/>
    <w:rsid w:val="00590B28"/>
    <w:rsid w:val="00590E75"/>
    <w:rsid w:val="005911BE"/>
    <w:rsid w:val="00591273"/>
    <w:rsid w:val="00591E9E"/>
    <w:rsid w:val="0059221F"/>
    <w:rsid w:val="005927A4"/>
    <w:rsid w:val="00593152"/>
    <w:rsid w:val="005956A3"/>
    <w:rsid w:val="00595958"/>
    <w:rsid w:val="00595CAB"/>
    <w:rsid w:val="0059622E"/>
    <w:rsid w:val="00597671"/>
    <w:rsid w:val="00597BBF"/>
    <w:rsid w:val="005A0948"/>
    <w:rsid w:val="005A0A03"/>
    <w:rsid w:val="005A10F2"/>
    <w:rsid w:val="005A21E0"/>
    <w:rsid w:val="005A28FF"/>
    <w:rsid w:val="005A2C09"/>
    <w:rsid w:val="005A3778"/>
    <w:rsid w:val="005A3DF8"/>
    <w:rsid w:val="005A49E5"/>
    <w:rsid w:val="005A4C80"/>
    <w:rsid w:val="005A4F65"/>
    <w:rsid w:val="005A5549"/>
    <w:rsid w:val="005A7CF8"/>
    <w:rsid w:val="005B0EDA"/>
    <w:rsid w:val="005B121D"/>
    <w:rsid w:val="005B26B0"/>
    <w:rsid w:val="005B41C9"/>
    <w:rsid w:val="005B44E6"/>
    <w:rsid w:val="005B4853"/>
    <w:rsid w:val="005B6CA1"/>
    <w:rsid w:val="005B770C"/>
    <w:rsid w:val="005B7CFB"/>
    <w:rsid w:val="005B7E29"/>
    <w:rsid w:val="005C06ED"/>
    <w:rsid w:val="005C11B8"/>
    <w:rsid w:val="005C216C"/>
    <w:rsid w:val="005C2609"/>
    <w:rsid w:val="005C2B30"/>
    <w:rsid w:val="005C412B"/>
    <w:rsid w:val="005C43EC"/>
    <w:rsid w:val="005C45DD"/>
    <w:rsid w:val="005C4CB1"/>
    <w:rsid w:val="005C757B"/>
    <w:rsid w:val="005D04B1"/>
    <w:rsid w:val="005D0A3B"/>
    <w:rsid w:val="005D1179"/>
    <w:rsid w:val="005D3F06"/>
    <w:rsid w:val="005D45A5"/>
    <w:rsid w:val="005D4B73"/>
    <w:rsid w:val="005D5645"/>
    <w:rsid w:val="005D5802"/>
    <w:rsid w:val="005D5AA9"/>
    <w:rsid w:val="005D66E6"/>
    <w:rsid w:val="005D6971"/>
    <w:rsid w:val="005D7119"/>
    <w:rsid w:val="005D7521"/>
    <w:rsid w:val="005D76C8"/>
    <w:rsid w:val="005D7890"/>
    <w:rsid w:val="005E126D"/>
    <w:rsid w:val="005E19C1"/>
    <w:rsid w:val="005E2194"/>
    <w:rsid w:val="005E24F0"/>
    <w:rsid w:val="005E2A3F"/>
    <w:rsid w:val="005E2BF1"/>
    <w:rsid w:val="005E32C7"/>
    <w:rsid w:val="005E36FE"/>
    <w:rsid w:val="005E3F66"/>
    <w:rsid w:val="005E490F"/>
    <w:rsid w:val="005E4BC9"/>
    <w:rsid w:val="005E5314"/>
    <w:rsid w:val="005E6930"/>
    <w:rsid w:val="005E7C78"/>
    <w:rsid w:val="005F04A7"/>
    <w:rsid w:val="005F055A"/>
    <w:rsid w:val="005F114F"/>
    <w:rsid w:val="005F18C5"/>
    <w:rsid w:val="005F2A08"/>
    <w:rsid w:val="005F36CC"/>
    <w:rsid w:val="005F3EB1"/>
    <w:rsid w:val="005F413E"/>
    <w:rsid w:val="005F466B"/>
    <w:rsid w:val="005F46D8"/>
    <w:rsid w:val="005F480F"/>
    <w:rsid w:val="005F5469"/>
    <w:rsid w:val="005F611A"/>
    <w:rsid w:val="005F6307"/>
    <w:rsid w:val="005F63F3"/>
    <w:rsid w:val="005F68E8"/>
    <w:rsid w:val="005F6D7F"/>
    <w:rsid w:val="005F7174"/>
    <w:rsid w:val="005F7E10"/>
    <w:rsid w:val="00601ADE"/>
    <w:rsid w:val="00601D3B"/>
    <w:rsid w:val="00601EEF"/>
    <w:rsid w:val="0060255A"/>
    <w:rsid w:val="00604307"/>
    <w:rsid w:val="0060453C"/>
    <w:rsid w:val="0060487F"/>
    <w:rsid w:val="00604EAD"/>
    <w:rsid w:val="0060513F"/>
    <w:rsid w:val="0060694B"/>
    <w:rsid w:val="00606EF7"/>
    <w:rsid w:val="0060753D"/>
    <w:rsid w:val="00607C82"/>
    <w:rsid w:val="006104FB"/>
    <w:rsid w:val="0061176D"/>
    <w:rsid w:val="006118F6"/>
    <w:rsid w:val="0061200F"/>
    <w:rsid w:val="00612756"/>
    <w:rsid w:val="00612A2F"/>
    <w:rsid w:val="00612AAE"/>
    <w:rsid w:val="00612FD9"/>
    <w:rsid w:val="006139E0"/>
    <w:rsid w:val="0061471F"/>
    <w:rsid w:val="00614D35"/>
    <w:rsid w:val="006156B4"/>
    <w:rsid w:val="00615DAF"/>
    <w:rsid w:val="00616E05"/>
    <w:rsid w:val="00617985"/>
    <w:rsid w:val="00620B77"/>
    <w:rsid w:val="0062131B"/>
    <w:rsid w:val="00621E26"/>
    <w:rsid w:val="0062263A"/>
    <w:rsid w:val="006227DF"/>
    <w:rsid w:val="006236C8"/>
    <w:rsid w:val="00624093"/>
    <w:rsid w:val="00625A84"/>
    <w:rsid w:val="00626079"/>
    <w:rsid w:val="006274EE"/>
    <w:rsid w:val="00631698"/>
    <w:rsid w:val="00631E44"/>
    <w:rsid w:val="006349CD"/>
    <w:rsid w:val="00634C57"/>
    <w:rsid w:val="00634CE7"/>
    <w:rsid w:val="00635019"/>
    <w:rsid w:val="006350D5"/>
    <w:rsid w:val="00635D41"/>
    <w:rsid w:val="00636240"/>
    <w:rsid w:val="0063642C"/>
    <w:rsid w:val="00636A40"/>
    <w:rsid w:val="00637858"/>
    <w:rsid w:val="006404A7"/>
    <w:rsid w:val="00640A38"/>
    <w:rsid w:val="00641787"/>
    <w:rsid w:val="0064179B"/>
    <w:rsid w:val="00642489"/>
    <w:rsid w:val="00644055"/>
    <w:rsid w:val="00644137"/>
    <w:rsid w:val="0064478C"/>
    <w:rsid w:val="006449E8"/>
    <w:rsid w:val="00645160"/>
    <w:rsid w:val="006451E4"/>
    <w:rsid w:val="00645B33"/>
    <w:rsid w:val="006471D5"/>
    <w:rsid w:val="0065030B"/>
    <w:rsid w:val="00650E10"/>
    <w:rsid w:val="006516CB"/>
    <w:rsid w:val="00653BD0"/>
    <w:rsid w:val="00654110"/>
    <w:rsid w:val="00654FD1"/>
    <w:rsid w:val="006557C0"/>
    <w:rsid w:val="00656C5D"/>
    <w:rsid w:val="00656CFB"/>
    <w:rsid w:val="00657E87"/>
    <w:rsid w:val="00660D2D"/>
    <w:rsid w:val="00661C41"/>
    <w:rsid w:val="00661EC9"/>
    <w:rsid w:val="00662469"/>
    <w:rsid w:val="00662606"/>
    <w:rsid w:val="00663609"/>
    <w:rsid w:val="0066411C"/>
    <w:rsid w:val="00664205"/>
    <w:rsid w:val="00664647"/>
    <w:rsid w:val="00664803"/>
    <w:rsid w:val="006653CC"/>
    <w:rsid w:val="006658EB"/>
    <w:rsid w:val="00665982"/>
    <w:rsid w:val="00665BA4"/>
    <w:rsid w:val="006666E4"/>
    <w:rsid w:val="00666BF3"/>
    <w:rsid w:val="00667856"/>
    <w:rsid w:val="00667AF2"/>
    <w:rsid w:val="00670307"/>
    <w:rsid w:val="00670489"/>
    <w:rsid w:val="006710C9"/>
    <w:rsid w:val="0067194C"/>
    <w:rsid w:val="00672586"/>
    <w:rsid w:val="006741CD"/>
    <w:rsid w:val="00674D89"/>
    <w:rsid w:val="00674FA7"/>
    <w:rsid w:val="0067514E"/>
    <w:rsid w:val="00675E37"/>
    <w:rsid w:val="00676736"/>
    <w:rsid w:val="006769A4"/>
    <w:rsid w:val="00676D76"/>
    <w:rsid w:val="00676F9F"/>
    <w:rsid w:val="0067711E"/>
    <w:rsid w:val="00677591"/>
    <w:rsid w:val="00677594"/>
    <w:rsid w:val="0068032F"/>
    <w:rsid w:val="00680D37"/>
    <w:rsid w:val="0068174E"/>
    <w:rsid w:val="00681DCE"/>
    <w:rsid w:val="0068260E"/>
    <w:rsid w:val="006838E4"/>
    <w:rsid w:val="006846B3"/>
    <w:rsid w:val="00684D59"/>
    <w:rsid w:val="00684E25"/>
    <w:rsid w:val="006858A4"/>
    <w:rsid w:val="00685A20"/>
    <w:rsid w:val="00685CA6"/>
    <w:rsid w:val="00686718"/>
    <w:rsid w:val="00686BFA"/>
    <w:rsid w:val="00686C41"/>
    <w:rsid w:val="00686DED"/>
    <w:rsid w:val="006875A0"/>
    <w:rsid w:val="00687D27"/>
    <w:rsid w:val="00690FEF"/>
    <w:rsid w:val="00691943"/>
    <w:rsid w:val="00693550"/>
    <w:rsid w:val="00695065"/>
    <w:rsid w:val="00695AF1"/>
    <w:rsid w:val="00695BEF"/>
    <w:rsid w:val="00696251"/>
    <w:rsid w:val="006966C7"/>
    <w:rsid w:val="006968C1"/>
    <w:rsid w:val="00697310"/>
    <w:rsid w:val="006977F6"/>
    <w:rsid w:val="00697A13"/>
    <w:rsid w:val="006A109C"/>
    <w:rsid w:val="006A5F4B"/>
    <w:rsid w:val="006A6565"/>
    <w:rsid w:val="006A7691"/>
    <w:rsid w:val="006A7EE2"/>
    <w:rsid w:val="006B0514"/>
    <w:rsid w:val="006B0F92"/>
    <w:rsid w:val="006B2785"/>
    <w:rsid w:val="006B27C7"/>
    <w:rsid w:val="006B344A"/>
    <w:rsid w:val="006B57DE"/>
    <w:rsid w:val="006B58C9"/>
    <w:rsid w:val="006B60ED"/>
    <w:rsid w:val="006B67F2"/>
    <w:rsid w:val="006B6CC5"/>
    <w:rsid w:val="006B714E"/>
    <w:rsid w:val="006B74AC"/>
    <w:rsid w:val="006B78D8"/>
    <w:rsid w:val="006B79EA"/>
    <w:rsid w:val="006C05CA"/>
    <w:rsid w:val="006C0C5D"/>
    <w:rsid w:val="006C113F"/>
    <w:rsid w:val="006C123E"/>
    <w:rsid w:val="006C15A1"/>
    <w:rsid w:val="006C1752"/>
    <w:rsid w:val="006C1C05"/>
    <w:rsid w:val="006C28CA"/>
    <w:rsid w:val="006C2BBF"/>
    <w:rsid w:val="006C2FBD"/>
    <w:rsid w:val="006C4355"/>
    <w:rsid w:val="006C469D"/>
    <w:rsid w:val="006C46B5"/>
    <w:rsid w:val="006C484F"/>
    <w:rsid w:val="006C4D7C"/>
    <w:rsid w:val="006C52EC"/>
    <w:rsid w:val="006C56D4"/>
    <w:rsid w:val="006C6681"/>
    <w:rsid w:val="006C683C"/>
    <w:rsid w:val="006C6924"/>
    <w:rsid w:val="006C69D3"/>
    <w:rsid w:val="006C6C1E"/>
    <w:rsid w:val="006C6EB2"/>
    <w:rsid w:val="006C7076"/>
    <w:rsid w:val="006C70FA"/>
    <w:rsid w:val="006C7AEC"/>
    <w:rsid w:val="006C7CA6"/>
    <w:rsid w:val="006D18B3"/>
    <w:rsid w:val="006D1E89"/>
    <w:rsid w:val="006D24AE"/>
    <w:rsid w:val="006D317E"/>
    <w:rsid w:val="006D3E8A"/>
    <w:rsid w:val="006D41E1"/>
    <w:rsid w:val="006D61F6"/>
    <w:rsid w:val="006D6823"/>
    <w:rsid w:val="006E0ED0"/>
    <w:rsid w:val="006E1332"/>
    <w:rsid w:val="006E279A"/>
    <w:rsid w:val="006E313B"/>
    <w:rsid w:val="006E3A45"/>
    <w:rsid w:val="006E4078"/>
    <w:rsid w:val="006E53AD"/>
    <w:rsid w:val="006E58CB"/>
    <w:rsid w:val="006E7227"/>
    <w:rsid w:val="006E761A"/>
    <w:rsid w:val="006F0741"/>
    <w:rsid w:val="006F0D05"/>
    <w:rsid w:val="006F1C27"/>
    <w:rsid w:val="006F2A65"/>
    <w:rsid w:val="006F3DD6"/>
    <w:rsid w:val="006F40DF"/>
    <w:rsid w:val="006F42BB"/>
    <w:rsid w:val="006F438E"/>
    <w:rsid w:val="006F440B"/>
    <w:rsid w:val="006F48A3"/>
    <w:rsid w:val="006F5416"/>
    <w:rsid w:val="006F5CBC"/>
    <w:rsid w:val="006F624B"/>
    <w:rsid w:val="006F6D87"/>
    <w:rsid w:val="0070398A"/>
    <w:rsid w:val="00705242"/>
    <w:rsid w:val="007052F4"/>
    <w:rsid w:val="007055E0"/>
    <w:rsid w:val="007056ED"/>
    <w:rsid w:val="00705F4E"/>
    <w:rsid w:val="00706497"/>
    <w:rsid w:val="007065C5"/>
    <w:rsid w:val="007068E1"/>
    <w:rsid w:val="00706AA0"/>
    <w:rsid w:val="00706AD4"/>
    <w:rsid w:val="00707150"/>
    <w:rsid w:val="00707599"/>
    <w:rsid w:val="0071103F"/>
    <w:rsid w:val="007114D1"/>
    <w:rsid w:val="0071179D"/>
    <w:rsid w:val="007124D7"/>
    <w:rsid w:val="00712C20"/>
    <w:rsid w:val="00712EF8"/>
    <w:rsid w:val="00713549"/>
    <w:rsid w:val="007140BE"/>
    <w:rsid w:val="007147AB"/>
    <w:rsid w:val="00715502"/>
    <w:rsid w:val="00715CBB"/>
    <w:rsid w:val="00715E3C"/>
    <w:rsid w:val="00715E4D"/>
    <w:rsid w:val="0071677A"/>
    <w:rsid w:val="00716F48"/>
    <w:rsid w:val="00717114"/>
    <w:rsid w:val="0071779F"/>
    <w:rsid w:val="007211F5"/>
    <w:rsid w:val="00721601"/>
    <w:rsid w:val="00722777"/>
    <w:rsid w:val="00723435"/>
    <w:rsid w:val="00723436"/>
    <w:rsid w:val="00723A5A"/>
    <w:rsid w:val="007240E2"/>
    <w:rsid w:val="0072454C"/>
    <w:rsid w:val="0072583E"/>
    <w:rsid w:val="00725BB5"/>
    <w:rsid w:val="00725C87"/>
    <w:rsid w:val="00727C02"/>
    <w:rsid w:val="0073008E"/>
    <w:rsid w:val="00730AE8"/>
    <w:rsid w:val="00730F1B"/>
    <w:rsid w:val="0073186D"/>
    <w:rsid w:val="007319FC"/>
    <w:rsid w:val="007331B5"/>
    <w:rsid w:val="0073333D"/>
    <w:rsid w:val="00733998"/>
    <w:rsid w:val="007343D9"/>
    <w:rsid w:val="00734F71"/>
    <w:rsid w:val="00735448"/>
    <w:rsid w:val="0073734F"/>
    <w:rsid w:val="007377BD"/>
    <w:rsid w:val="00737DEC"/>
    <w:rsid w:val="00737F2D"/>
    <w:rsid w:val="0074004D"/>
    <w:rsid w:val="00741493"/>
    <w:rsid w:val="007434E5"/>
    <w:rsid w:val="0074499B"/>
    <w:rsid w:val="007450BF"/>
    <w:rsid w:val="007453C2"/>
    <w:rsid w:val="007471A1"/>
    <w:rsid w:val="007477BD"/>
    <w:rsid w:val="00747ACF"/>
    <w:rsid w:val="00747EE9"/>
    <w:rsid w:val="00752180"/>
    <w:rsid w:val="00752323"/>
    <w:rsid w:val="007532B7"/>
    <w:rsid w:val="00753CAB"/>
    <w:rsid w:val="00754551"/>
    <w:rsid w:val="00754A70"/>
    <w:rsid w:val="00754BC9"/>
    <w:rsid w:val="00755202"/>
    <w:rsid w:val="00755D3A"/>
    <w:rsid w:val="0075751D"/>
    <w:rsid w:val="0075763E"/>
    <w:rsid w:val="007578D3"/>
    <w:rsid w:val="007602CF"/>
    <w:rsid w:val="00760391"/>
    <w:rsid w:val="0076050B"/>
    <w:rsid w:val="007609C6"/>
    <w:rsid w:val="007615F3"/>
    <w:rsid w:val="0076175D"/>
    <w:rsid w:val="00761CB5"/>
    <w:rsid w:val="007629D5"/>
    <w:rsid w:val="00763146"/>
    <w:rsid w:val="007635CA"/>
    <w:rsid w:val="007635F8"/>
    <w:rsid w:val="00763B85"/>
    <w:rsid w:val="00763C1A"/>
    <w:rsid w:val="00764974"/>
    <w:rsid w:val="00764D18"/>
    <w:rsid w:val="0076521E"/>
    <w:rsid w:val="00765BCC"/>
    <w:rsid w:val="0076600D"/>
    <w:rsid w:val="007661E9"/>
    <w:rsid w:val="0076625E"/>
    <w:rsid w:val="00766460"/>
    <w:rsid w:val="00767062"/>
    <w:rsid w:val="00767777"/>
    <w:rsid w:val="007707B9"/>
    <w:rsid w:val="0077130E"/>
    <w:rsid w:val="007715EE"/>
    <w:rsid w:val="00771972"/>
    <w:rsid w:val="00772279"/>
    <w:rsid w:val="00772DAB"/>
    <w:rsid w:val="00772FF9"/>
    <w:rsid w:val="007734B8"/>
    <w:rsid w:val="00774D28"/>
    <w:rsid w:val="00774D2C"/>
    <w:rsid w:val="0077605B"/>
    <w:rsid w:val="00776169"/>
    <w:rsid w:val="00776527"/>
    <w:rsid w:val="00777040"/>
    <w:rsid w:val="00777587"/>
    <w:rsid w:val="00777CE6"/>
    <w:rsid w:val="00780EF1"/>
    <w:rsid w:val="00781A91"/>
    <w:rsid w:val="00781F36"/>
    <w:rsid w:val="00783408"/>
    <w:rsid w:val="00783696"/>
    <w:rsid w:val="00784E28"/>
    <w:rsid w:val="00785778"/>
    <w:rsid w:val="00786C87"/>
    <w:rsid w:val="0078755E"/>
    <w:rsid w:val="007877C9"/>
    <w:rsid w:val="00790764"/>
    <w:rsid w:val="0079085F"/>
    <w:rsid w:val="00790A4E"/>
    <w:rsid w:val="00790E96"/>
    <w:rsid w:val="00791005"/>
    <w:rsid w:val="00793D78"/>
    <w:rsid w:val="0079453C"/>
    <w:rsid w:val="00794677"/>
    <w:rsid w:val="00795759"/>
    <w:rsid w:val="007A170B"/>
    <w:rsid w:val="007A1A21"/>
    <w:rsid w:val="007A20EB"/>
    <w:rsid w:val="007A282C"/>
    <w:rsid w:val="007A293C"/>
    <w:rsid w:val="007A2A3A"/>
    <w:rsid w:val="007A33E2"/>
    <w:rsid w:val="007A3CAF"/>
    <w:rsid w:val="007A4782"/>
    <w:rsid w:val="007A4C04"/>
    <w:rsid w:val="007A516D"/>
    <w:rsid w:val="007A5E65"/>
    <w:rsid w:val="007A65E1"/>
    <w:rsid w:val="007A698A"/>
    <w:rsid w:val="007A6AAA"/>
    <w:rsid w:val="007A6B63"/>
    <w:rsid w:val="007A7033"/>
    <w:rsid w:val="007A775D"/>
    <w:rsid w:val="007B0834"/>
    <w:rsid w:val="007B0E83"/>
    <w:rsid w:val="007B11FA"/>
    <w:rsid w:val="007B1396"/>
    <w:rsid w:val="007B16D6"/>
    <w:rsid w:val="007B2011"/>
    <w:rsid w:val="007B2CFE"/>
    <w:rsid w:val="007B309B"/>
    <w:rsid w:val="007B3D5E"/>
    <w:rsid w:val="007B3DCB"/>
    <w:rsid w:val="007B456E"/>
    <w:rsid w:val="007B4CCD"/>
    <w:rsid w:val="007B5725"/>
    <w:rsid w:val="007B5C1F"/>
    <w:rsid w:val="007B629D"/>
    <w:rsid w:val="007B6689"/>
    <w:rsid w:val="007B66F8"/>
    <w:rsid w:val="007B6747"/>
    <w:rsid w:val="007B6F72"/>
    <w:rsid w:val="007C10BD"/>
    <w:rsid w:val="007C1F0C"/>
    <w:rsid w:val="007C1FFB"/>
    <w:rsid w:val="007C2D94"/>
    <w:rsid w:val="007C5007"/>
    <w:rsid w:val="007C5B08"/>
    <w:rsid w:val="007C5F92"/>
    <w:rsid w:val="007C6227"/>
    <w:rsid w:val="007C6BBD"/>
    <w:rsid w:val="007C6C3E"/>
    <w:rsid w:val="007C6D89"/>
    <w:rsid w:val="007C6F5E"/>
    <w:rsid w:val="007D0382"/>
    <w:rsid w:val="007D0A2B"/>
    <w:rsid w:val="007D10FA"/>
    <w:rsid w:val="007D1A1F"/>
    <w:rsid w:val="007D2E18"/>
    <w:rsid w:val="007D35D8"/>
    <w:rsid w:val="007D40DF"/>
    <w:rsid w:val="007D42E5"/>
    <w:rsid w:val="007D4458"/>
    <w:rsid w:val="007D559F"/>
    <w:rsid w:val="007D5E0B"/>
    <w:rsid w:val="007D6AF9"/>
    <w:rsid w:val="007D7DDD"/>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2003"/>
    <w:rsid w:val="007F20F3"/>
    <w:rsid w:val="007F20F5"/>
    <w:rsid w:val="007F2353"/>
    <w:rsid w:val="007F2390"/>
    <w:rsid w:val="007F2CAC"/>
    <w:rsid w:val="007F4740"/>
    <w:rsid w:val="007F595A"/>
    <w:rsid w:val="007F708D"/>
    <w:rsid w:val="008006B3"/>
    <w:rsid w:val="0080158A"/>
    <w:rsid w:val="00801E13"/>
    <w:rsid w:val="00803008"/>
    <w:rsid w:val="00803069"/>
    <w:rsid w:val="0080346B"/>
    <w:rsid w:val="00804155"/>
    <w:rsid w:val="0080559E"/>
    <w:rsid w:val="00805AF3"/>
    <w:rsid w:val="0080618A"/>
    <w:rsid w:val="0080700A"/>
    <w:rsid w:val="0080734C"/>
    <w:rsid w:val="00807C82"/>
    <w:rsid w:val="008117CC"/>
    <w:rsid w:val="00813D58"/>
    <w:rsid w:val="00813DCA"/>
    <w:rsid w:val="00813F00"/>
    <w:rsid w:val="008161A6"/>
    <w:rsid w:val="008165B8"/>
    <w:rsid w:val="00816905"/>
    <w:rsid w:val="00816D98"/>
    <w:rsid w:val="00816E42"/>
    <w:rsid w:val="00817040"/>
    <w:rsid w:val="00817A17"/>
    <w:rsid w:val="00817EC1"/>
    <w:rsid w:val="00820830"/>
    <w:rsid w:val="0082112D"/>
    <w:rsid w:val="00821FF6"/>
    <w:rsid w:val="00822313"/>
    <w:rsid w:val="00822574"/>
    <w:rsid w:val="00822980"/>
    <w:rsid w:val="00822F08"/>
    <w:rsid w:val="0082321B"/>
    <w:rsid w:val="00825C4D"/>
    <w:rsid w:val="00826A08"/>
    <w:rsid w:val="00826AC0"/>
    <w:rsid w:val="00827186"/>
    <w:rsid w:val="008275B5"/>
    <w:rsid w:val="00827C8E"/>
    <w:rsid w:val="00830569"/>
    <w:rsid w:val="00830AEA"/>
    <w:rsid w:val="00830E86"/>
    <w:rsid w:val="00831219"/>
    <w:rsid w:val="0083143E"/>
    <w:rsid w:val="008315B8"/>
    <w:rsid w:val="008315D5"/>
    <w:rsid w:val="00831CDE"/>
    <w:rsid w:val="00832F77"/>
    <w:rsid w:val="00834304"/>
    <w:rsid w:val="00834FAA"/>
    <w:rsid w:val="008354FB"/>
    <w:rsid w:val="00836086"/>
    <w:rsid w:val="0083630F"/>
    <w:rsid w:val="00836A06"/>
    <w:rsid w:val="008374BC"/>
    <w:rsid w:val="008379D6"/>
    <w:rsid w:val="00837E48"/>
    <w:rsid w:val="00840293"/>
    <w:rsid w:val="008402AD"/>
    <w:rsid w:val="00840317"/>
    <w:rsid w:val="008408D4"/>
    <w:rsid w:val="008417B5"/>
    <w:rsid w:val="00841901"/>
    <w:rsid w:val="00845314"/>
    <w:rsid w:val="008458BD"/>
    <w:rsid w:val="00846121"/>
    <w:rsid w:val="008461C2"/>
    <w:rsid w:val="008466C6"/>
    <w:rsid w:val="00846BAE"/>
    <w:rsid w:val="0084708F"/>
    <w:rsid w:val="008477C8"/>
    <w:rsid w:val="008478A6"/>
    <w:rsid w:val="008502F6"/>
    <w:rsid w:val="0085114D"/>
    <w:rsid w:val="00851802"/>
    <w:rsid w:val="008520A8"/>
    <w:rsid w:val="00852217"/>
    <w:rsid w:val="0085285C"/>
    <w:rsid w:val="00853282"/>
    <w:rsid w:val="00855408"/>
    <w:rsid w:val="00855BCD"/>
    <w:rsid w:val="00855D03"/>
    <w:rsid w:val="008567C1"/>
    <w:rsid w:val="00856D65"/>
    <w:rsid w:val="00860386"/>
    <w:rsid w:val="00861B41"/>
    <w:rsid w:val="00861B9F"/>
    <w:rsid w:val="00861BE3"/>
    <w:rsid w:val="008625D3"/>
    <w:rsid w:val="00863434"/>
    <w:rsid w:val="0086344F"/>
    <w:rsid w:val="008640BA"/>
    <w:rsid w:val="008641AC"/>
    <w:rsid w:val="008642CD"/>
    <w:rsid w:val="008650AD"/>
    <w:rsid w:val="00865E4C"/>
    <w:rsid w:val="0086796D"/>
    <w:rsid w:val="00867DAB"/>
    <w:rsid w:val="0087000B"/>
    <w:rsid w:val="008701E4"/>
    <w:rsid w:val="008704E9"/>
    <w:rsid w:val="00870ECD"/>
    <w:rsid w:val="00871D46"/>
    <w:rsid w:val="0087347C"/>
    <w:rsid w:val="008734E7"/>
    <w:rsid w:val="0087368D"/>
    <w:rsid w:val="008740CC"/>
    <w:rsid w:val="008740F5"/>
    <w:rsid w:val="008745B5"/>
    <w:rsid w:val="00874775"/>
    <w:rsid w:val="00874FE8"/>
    <w:rsid w:val="00875A32"/>
    <w:rsid w:val="00876086"/>
    <w:rsid w:val="00876E83"/>
    <w:rsid w:val="008772BC"/>
    <w:rsid w:val="00880A0E"/>
    <w:rsid w:val="00881CD7"/>
    <w:rsid w:val="00882911"/>
    <w:rsid w:val="00882F6E"/>
    <w:rsid w:val="00884E02"/>
    <w:rsid w:val="00885D40"/>
    <w:rsid w:val="008873D4"/>
    <w:rsid w:val="00887509"/>
    <w:rsid w:val="00891CDC"/>
    <w:rsid w:val="00891EDF"/>
    <w:rsid w:val="00892872"/>
    <w:rsid w:val="0089296D"/>
    <w:rsid w:val="00893E85"/>
    <w:rsid w:val="00893EBE"/>
    <w:rsid w:val="00894031"/>
    <w:rsid w:val="00894C5D"/>
    <w:rsid w:val="00895508"/>
    <w:rsid w:val="0089655A"/>
    <w:rsid w:val="008967E9"/>
    <w:rsid w:val="00896A5C"/>
    <w:rsid w:val="008972D2"/>
    <w:rsid w:val="008973F0"/>
    <w:rsid w:val="0089754C"/>
    <w:rsid w:val="008A0ADD"/>
    <w:rsid w:val="008A0D27"/>
    <w:rsid w:val="008A1C59"/>
    <w:rsid w:val="008A3185"/>
    <w:rsid w:val="008A37E2"/>
    <w:rsid w:val="008A388E"/>
    <w:rsid w:val="008A394E"/>
    <w:rsid w:val="008A3CBA"/>
    <w:rsid w:val="008A4521"/>
    <w:rsid w:val="008A4B59"/>
    <w:rsid w:val="008A5F8A"/>
    <w:rsid w:val="008A63E1"/>
    <w:rsid w:val="008A66B7"/>
    <w:rsid w:val="008A68BB"/>
    <w:rsid w:val="008A6AA5"/>
    <w:rsid w:val="008A7127"/>
    <w:rsid w:val="008B03EA"/>
    <w:rsid w:val="008B1121"/>
    <w:rsid w:val="008B3347"/>
    <w:rsid w:val="008B3537"/>
    <w:rsid w:val="008B3690"/>
    <w:rsid w:val="008B3A80"/>
    <w:rsid w:val="008B3AEC"/>
    <w:rsid w:val="008B3C07"/>
    <w:rsid w:val="008B3F7B"/>
    <w:rsid w:val="008B5324"/>
    <w:rsid w:val="008B6106"/>
    <w:rsid w:val="008B6324"/>
    <w:rsid w:val="008B7C02"/>
    <w:rsid w:val="008B7D2B"/>
    <w:rsid w:val="008B7D7E"/>
    <w:rsid w:val="008B7EF9"/>
    <w:rsid w:val="008C0049"/>
    <w:rsid w:val="008C0E88"/>
    <w:rsid w:val="008C1138"/>
    <w:rsid w:val="008C13EA"/>
    <w:rsid w:val="008C1717"/>
    <w:rsid w:val="008C235A"/>
    <w:rsid w:val="008C4B50"/>
    <w:rsid w:val="008C5A37"/>
    <w:rsid w:val="008C6824"/>
    <w:rsid w:val="008C7569"/>
    <w:rsid w:val="008D033D"/>
    <w:rsid w:val="008D0DBD"/>
    <w:rsid w:val="008D117E"/>
    <w:rsid w:val="008D127E"/>
    <w:rsid w:val="008D1CA8"/>
    <w:rsid w:val="008D1E0A"/>
    <w:rsid w:val="008D1E6A"/>
    <w:rsid w:val="008D2A16"/>
    <w:rsid w:val="008D33F5"/>
    <w:rsid w:val="008D35E4"/>
    <w:rsid w:val="008D4903"/>
    <w:rsid w:val="008D5EC2"/>
    <w:rsid w:val="008D6189"/>
    <w:rsid w:val="008D637E"/>
    <w:rsid w:val="008D6884"/>
    <w:rsid w:val="008D6C3A"/>
    <w:rsid w:val="008D7A97"/>
    <w:rsid w:val="008E0001"/>
    <w:rsid w:val="008E059C"/>
    <w:rsid w:val="008E106B"/>
    <w:rsid w:val="008E292B"/>
    <w:rsid w:val="008E2C57"/>
    <w:rsid w:val="008E31FF"/>
    <w:rsid w:val="008E3287"/>
    <w:rsid w:val="008E5BFC"/>
    <w:rsid w:val="008E6DCB"/>
    <w:rsid w:val="008E6F06"/>
    <w:rsid w:val="008E7B8E"/>
    <w:rsid w:val="008E7FC9"/>
    <w:rsid w:val="008F0107"/>
    <w:rsid w:val="008F0126"/>
    <w:rsid w:val="008F029B"/>
    <w:rsid w:val="008F0589"/>
    <w:rsid w:val="008F1954"/>
    <w:rsid w:val="008F1FC0"/>
    <w:rsid w:val="008F2A5D"/>
    <w:rsid w:val="008F3636"/>
    <w:rsid w:val="008F3FC9"/>
    <w:rsid w:val="008F5383"/>
    <w:rsid w:val="008F585B"/>
    <w:rsid w:val="008F7339"/>
    <w:rsid w:val="009003A8"/>
    <w:rsid w:val="009005E4"/>
    <w:rsid w:val="00900977"/>
    <w:rsid w:val="009021DA"/>
    <w:rsid w:val="00902500"/>
    <w:rsid w:val="00902757"/>
    <w:rsid w:val="00902EFF"/>
    <w:rsid w:val="00903A8E"/>
    <w:rsid w:val="0090432C"/>
    <w:rsid w:val="00904F96"/>
    <w:rsid w:val="009052A3"/>
    <w:rsid w:val="00905314"/>
    <w:rsid w:val="009056D7"/>
    <w:rsid w:val="00905B8D"/>
    <w:rsid w:val="00905C41"/>
    <w:rsid w:val="00906401"/>
    <w:rsid w:val="009065CB"/>
    <w:rsid w:val="009067EA"/>
    <w:rsid w:val="00906B79"/>
    <w:rsid w:val="0090786F"/>
    <w:rsid w:val="0091001E"/>
    <w:rsid w:val="009100B0"/>
    <w:rsid w:val="009104A9"/>
    <w:rsid w:val="00910C18"/>
    <w:rsid w:val="009110F7"/>
    <w:rsid w:val="0091155E"/>
    <w:rsid w:val="00912437"/>
    <w:rsid w:val="00912A92"/>
    <w:rsid w:val="00915D07"/>
    <w:rsid w:val="009162AE"/>
    <w:rsid w:val="0091703C"/>
    <w:rsid w:val="00917251"/>
    <w:rsid w:val="0091728D"/>
    <w:rsid w:val="009203CC"/>
    <w:rsid w:val="00920C24"/>
    <w:rsid w:val="00920EC4"/>
    <w:rsid w:val="0092180B"/>
    <w:rsid w:val="00921F14"/>
    <w:rsid w:val="00923CB0"/>
    <w:rsid w:val="00923D8C"/>
    <w:rsid w:val="00924871"/>
    <w:rsid w:val="00924AC8"/>
    <w:rsid w:val="00925429"/>
    <w:rsid w:val="00925615"/>
    <w:rsid w:val="0092597A"/>
    <w:rsid w:val="0092617A"/>
    <w:rsid w:val="00926520"/>
    <w:rsid w:val="00926CF0"/>
    <w:rsid w:val="00926E41"/>
    <w:rsid w:val="009273A9"/>
    <w:rsid w:val="0092799E"/>
    <w:rsid w:val="00930251"/>
    <w:rsid w:val="0093033E"/>
    <w:rsid w:val="009305FC"/>
    <w:rsid w:val="00930FB1"/>
    <w:rsid w:val="0093139F"/>
    <w:rsid w:val="00932443"/>
    <w:rsid w:val="00932B32"/>
    <w:rsid w:val="00933F4A"/>
    <w:rsid w:val="009341F1"/>
    <w:rsid w:val="00934CA1"/>
    <w:rsid w:val="00934D84"/>
    <w:rsid w:val="00934FF2"/>
    <w:rsid w:val="009358D7"/>
    <w:rsid w:val="00935BD4"/>
    <w:rsid w:val="00935DFE"/>
    <w:rsid w:val="00935F70"/>
    <w:rsid w:val="00937185"/>
    <w:rsid w:val="009373B2"/>
    <w:rsid w:val="00937A02"/>
    <w:rsid w:val="00937AE2"/>
    <w:rsid w:val="0094061F"/>
    <w:rsid w:val="00940F0F"/>
    <w:rsid w:val="0094416B"/>
    <w:rsid w:val="0094427A"/>
    <w:rsid w:val="00944C7C"/>
    <w:rsid w:val="00945245"/>
    <w:rsid w:val="00945523"/>
    <w:rsid w:val="00946780"/>
    <w:rsid w:val="009477E1"/>
    <w:rsid w:val="00950921"/>
    <w:rsid w:val="00951D68"/>
    <w:rsid w:val="00951E5B"/>
    <w:rsid w:val="00952B7B"/>
    <w:rsid w:val="009539D4"/>
    <w:rsid w:val="009542F2"/>
    <w:rsid w:val="00954F39"/>
    <w:rsid w:val="00955080"/>
    <w:rsid w:val="00955289"/>
    <w:rsid w:val="00955301"/>
    <w:rsid w:val="009555FD"/>
    <w:rsid w:val="00955B18"/>
    <w:rsid w:val="0095664B"/>
    <w:rsid w:val="009568DC"/>
    <w:rsid w:val="00957445"/>
    <w:rsid w:val="0095759C"/>
    <w:rsid w:val="0096017F"/>
    <w:rsid w:val="00960BE8"/>
    <w:rsid w:val="009618EE"/>
    <w:rsid w:val="009624D2"/>
    <w:rsid w:val="009628D9"/>
    <w:rsid w:val="009637AE"/>
    <w:rsid w:val="00963A06"/>
    <w:rsid w:val="00964068"/>
    <w:rsid w:val="009640F6"/>
    <w:rsid w:val="0096469D"/>
    <w:rsid w:val="00964776"/>
    <w:rsid w:val="009648C1"/>
    <w:rsid w:val="00964A4E"/>
    <w:rsid w:val="00964B35"/>
    <w:rsid w:val="009651C7"/>
    <w:rsid w:val="00965797"/>
    <w:rsid w:val="00965A10"/>
    <w:rsid w:val="009670A3"/>
    <w:rsid w:val="009674BE"/>
    <w:rsid w:val="00970E49"/>
    <w:rsid w:val="00970E93"/>
    <w:rsid w:val="00970FB5"/>
    <w:rsid w:val="00971537"/>
    <w:rsid w:val="00971710"/>
    <w:rsid w:val="00971AF3"/>
    <w:rsid w:val="00971B87"/>
    <w:rsid w:val="00971C77"/>
    <w:rsid w:val="00971F0B"/>
    <w:rsid w:val="00972FCD"/>
    <w:rsid w:val="00973324"/>
    <w:rsid w:val="00973752"/>
    <w:rsid w:val="009741AE"/>
    <w:rsid w:val="009741FC"/>
    <w:rsid w:val="00974782"/>
    <w:rsid w:val="00974923"/>
    <w:rsid w:val="00975909"/>
    <w:rsid w:val="00977C3D"/>
    <w:rsid w:val="00980D3D"/>
    <w:rsid w:val="0098103E"/>
    <w:rsid w:val="0098157D"/>
    <w:rsid w:val="00983101"/>
    <w:rsid w:val="00983E41"/>
    <w:rsid w:val="009845E1"/>
    <w:rsid w:val="00986246"/>
    <w:rsid w:val="00987A30"/>
    <w:rsid w:val="00990312"/>
    <w:rsid w:val="0099182E"/>
    <w:rsid w:val="00992689"/>
    <w:rsid w:val="00992CF3"/>
    <w:rsid w:val="00993194"/>
    <w:rsid w:val="0099321E"/>
    <w:rsid w:val="0099399E"/>
    <w:rsid w:val="00993A46"/>
    <w:rsid w:val="00994868"/>
    <w:rsid w:val="00994D28"/>
    <w:rsid w:val="00994F2C"/>
    <w:rsid w:val="009957CC"/>
    <w:rsid w:val="0099584D"/>
    <w:rsid w:val="00995B68"/>
    <w:rsid w:val="009968D6"/>
    <w:rsid w:val="00997953"/>
    <w:rsid w:val="009A0BFF"/>
    <w:rsid w:val="009A10A0"/>
    <w:rsid w:val="009A1CAB"/>
    <w:rsid w:val="009A2359"/>
    <w:rsid w:val="009A24F1"/>
    <w:rsid w:val="009A27E0"/>
    <w:rsid w:val="009A2FEC"/>
    <w:rsid w:val="009A329E"/>
    <w:rsid w:val="009A4D57"/>
    <w:rsid w:val="009A5091"/>
    <w:rsid w:val="009A51A5"/>
    <w:rsid w:val="009A5D8C"/>
    <w:rsid w:val="009A60D1"/>
    <w:rsid w:val="009A6225"/>
    <w:rsid w:val="009A64F5"/>
    <w:rsid w:val="009B00D2"/>
    <w:rsid w:val="009B05B3"/>
    <w:rsid w:val="009B2843"/>
    <w:rsid w:val="009B284F"/>
    <w:rsid w:val="009B291E"/>
    <w:rsid w:val="009B360B"/>
    <w:rsid w:val="009B3764"/>
    <w:rsid w:val="009B52AC"/>
    <w:rsid w:val="009B59EA"/>
    <w:rsid w:val="009B66CE"/>
    <w:rsid w:val="009B6FD3"/>
    <w:rsid w:val="009B72A7"/>
    <w:rsid w:val="009B72BE"/>
    <w:rsid w:val="009B78A4"/>
    <w:rsid w:val="009B7DB2"/>
    <w:rsid w:val="009C0334"/>
    <w:rsid w:val="009C03DB"/>
    <w:rsid w:val="009C1750"/>
    <w:rsid w:val="009C25E6"/>
    <w:rsid w:val="009C2E29"/>
    <w:rsid w:val="009C3E8F"/>
    <w:rsid w:val="009C554B"/>
    <w:rsid w:val="009C5E83"/>
    <w:rsid w:val="009C7126"/>
    <w:rsid w:val="009C719E"/>
    <w:rsid w:val="009C7799"/>
    <w:rsid w:val="009D0603"/>
    <w:rsid w:val="009D07A9"/>
    <w:rsid w:val="009D0AE2"/>
    <w:rsid w:val="009D0D9F"/>
    <w:rsid w:val="009D0EBB"/>
    <w:rsid w:val="009D1955"/>
    <w:rsid w:val="009D2FAC"/>
    <w:rsid w:val="009D3079"/>
    <w:rsid w:val="009D35E9"/>
    <w:rsid w:val="009D3ACD"/>
    <w:rsid w:val="009D4F21"/>
    <w:rsid w:val="009D587D"/>
    <w:rsid w:val="009D5947"/>
    <w:rsid w:val="009D7731"/>
    <w:rsid w:val="009E1120"/>
    <w:rsid w:val="009E1393"/>
    <w:rsid w:val="009E1922"/>
    <w:rsid w:val="009E1A3D"/>
    <w:rsid w:val="009E4715"/>
    <w:rsid w:val="009E4A58"/>
    <w:rsid w:val="009E5273"/>
    <w:rsid w:val="009E540A"/>
    <w:rsid w:val="009E57A8"/>
    <w:rsid w:val="009E5B85"/>
    <w:rsid w:val="009E5CFF"/>
    <w:rsid w:val="009E5DDB"/>
    <w:rsid w:val="009F06F8"/>
    <w:rsid w:val="009F111B"/>
    <w:rsid w:val="009F2620"/>
    <w:rsid w:val="009F2921"/>
    <w:rsid w:val="009F2E2A"/>
    <w:rsid w:val="009F351D"/>
    <w:rsid w:val="009F4982"/>
    <w:rsid w:val="009F4CA7"/>
    <w:rsid w:val="009F4F6A"/>
    <w:rsid w:val="009F55BA"/>
    <w:rsid w:val="009F6143"/>
    <w:rsid w:val="009F7D36"/>
    <w:rsid w:val="00A00E71"/>
    <w:rsid w:val="00A0306F"/>
    <w:rsid w:val="00A03B10"/>
    <w:rsid w:val="00A03E2E"/>
    <w:rsid w:val="00A04616"/>
    <w:rsid w:val="00A04717"/>
    <w:rsid w:val="00A0476E"/>
    <w:rsid w:val="00A05D8F"/>
    <w:rsid w:val="00A05EE4"/>
    <w:rsid w:val="00A0675F"/>
    <w:rsid w:val="00A06F99"/>
    <w:rsid w:val="00A1053B"/>
    <w:rsid w:val="00A10D66"/>
    <w:rsid w:val="00A113A4"/>
    <w:rsid w:val="00A12F0E"/>
    <w:rsid w:val="00A14114"/>
    <w:rsid w:val="00A16098"/>
    <w:rsid w:val="00A16413"/>
    <w:rsid w:val="00A16545"/>
    <w:rsid w:val="00A1694A"/>
    <w:rsid w:val="00A16AED"/>
    <w:rsid w:val="00A16C37"/>
    <w:rsid w:val="00A16E1D"/>
    <w:rsid w:val="00A171D5"/>
    <w:rsid w:val="00A173D1"/>
    <w:rsid w:val="00A17A15"/>
    <w:rsid w:val="00A17D5B"/>
    <w:rsid w:val="00A201E1"/>
    <w:rsid w:val="00A20FE1"/>
    <w:rsid w:val="00A21B4D"/>
    <w:rsid w:val="00A22073"/>
    <w:rsid w:val="00A223E0"/>
    <w:rsid w:val="00A23606"/>
    <w:rsid w:val="00A23E43"/>
    <w:rsid w:val="00A24726"/>
    <w:rsid w:val="00A24DEB"/>
    <w:rsid w:val="00A24ED9"/>
    <w:rsid w:val="00A25216"/>
    <w:rsid w:val="00A2597D"/>
    <w:rsid w:val="00A2628E"/>
    <w:rsid w:val="00A266BF"/>
    <w:rsid w:val="00A2731E"/>
    <w:rsid w:val="00A309AC"/>
    <w:rsid w:val="00A30F65"/>
    <w:rsid w:val="00A31875"/>
    <w:rsid w:val="00A32184"/>
    <w:rsid w:val="00A3279E"/>
    <w:rsid w:val="00A32A33"/>
    <w:rsid w:val="00A32C96"/>
    <w:rsid w:val="00A333A9"/>
    <w:rsid w:val="00A35900"/>
    <w:rsid w:val="00A363D3"/>
    <w:rsid w:val="00A40469"/>
    <w:rsid w:val="00A40EAC"/>
    <w:rsid w:val="00A418BC"/>
    <w:rsid w:val="00A41FCF"/>
    <w:rsid w:val="00A4269D"/>
    <w:rsid w:val="00A42936"/>
    <w:rsid w:val="00A43CF8"/>
    <w:rsid w:val="00A43DF2"/>
    <w:rsid w:val="00A445A8"/>
    <w:rsid w:val="00A44B0D"/>
    <w:rsid w:val="00A44D21"/>
    <w:rsid w:val="00A44DF1"/>
    <w:rsid w:val="00A45087"/>
    <w:rsid w:val="00A45489"/>
    <w:rsid w:val="00A45CED"/>
    <w:rsid w:val="00A465E9"/>
    <w:rsid w:val="00A467ED"/>
    <w:rsid w:val="00A468E7"/>
    <w:rsid w:val="00A46DE0"/>
    <w:rsid w:val="00A478BA"/>
    <w:rsid w:val="00A50D73"/>
    <w:rsid w:val="00A50EB5"/>
    <w:rsid w:val="00A51B76"/>
    <w:rsid w:val="00A51C5D"/>
    <w:rsid w:val="00A52A88"/>
    <w:rsid w:val="00A52CAD"/>
    <w:rsid w:val="00A53FC7"/>
    <w:rsid w:val="00A5499A"/>
    <w:rsid w:val="00A5526C"/>
    <w:rsid w:val="00A55569"/>
    <w:rsid w:val="00A5631D"/>
    <w:rsid w:val="00A566A0"/>
    <w:rsid w:val="00A5761C"/>
    <w:rsid w:val="00A601E7"/>
    <w:rsid w:val="00A60AC1"/>
    <w:rsid w:val="00A61108"/>
    <w:rsid w:val="00A626FF"/>
    <w:rsid w:val="00A62CE1"/>
    <w:rsid w:val="00A65469"/>
    <w:rsid w:val="00A65528"/>
    <w:rsid w:val="00A655D3"/>
    <w:rsid w:val="00A662D9"/>
    <w:rsid w:val="00A6741E"/>
    <w:rsid w:val="00A67D26"/>
    <w:rsid w:val="00A67E29"/>
    <w:rsid w:val="00A7016A"/>
    <w:rsid w:val="00A7018D"/>
    <w:rsid w:val="00A70540"/>
    <w:rsid w:val="00A7191D"/>
    <w:rsid w:val="00A722F9"/>
    <w:rsid w:val="00A72D42"/>
    <w:rsid w:val="00A746C9"/>
    <w:rsid w:val="00A74C2A"/>
    <w:rsid w:val="00A74D0A"/>
    <w:rsid w:val="00A75945"/>
    <w:rsid w:val="00A75E40"/>
    <w:rsid w:val="00A77D1D"/>
    <w:rsid w:val="00A8135E"/>
    <w:rsid w:val="00A815E4"/>
    <w:rsid w:val="00A81652"/>
    <w:rsid w:val="00A818DC"/>
    <w:rsid w:val="00A81A6B"/>
    <w:rsid w:val="00A82C8D"/>
    <w:rsid w:val="00A83150"/>
    <w:rsid w:val="00A83398"/>
    <w:rsid w:val="00A83D6E"/>
    <w:rsid w:val="00A84408"/>
    <w:rsid w:val="00A848FA"/>
    <w:rsid w:val="00A8521A"/>
    <w:rsid w:val="00A857C0"/>
    <w:rsid w:val="00A85ACB"/>
    <w:rsid w:val="00A87AEC"/>
    <w:rsid w:val="00A90F2C"/>
    <w:rsid w:val="00A90FED"/>
    <w:rsid w:val="00A91482"/>
    <w:rsid w:val="00A9189D"/>
    <w:rsid w:val="00A91E71"/>
    <w:rsid w:val="00A925B1"/>
    <w:rsid w:val="00A929CC"/>
    <w:rsid w:val="00A92A3E"/>
    <w:rsid w:val="00A934C5"/>
    <w:rsid w:val="00A934F9"/>
    <w:rsid w:val="00A940E3"/>
    <w:rsid w:val="00A95F1A"/>
    <w:rsid w:val="00A96116"/>
    <w:rsid w:val="00A9614E"/>
    <w:rsid w:val="00A96C0F"/>
    <w:rsid w:val="00AA0A42"/>
    <w:rsid w:val="00AA0E80"/>
    <w:rsid w:val="00AA17CD"/>
    <w:rsid w:val="00AA1D85"/>
    <w:rsid w:val="00AA212F"/>
    <w:rsid w:val="00AA2996"/>
    <w:rsid w:val="00AA2AF4"/>
    <w:rsid w:val="00AA2FD0"/>
    <w:rsid w:val="00AA342C"/>
    <w:rsid w:val="00AA4282"/>
    <w:rsid w:val="00AA4790"/>
    <w:rsid w:val="00AA52BF"/>
    <w:rsid w:val="00AA559A"/>
    <w:rsid w:val="00AA6C31"/>
    <w:rsid w:val="00AA7752"/>
    <w:rsid w:val="00AA7871"/>
    <w:rsid w:val="00AA7CE8"/>
    <w:rsid w:val="00AB0502"/>
    <w:rsid w:val="00AB1457"/>
    <w:rsid w:val="00AB146C"/>
    <w:rsid w:val="00AB2300"/>
    <w:rsid w:val="00AB2AF1"/>
    <w:rsid w:val="00AB2B45"/>
    <w:rsid w:val="00AB3EC7"/>
    <w:rsid w:val="00AB46FD"/>
    <w:rsid w:val="00AB5A64"/>
    <w:rsid w:val="00AB5CA1"/>
    <w:rsid w:val="00AB6154"/>
    <w:rsid w:val="00AB6456"/>
    <w:rsid w:val="00AC044E"/>
    <w:rsid w:val="00AC2118"/>
    <w:rsid w:val="00AC2395"/>
    <w:rsid w:val="00AC2960"/>
    <w:rsid w:val="00AC2AC4"/>
    <w:rsid w:val="00AC4136"/>
    <w:rsid w:val="00AC4284"/>
    <w:rsid w:val="00AC45BD"/>
    <w:rsid w:val="00AC50BB"/>
    <w:rsid w:val="00AC6C6D"/>
    <w:rsid w:val="00AC746D"/>
    <w:rsid w:val="00AC766D"/>
    <w:rsid w:val="00AD0517"/>
    <w:rsid w:val="00AD0B22"/>
    <w:rsid w:val="00AD0EE7"/>
    <w:rsid w:val="00AD168E"/>
    <w:rsid w:val="00AD1C50"/>
    <w:rsid w:val="00AD306C"/>
    <w:rsid w:val="00AD44CD"/>
    <w:rsid w:val="00AD5AD2"/>
    <w:rsid w:val="00AD6462"/>
    <w:rsid w:val="00AD66C5"/>
    <w:rsid w:val="00AD675A"/>
    <w:rsid w:val="00AD68C4"/>
    <w:rsid w:val="00AD71F9"/>
    <w:rsid w:val="00AE05EC"/>
    <w:rsid w:val="00AE09B3"/>
    <w:rsid w:val="00AE1A83"/>
    <w:rsid w:val="00AE1D83"/>
    <w:rsid w:val="00AE29AA"/>
    <w:rsid w:val="00AE29D4"/>
    <w:rsid w:val="00AE30BE"/>
    <w:rsid w:val="00AE3E6A"/>
    <w:rsid w:val="00AE4E7F"/>
    <w:rsid w:val="00AE5F14"/>
    <w:rsid w:val="00AE6414"/>
    <w:rsid w:val="00AE67EE"/>
    <w:rsid w:val="00AE6A39"/>
    <w:rsid w:val="00AE7269"/>
    <w:rsid w:val="00AE7490"/>
    <w:rsid w:val="00AE797C"/>
    <w:rsid w:val="00AE7CE7"/>
    <w:rsid w:val="00AE7FAB"/>
    <w:rsid w:val="00AF03B9"/>
    <w:rsid w:val="00AF0DE4"/>
    <w:rsid w:val="00AF1BA1"/>
    <w:rsid w:val="00AF1E70"/>
    <w:rsid w:val="00AF1E87"/>
    <w:rsid w:val="00AF2F58"/>
    <w:rsid w:val="00AF436B"/>
    <w:rsid w:val="00AF4C25"/>
    <w:rsid w:val="00AF5179"/>
    <w:rsid w:val="00AF5CC2"/>
    <w:rsid w:val="00AF6776"/>
    <w:rsid w:val="00AF6F98"/>
    <w:rsid w:val="00B00913"/>
    <w:rsid w:val="00B00C96"/>
    <w:rsid w:val="00B01593"/>
    <w:rsid w:val="00B01FF9"/>
    <w:rsid w:val="00B023F2"/>
    <w:rsid w:val="00B038CA"/>
    <w:rsid w:val="00B04EC5"/>
    <w:rsid w:val="00B05025"/>
    <w:rsid w:val="00B06DB4"/>
    <w:rsid w:val="00B0799C"/>
    <w:rsid w:val="00B102CE"/>
    <w:rsid w:val="00B10A4D"/>
    <w:rsid w:val="00B10C90"/>
    <w:rsid w:val="00B11002"/>
    <w:rsid w:val="00B116E1"/>
    <w:rsid w:val="00B11AB4"/>
    <w:rsid w:val="00B121B2"/>
    <w:rsid w:val="00B1259F"/>
    <w:rsid w:val="00B141B6"/>
    <w:rsid w:val="00B14BC1"/>
    <w:rsid w:val="00B16DD1"/>
    <w:rsid w:val="00B16EB8"/>
    <w:rsid w:val="00B17E71"/>
    <w:rsid w:val="00B17FDE"/>
    <w:rsid w:val="00B20632"/>
    <w:rsid w:val="00B22BB0"/>
    <w:rsid w:val="00B2379C"/>
    <w:rsid w:val="00B23D5D"/>
    <w:rsid w:val="00B23EE4"/>
    <w:rsid w:val="00B241C9"/>
    <w:rsid w:val="00B26044"/>
    <w:rsid w:val="00B2687D"/>
    <w:rsid w:val="00B300EF"/>
    <w:rsid w:val="00B3108D"/>
    <w:rsid w:val="00B325B3"/>
    <w:rsid w:val="00B32DDB"/>
    <w:rsid w:val="00B32F57"/>
    <w:rsid w:val="00B3345C"/>
    <w:rsid w:val="00B34528"/>
    <w:rsid w:val="00B34CC9"/>
    <w:rsid w:val="00B3563B"/>
    <w:rsid w:val="00B36BDC"/>
    <w:rsid w:val="00B36E2B"/>
    <w:rsid w:val="00B37D3A"/>
    <w:rsid w:val="00B37D96"/>
    <w:rsid w:val="00B402FC"/>
    <w:rsid w:val="00B422E2"/>
    <w:rsid w:val="00B42D5F"/>
    <w:rsid w:val="00B43216"/>
    <w:rsid w:val="00B439DA"/>
    <w:rsid w:val="00B4411A"/>
    <w:rsid w:val="00B45A93"/>
    <w:rsid w:val="00B45FE8"/>
    <w:rsid w:val="00B46604"/>
    <w:rsid w:val="00B47089"/>
    <w:rsid w:val="00B4720E"/>
    <w:rsid w:val="00B47587"/>
    <w:rsid w:val="00B52151"/>
    <w:rsid w:val="00B528B0"/>
    <w:rsid w:val="00B528F3"/>
    <w:rsid w:val="00B530CD"/>
    <w:rsid w:val="00B53C7D"/>
    <w:rsid w:val="00B53E56"/>
    <w:rsid w:val="00B54528"/>
    <w:rsid w:val="00B55A97"/>
    <w:rsid w:val="00B55F5E"/>
    <w:rsid w:val="00B560B7"/>
    <w:rsid w:val="00B5642C"/>
    <w:rsid w:val="00B56B6F"/>
    <w:rsid w:val="00B5752E"/>
    <w:rsid w:val="00B57D58"/>
    <w:rsid w:val="00B60AC1"/>
    <w:rsid w:val="00B61FF6"/>
    <w:rsid w:val="00B62316"/>
    <w:rsid w:val="00B63A11"/>
    <w:rsid w:val="00B64425"/>
    <w:rsid w:val="00B64A26"/>
    <w:rsid w:val="00B64C24"/>
    <w:rsid w:val="00B65CEF"/>
    <w:rsid w:val="00B6608F"/>
    <w:rsid w:val="00B661EB"/>
    <w:rsid w:val="00B67749"/>
    <w:rsid w:val="00B679FB"/>
    <w:rsid w:val="00B71FBF"/>
    <w:rsid w:val="00B734A0"/>
    <w:rsid w:val="00B73A14"/>
    <w:rsid w:val="00B748BD"/>
    <w:rsid w:val="00B7680F"/>
    <w:rsid w:val="00B76B48"/>
    <w:rsid w:val="00B76D1E"/>
    <w:rsid w:val="00B77543"/>
    <w:rsid w:val="00B77584"/>
    <w:rsid w:val="00B80E64"/>
    <w:rsid w:val="00B80EC6"/>
    <w:rsid w:val="00B81288"/>
    <w:rsid w:val="00B81D70"/>
    <w:rsid w:val="00B833B9"/>
    <w:rsid w:val="00B83E07"/>
    <w:rsid w:val="00B84CF6"/>
    <w:rsid w:val="00B85016"/>
    <w:rsid w:val="00B8561A"/>
    <w:rsid w:val="00B865F0"/>
    <w:rsid w:val="00B86643"/>
    <w:rsid w:val="00B868F7"/>
    <w:rsid w:val="00B90131"/>
    <w:rsid w:val="00B92951"/>
    <w:rsid w:val="00B92D1D"/>
    <w:rsid w:val="00B92D7E"/>
    <w:rsid w:val="00B930CE"/>
    <w:rsid w:val="00B938C5"/>
    <w:rsid w:val="00B93E65"/>
    <w:rsid w:val="00B940A8"/>
    <w:rsid w:val="00B9554A"/>
    <w:rsid w:val="00B95940"/>
    <w:rsid w:val="00B95ACA"/>
    <w:rsid w:val="00B96072"/>
    <w:rsid w:val="00B96486"/>
    <w:rsid w:val="00B96A5E"/>
    <w:rsid w:val="00B96CA4"/>
    <w:rsid w:val="00B97ACC"/>
    <w:rsid w:val="00B97FE2"/>
    <w:rsid w:val="00BA0324"/>
    <w:rsid w:val="00BA0E0B"/>
    <w:rsid w:val="00BA201A"/>
    <w:rsid w:val="00BA3787"/>
    <w:rsid w:val="00BA46E8"/>
    <w:rsid w:val="00BA4E19"/>
    <w:rsid w:val="00BA6134"/>
    <w:rsid w:val="00BA6436"/>
    <w:rsid w:val="00BA64F2"/>
    <w:rsid w:val="00BA684E"/>
    <w:rsid w:val="00BA6C2B"/>
    <w:rsid w:val="00BA7B64"/>
    <w:rsid w:val="00BB02A3"/>
    <w:rsid w:val="00BB0351"/>
    <w:rsid w:val="00BB15C3"/>
    <w:rsid w:val="00BB1AF4"/>
    <w:rsid w:val="00BB1EA2"/>
    <w:rsid w:val="00BB2202"/>
    <w:rsid w:val="00BB3C6B"/>
    <w:rsid w:val="00BB3FD6"/>
    <w:rsid w:val="00BB453F"/>
    <w:rsid w:val="00BB46F3"/>
    <w:rsid w:val="00BB4A71"/>
    <w:rsid w:val="00BB4CB1"/>
    <w:rsid w:val="00BB4F98"/>
    <w:rsid w:val="00BB5AB2"/>
    <w:rsid w:val="00BB5ABF"/>
    <w:rsid w:val="00BB622E"/>
    <w:rsid w:val="00BB6EA2"/>
    <w:rsid w:val="00BB7B5B"/>
    <w:rsid w:val="00BB7EB1"/>
    <w:rsid w:val="00BC003F"/>
    <w:rsid w:val="00BC327F"/>
    <w:rsid w:val="00BC3512"/>
    <w:rsid w:val="00BC50BE"/>
    <w:rsid w:val="00BC5332"/>
    <w:rsid w:val="00BC5715"/>
    <w:rsid w:val="00BC5C12"/>
    <w:rsid w:val="00BC7154"/>
    <w:rsid w:val="00BC731E"/>
    <w:rsid w:val="00BC7614"/>
    <w:rsid w:val="00BD08FA"/>
    <w:rsid w:val="00BD2202"/>
    <w:rsid w:val="00BD25BB"/>
    <w:rsid w:val="00BD2AF8"/>
    <w:rsid w:val="00BD366B"/>
    <w:rsid w:val="00BD3C09"/>
    <w:rsid w:val="00BD410B"/>
    <w:rsid w:val="00BD4A73"/>
    <w:rsid w:val="00BD6C75"/>
    <w:rsid w:val="00BD6D50"/>
    <w:rsid w:val="00BD7232"/>
    <w:rsid w:val="00BD73D2"/>
    <w:rsid w:val="00BD77C8"/>
    <w:rsid w:val="00BE0AD1"/>
    <w:rsid w:val="00BE0EF9"/>
    <w:rsid w:val="00BE10A1"/>
    <w:rsid w:val="00BE18B9"/>
    <w:rsid w:val="00BE190A"/>
    <w:rsid w:val="00BE1D4F"/>
    <w:rsid w:val="00BE2495"/>
    <w:rsid w:val="00BE24DD"/>
    <w:rsid w:val="00BE251B"/>
    <w:rsid w:val="00BE2640"/>
    <w:rsid w:val="00BE386D"/>
    <w:rsid w:val="00BE3EE3"/>
    <w:rsid w:val="00BE4639"/>
    <w:rsid w:val="00BE557B"/>
    <w:rsid w:val="00BE5F1A"/>
    <w:rsid w:val="00BE7AFC"/>
    <w:rsid w:val="00BE7F5F"/>
    <w:rsid w:val="00BF02C8"/>
    <w:rsid w:val="00BF10BF"/>
    <w:rsid w:val="00BF1578"/>
    <w:rsid w:val="00BF15CA"/>
    <w:rsid w:val="00BF1D12"/>
    <w:rsid w:val="00BF1D3A"/>
    <w:rsid w:val="00BF24A6"/>
    <w:rsid w:val="00BF2B5B"/>
    <w:rsid w:val="00BF2D41"/>
    <w:rsid w:val="00BF3274"/>
    <w:rsid w:val="00BF32DC"/>
    <w:rsid w:val="00BF3B69"/>
    <w:rsid w:val="00BF40E0"/>
    <w:rsid w:val="00BF4329"/>
    <w:rsid w:val="00BF4E43"/>
    <w:rsid w:val="00BF5C4C"/>
    <w:rsid w:val="00BF77FC"/>
    <w:rsid w:val="00C006D6"/>
    <w:rsid w:val="00C00BD7"/>
    <w:rsid w:val="00C01410"/>
    <w:rsid w:val="00C03DF1"/>
    <w:rsid w:val="00C04B78"/>
    <w:rsid w:val="00C052AA"/>
    <w:rsid w:val="00C061A9"/>
    <w:rsid w:val="00C068AF"/>
    <w:rsid w:val="00C06EE3"/>
    <w:rsid w:val="00C07749"/>
    <w:rsid w:val="00C11244"/>
    <w:rsid w:val="00C11D48"/>
    <w:rsid w:val="00C1493E"/>
    <w:rsid w:val="00C14B4C"/>
    <w:rsid w:val="00C15DBD"/>
    <w:rsid w:val="00C16F23"/>
    <w:rsid w:val="00C2010D"/>
    <w:rsid w:val="00C20CB5"/>
    <w:rsid w:val="00C21430"/>
    <w:rsid w:val="00C21B5E"/>
    <w:rsid w:val="00C21E61"/>
    <w:rsid w:val="00C21F94"/>
    <w:rsid w:val="00C234DB"/>
    <w:rsid w:val="00C2479A"/>
    <w:rsid w:val="00C24903"/>
    <w:rsid w:val="00C2590D"/>
    <w:rsid w:val="00C25D9C"/>
    <w:rsid w:val="00C27913"/>
    <w:rsid w:val="00C300E2"/>
    <w:rsid w:val="00C31905"/>
    <w:rsid w:val="00C31DBD"/>
    <w:rsid w:val="00C31F21"/>
    <w:rsid w:val="00C32500"/>
    <w:rsid w:val="00C32631"/>
    <w:rsid w:val="00C33301"/>
    <w:rsid w:val="00C33311"/>
    <w:rsid w:val="00C33B68"/>
    <w:rsid w:val="00C3483D"/>
    <w:rsid w:val="00C348A7"/>
    <w:rsid w:val="00C35570"/>
    <w:rsid w:val="00C35A2A"/>
    <w:rsid w:val="00C36A79"/>
    <w:rsid w:val="00C401A9"/>
    <w:rsid w:val="00C401D2"/>
    <w:rsid w:val="00C4031A"/>
    <w:rsid w:val="00C405D4"/>
    <w:rsid w:val="00C419D5"/>
    <w:rsid w:val="00C42156"/>
    <w:rsid w:val="00C42800"/>
    <w:rsid w:val="00C42EBB"/>
    <w:rsid w:val="00C44994"/>
    <w:rsid w:val="00C4513B"/>
    <w:rsid w:val="00C475E8"/>
    <w:rsid w:val="00C47E94"/>
    <w:rsid w:val="00C50E79"/>
    <w:rsid w:val="00C5197D"/>
    <w:rsid w:val="00C51F07"/>
    <w:rsid w:val="00C525FB"/>
    <w:rsid w:val="00C5390B"/>
    <w:rsid w:val="00C54257"/>
    <w:rsid w:val="00C54697"/>
    <w:rsid w:val="00C550CE"/>
    <w:rsid w:val="00C553A5"/>
    <w:rsid w:val="00C55402"/>
    <w:rsid w:val="00C5603B"/>
    <w:rsid w:val="00C61F47"/>
    <w:rsid w:val="00C62828"/>
    <w:rsid w:val="00C62F89"/>
    <w:rsid w:val="00C70756"/>
    <w:rsid w:val="00C715CC"/>
    <w:rsid w:val="00C719A3"/>
    <w:rsid w:val="00C71AA0"/>
    <w:rsid w:val="00C71D2F"/>
    <w:rsid w:val="00C72984"/>
    <w:rsid w:val="00C73885"/>
    <w:rsid w:val="00C73C93"/>
    <w:rsid w:val="00C7435A"/>
    <w:rsid w:val="00C747B1"/>
    <w:rsid w:val="00C74E4E"/>
    <w:rsid w:val="00C75510"/>
    <w:rsid w:val="00C755F9"/>
    <w:rsid w:val="00C75752"/>
    <w:rsid w:val="00C770C9"/>
    <w:rsid w:val="00C81070"/>
    <w:rsid w:val="00C8174E"/>
    <w:rsid w:val="00C82191"/>
    <w:rsid w:val="00C83134"/>
    <w:rsid w:val="00C831E7"/>
    <w:rsid w:val="00C832F3"/>
    <w:rsid w:val="00C83344"/>
    <w:rsid w:val="00C845A4"/>
    <w:rsid w:val="00C85545"/>
    <w:rsid w:val="00C855B5"/>
    <w:rsid w:val="00C85F0E"/>
    <w:rsid w:val="00C8710F"/>
    <w:rsid w:val="00C90CF4"/>
    <w:rsid w:val="00C91C20"/>
    <w:rsid w:val="00C922DE"/>
    <w:rsid w:val="00C92843"/>
    <w:rsid w:val="00C92C96"/>
    <w:rsid w:val="00C92EB6"/>
    <w:rsid w:val="00C93389"/>
    <w:rsid w:val="00C948E6"/>
    <w:rsid w:val="00C94CDD"/>
    <w:rsid w:val="00C96E8B"/>
    <w:rsid w:val="00CA0346"/>
    <w:rsid w:val="00CA07BD"/>
    <w:rsid w:val="00CA1BD6"/>
    <w:rsid w:val="00CA37FF"/>
    <w:rsid w:val="00CA397D"/>
    <w:rsid w:val="00CA423A"/>
    <w:rsid w:val="00CA47BC"/>
    <w:rsid w:val="00CA5EAD"/>
    <w:rsid w:val="00CA6AB4"/>
    <w:rsid w:val="00CA7255"/>
    <w:rsid w:val="00CB1C3F"/>
    <w:rsid w:val="00CB2351"/>
    <w:rsid w:val="00CB4001"/>
    <w:rsid w:val="00CB4930"/>
    <w:rsid w:val="00CB4BA9"/>
    <w:rsid w:val="00CB4C63"/>
    <w:rsid w:val="00CB5A48"/>
    <w:rsid w:val="00CB5E10"/>
    <w:rsid w:val="00CB5E4A"/>
    <w:rsid w:val="00CB613B"/>
    <w:rsid w:val="00CB6152"/>
    <w:rsid w:val="00CB64E1"/>
    <w:rsid w:val="00CB6E4D"/>
    <w:rsid w:val="00CC0834"/>
    <w:rsid w:val="00CC12CB"/>
    <w:rsid w:val="00CC20FE"/>
    <w:rsid w:val="00CC2E7D"/>
    <w:rsid w:val="00CC3065"/>
    <w:rsid w:val="00CC394A"/>
    <w:rsid w:val="00CC507B"/>
    <w:rsid w:val="00CC612B"/>
    <w:rsid w:val="00CC655F"/>
    <w:rsid w:val="00CC66F9"/>
    <w:rsid w:val="00CC6FE5"/>
    <w:rsid w:val="00CC7458"/>
    <w:rsid w:val="00CC76BD"/>
    <w:rsid w:val="00CC7853"/>
    <w:rsid w:val="00CC7A87"/>
    <w:rsid w:val="00CD10A5"/>
    <w:rsid w:val="00CD1129"/>
    <w:rsid w:val="00CD1A80"/>
    <w:rsid w:val="00CD1CB5"/>
    <w:rsid w:val="00CD2076"/>
    <w:rsid w:val="00CD24CE"/>
    <w:rsid w:val="00CD29B5"/>
    <w:rsid w:val="00CD2B78"/>
    <w:rsid w:val="00CD2ED2"/>
    <w:rsid w:val="00CD3FAB"/>
    <w:rsid w:val="00CD5456"/>
    <w:rsid w:val="00CD5C3E"/>
    <w:rsid w:val="00CD6093"/>
    <w:rsid w:val="00CD6331"/>
    <w:rsid w:val="00CD644C"/>
    <w:rsid w:val="00CE14BE"/>
    <w:rsid w:val="00CE17A4"/>
    <w:rsid w:val="00CE1BA9"/>
    <w:rsid w:val="00CE2D8F"/>
    <w:rsid w:val="00CE340C"/>
    <w:rsid w:val="00CE3E48"/>
    <w:rsid w:val="00CE47B8"/>
    <w:rsid w:val="00CE62FA"/>
    <w:rsid w:val="00CE670B"/>
    <w:rsid w:val="00CE6833"/>
    <w:rsid w:val="00CE719A"/>
    <w:rsid w:val="00CF020B"/>
    <w:rsid w:val="00CF057A"/>
    <w:rsid w:val="00CF0BDA"/>
    <w:rsid w:val="00CF2E4D"/>
    <w:rsid w:val="00CF3578"/>
    <w:rsid w:val="00CF4205"/>
    <w:rsid w:val="00CF4908"/>
    <w:rsid w:val="00CF51EC"/>
    <w:rsid w:val="00CF545D"/>
    <w:rsid w:val="00CF5873"/>
    <w:rsid w:val="00CF73AE"/>
    <w:rsid w:val="00CF7777"/>
    <w:rsid w:val="00D0085A"/>
    <w:rsid w:val="00D014F1"/>
    <w:rsid w:val="00D01505"/>
    <w:rsid w:val="00D0197F"/>
    <w:rsid w:val="00D0242D"/>
    <w:rsid w:val="00D02716"/>
    <w:rsid w:val="00D03A72"/>
    <w:rsid w:val="00D040DD"/>
    <w:rsid w:val="00D04134"/>
    <w:rsid w:val="00D047E1"/>
    <w:rsid w:val="00D04E36"/>
    <w:rsid w:val="00D0521D"/>
    <w:rsid w:val="00D057F0"/>
    <w:rsid w:val="00D05C65"/>
    <w:rsid w:val="00D06B56"/>
    <w:rsid w:val="00D06D68"/>
    <w:rsid w:val="00D075BE"/>
    <w:rsid w:val="00D10C15"/>
    <w:rsid w:val="00D11072"/>
    <w:rsid w:val="00D11476"/>
    <w:rsid w:val="00D115FE"/>
    <w:rsid w:val="00D12C25"/>
    <w:rsid w:val="00D133B4"/>
    <w:rsid w:val="00D13986"/>
    <w:rsid w:val="00D14C5B"/>
    <w:rsid w:val="00D1589C"/>
    <w:rsid w:val="00D15FED"/>
    <w:rsid w:val="00D16712"/>
    <w:rsid w:val="00D214EF"/>
    <w:rsid w:val="00D215B0"/>
    <w:rsid w:val="00D21A75"/>
    <w:rsid w:val="00D21D6D"/>
    <w:rsid w:val="00D21D83"/>
    <w:rsid w:val="00D21E2B"/>
    <w:rsid w:val="00D235B7"/>
    <w:rsid w:val="00D23FAE"/>
    <w:rsid w:val="00D25F28"/>
    <w:rsid w:val="00D26071"/>
    <w:rsid w:val="00D26223"/>
    <w:rsid w:val="00D269B9"/>
    <w:rsid w:val="00D27973"/>
    <w:rsid w:val="00D30400"/>
    <w:rsid w:val="00D31537"/>
    <w:rsid w:val="00D31E1E"/>
    <w:rsid w:val="00D32169"/>
    <w:rsid w:val="00D322A0"/>
    <w:rsid w:val="00D32824"/>
    <w:rsid w:val="00D334E2"/>
    <w:rsid w:val="00D350B1"/>
    <w:rsid w:val="00D35AD6"/>
    <w:rsid w:val="00D35BBB"/>
    <w:rsid w:val="00D35E1A"/>
    <w:rsid w:val="00D36B0A"/>
    <w:rsid w:val="00D36DFB"/>
    <w:rsid w:val="00D36E1C"/>
    <w:rsid w:val="00D373AF"/>
    <w:rsid w:val="00D40556"/>
    <w:rsid w:val="00D41F74"/>
    <w:rsid w:val="00D43034"/>
    <w:rsid w:val="00D432E9"/>
    <w:rsid w:val="00D4341B"/>
    <w:rsid w:val="00D43ED2"/>
    <w:rsid w:val="00D44D5F"/>
    <w:rsid w:val="00D45E7F"/>
    <w:rsid w:val="00D50F46"/>
    <w:rsid w:val="00D51B6F"/>
    <w:rsid w:val="00D52742"/>
    <w:rsid w:val="00D5384E"/>
    <w:rsid w:val="00D544E7"/>
    <w:rsid w:val="00D5499F"/>
    <w:rsid w:val="00D5560A"/>
    <w:rsid w:val="00D56658"/>
    <w:rsid w:val="00D56FBF"/>
    <w:rsid w:val="00D57677"/>
    <w:rsid w:val="00D60415"/>
    <w:rsid w:val="00D60E3C"/>
    <w:rsid w:val="00D61FAB"/>
    <w:rsid w:val="00D63BE5"/>
    <w:rsid w:val="00D6475F"/>
    <w:rsid w:val="00D658DF"/>
    <w:rsid w:val="00D661DF"/>
    <w:rsid w:val="00D66223"/>
    <w:rsid w:val="00D66624"/>
    <w:rsid w:val="00D667B8"/>
    <w:rsid w:val="00D70289"/>
    <w:rsid w:val="00D70822"/>
    <w:rsid w:val="00D72076"/>
    <w:rsid w:val="00D726A9"/>
    <w:rsid w:val="00D72E6E"/>
    <w:rsid w:val="00D73C26"/>
    <w:rsid w:val="00D743E0"/>
    <w:rsid w:val="00D75AC1"/>
    <w:rsid w:val="00D760F7"/>
    <w:rsid w:val="00D77252"/>
    <w:rsid w:val="00D8084C"/>
    <w:rsid w:val="00D81809"/>
    <w:rsid w:val="00D81B5C"/>
    <w:rsid w:val="00D826F6"/>
    <w:rsid w:val="00D82EF1"/>
    <w:rsid w:val="00D84F43"/>
    <w:rsid w:val="00D85114"/>
    <w:rsid w:val="00D85328"/>
    <w:rsid w:val="00D85821"/>
    <w:rsid w:val="00D8598C"/>
    <w:rsid w:val="00D87C06"/>
    <w:rsid w:val="00D90127"/>
    <w:rsid w:val="00D915EA"/>
    <w:rsid w:val="00D91649"/>
    <w:rsid w:val="00D919ED"/>
    <w:rsid w:val="00D922A1"/>
    <w:rsid w:val="00D928BE"/>
    <w:rsid w:val="00D93FB0"/>
    <w:rsid w:val="00D95302"/>
    <w:rsid w:val="00D95A6E"/>
    <w:rsid w:val="00D95C5D"/>
    <w:rsid w:val="00D97D00"/>
    <w:rsid w:val="00DA096C"/>
    <w:rsid w:val="00DA1AB6"/>
    <w:rsid w:val="00DA287B"/>
    <w:rsid w:val="00DA544C"/>
    <w:rsid w:val="00DA5F8E"/>
    <w:rsid w:val="00DA6364"/>
    <w:rsid w:val="00DA7114"/>
    <w:rsid w:val="00DA7A5E"/>
    <w:rsid w:val="00DA7C0C"/>
    <w:rsid w:val="00DB03DD"/>
    <w:rsid w:val="00DB08A9"/>
    <w:rsid w:val="00DB2DFA"/>
    <w:rsid w:val="00DB2EC8"/>
    <w:rsid w:val="00DB2F57"/>
    <w:rsid w:val="00DB321D"/>
    <w:rsid w:val="00DB459B"/>
    <w:rsid w:val="00DB47FD"/>
    <w:rsid w:val="00DB5E3A"/>
    <w:rsid w:val="00DB5E9A"/>
    <w:rsid w:val="00DB613B"/>
    <w:rsid w:val="00DB657E"/>
    <w:rsid w:val="00DB7342"/>
    <w:rsid w:val="00DB7489"/>
    <w:rsid w:val="00DC17D0"/>
    <w:rsid w:val="00DC2710"/>
    <w:rsid w:val="00DC2B41"/>
    <w:rsid w:val="00DC3128"/>
    <w:rsid w:val="00DC435B"/>
    <w:rsid w:val="00DC53D8"/>
    <w:rsid w:val="00DC56FE"/>
    <w:rsid w:val="00DC5B3B"/>
    <w:rsid w:val="00DC6C2D"/>
    <w:rsid w:val="00DC6D2D"/>
    <w:rsid w:val="00DC7B1A"/>
    <w:rsid w:val="00DC7B4F"/>
    <w:rsid w:val="00DD04B0"/>
    <w:rsid w:val="00DD0C3D"/>
    <w:rsid w:val="00DD129F"/>
    <w:rsid w:val="00DD13FC"/>
    <w:rsid w:val="00DD1A3F"/>
    <w:rsid w:val="00DD29B5"/>
    <w:rsid w:val="00DD2D86"/>
    <w:rsid w:val="00DD32DD"/>
    <w:rsid w:val="00DD5287"/>
    <w:rsid w:val="00DD5B36"/>
    <w:rsid w:val="00DD7585"/>
    <w:rsid w:val="00DE0D8B"/>
    <w:rsid w:val="00DE1237"/>
    <w:rsid w:val="00DE140F"/>
    <w:rsid w:val="00DE1B67"/>
    <w:rsid w:val="00DE2491"/>
    <w:rsid w:val="00DE2DD7"/>
    <w:rsid w:val="00DE5CA6"/>
    <w:rsid w:val="00DE6DAA"/>
    <w:rsid w:val="00DE7AC8"/>
    <w:rsid w:val="00DF25E9"/>
    <w:rsid w:val="00DF2C5D"/>
    <w:rsid w:val="00DF3643"/>
    <w:rsid w:val="00DF382A"/>
    <w:rsid w:val="00DF42FF"/>
    <w:rsid w:val="00DF4369"/>
    <w:rsid w:val="00DF4423"/>
    <w:rsid w:val="00DF4ADF"/>
    <w:rsid w:val="00DF4E3C"/>
    <w:rsid w:val="00DF5D1E"/>
    <w:rsid w:val="00DF61AE"/>
    <w:rsid w:val="00DF6AA5"/>
    <w:rsid w:val="00DF76AA"/>
    <w:rsid w:val="00DF77E4"/>
    <w:rsid w:val="00DF7F88"/>
    <w:rsid w:val="00E01C0E"/>
    <w:rsid w:val="00E03503"/>
    <w:rsid w:val="00E035FD"/>
    <w:rsid w:val="00E0368F"/>
    <w:rsid w:val="00E03D73"/>
    <w:rsid w:val="00E03F9A"/>
    <w:rsid w:val="00E04694"/>
    <w:rsid w:val="00E0706A"/>
    <w:rsid w:val="00E0757D"/>
    <w:rsid w:val="00E07A54"/>
    <w:rsid w:val="00E12191"/>
    <w:rsid w:val="00E129E7"/>
    <w:rsid w:val="00E12ABE"/>
    <w:rsid w:val="00E12B1E"/>
    <w:rsid w:val="00E1444C"/>
    <w:rsid w:val="00E17262"/>
    <w:rsid w:val="00E20016"/>
    <w:rsid w:val="00E2009B"/>
    <w:rsid w:val="00E20BB9"/>
    <w:rsid w:val="00E20BCC"/>
    <w:rsid w:val="00E2251C"/>
    <w:rsid w:val="00E2363D"/>
    <w:rsid w:val="00E23C6A"/>
    <w:rsid w:val="00E253A2"/>
    <w:rsid w:val="00E260F6"/>
    <w:rsid w:val="00E27127"/>
    <w:rsid w:val="00E27233"/>
    <w:rsid w:val="00E30F15"/>
    <w:rsid w:val="00E31771"/>
    <w:rsid w:val="00E3186D"/>
    <w:rsid w:val="00E31A3E"/>
    <w:rsid w:val="00E31AAF"/>
    <w:rsid w:val="00E32080"/>
    <w:rsid w:val="00E3309D"/>
    <w:rsid w:val="00E34837"/>
    <w:rsid w:val="00E35374"/>
    <w:rsid w:val="00E35A53"/>
    <w:rsid w:val="00E35FB0"/>
    <w:rsid w:val="00E3724A"/>
    <w:rsid w:val="00E378B1"/>
    <w:rsid w:val="00E417BE"/>
    <w:rsid w:val="00E41A55"/>
    <w:rsid w:val="00E41CD5"/>
    <w:rsid w:val="00E42163"/>
    <w:rsid w:val="00E43120"/>
    <w:rsid w:val="00E4372D"/>
    <w:rsid w:val="00E43A9E"/>
    <w:rsid w:val="00E44243"/>
    <w:rsid w:val="00E450FC"/>
    <w:rsid w:val="00E453F9"/>
    <w:rsid w:val="00E459A2"/>
    <w:rsid w:val="00E45D5A"/>
    <w:rsid w:val="00E45D7D"/>
    <w:rsid w:val="00E4623F"/>
    <w:rsid w:val="00E4665D"/>
    <w:rsid w:val="00E47854"/>
    <w:rsid w:val="00E478A7"/>
    <w:rsid w:val="00E47EBA"/>
    <w:rsid w:val="00E50156"/>
    <w:rsid w:val="00E504EB"/>
    <w:rsid w:val="00E5076C"/>
    <w:rsid w:val="00E50D2E"/>
    <w:rsid w:val="00E50D7D"/>
    <w:rsid w:val="00E51083"/>
    <w:rsid w:val="00E514BE"/>
    <w:rsid w:val="00E53470"/>
    <w:rsid w:val="00E539F6"/>
    <w:rsid w:val="00E53A28"/>
    <w:rsid w:val="00E54698"/>
    <w:rsid w:val="00E54FB4"/>
    <w:rsid w:val="00E5539A"/>
    <w:rsid w:val="00E55791"/>
    <w:rsid w:val="00E5591F"/>
    <w:rsid w:val="00E55E1A"/>
    <w:rsid w:val="00E578A2"/>
    <w:rsid w:val="00E60043"/>
    <w:rsid w:val="00E60F06"/>
    <w:rsid w:val="00E611AC"/>
    <w:rsid w:val="00E61740"/>
    <w:rsid w:val="00E61D03"/>
    <w:rsid w:val="00E61EB5"/>
    <w:rsid w:val="00E6324D"/>
    <w:rsid w:val="00E65084"/>
    <w:rsid w:val="00E6519D"/>
    <w:rsid w:val="00E66062"/>
    <w:rsid w:val="00E6660E"/>
    <w:rsid w:val="00E666A2"/>
    <w:rsid w:val="00E67305"/>
    <w:rsid w:val="00E67696"/>
    <w:rsid w:val="00E70C5F"/>
    <w:rsid w:val="00E71422"/>
    <w:rsid w:val="00E71A58"/>
    <w:rsid w:val="00E72A26"/>
    <w:rsid w:val="00E72A7A"/>
    <w:rsid w:val="00E7335A"/>
    <w:rsid w:val="00E747DC"/>
    <w:rsid w:val="00E74A2D"/>
    <w:rsid w:val="00E75C94"/>
    <w:rsid w:val="00E76B9B"/>
    <w:rsid w:val="00E76E61"/>
    <w:rsid w:val="00E770B1"/>
    <w:rsid w:val="00E77CC0"/>
    <w:rsid w:val="00E77DE5"/>
    <w:rsid w:val="00E80B3D"/>
    <w:rsid w:val="00E80CA3"/>
    <w:rsid w:val="00E819B1"/>
    <w:rsid w:val="00E82618"/>
    <w:rsid w:val="00E842DD"/>
    <w:rsid w:val="00E84E09"/>
    <w:rsid w:val="00E86FF9"/>
    <w:rsid w:val="00E90CA8"/>
    <w:rsid w:val="00E914CF"/>
    <w:rsid w:val="00E93063"/>
    <w:rsid w:val="00E930A1"/>
    <w:rsid w:val="00E93820"/>
    <w:rsid w:val="00E94A86"/>
    <w:rsid w:val="00E953F6"/>
    <w:rsid w:val="00E96143"/>
    <w:rsid w:val="00E96833"/>
    <w:rsid w:val="00E97506"/>
    <w:rsid w:val="00EA0C68"/>
    <w:rsid w:val="00EA193A"/>
    <w:rsid w:val="00EA1D0E"/>
    <w:rsid w:val="00EA2841"/>
    <w:rsid w:val="00EA32BC"/>
    <w:rsid w:val="00EA35A7"/>
    <w:rsid w:val="00EA3B32"/>
    <w:rsid w:val="00EA3D05"/>
    <w:rsid w:val="00EA4402"/>
    <w:rsid w:val="00EA4B8D"/>
    <w:rsid w:val="00EA513E"/>
    <w:rsid w:val="00EA7419"/>
    <w:rsid w:val="00EA79FE"/>
    <w:rsid w:val="00EB0C75"/>
    <w:rsid w:val="00EB0E32"/>
    <w:rsid w:val="00EB3042"/>
    <w:rsid w:val="00EB39E6"/>
    <w:rsid w:val="00EB3E60"/>
    <w:rsid w:val="00EB4511"/>
    <w:rsid w:val="00EB48D7"/>
    <w:rsid w:val="00EB4A8E"/>
    <w:rsid w:val="00EB4BC5"/>
    <w:rsid w:val="00EB5BF7"/>
    <w:rsid w:val="00EB5D8C"/>
    <w:rsid w:val="00EB5E79"/>
    <w:rsid w:val="00EB6FAC"/>
    <w:rsid w:val="00EB7BAC"/>
    <w:rsid w:val="00EC03D7"/>
    <w:rsid w:val="00EC1061"/>
    <w:rsid w:val="00EC13A7"/>
    <w:rsid w:val="00EC1543"/>
    <w:rsid w:val="00EC1889"/>
    <w:rsid w:val="00EC2EB6"/>
    <w:rsid w:val="00EC39FC"/>
    <w:rsid w:val="00EC3F67"/>
    <w:rsid w:val="00EC7F4C"/>
    <w:rsid w:val="00ED0EF0"/>
    <w:rsid w:val="00ED12B9"/>
    <w:rsid w:val="00ED16B8"/>
    <w:rsid w:val="00ED1DF0"/>
    <w:rsid w:val="00ED2386"/>
    <w:rsid w:val="00ED2EA1"/>
    <w:rsid w:val="00ED3055"/>
    <w:rsid w:val="00ED38AF"/>
    <w:rsid w:val="00ED3F10"/>
    <w:rsid w:val="00ED44F9"/>
    <w:rsid w:val="00ED4D04"/>
    <w:rsid w:val="00ED4FB0"/>
    <w:rsid w:val="00ED52BB"/>
    <w:rsid w:val="00ED566D"/>
    <w:rsid w:val="00ED5907"/>
    <w:rsid w:val="00ED5AE4"/>
    <w:rsid w:val="00ED5F5B"/>
    <w:rsid w:val="00ED62C6"/>
    <w:rsid w:val="00ED64C1"/>
    <w:rsid w:val="00ED7809"/>
    <w:rsid w:val="00EE1F26"/>
    <w:rsid w:val="00EE2EB4"/>
    <w:rsid w:val="00EE3446"/>
    <w:rsid w:val="00EE3E78"/>
    <w:rsid w:val="00EE41FD"/>
    <w:rsid w:val="00EE460E"/>
    <w:rsid w:val="00EE4B1B"/>
    <w:rsid w:val="00EE5FBA"/>
    <w:rsid w:val="00EE6314"/>
    <w:rsid w:val="00EE6E06"/>
    <w:rsid w:val="00EE7179"/>
    <w:rsid w:val="00EF0D84"/>
    <w:rsid w:val="00EF150D"/>
    <w:rsid w:val="00EF1F5A"/>
    <w:rsid w:val="00EF47BF"/>
    <w:rsid w:val="00EF5598"/>
    <w:rsid w:val="00EF59B1"/>
    <w:rsid w:val="00EF5A13"/>
    <w:rsid w:val="00EF5FF9"/>
    <w:rsid w:val="00EF738C"/>
    <w:rsid w:val="00EF77D4"/>
    <w:rsid w:val="00EF781C"/>
    <w:rsid w:val="00EF7CC7"/>
    <w:rsid w:val="00EF7EFA"/>
    <w:rsid w:val="00F00853"/>
    <w:rsid w:val="00F00866"/>
    <w:rsid w:val="00F0160B"/>
    <w:rsid w:val="00F0193E"/>
    <w:rsid w:val="00F03F8D"/>
    <w:rsid w:val="00F04811"/>
    <w:rsid w:val="00F0488C"/>
    <w:rsid w:val="00F071D8"/>
    <w:rsid w:val="00F073ED"/>
    <w:rsid w:val="00F07C4C"/>
    <w:rsid w:val="00F10F11"/>
    <w:rsid w:val="00F11159"/>
    <w:rsid w:val="00F115E4"/>
    <w:rsid w:val="00F12CFB"/>
    <w:rsid w:val="00F139FF"/>
    <w:rsid w:val="00F13E60"/>
    <w:rsid w:val="00F13FDB"/>
    <w:rsid w:val="00F15AAA"/>
    <w:rsid w:val="00F15BEF"/>
    <w:rsid w:val="00F15F8F"/>
    <w:rsid w:val="00F17898"/>
    <w:rsid w:val="00F207C2"/>
    <w:rsid w:val="00F210F3"/>
    <w:rsid w:val="00F21337"/>
    <w:rsid w:val="00F21878"/>
    <w:rsid w:val="00F219A1"/>
    <w:rsid w:val="00F22894"/>
    <w:rsid w:val="00F23E20"/>
    <w:rsid w:val="00F2429A"/>
    <w:rsid w:val="00F24407"/>
    <w:rsid w:val="00F24F65"/>
    <w:rsid w:val="00F24FAA"/>
    <w:rsid w:val="00F25040"/>
    <w:rsid w:val="00F2510D"/>
    <w:rsid w:val="00F259AC"/>
    <w:rsid w:val="00F269A8"/>
    <w:rsid w:val="00F26D1F"/>
    <w:rsid w:val="00F27071"/>
    <w:rsid w:val="00F27331"/>
    <w:rsid w:val="00F27EE5"/>
    <w:rsid w:val="00F27FD6"/>
    <w:rsid w:val="00F307CB"/>
    <w:rsid w:val="00F30C65"/>
    <w:rsid w:val="00F321D2"/>
    <w:rsid w:val="00F32649"/>
    <w:rsid w:val="00F32DCC"/>
    <w:rsid w:val="00F33523"/>
    <w:rsid w:val="00F3364D"/>
    <w:rsid w:val="00F3371E"/>
    <w:rsid w:val="00F33914"/>
    <w:rsid w:val="00F349BF"/>
    <w:rsid w:val="00F34DDC"/>
    <w:rsid w:val="00F36191"/>
    <w:rsid w:val="00F377FF"/>
    <w:rsid w:val="00F37EDC"/>
    <w:rsid w:val="00F40876"/>
    <w:rsid w:val="00F437CC"/>
    <w:rsid w:val="00F44537"/>
    <w:rsid w:val="00F46185"/>
    <w:rsid w:val="00F46423"/>
    <w:rsid w:val="00F4696A"/>
    <w:rsid w:val="00F47067"/>
    <w:rsid w:val="00F525AB"/>
    <w:rsid w:val="00F525EB"/>
    <w:rsid w:val="00F5265E"/>
    <w:rsid w:val="00F52CB5"/>
    <w:rsid w:val="00F53A68"/>
    <w:rsid w:val="00F54045"/>
    <w:rsid w:val="00F54934"/>
    <w:rsid w:val="00F55A0E"/>
    <w:rsid w:val="00F55A92"/>
    <w:rsid w:val="00F62324"/>
    <w:rsid w:val="00F62988"/>
    <w:rsid w:val="00F62BFF"/>
    <w:rsid w:val="00F63190"/>
    <w:rsid w:val="00F63AAE"/>
    <w:rsid w:val="00F63DDE"/>
    <w:rsid w:val="00F63FB7"/>
    <w:rsid w:val="00F6421B"/>
    <w:rsid w:val="00F645A5"/>
    <w:rsid w:val="00F647F1"/>
    <w:rsid w:val="00F649D2"/>
    <w:rsid w:val="00F64AD9"/>
    <w:rsid w:val="00F6602B"/>
    <w:rsid w:val="00F6674E"/>
    <w:rsid w:val="00F67CEF"/>
    <w:rsid w:val="00F7150B"/>
    <w:rsid w:val="00F717E4"/>
    <w:rsid w:val="00F717EE"/>
    <w:rsid w:val="00F71971"/>
    <w:rsid w:val="00F71DE6"/>
    <w:rsid w:val="00F72D71"/>
    <w:rsid w:val="00F73086"/>
    <w:rsid w:val="00F7381C"/>
    <w:rsid w:val="00F73A0C"/>
    <w:rsid w:val="00F740FB"/>
    <w:rsid w:val="00F7497E"/>
    <w:rsid w:val="00F7549F"/>
    <w:rsid w:val="00F756DB"/>
    <w:rsid w:val="00F75E2B"/>
    <w:rsid w:val="00F767A8"/>
    <w:rsid w:val="00F8001E"/>
    <w:rsid w:val="00F8199D"/>
    <w:rsid w:val="00F8246E"/>
    <w:rsid w:val="00F82CA2"/>
    <w:rsid w:val="00F84E7D"/>
    <w:rsid w:val="00F85066"/>
    <w:rsid w:val="00F87A4D"/>
    <w:rsid w:val="00F87B34"/>
    <w:rsid w:val="00F93688"/>
    <w:rsid w:val="00F939F3"/>
    <w:rsid w:val="00F93C6E"/>
    <w:rsid w:val="00F93F2C"/>
    <w:rsid w:val="00F95594"/>
    <w:rsid w:val="00F9644E"/>
    <w:rsid w:val="00F96665"/>
    <w:rsid w:val="00F97482"/>
    <w:rsid w:val="00FA0105"/>
    <w:rsid w:val="00FA05A0"/>
    <w:rsid w:val="00FA0AEF"/>
    <w:rsid w:val="00FA17CC"/>
    <w:rsid w:val="00FA1F01"/>
    <w:rsid w:val="00FA26DF"/>
    <w:rsid w:val="00FA32BC"/>
    <w:rsid w:val="00FA48A4"/>
    <w:rsid w:val="00FA4CB7"/>
    <w:rsid w:val="00FA5112"/>
    <w:rsid w:val="00FA5526"/>
    <w:rsid w:val="00FA5A6A"/>
    <w:rsid w:val="00FA5D4D"/>
    <w:rsid w:val="00FA6CB6"/>
    <w:rsid w:val="00FA70D3"/>
    <w:rsid w:val="00FA7AEC"/>
    <w:rsid w:val="00FA7FE7"/>
    <w:rsid w:val="00FB0AEA"/>
    <w:rsid w:val="00FB0EE2"/>
    <w:rsid w:val="00FB1A79"/>
    <w:rsid w:val="00FB208B"/>
    <w:rsid w:val="00FB2B2D"/>
    <w:rsid w:val="00FB2E84"/>
    <w:rsid w:val="00FB542E"/>
    <w:rsid w:val="00FB564F"/>
    <w:rsid w:val="00FB7214"/>
    <w:rsid w:val="00FB727E"/>
    <w:rsid w:val="00FB76C3"/>
    <w:rsid w:val="00FB7DBB"/>
    <w:rsid w:val="00FC05F8"/>
    <w:rsid w:val="00FC0E5F"/>
    <w:rsid w:val="00FC1266"/>
    <w:rsid w:val="00FC1A95"/>
    <w:rsid w:val="00FC1CE9"/>
    <w:rsid w:val="00FC1ED4"/>
    <w:rsid w:val="00FC2A6C"/>
    <w:rsid w:val="00FC3BEC"/>
    <w:rsid w:val="00FC42DE"/>
    <w:rsid w:val="00FC440B"/>
    <w:rsid w:val="00FC56DE"/>
    <w:rsid w:val="00FC63D9"/>
    <w:rsid w:val="00FC64DE"/>
    <w:rsid w:val="00FC684B"/>
    <w:rsid w:val="00FC7D98"/>
    <w:rsid w:val="00FD0631"/>
    <w:rsid w:val="00FD1135"/>
    <w:rsid w:val="00FD22EF"/>
    <w:rsid w:val="00FD3265"/>
    <w:rsid w:val="00FD3CF7"/>
    <w:rsid w:val="00FD48C8"/>
    <w:rsid w:val="00FD4916"/>
    <w:rsid w:val="00FD4D12"/>
    <w:rsid w:val="00FD4F73"/>
    <w:rsid w:val="00FD595E"/>
    <w:rsid w:val="00FE27C7"/>
    <w:rsid w:val="00FE2C7E"/>
    <w:rsid w:val="00FE2F78"/>
    <w:rsid w:val="00FE3137"/>
    <w:rsid w:val="00FE346B"/>
    <w:rsid w:val="00FE346F"/>
    <w:rsid w:val="00FE3640"/>
    <w:rsid w:val="00FE48E4"/>
    <w:rsid w:val="00FE634C"/>
    <w:rsid w:val="00FE6E69"/>
    <w:rsid w:val="00FE6F59"/>
    <w:rsid w:val="00FF1136"/>
    <w:rsid w:val="00FF3D76"/>
    <w:rsid w:val="00FF423E"/>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3001DDE"/>
  <w15:docId w15:val="{50AB2D04-831F-48E7-B835-9392FCFF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character" w:customStyle="1" w:styleId="tlid-translation">
    <w:name w:val="tlid-translation"/>
    <w:basedOn w:val="Standardnpsmoodstavce"/>
    <w:rsid w:val="0034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dc6bece553a4e0ca/Dokumenty/Pr&#225;ce/Anal&#253;za/Q/2019/2019Q4/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557159743329959E-2"/>
          <c:y val="2.1711264016309892E-2"/>
          <c:w val="0.93757303275920301"/>
          <c:h val="0.73130361364404473"/>
        </c:manualLayout>
      </c:layout>
      <c:barChart>
        <c:barDir val="col"/>
        <c:grouping val="clustered"/>
        <c:varyColors val="0"/>
        <c:ser>
          <c:idx val="0"/>
          <c:order val="0"/>
          <c:tx>
            <c:strRef>
              <c:f>'[Makroanalýza grafy_eng.xlsx]Měnové podmínky 1'!$C$5</c:f>
              <c:strCache>
                <c:ptCount val="1"/>
                <c:pt idx="0">
                  <c:v>2W repo rate</c:v>
                </c:pt>
              </c:strCache>
            </c:strRef>
          </c:tx>
          <c:spPr>
            <a:solidFill>
              <a:schemeClr val="bg1">
                <a:lumMod val="65000"/>
              </a:schemeClr>
            </a:solidFill>
          </c:spPr>
          <c:invertIfNegative val="0"/>
          <c:cat>
            <c:multiLvlStrRef>
              <c:f>'[Makroanalýza grafy_eng.xlsx]Měnové podmínky 1'!$A$30:$B$101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grafy_eng.xlsx]Měnové podmínky 1'!$C$30:$C$101</c:f>
              <c:numCache>
                <c:formatCode>0.00</c:formatCode>
                <c:ptCount val="72"/>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pt idx="21">
                  <c:v>0.05</c:v>
                </c:pt>
                <c:pt idx="22">
                  <c:v>0.05</c:v>
                </c:pt>
                <c:pt idx="23">
                  <c:v>0.05</c:v>
                </c:pt>
                <c:pt idx="24">
                  <c:v>0.05</c:v>
                </c:pt>
                <c:pt idx="25">
                  <c:v>0.05</c:v>
                </c:pt>
                <c:pt idx="26">
                  <c:v>0.05</c:v>
                </c:pt>
                <c:pt idx="27">
                  <c:v>0.05</c:v>
                </c:pt>
                <c:pt idx="28">
                  <c:v>0.05</c:v>
                </c:pt>
                <c:pt idx="29">
                  <c:v>0.05</c:v>
                </c:pt>
                <c:pt idx="30">
                  <c:v>0.05</c:v>
                </c:pt>
                <c:pt idx="31">
                  <c:v>0.05</c:v>
                </c:pt>
                <c:pt idx="32">
                  <c:v>0.05</c:v>
                </c:pt>
                <c:pt idx="33">
                  <c:v>0.05</c:v>
                </c:pt>
                <c:pt idx="34">
                  <c:v>0.05</c:v>
                </c:pt>
                <c:pt idx="35">
                  <c:v>0.05</c:v>
                </c:pt>
                <c:pt idx="36" formatCode="General">
                  <c:v>0.05</c:v>
                </c:pt>
                <c:pt idx="37" formatCode="General">
                  <c:v>0.05</c:v>
                </c:pt>
                <c:pt idx="38" formatCode="General">
                  <c:v>0.05</c:v>
                </c:pt>
                <c:pt idx="39" formatCode="General">
                  <c:v>0.05</c:v>
                </c:pt>
                <c:pt idx="40" formatCode="General">
                  <c:v>0.05</c:v>
                </c:pt>
                <c:pt idx="41" formatCode="General">
                  <c:v>0.05</c:v>
                </c:pt>
                <c:pt idx="42" formatCode="General">
                  <c:v>0.05</c:v>
                </c:pt>
                <c:pt idx="43" formatCode="General">
                  <c:v>0.25</c:v>
                </c:pt>
                <c:pt idx="44" formatCode="General">
                  <c:v>0.25</c:v>
                </c:pt>
                <c:pt idx="45" formatCode="General">
                  <c:v>0.25</c:v>
                </c:pt>
                <c:pt idx="46" formatCode="General">
                  <c:v>0.5</c:v>
                </c:pt>
                <c:pt idx="47" formatCode="General">
                  <c:v>0.5</c:v>
                </c:pt>
                <c:pt idx="48" formatCode="General">
                  <c:v>0.5</c:v>
                </c:pt>
                <c:pt idx="49" formatCode="General">
                  <c:v>0.75</c:v>
                </c:pt>
                <c:pt idx="50" formatCode="General">
                  <c:v>0.75</c:v>
                </c:pt>
                <c:pt idx="51" formatCode="General">
                  <c:v>0.75</c:v>
                </c:pt>
                <c:pt idx="52" formatCode="General">
                  <c:v>0.75</c:v>
                </c:pt>
                <c:pt idx="53" formatCode="General">
                  <c:v>1</c:v>
                </c:pt>
                <c:pt idx="54" formatCode="General">
                  <c:v>1</c:v>
                </c:pt>
                <c:pt idx="55" formatCode="General">
                  <c:v>1.25</c:v>
                </c:pt>
                <c:pt idx="56" formatCode="General">
                  <c:v>1.5</c:v>
                </c:pt>
                <c:pt idx="57" formatCode="General">
                  <c:v>1.5</c:v>
                </c:pt>
                <c:pt idx="58" formatCode="General">
                  <c:v>1.75</c:v>
                </c:pt>
                <c:pt idx="59" formatCode="General">
                  <c:v>1.75</c:v>
                </c:pt>
                <c:pt idx="60" formatCode="General">
                  <c:v>1.75</c:v>
                </c:pt>
                <c:pt idx="61" formatCode="General">
                  <c:v>1.75</c:v>
                </c:pt>
                <c:pt idx="62" formatCode="General">
                  <c:v>1.75</c:v>
                </c:pt>
                <c:pt idx="63" formatCode="General">
                  <c:v>1.75</c:v>
                </c:pt>
                <c:pt idx="64" formatCode="General">
                  <c:v>2</c:v>
                </c:pt>
                <c:pt idx="65" formatCode="General">
                  <c:v>2</c:v>
                </c:pt>
                <c:pt idx="66" formatCode="General">
                  <c:v>2</c:v>
                </c:pt>
                <c:pt idx="67" formatCode="General">
                  <c:v>2</c:v>
                </c:pt>
                <c:pt idx="68" formatCode="General">
                  <c:v>2</c:v>
                </c:pt>
                <c:pt idx="69" formatCode="General">
                  <c:v>2</c:v>
                </c:pt>
                <c:pt idx="70" formatCode="General">
                  <c:v>2</c:v>
                </c:pt>
                <c:pt idx="71" formatCode="General">
                  <c:v>2</c:v>
                </c:pt>
              </c:numCache>
            </c:numRef>
          </c:val>
          <c:extLst>
            <c:ext xmlns:c16="http://schemas.microsoft.com/office/drawing/2014/chart" uri="{C3380CC4-5D6E-409C-BE32-E72D297353CC}">
              <c16:uniqueId val="{00000000-F44D-4F94-AAFB-082D34675BAD}"/>
            </c:ext>
          </c:extLst>
        </c:ser>
        <c:dLbls>
          <c:showLegendKey val="0"/>
          <c:showVal val="0"/>
          <c:showCatName val="0"/>
          <c:showSerName val="0"/>
          <c:showPercent val="0"/>
          <c:showBubbleSize val="0"/>
        </c:dLbls>
        <c:gapWidth val="31"/>
        <c:axId val="131001344"/>
        <c:axId val="131027712"/>
      </c:barChart>
      <c:lineChart>
        <c:grouping val="standard"/>
        <c:varyColors val="0"/>
        <c:ser>
          <c:idx val="3"/>
          <c:order val="1"/>
          <c:tx>
            <c:strRef>
              <c:f>'[Makroanalýza grafy_eng.xlsx]Měnové podmínky 1'!$F$5</c:f>
              <c:strCache>
                <c:ptCount val="1"/>
                <c:pt idx="0">
                  <c:v>Average yield of government bonds (2Y)</c:v>
                </c:pt>
              </c:strCache>
            </c:strRef>
          </c:tx>
          <c:spPr>
            <a:ln w="19050">
              <a:solidFill>
                <a:srgbClr val="7DBB2D"/>
              </a:solidFill>
            </a:ln>
          </c:spPr>
          <c:marker>
            <c:symbol val="none"/>
          </c:marker>
          <c:cat>
            <c:multiLvlStrRef>
              <c:f>'[Makroanalýza grafy_eng.xlsx]Měnové podmínky 1'!$A$30:$B$101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grafy_eng.xlsx]Měnové podmínky 1'!$F$30:$F$101</c:f>
              <c:numCache>
                <c:formatCode>0.00</c:formatCode>
                <c:ptCount val="72"/>
                <c:pt idx="0">
                  <c:v>0.23</c:v>
                </c:pt>
                <c:pt idx="1">
                  <c:v>0.28000000000000003</c:v>
                </c:pt>
                <c:pt idx="2">
                  <c:v>0.26</c:v>
                </c:pt>
                <c:pt idx="3">
                  <c:v>0.23</c:v>
                </c:pt>
                <c:pt idx="4">
                  <c:v>0.21</c:v>
                </c:pt>
                <c:pt idx="5">
                  <c:v>0.24</c:v>
                </c:pt>
                <c:pt idx="6">
                  <c:v>0.23</c:v>
                </c:pt>
                <c:pt idx="7">
                  <c:v>0.18</c:v>
                </c:pt>
                <c:pt idx="8">
                  <c:v>0.14000000000000001</c:v>
                </c:pt>
                <c:pt idx="9">
                  <c:v>0.1</c:v>
                </c:pt>
                <c:pt idx="10">
                  <c:v>0.12</c:v>
                </c:pt>
                <c:pt idx="11">
                  <c:v>0.13</c:v>
                </c:pt>
                <c:pt idx="12">
                  <c:v>0.09</c:v>
                </c:pt>
                <c:pt idx="13">
                  <c:v>0.06</c:v>
                </c:pt>
                <c:pt idx="14">
                  <c:v>0.04</c:v>
                </c:pt>
                <c:pt idx="15">
                  <c:v>-0.03</c:v>
                </c:pt>
                <c:pt idx="16">
                  <c:v>0.04</c:v>
                </c:pt>
                <c:pt idx="17">
                  <c:v>0.11</c:v>
                </c:pt>
                <c:pt idx="18">
                  <c:v>0.02</c:v>
                </c:pt>
                <c:pt idx="19">
                  <c:v>-7.0000000000000007E-2</c:v>
                </c:pt>
                <c:pt idx="20">
                  <c:v>-0.3</c:v>
                </c:pt>
                <c:pt idx="21">
                  <c:v>-0.28000000000000003</c:v>
                </c:pt>
                <c:pt idx="22">
                  <c:v>-0.33</c:v>
                </c:pt>
                <c:pt idx="23">
                  <c:v>-0.38</c:v>
                </c:pt>
                <c:pt idx="24" formatCode="General">
                  <c:v>-0.21</c:v>
                </c:pt>
                <c:pt idx="25" formatCode="General">
                  <c:v>-0.18</c:v>
                </c:pt>
                <c:pt idx="26" formatCode="General">
                  <c:v>-0.17</c:v>
                </c:pt>
                <c:pt idx="27" formatCode="General">
                  <c:v>-0.08</c:v>
                </c:pt>
                <c:pt idx="28" formatCode="General">
                  <c:v>-0.04</c:v>
                </c:pt>
                <c:pt idx="29" formatCode="General">
                  <c:v>-0.05</c:v>
                </c:pt>
                <c:pt idx="30" formatCode="General">
                  <c:v>-0.13</c:v>
                </c:pt>
                <c:pt idx="31" formatCode="General">
                  <c:v>-0.22</c:v>
                </c:pt>
                <c:pt idx="32" formatCode="General">
                  <c:v>-0.5</c:v>
                </c:pt>
                <c:pt idx="33" formatCode="General">
                  <c:v>-0.74</c:v>
                </c:pt>
                <c:pt idx="34" formatCode="General">
                  <c:v>-0.73</c:v>
                </c:pt>
                <c:pt idx="35" formatCode="General">
                  <c:v>-0.81</c:v>
                </c:pt>
                <c:pt idx="36" formatCode="General">
                  <c:v>-0.88</c:v>
                </c:pt>
                <c:pt idx="37" formatCode="General">
                  <c:v>-0.53</c:v>
                </c:pt>
                <c:pt idx="38" formatCode="General">
                  <c:v>-0.44</c:v>
                </c:pt>
                <c:pt idx="39" formatCode="General">
                  <c:v>-0.23</c:v>
                </c:pt>
                <c:pt idx="40" formatCode="General">
                  <c:v>-0.24</c:v>
                </c:pt>
                <c:pt idx="41" formatCode="General">
                  <c:v>-0.25</c:v>
                </c:pt>
                <c:pt idx="42" formatCode="General">
                  <c:v>-0.28999999999999998</c:v>
                </c:pt>
                <c:pt idx="43" formatCode="General">
                  <c:v>-0.33</c:v>
                </c:pt>
                <c:pt idx="44" formatCode="General">
                  <c:v>-0.28999999999999998</c:v>
                </c:pt>
                <c:pt idx="45" formatCode="General">
                  <c:v>0.12</c:v>
                </c:pt>
                <c:pt idx="46" formatCode="General">
                  <c:v>0.31</c:v>
                </c:pt>
                <c:pt idx="47" formatCode="General">
                  <c:v>0.19</c:v>
                </c:pt>
                <c:pt idx="48" formatCode="General">
                  <c:v>0.46</c:v>
                </c:pt>
                <c:pt idx="49" formatCode="General">
                  <c:v>0.55000000000000004</c:v>
                </c:pt>
                <c:pt idx="50" formatCode="General">
                  <c:v>0.62</c:v>
                </c:pt>
                <c:pt idx="51" formatCode="General">
                  <c:v>0.6</c:v>
                </c:pt>
                <c:pt idx="52" formatCode="General">
                  <c:v>0.7</c:v>
                </c:pt>
                <c:pt idx="53" formatCode="General">
                  <c:v>0.89</c:v>
                </c:pt>
                <c:pt idx="54" formatCode="General">
                  <c:v>1.0900000000000001</c:v>
                </c:pt>
                <c:pt idx="55" formatCode="General">
                  <c:v>1.26</c:v>
                </c:pt>
                <c:pt idx="56" formatCode="General">
                  <c:v>1.34</c:v>
                </c:pt>
                <c:pt idx="57" formatCode="General">
                  <c:v>1.44</c:v>
                </c:pt>
                <c:pt idx="58" formatCode="General">
                  <c:v>1.49</c:v>
                </c:pt>
                <c:pt idx="59" formatCode="General">
                  <c:v>1.52</c:v>
                </c:pt>
                <c:pt idx="60" formatCode="General">
                  <c:v>1.66</c:v>
                </c:pt>
                <c:pt idx="61" formatCode="General">
                  <c:v>1.74</c:v>
                </c:pt>
                <c:pt idx="62" formatCode="General">
                  <c:v>1.71</c:v>
                </c:pt>
                <c:pt idx="63" formatCode="General">
                  <c:v>1.63</c:v>
                </c:pt>
                <c:pt idx="64" formatCode="General">
                  <c:v>1.62</c:v>
                </c:pt>
                <c:pt idx="65" formatCode="General">
                  <c:v>1.52</c:v>
                </c:pt>
                <c:pt idx="66" formatCode="General">
                  <c:v>1.35</c:v>
                </c:pt>
                <c:pt idx="67" formatCode="General">
                  <c:v>0.85</c:v>
                </c:pt>
                <c:pt idx="68" formatCode="General">
                  <c:v>1.07</c:v>
                </c:pt>
                <c:pt idx="69" formatCode="General">
                  <c:v>1.17</c:v>
                </c:pt>
                <c:pt idx="70" formatCode="General">
                  <c:v>1.33</c:v>
                </c:pt>
                <c:pt idx="71" formatCode="General">
                  <c:v>1.36</c:v>
                </c:pt>
              </c:numCache>
            </c:numRef>
          </c:val>
          <c:smooth val="0"/>
          <c:extLst>
            <c:ext xmlns:c16="http://schemas.microsoft.com/office/drawing/2014/chart" uri="{C3380CC4-5D6E-409C-BE32-E72D297353CC}">
              <c16:uniqueId val="{00000001-F44D-4F94-AAFB-082D34675BAD}"/>
            </c:ext>
          </c:extLst>
        </c:ser>
        <c:ser>
          <c:idx val="1"/>
          <c:order val="2"/>
          <c:tx>
            <c:strRef>
              <c:f>'[Makroanalýza grafy_eng.xlsx]Měnové podmínky 1'!$D$5</c:f>
              <c:strCache>
                <c:ptCount val="1"/>
                <c:pt idx="0">
                  <c:v>PRIBOR (3M)</c:v>
                </c:pt>
              </c:strCache>
            </c:strRef>
          </c:tx>
          <c:spPr>
            <a:ln w="19050">
              <a:solidFill>
                <a:srgbClr val="0071BC"/>
              </a:solidFill>
            </a:ln>
          </c:spPr>
          <c:marker>
            <c:symbol val="none"/>
          </c:marker>
          <c:cat>
            <c:multiLvlStrRef>
              <c:f>'[Makroanalýza grafy_eng.xlsx]Měnové podmínky 1'!$A$30:$B$101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grafy_eng.xlsx]Měnové podmínky 1'!$D$30:$D$101</c:f>
              <c:numCache>
                <c:formatCode>0.00</c:formatCode>
                <c:ptCount val="72"/>
                <c:pt idx="0">
                  <c:v>0.37</c:v>
                </c:pt>
                <c:pt idx="1">
                  <c:v>0.37</c:v>
                </c:pt>
                <c:pt idx="2">
                  <c:v>0.37</c:v>
                </c:pt>
                <c:pt idx="3">
                  <c:v>0.37</c:v>
                </c:pt>
                <c:pt idx="4">
                  <c:v>0.37</c:v>
                </c:pt>
                <c:pt idx="5">
                  <c:v>0.35</c:v>
                </c:pt>
                <c:pt idx="6">
                  <c:v>0.35</c:v>
                </c:pt>
                <c:pt idx="7">
                  <c:v>0.35</c:v>
                </c:pt>
                <c:pt idx="8">
                  <c:v>0.35</c:v>
                </c:pt>
                <c:pt idx="9">
                  <c:v>0.35</c:v>
                </c:pt>
                <c:pt idx="10">
                  <c:v>0.34</c:v>
                </c:pt>
                <c:pt idx="11">
                  <c:v>0.34</c:v>
                </c:pt>
                <c:pt idx="12">
                  <c:v>0.33</c:v>
                </c:pt>
                <c:pt idx="13">
                  <c:v>0.33</c:v>
                </c:pt>
                <c:pt idx="14">
                  <c:v>0.32</c:v>
                </c:pt>
                <c:pt idx="15">
                  <c:v>0.31</c:v>
                </c:pt>
                <c:pt idx="16">
                  <c:v>0.31</c:v>
                </c:pt>
                <c:pt idx="17">
                  <c:v>0.31</c:v>
                </c:pt>
                <c:pt idx="18">
                  <c:v>0.31</c:v>
                </c:pt>
                <c:pt idx="19">
                  <c:v>0.31</c:v>
                </c:pt>
                <c:pt idx="20">
                  <c:v>0.3</c:v>
                </c:pt>
                <c:pt idx="21">
                  <c:v>0.28999999999999998</c:v>
                </c:pt>
                <c:pt idx="22">
                  <c:v>0.28999999999999998</c:v>
                </c:pt>
                <c:pt idx="23">
                  <c:v>0.28999999999999998</c:v>
                </c:pt>
                <c:pt idx="24">
                  <c:v>0.28999999999999998</c:v>
                </c:pt>
                <c:pt idx="25">
                  <c:v>0.28000000000000003</c:v>
                </c:pt>
                <c:pt idx="26">
                  <c:v>0.28999999999999998</c:v>
                </c:pt>
                <c:pt idx="27">
                  <c:v>0.28999999999999998</c:v>
                </c:pt>
                <c:pt idx="28">
                  <c:v>0.28999999999999998</c:v>
                </c:pt>
                <c:pt idx="29">
                  <c:v>0.28999999999999998</c:v>
                </c:pt>
                <c:pt idx="30">
                  <c:v>0.28999999999999998</c:v>
                </c:pt>
                <c:pt idx="31">
                  <c:v>0.28999999999999998</c:v>
                </c:pt>
                <c:pt idx="32">
                  <c:v>0.28999999999999998</c:v>
                </c:pt>
                <c:pt idx="33">
                  <c:v>0.28999999999999998</c:v>
                </c:pt>
                <c:pt idx="34">
                  <c:v>0.28999999999999998</c:v>
                </c:pt>
                <c:pt idx="35">
                  <c:v>0.28999999999999998</c:v>
                </c:pt>
                <c:pt idx="36" formatCode="General">
                  <c:v>0.28000000000000003</c:v>
                </c:pt>
                <c:pt idx="37" formatCode="General">
                  <c:v>0.28000000000000003</c:v>
                </c:pt>
                <c:pt idx="38" formatCode="General">
                  <c:v>0.28000000000000003</c:v>
                </c:pt>
                <c:pt idx="39" formatCode="General">
                  <c:v>0.28999999999999998</c:v>
                </c:pt>
                <c:pt idx="40" formatCode="General">
                  <c:v>0.3</c:v>
                </c:pt>
                <c:pt idx="41" formatCode="General">
                  <c:v>0.3</c:v>
                </c:pt>
                <c:pt idx="42" formatCode="General">
                  <c:v>0.3</c:v>
                </c:pt>
                <c:pt idx="43" formatCode="General">
                  <c:v>0.43</c:v>
                </c:pt>
                <c:pt idx="44" formatCode="General">
                  <c:v>0.46</c:v>
                </c:pt>
                <c:pt idx="45" formatCode="General">
                  <c:v>0.51</c:v>
                </c:pt>
                <c:pt idx="46" formatCode="General">
                  <c:v>0.71</c:v>
                </c:pt>
                <c:pt idx="47" formatCode="General">
                  <c:v>0.75</c:v>
                </c:pt>
                <c:pt idx="48" formatCode="General">
                  <c:v>0.77</c:v>
                </c:pt>
                <c:pt idx="49" formatCode="General">
                  <c:v>0.9</c:v>
                </c:pt>
                <c:pt idx="50" formatCode="General">
                  <c:v>0.9</c:v>
                </c:pt>
                <c:pt idx="51" formatCode="General">
                  <c:v>0.9</c:v>
                </c:pt>
                <c:pt idx="52" formatCode="General">
                  <c:v>0.9</c:v>
                </c:pt>
                <c:pt idx="53" formatCode="General">
                  <c:v>0.93</c:v>
                </c:pt>
                <c:pt idx="54" formatCode="General">
                  <c:v>1.18</c:v>
                </c:pt>
                <c:pt idx="55" formatCode="General">
                  <c:v>1.45</c:v>
                </c:pt>
                <c:pt idx="56" formatCode="General">
                  <c:v>1.54</c:v>
                </c:pt>
                <c:pt idx="57" formatCode="General">
                  <c:v>1.76</c:v>
                </c:pt>
                <c:pt idx="58" formatCode="General">
                  <c:v>1.99</c:v>
                </c:pt>
                <c:pt idx="59" formatCode="General">
                  <c:v>2.0099999999999998</c:v>
                </c:pt>
                <c:pt idx="60" formatCode="General">
                  <c:v>2.0099999999999998</c:v>
                </c:pt>
                <c:pt idx="61" formatCode="General">
                  <c:v>2.0099999999999998</c:v>
                </c:pt>
                <c:pt idx="62" formatCode="General">
                  <c:v>2.0299999999999998</c:v>
                </c:pt>
                <c:pt idx="63" formatCode="General">
                  <c:v>2.02</c:v>
                </c:pt>
                <c:pt idx="64" formatCode="General">
                  <c:v>2.19</c:v>
                </c:pt>
                <c:pt idx="65" formatCode="General">
                  <c:v>2.17</c:v>
                </c:pt>
                <c:pt idx="66" formatCode="General">
                  <c:v>2.16</c:v>
                </c:pt>
                <c:pt idx="67" formatCode="General">
                  <c:v>2.14</c:v>
                </c:pt>
                <c:pt idx="68" formatCode="General">
                  <c:v>2.14</c:v>
                </c:pt>
                <c:pt idx="69" formatCode="General">
                  <c:v>2.17</c:v>
                </c:pt>
                <c:pt idx="70" formatCode="General">
                  <c:v>2.1800000000000002</c:v>
                </c:pt>
                <c:pt idx="71" formatCode="General">
                  <c:v>2.1800000000000002</c:v>
                </c:pt>
              </c:numCache>
            </c:numRef>
          </c:val>
          <c:smooth val="0"/>
          <c:extLst>
            <c:ext xmlns:c16="http://schemas.microsoft.com/office/drawing/2014/chart" uri="{C3380CC4-5D6E-409C-BE32-E72D297353CC}">
              <c16:uniqueId val="{00000002-F44D-4F94-AAFB-082D34675BAD}"/>
            </c:ext>
          </c:extLst>
        </c:ser>
        <c:ser>
          <c:idx val="4"/>
          <c:order val="3"/>
          <c:tx>
            <c:strRef>
              <c:f>'[Makroanalýza grafy_eng.xlsx]Měnové podmínky 1'!$G$5</c:f>
              <c:strCache>
                <c:ptCount val="1"/>
                <c:pt idx="0">
                  <c:v>Average yield of government bonds (5Y)</c:v>
                </c:pt>
              </c:strCache>
            </c:strRef>
          </c:tx>
          <c:spPr>
            <a:ln w="19050">
              <a:solidFill>
                <a:srgbClr val="F8A124"/>
              </a:solidFill>
            </a:ln>
          </c:spPr>
          <c:marker>
            <c:symbol val="none"/>
          </c:marker>
          <c:cat>
            <c:multiLvlStrRef>
              <c:f>'[Makroanalýza grafy_eng.xlsx]Měnové podmínky 1'!$A$30:$B$101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grafy_eng.xlsx]Měnové podmínky 1'!$G$30:$G$101</c:f>
              <c:numCache>
                <c:formatCode>0.00</c:formatCode>
                <c:ptCount val="72"/>
                <c:pt idx="0">
                  <c:v>1.0900000000000001</c:v>
                </c:pt>
                <c:pt idx="1">
                  <c:v>1.2</c:v>
                </c:pt>
                <c:pt idx="2">
                  <c:v>1.1399999999999999</c:v>
                </c:pt>
                <c:pt idx="3">
                  <c:v>0.99</c:v>
                </c:pt>
                <c:pt idx="4">
                  <c:v>0.8</c:v>
                </c:pt>
                <c:pt idx="5">
                  <c:v>0.68</c:v>
                </c:pt>
                <c:pt idx="6">
                  <c:v>0.65</c:v>
                </c:pt>
                <c:pt idx="7">
                  <c:v>0.62</c:v>
                </c:pt>
                <c:pt idx="8">
                  <c:v>0.51</c:v>
                </c:pt>
                <c:pt idx="9">
                  <c:v>0.37</c:v>
                </c:pt>
                <c:pt idx="10">
                  <c:v>0.24</c:v>
                </c:pt>
                <c:pt idx="11">
                  <c:v>0.22</c:v>
                </c:pt>
                <c:pt idx="12">
                  <c:v>0.13</c:v>
                </c:pt>
                <c:pt idx="13">
                  <c:v>0.17</c:v>
                </c:pt>
                <c:pt idx="14">
                  <c:v>0.14000000000000001</c:v>
                </c:pt>
                <c:pt idx="15">
                  <c:v>0.05</c:v>
                </c:pt>
                <c:pt idx="16">
                  <c:v>0.22</c:v>
                </c:pt>
                <c:pt idx="17">
                  <c:v>0.43</c:v>
                </c:pt>
                <c:pt idx="18">
                  <c:v>0.35</c:v>
                </c:pt>
                <c:pt idx="19">
                  <c:v>0.2</c:v>
                </c:pt>
                <c:pt idx="20">
                  <c:v>0.06</c:v>
                </c:pt>
                <c:pt idx="21">
                  <c:v>-0.05</c:v>
                </c:pt>
                <c:pt idx="22">
                  <c:v>-0.05</c:v>
                </c:pt>
                <c:pt idx="23">
                  <c:v>-0.11</c:v>
                </c:pt>
                <c:pt idx="24" formatCode="General">
                  <c:v>0.04</c:v>
                </c:pt>
                <c:pt idx="25" formatCode="General">
                  <c:v>-0.08</c:v>
                </c:pt>
                <c:pt idx="26" formatCode="General">
                  <c:v>-0.1</c:v>
                </c:pt>
                <c:pt idx="27" formatCode="General">
                  <c:v>0.04</c:v>
                </c:pt>
                <c:pt idx="28" formatCode="General">
                  <c:v>7.0000000000000007E-2</c:v>
                </c:pt>
                <c:pt idx="29" formatCode="General">
                  <c:v>0.05</c:v>
                </c:pt>
                <c:pt idx="30" formatCode="General">
                  <c:v>-0.02</c:v>
                </c:pt>
                <c:pt idx="31" formatCode="General">
                  <c:v>-0.09</c:v>
                </c:pt>
                <c:pt idx="32" formatCode="General">
                  <c:v>-0.19</c:v>
                </c:pt>
                <c:pt idx="33" formatCode="General">
                  <c:v>-0.17</c:v>
                </c:pt>
                <c:pt idx="34" formatCode="General">
                  <c:v>-0.17</c:v>
                </c:pt>
                <c:pt idx="35" formatCode="General">
                  <c:v>-0.21</c:v>
                </c:pt>
                <c:pt idx="36" formatCode="General">
                  <c:v>-0.22</c:v>
                </c:pt>
                <c:pt idx="37" formatCode="General">
                  <c:v>0.09</c:v>
                </c:pt>
                <c:pt idx="38" formatCode="General">
                  <c:v>0.1</c:v>
                </c:pt>
                <c:pt idx="39" formatCode="General">
                  <c:v>0.16</c:v>
                </c:pt>
                <c:pt idx="40" formatCode="General">
                  <c:v>0.04</c:v>
                </c:pt>
                <c:pt idx="41" formatCode="General">
                  <c:v>-0.03</c:v>
                </c:pt>
                <c:pt idx="42" formatCode="General">
                  <c:v>0.14000000000000001</c:v>
                </c:pt>
                <c:pt idx="43" formatCode="General">
                  <c:v>0.09</c:v>
                </c:pt>
                <c:pt idx="44" formatCode="General">
                  <c:v>0.1</c:v>
                </c:pt>
                <c:pt idx="45" formatCode="General">
                  <c:v>0.63</c:v>
                </c:pt>
                <c:pt idx="46" formatCode="General">
                  <c:v>0.87</c:v>
                </c:pt>
                <c:pt idx="47" formatCode="General">
                  <c:v>0.68</c:v>
                </c:pt>
                <c:pt idx="48" formatCode="General">
                  <c:v>0.99</c:v>
                </c:pt>
                <c:pt idx="49" formatCode="General">
                  <c:v>1.07</c:v>
                </c:pt>
                <c:pt idx="50" formatCode="General">
                  <c:v>1.0900000000000001</c:v>
                </c:pt>
                <c:pt idx="51" formatCode="General">
                  <c:v>1.05</c:v>
                </c:pt>
                <c:pt idx="52" formatCode="General">
                  <c:v>1.21</c:v>
                </c:pt>
                <c:pt idx="53" formatCode="General">
                  <c:v>1.41</c:v>
                </c:pt>
                <c:pt idx="54" formatCode="General">
                  <c:v>1.44</c:v>
                </c:pt>
                <c:pt idx="55" formatCode="General">
                  <c:v>1.55</c:v>
                </c:pt>
                <c:pt idx="56" formatCode="General">
                  <c:v>1.7</c:v>
                </c:pt>
                <c:pt idx="57" formatCode="General">
                  <c:v>1.81</c:v>
                </c:pt>
                <c:pt idx="58" formatCode="General">
                  <c:v>1.79</c:v>
                </c:pt>
                <c:pt idx="59" formatCode="General">
                  <c:v>1.71</c:v>
                </c:pt>
                <c:pt idx="60" formatCode="General">
                  <c:v>1.6</c:v>
                </c:pt>
                <c:pt idx="61" formatCode="General">
                  <c:v>1.61</c:v>
                </c:pt>
                <c:pt idx="62" formatCode="General">
                  <c:v>1.7</c:v>
                </c:pt>
                <c:pt idx="63" formatCode="General">
                  <c:v>1.63</c:v>
                </c:pt>
                <c:pt idx="64" formatCode="General">
                  <c:v>1.57</c:v>
                </c:pt>
                <c:pt idx="65" formatCode="General">
                  <c:v>1.43</c:v>
                </c:pt>
                <c:pt idx="66" formatCode="General">
                  <c:v>1.31</c:v>
                </c:pt>
                <c:pt idx="67" formatCode="General">
                  <c:v>0.89</c:v>
                </c:pt>
                <c:pt idx="68" formatCode="General">
                  <c:v>1.1299999999999999</c:v>
                </c:pt>
                <c:pt idx="69" formatCode="General">
                  <c:v>1.23</c:v>
                </c:pt>
                <c:pt idx="70" formatCode="General">
                  <c:v>1.32</c:v>
                </c:pt>
                <c:pt idx="71" formatCode="General">
                  <c:v>1.31</c:v>
                </c:pt>
              </c:numCache>
            </c:numRef>
          </c:val>
          <c:smooth val="0"/>
          <c:extLst>
            <c:ext xmlns:c16="http://schemas.microsoft.com/office/drawing/2014/chart" uri="{C3380CC4-5D6E-409C-BE32-E72D297353CC}">
              <c16:uniqueId val="{00000003-F44D-4F94-AAFB-082D34675BAD}"/>
            </c:ext>
          </c:extLst>
        </c:ser>
        <c:ser>
          <c:idx val="2"/>
          <c:order val="4"/>
          <c:tx>
            <c:strRef>
              <c:f>'[Makroanalýza grafy_eng.xlsx]Měnové podmínky 1'!$E$5</c:f>
              <c:strCache>
                <c:ptCount val="1"/>
                <c:pt idx="0">
                  <c:v>PRIBOR (1Y)</c:v>
                </c:pt>
              </c:strCache>
            </c:strRef>
          </c:tx>
          <c:spPr>
            <a:ln w="19050">
              <a:solidFill>
                <a:srgbClr val="BD1B21"/>
              </a:solidFill>
            </a:ln>
          </c:spPr>
          <c:marker>
            <c:symbol val="none"/>
          </c:marker>
          <c:cat>
            <c:multiLvlStrRef>
              <c:f>'[Makroanalýza grafy_eng.xlsx]Měnové podmínky 1'!$A$30:$B$101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grafy_eng.xlsx]Měnové podmínky 1'!$E$30:$E$101</c:f>
              <c:numCache>
                <c:formatCode>0.00</c:formatCode>
                <c:ptCount val="72"/>
                <c:pt idx="0">
                  <c:v>0.57999999999999996</c:v>
                </c:pt>
                <c:pt idx="1">
                  <c:v>0.55000000000000004</c:v>
                </c:pt>
                <c:pt idx="2">
                  <c:v>0.55000000000000004</c:v>
                </c:pt>
                <c:pt idx="3">
                  <c:v>0.55000000000000004</c:v>
                </c:pt>
                <c:pt idx="4">
                  <c:v>0.54</c:v>
                </c:pt>
                <c:pt idx="5">
                  <c:v>0.53</c:v>
                </c:pt>
                <c:pt idx="6">
                  <c:v>0.52</c:v>
                </c:pt>
                <c:pt idx="7">
                  <c:v>0.52</c:v>
                </c:pt>
                <c:pt idx="8">
                  <c:v>0.52</c:v>
                </c:pt>
                <c:pt idx="9">
                  <c:v>0.52</c:v>
                </c:pt>
                <c:pt idx="10">
                  <c:v>0.51</c:v>
                </c:pt>
                <c:pt idx="11">
                  <c:v>0.51</c:v>
                </c:pt>
                <c:pt idx="12">
                  <c:v>0.51</c:v>
                </c:pt>
                <c:pt idx="13">
                  <c:v>0.51</c:v>
                </c:pt>
                <c:pt idx="14">
                  <c:v>0.49</c:v>
                </c:pt>
                <c:pt idx="15">
                  <c:v>0.48</c:v>
                </c:pt>
                <c:pt idx="16">
                  <c:v>0.48</c:v>
                </c:pt>
                <c:pt idx="17">
                  <c:v>0.48</c:v>
                </c:pt>
                <c:pt idx="18">
                  <c:v>0.48</c:v>
                </c:pt>
                <c:pt idx="19">
                  <c:v>0.48</c:v>
                </c:pt>
                <c:pt idx="20">
                  <c:v>0.47</c:v>
                </c:pt>
                <c:pt idx="21">
                  <c:v>0.46</c:v>
                </c:pt>
                <c:pt idx="22">
                  <c:v>0.46</c:v>
                </c:pt>
                <c:pt idx="23">
                  <c:v>0.46</c:v>
                </c:pt>
                <c:pt idx="24">
                  <c:v>0.45</c:v>
                </c:pt>
                <c:pt idx="25">
                  <c:v>0.45</c:v>
                </c:pt>
                <c:pt idx="26">
                  <c:v>0.45</c:v>
                </c:pt>
                <c:pt idx="27">
                  <c:v>0.45</c:v>
                </c:pt>
                <c:pt idx="28">
                  <c:v>0.45</c:v>
                </c:pt>
                <c:pt idx="29">
                  <c:v>0.45</c:v>
                </c:pt>
                <c:pt idx="30">
                  <c:v>0.45</c:v>
                </c:pt>
                <c:pt idx="31">
                  <c:v>0.45</c:v>
                </c:pt>
                <c:pt idx="32">
                  <c:v>0.45</c:v>
                </c:pt>
                <c:pt idx="33">
                  <c:v>0.45</c:v>
                </c:pt>
                <c:pt idx="34">
                  <c:v>0.45</c:v>
                </c:pt>
                <c:pt idx="35">
                  <c:v>0.45</c:v>
                </c:pt>
                <c:pt idx="36" formatCode="General">
                  <c:v>0.44</c:v>
                </c:pt>
                <c:pt idx="37" formatCode="General">
                  <c:v>0.44</c:v>
                </c:pt>
                <c:pt idx="38" formatCode="General">
                  <c:v>0.44</c:v>
                </c:pt>
                <c:pt idx="39" formatCode="General">
                  <c:v>0.45</c:v>
                </c:pt>
                <c:pt idx="40" formatCode="General">
                  <c:v>0.46</c:v>
                </c:pt>
                <c:pt idx="41" formatCode="General">
                  <c:v>0.46</c:v>
                </c:pt>
                <c:pt idx="42" formatCode="General">
                  <c:v>0.47</c:v>
                </c:pt>
                <c:pt idx="43" formatCode="General">
                  <c:v>0.6</c:v>
                </c:pt>
                <c:pt idx="44" formatCode="General">
                  <c:v>0.64</c:v>
                </c:pt>
                <c:pt idx="45" formatCode="General">
                  <c:v>0.69</c:v>
                </c:pt>
                <c:pt idx="46" formatCode="General">
                  <c:v>0.91</c:v>
                </c:pt>
                <c:pt idx="47" formatCode="General">
                  <c:v>0.96</c:v>
                </c:pt>
                <c:pt idx="48" formatCode="General">
                  <c:v>0.98</c:v>
                </c:pt>
                <c:pt idx="49" formatCode="General">
                  <c:v>1.1100000000000001</c:v>
                </c:pt>
                <c:pt idx="50" formatCode="General">
                  <c:v>1.1200000000000001</c:v>
                </c:pt>
                <c:pt idx="51" formatCode="General">
                  <c:v>1.1200000000000001</c:v>
                </c:pt>
                <c:pt idx="52" formatCode="General">
                  <c:v>1.1200000000000001</c:v>
                </c:pt>
                <c:pt idx="53" formatCode="General">
                  <c:v>1.1499999999999999</c:v>
                </c:pt>
                <c:pt idx="54" formatCode="General">
                  <c:v>1.39</c:v>
                </c:pt>
                <c:pt idx="55" formatCode="General">
                  <c:v>1.67</c:v>
                </c:pt>
                <c:pt idx="56" formatCode="General">
                  <c:v>1.79</c:v>
                </c:pt>
                <c:pt idx="57" formatCode="General">
                  <c:v>1.95</c:v>
                </c:pt>
                <c:pt idx="58" formatCode="General">
                  <c:v>2.1800000000000002</c:v>
                </c:pt>
                <c:pt idx="59" formatCode="General">
                  <c:v>2.21</c:v>
                </c:pt>
                <c:pt idx="60" formatCode="General">
                  <c:v>2.21</c:v>
                </c:pt>
                <c:pt idx="61" formatCode="General">
                  <c:v>2.2000000000000002</c:v>
                </c:pt>
                <c:pt idx="62" formatCode="General">
                  <c:v>2.2000000000000002</c:v>
                </c:pt>
                <c:pt idx="63" formatCode="General">
                  <c:v>2.21</c:v>
                </c:pt>
                <c:pt idx="64" formatCode="General">
                  <c:v>2.3199999999999998</c:v>
                </c:pt>
                <c:pt idx="65" formatCode="General">
                  <c:v>2.29</c:v>
                </c:pt>
                <c:pt idx="66" formatCode="General">
                  <c:v>2.2799999999999998</c:v>
                </c:pt>
                <c:pt idx="67" formatCode="General">
                  <c:v>2.2200000000000002</c:v>
                </c:pt>
                <c:pt idx="68" formatCode="General">
                  <c:v>2.2000000000000002</c:v>
                </c:pt>
                <c:pt idx="69" formatCode="General">
                  <c:v>2.2799999999999998</c:v>
                </c:pt>
                <c:pt idx="70" formatCode="General">
                  <c:v>2.2799999999999998</c:v>
                </c:pt>
                <c:pt idx="71" formatCode="General">
                  <c:v>2.27</c:v>
                </c:pt>
              </c:numCache>
            </c:numRef>
          </c:val>
          <c:smooth val="0"/>
          <c:extLst>
            <c:ext xmlns:c16="http://schemas.microsoft.com/office/drawing/2014/chart" uri="{C3380CC4-5D6E-409C-BE32-E72D297353CC}">
              <c16:uniqueId val="{00000004-F44D-4F94-AAFB-082D34675BAD}"/>
            </c:ext>
          </c:extLst>
        </c:ser>
        <c:ser>
          <c:idx val="5"/>
          <c:order val="5"/>
          <c:tx>
            <c:strRef>
              <c:f>'[Makroanalýza grafy_eng.xlsx]Měnové podmínky 1'!$H$5</c:f>
              <c:strCache>
                <c:ptCount val="1"/>
                <c:pt idx="0">
                  <c:v>Average yield of government bonds (10Y)</c:v>
                </c:pt>
              </c:strCache>
            </c:strRef>
          </c:tx>
          <c:spPr>
            <a:ln w="19050">
              <a:solidFill>
                <a:srgbClr val="48AEE7"/>
              </a:solidFill>
            </a:ln>
          </c:spPr>
          <c:marker>
            <c:symbol val="none"/>
          </c:marker>
          <c:cat>
            <c:multiLvlStrRef>
              <c:f>'[Makroanalýza grafy_eng.xlsx]Měnové podmínky 1'!$A$30:$B$101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2014</c:v>
                  </c:pt>
                  <c:pt idx="12">
                    <c:v>2015</c:v>
                  </c:pt>
                  <c:pt idx="24">
                    <c:v>2016</c:v>
                  </c:pt>
                  <c:pt idx="36">
                    <c:v>2017</c:v>
                  </c:pt>
                  <c:pt idx="48">
                    <c:v>2018</c:v>
                  </c:pt>
                  <c:pt idx="60">
                    <c:v>2019</c:v>
                  </c:pt>
                </c:lvl>
              </c:multiLvlStrCache>
            </c:multiLvlStrRef>
          </c:cat>
          <c:val>
            <c:numRef>
              <c:f>'[Makroanalýza grafy_eng.xlsx]Měnové podmínky 1'!$H$30:$H$101</c:f>
              <c:numCache>
                <c:formatCode>0.00</c:formatCode>
                <c:ptCount val="72"/>
                <c:pt idx="0">
                  <c:v>2.4300000000000002</c:v>
                </c:pt>
                <c:pt idx="1">
                  <c:v>2.2799999999999998</c:v>
                </c:pt>
                <c:pt idx="2">
                  <c:v>2.2000000000000002</c:v>
                </c:pt>
                <c:pt idx="3">
                  <c:v>2</c:v>
                </c:pt>
                <c:pt idx="4">
                  <c:v>1.73</c:v>
                </c:pt>
                <c:pt idx="5">
                  <c:v>1.55</c:v>
                </c:pt>
                <c:pt idx="6">
                  <c:v>1.49</c:v>
                </c:pt>
                <c:pt idx="7">
                  <c:v>1.38</c:v>
                </c:pt>
                <c:pt idx="8">
                  <c:v>1.21</c:v>
                </c:pt>
                <c:pt idx="9">
                  <c:v>1.1000000000000001</c:v>
                </c:pt>
                <c:pt idx="10">
                  <c:v>0.87</c:v>
                </c:pt>
                <c:pt idx="11">
                  <c:v>0.67</c:v>
                </c:pt>
                <c:pt idx="12">
                  <c:v>0.35</c:v>
                </c:pt>
                <c:pt idx="13">
                  <c:v>0.4</c:v>
                </c:pt>
                <c:pt idx="14">
                  <c:v>0.35</c:v>
                </c:pt>
                <c:pt idx="15">
                  <c:v>0.26</c:v>
                </c:pt>
                <c:pt idx="16">
                  <c:v>0.6</c:v>
                </c:pt>
                <c:pt idx="17">
                  <c:v>1.01</c:v>
                </c:pt>
                <c:pt idx="18">
                  <c:v>0.97</c:v>
                </c:pt>
                <c:pt idx="19">
                  <c:v>0.74</c:v>
                </c:pt>
                <c:pt idx="20">
                  <c:v>0.68</c:v>
                </c:pt>
                <c:pt idx="21">
                  <c:v>0.56000000000000005</c:v>
                </c:pt>
                <c:pt idx="22">
                  <c:v>0.49</c:v>
                </c:pt>
                <c:pt idx="23">
                  <c:v>0.49</c:v>
                </c:pt>
                <c:pt idx="24" formatCode="General">
                  <c:v>0.62</c:v>
                </c:pt>
                <c:pt idx="25" formatCode="General">
                  <c:v>0.46</c:v>
                </c:pt>
                <c:pt idx="26" formatCode="General">
                  <c:v>0.35</c:v>
                </c:pt>
                <c:pt idx="27" formatCode="General">
                  <c:v>0.43</c:v>
                </c:pt>
                <c:pt idx="28" formatCode="General">
                  <c:v>0.46</c:v>
                </c:pt>
                <c:pt idx="29" formatCode="General">
                  <c:v>0.45</c:v>
                </c:pt>
                <c:pt idx="30" formatCode="General">
                  <c:v>0.37</c:v>
                </c:pt>
                <c:pt idx="31" formatCode="General">
                  <c:v>0.28999999999999998</c:v>
                </c:pt>
                <c:pt idx="32" formatCode="General">
                  <c:v>0.25</c:v>
                </c:pt>
                <c:pt idx="33" formatCode="General">
                  <c:v>0.37</c:v>
                </c:pt>
                <c:pt idx="34" formatCode="General">
                  <c:v>0.55000000000000004</c:v>
                </c:pt>
                <c:pt idx="35" formatCode="General">
                  <c:v>0.53</c:v>
                </c:pt>
                <c:pt idx="36" formatCode="General">
                  <c:v>0.47</c:v>
                </c:pt>
                <c:pt idx="37" formatCode="General">
                  <c:v>0.63</c:v>
                </c:pt>
                <c:pt idx="38" formatCode="General">
                  <c:v>0.87</c:v>
                </c:pt>
                <c:pt idx="39" formatCode="General">
                  <c:v>0.96</c:v>
                </c:pt>
                <c:pt idx="40" formatCode="General">
                  <c:v>0.74</c:v>
                </c:pt>
                <c:pt idx="41" formatCode="General">
                  <c:v>0.77</c:v>
                </c:pt>
                <c:pt idx="42" formatCode="General">
                  <c:v>0.9</c:v>
                </c:pt>
                <c:pt idx="43" formatCode="General">
                  <c:v>0.83</c:v>
                </c:pt>
                <c:pt idx="44" formatCode="General">
                  <c:v>0.97</c:v>
                </c:pt>
                <c:pt idx="45" formatCode="General">
                  <c:v>1.45</c:v>
                </c:pt>
                <c:pt idx="46" formatCode="General">
                  <c:v>1.68</c:v>
                </c:pt>
                <c:pt idx="47" formatCode="General">
                  <c:v>1.5</c:v>
                </c:pt>
                <c:pt idx="48" formatCode="General">
                  <c:v>1.77</c:v>
                </c:pt>
                <c:pt idx="49" formatCode="General">
                  <c:v>1.82</c:v>
                </c:pt>
                <c:pt idx="50" formatCode="General">
                  <c:v>1.81</c:v>
                </c:pt>
                <c:pt idx="51" formatCode="General">
                  <c:v>1.74</c:v>
                </c:pt>
                <c:pt idx="52" formatCode="General">
                  <c:v>1.89</c:v>
                </c:pt>
                <c:pt idx="53" formatCode="General">
                  <c:v>2.14</c:v>
                </c:pt>
                <c:pt idx="54" formatCode="General">
                  <c:v>2.11</c:v>
                </c:pt>
                <c:pt idx="55" formatCode="General">
                  <c:v>2.14</c:v>
                </c:pt>
                <c:pt idx="56" formatCode="General">
                  <c:v>2.14</c:v>
                </c:pt>
                <c:pt idx="57" formatCode="General">
                  <c:v>2.14</c:v>
                </c:pt>
                <c:pt idx="58" formatCode="General">
                  <c:v>2.0699999999999998</c:v>
                </c:pt>
                <c:pt idx="59" formatCode="General">
                  <c:v>2.0099999999999998</c:v>
                </c:pt>
                <c:pt idx="60" formatCode="General">
                  <c:v>1.85</c:v>
                </c:pt>
                <c:pt idx="61" formatCode="General">
                  <c:v>1.76</c:v>
                </c:pt>
                <c:pt idx="62" formatCode="General">
                  <c:v>1.82</c:v>
                </c:pt>
                <c:pt idx="63" formatCode="General">
                  <c:v>1.82</c:v>
                </c:pt>
                <c:pt idx="64" formatCode="General">
                  <c:v>1.86</c:v>
                </c:pt>
                <c:pt idx="65" formatCode="General">
                  <c:v>1.58</c:v>
                </c:pt>
                <c:pt idx="66" formatCode="General">
                  <c:v>1.36</c:v>
                </c:pt>
                <c:pt idx="67" formatCode="General">
                  <c:v>0.99</c:v>
                </c:pt>
                <c:pt idx="68" formatCode="General">
                  <c:v>1.24</c:v>
                </c:pt>
                <c:pt idx="69" formatCode="General">
                  <c:v>1.32</c:v>
                </c:pt>
                <c:pt idx="70" formatCode="General">
                  <c:v>1.47</c:v>
                </c:pt>
                <c:pt idx="71" formatCode="General">
                  <c:v>1.51</c:v>
                </c:pt>
              </c:numCache>
            </c:numRef>
          </c:val>
          <c:smooth val="0"/>
          <c:extLst>
            <c:ext xmlns:c16="http://schemas.microsoft.com/office/drawing/2014/chart" uri="{C3380CC4-5D6E-409C-BE32-E72D297353CC}">
              <c16:uniqueId val="{00000005-F44D-4F94-AAFB-082D34675BAD}"/>
            </c:ext>
          </c:extLst>
        </c:ser>
        <c:dLbls>
          <c:showLegendKey val="0"/>
          <c:showVal val="0"/>
          <c:showCatName val="0"/>
          <c:showSerName val="0"/>
          <c:showPercent val="0"/>
          <c:showBubbleSize val="0"/>
        </c:dLbls>
        <c:marker val="1"/>
        <c:smooth val="0"/>
        <c:axId val="131001344"/>
        <c:axId val="131027712"/>
      </c:lineChart>
      <c:catAx>
        <c:axId val="131001344"/>
        <c:scaling>
          <c:orientation val="minMax"/>
        </c:scaling>
        <c:delete val="0"/>
        <c:axPos val="b"/>
        <c:numFmt formatCode="General" sourceLinked="0"/>
        <c:majorTickMark val="out"/>
        <c:minorTickMark val="none"/>
        <c:tickLblPos val="low"/>
        <c:spPr>
          <a:ln>
            <a:solidFill>
              <a:schemeClr val="tx1"/>
            </a:solidFill>
          </a:ln>
        </c:spPr>
        <c:crossAx val="131027712"/>
        <c:crosses val="autoZero"/>
        <c:auto val="1"/>
        <c:lblAlgn val="ctr"/>
        <c:lblOffset val="100"/>
        <c:noMultiLvlLbl val="0"/>
      </c:catAx>
      <c:valAx>
        <c:axId val="131027712"/>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1001344"/>
        <c:crosses val="autoZero"/>
        <c:crossBetween val="between"/>
        <c:majorUnit val="1"/>
      </c:valAx>
      <c:spPr>
        <a:ln>
          <a:solidFill>
            <a:schemeClr val="tx1"/>
          </a:solidFill>
        </a:ln>
      </c:spPr>
    </c:plotArea>
    <c:legend>
      <c:legendPos val="b"/>
      <c:layout>
        <c:manualLayout>
          <c:xMode val="edge"/>
          <c:yMode val="edge"/>
          <c:x val="4.2139690982776527E-2"/>
          <c:y val="0.87558269120103249"/>
          <c:w val="0.93886651469098281"/>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2C79-ED76-41C9-9B5E-EB4D123783FD}">
  <ds:schemaRefs>
    <ds:schemaRef ds:uri="http://schemas.openxmlformats.org/officeDocument/2006/bibliography"/>
  </ds:schemaRefs>
</ds:datastoreItem>
</file>

<file path=customXml/itemProps2.xml><?xml version="1.0" encoding="utf-8"?>
<ds:datastoreItem xmlns:ds="http://schemas.openxmlformats.org/officeDocument/2006/customXml" ds:itemID="{579CB600-F91C-48A8-9908-B1C6FF8A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Template>
  <TotalTime>1</TotalTime>
  <Pages>3</Pages>
  <Words>1001</Words>
  <Characters>5908</Characters>
  <Application>Microsoft Office Word</Application>
  <DocSecurity>0</DocSecurity>
  <Lines>49</Lines>
  <Paragraphs>13</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6896</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3</cp:revision>
  <cp:lastPrinted>2019-04-08T10:52:00Z</cp:lastPrinted>
  <dcterms:created xsi:type="dcterms:W3CDTF">2020-05-13T09:04:00Z</dcterms:created>
  <dcterms:modified xsi:type="dcterms:W3CDTF">2020-05-13T09:14:00Z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a92781-1fcb-4da3-a1a2-e534c28a25f3_Enabled">
    <vt:lpwstr>true</vt:lpwstr>
  </property>
  <property fmtid="{D5CDD505-2E9C-101B-9397-08002B2CF9AE}" pid="3" name="MSIP_Label_faa92781-1fcb-4da3-a1a2-e534c28a25f3_SetDate">
    <vt:lpwstr>2020-04-16T17:47:48Z</vt:lpwstr>
  </property>
  <property fmtid="{D5CDD505-2E9C-101B-9397-08002B2CF9AE}" pid="4" name="MSIP_Label_faa92781-1fcb-4da3-a1a2-e534c28a25f3_Method">
    <vt:lpwstr>Standard</vt:lpwstr>
  </property>
  <property fmtid="{D5CDD505-2E9C-101B-9397-08002B2CF9AE}" pid="5" name="MSIP_Label_faa92781-1fcb-4da3-a1a2-e534c28a25f3_Name">
    <vt:lpwstr>in UniCredit Group - no visual markings2</vt:lpwstr>
  </property>
  <property fmtid="{D5CDD505-2E9C-101B-9397-08002B2CF9AE}" pid="6" name="MSIP_Label_faa92781-1fcb-4da3-a1a2-e534c28a25f3_SiteId">
    <vt:lpwstr>2cc49ce9-66a1-41ac-a96b-bdc54247696a</vt:lpwstr>
  </property>
  <property fmtid="{D5CDD505-2E9C-101B-9397-08002B2CF9AE}" pid="7" name="MSIP_Label_faa92781-1fcb-4da3-a1a2-e534c28a25f3_ActionId">
    <vt:lpwstr>435c7101-5f7f-4d13-bd4e-00007d3a6b17</vt:lpwstr>
  </property>
  <property fmtid="{D5CDD505-2E9C-101B-9397-08002B2CF9AE}" pid="8" name="MSIP_Label_faa92781-1fcb-4da3-a1a2-e534c28a25f3_ContentBits">
    <vt:lpwstr>0</vt:lpwstr>
  </property>
</Properties>
</file>