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A35" w:rsidRPr="004A6C74" w:rsidRDefault="005D5A35" w:rsidP="0060487F">
      <w:pPr>
        <w:pStyle w:val="Styl1"/>
        <w:rPr>
          <w:rFonts w:cs="Arial"/>
          <w:b/>
          <w:sz w:val="20"/>
        </w:rPr>
      </w:pPr>
    </w:p>
    <w:p w:rsidR="005D5A35" w:rsidRDefault="00513C6F">
      <w:pPr>
        <w:spacing w:line="240" w:lineRule="auto"/>
        <w:rPr>
          <w:rFonts w:cs="Arial"/>
          <w:lang w:eastAsia="ar-SA"/>
        </w:rPr>
      </w:pPr>
      <w:r w:rsidRPr="00513C6F">
        <w:rPr>
          <w:noProof/>
        </w:rPr>
        <w:pict>
          <v:shapetype id="_x0000_t202" coordsize="21600,21600" o:spt="202" path="m,l,21600r21600,l21600,xe">
            <v:stroke joinstyle="miter"/>
            <v:path gradientshapeok="t" o:connecttype="rect"/>
          </v:shapetype>
          <v:shape id="Textové pole 2" o:spid="_x0000_s1026" type="#_x0000_t202" style="position:absolute;margin-left:134.65pt;margin-top:759.8pt;width:403.95pt;height:14.15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" filled="f" stroked="f">
            <v:textbox inset="0,0,0,0">
              <w:txbxContent>
                <w:p w:rsidR="00333234" w:rsidRPr="005251DD" w:rsidRDefault="00333234" w:rsidP="004F191F">
                  <w:r w:rsidRPr="005251DD">
                    <w:t xml:space="preserve">Český statistický úřad, </w:t>
                  </w:r>
                  <w:r>
                    <w:t>Praha, 2015</w:t>
                  </w:r>
                </w:p>
              </w:txbxContent>
            </v:textbox>
            <w10:wrap anchorx="page" anchory="page"/>
            <w10:anchorlock/>
          </v:shape>
        </w:pict>
      </w:r>
      <w:r w:rsidRPr="00513C6F">
        <w:rPr>
          <w:noProof/>
        </w:rPr>
        <w:pict>
          <v:shape id="_x0000_s1027" type="#_x0000_t202" style="position:absolute;margin-left:134.65pt;margin-top:612.45pt;width:394.65pt;height:112.45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" filled="f" stroked="f">
            <v:textbox inset="0,0,0,0">
              <w:txbxContent>
                <w:p w:rsidR="00333234" w:rsidRDefault="00333234" w:rsidP="004F2A73">
                  <w:pPr>
                    <w:pStyle w:val="TL-Identifikace-dole"/>
                  </w:pPr>
                </w:p>
                <w:p w:rsidR="00333234" w:rsidRPr="006C5577" w:rsidRDefault="00333234" w:rsidP="004F2A73">
                  <w:pPr>
                    <w:pStyle w:val="TL-Identifikace-dole"/>
                  </w:pPr>
                  <w:r>
                    <w:t>Z</w:t>
                  </w:r>
                  <w:r w:rsidRPr="006C5577">
                    <w:t>pracoval: Odbor</w:t>
                  </w:r>
                  <w:r>
                    <w:t xml:space="preserve"> Kancelář předsedkyně, oddělení svodných analýz</w:t>
                  </w:r>
                  <w:r w:rsidRPr="006C5577">
                    <w:t xml:space="preserve"> </w:t>
                  </w:r>
                </w:p>
                <w:p w:rsidR="00333234" w:rsidRPr="006C5577" w:rsidRDefault="00333234" w:rsidP="004F191F">
                  <w:pPr>
                    <w:pStyle w:val="TL-Identifikace-dole"/>
                  </w:pPr>
                  <w:r w:rsidRPr="006C5577">
                    <w:t xml:space="preserve">Ředitel odboru: </w:t>
                  </w:r>
                  <w:proofErr w:type="spellStart"/>
                  <w:r>
                    <w:t>Egor</w:t>
                  </w:r>
                  <w:proofErr w:type="spellEnd"/>
                  <w:r>
                    <w:t xml:space="preserve"> </w:t>
                  </w:r>
                  <w:proofErr w:type="spellStart"/>
                  <w:r>
                    <w:t>Sidorov</w:t>
                  </w:r>
                  <w:proofErr w:type="spellEnd"/>
                  <w:r>
                    <w:t xml:space="preserve">, </w:t>
                  </w:r>
                  <w:proofErr w:type="spellStart"/>
                  <w:r>
                    <w:t>Ph.D</w:t>
                  </w:r>
                  <w:proofErr w:type="spellEnd"/>
                  <w:r>
                    <w:t>.</w:t>
                  </w:r>
                </w:p>
                <w:p w:rsidR="00333234" w:rsidRDefault="00333234" w:rsidP="004F191F">
                  <w:pPr>
                    <w:pStyle w:val="TL-Identifikace-dole"/>
                  </w:pPr>
                  <w:r>
                    <w:t>Autorský tým: Ing. Drahomíra Dubská, CSc., Bc. Jiří Kamenický, Ing. Lukáš Kučera</w:t>
                  </w:r>
                </w:p>
                <w:p w:rsidR="00333234" w:rsidRDefault="00333234" w:rsidP="004F191F">
                  <w:pPr>
                    <w:pStyle w:val="TL-Identifikace-dole"/>
                  </w:pPr>
                  <w:r w:rsidRPr="006C5577">
                    <w:t>Kontaktní osoba:</w:t>
                  </w:r>
                  <w:r>
                    <w:t xml:space="preserve"> Bc. Jiří Kamenický, e-mail</w:t>
                  </w:r>
                  <w:r w:rsidRPr="006C5577">
                    <w:t>:</w:t>
                  </w:r>
                  <w:r>
                    <w:t xml:space="preserve"> </w:t>
                  </w:r>
                  <w:hyperlink r:id="rId8" w:history="1">
                    <w:r w:rsidRPr="003D4B0F">
                      <w:rPr>
                        <w:rStyle w:val="Hypertextovodkaz"/>
                      </w:rPr>
                      <w:t>jiri.kamenicky@czso.cz</w:t>
                    </w:r>
                  </w:hyperlink>
                  <w:r>
                    <w:t>, tel: 274 052 741</w:t>
                  </w:r>
                </w:p>
              </w:txbxContent>
            </v:textbox>
            <w10:wrap anchorx="page" anchory="page"/>
            <w10:anchorlock/>
          </v:shape>
        </w:pict>
      </w:r>
      <w:r w:rsidRPr="00513C6F">
        <w:rPr>
          <w:noProof/>
        </w:rPr>
        <w:pict>
          <v:shape id="Text Box 25" o:spid="_x0000_s1028" type="#_x0000_t202" style="position:absolute;margin-left:134.65pt;margin-top:383.25pt;width:394.6pt;height:155.5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" filled="f" stroked="f">
            <v:textbox inset="0,0,0,0">
              <w:txbxContent>
                <w:p w:rsidR="00333234" w:rsidRPr="00D31445" w:rsidRDefault="00333234" w:rsidP="004F191F">
                  <w:pPr>
                    <w:pStyle w:val="TL-identifikace-sted"/>
                  </w:pPr>
                  <w:proofErr w:type="spellStart"/>
                  <w:r>
                    <w:t>Vícetématické</w:t>
                  </w:r>
                  <w:proofErr w:type="spellEnd"/>
                  <w:r>
                    <w:t xml:space="preserve"> informace</w:t>
                  </w:r>
                </w:p>
                <w:p w:rsidR="00333234" w:rsidRPr="006A2B36" w:rsidRDefault="00333234" w:rsidP="004F191F">
                  <w:pPr>
                    <w:pStyle w:val="TL-identifikace-sted"/>
                    <w:rPr>
                      <w:color w:val="000000" w:themeColor="text1"/>
                    </w:rPr>
                  </w:pPr>
                  <w:bookmarkStart w:id="0" w:name="_GoBack"/>
                  <w:r w:rsidRPr="006A2B36">
                    <w:rPr>
                      <w:color w:val="000000" w:themeColor="text1"/>
                    </w:rPr>
                    <w:t>Praha, 31. 7. 2015</w:t>
                  </w:r>
                </w:p>
                <w:bookmarkEnd w:id="0"/>
                <w:p w:rsidR="00333234" w:rsidRPr="006A2B36" w:rsidRDefault="00333234" w:rsidP="004F191F">
                  <w:pPr>
                    <w:pStyle w:val="TL-identifikace-sted"/>
                    <w:rPr>
                      <w:color w:val="000000" w:themeColor="text1"/>
                    </w:rPr>
                  </w:pPr>
                  <w:r w:rsidRPr="006A2B36">
                    <w:rPr>
                      <w:color w:val="000000" w:themeColor="text1"/>
                    </w:rPr>
                    <w:t>Kód publikace: 320192-15</w:t>
                  </w:r>
                </w:p>
                <w:p w:rsidR="00333234" w:rsidRPr="006A2B36" w:rsidRDefault="00333234" w:rsidP="004F191F">
                  <w:pPr>
                    <w:spacing w:after="200"/>
                    <w:rPr>
                      <w:color w:val="000000" w:themeColor="text1"/>
                      <w:sz w:val="24"/>
                    </w:rPr>
                  </w:pPr>
                  <w:r w:rsidRPr="006A2B36">
                    <w:rPr>
                      <w:color w:val="000000" w:themeColor="text1"/>
                      <w:sz w:val="24"/>
                    </w:rPr>
                    <w:t xml:space="preserve">Č. </w:t>
                  </w:r>
                  <w:proofErr w:type="spellStart"/>
                  <w:r w:rsidRPr="006A2B36">
                    <w:rPr>
                      <w:color w:val="000000" w:themeColor="text1"/>
                      <w:sz w:val="24"/>
                    </w:rPr>
                    <w:t>j</w:t>
                  </w:r>
                  <w:proofErr w:type="spellEnd"/>
                  <w:r w:rsidRPr="006A2B36">
                    <w:rPr>
                      <w:color w:val="000000" w:themeColor="text1"/>
                      <w:sz w:val="24"/>
                    </w:rPr>
                    <w:t>.: 1414 / 2015 - 01</w:t>
                  </w:r>
                </w:p>
                <w:p w:rsidR="00333234" w:rsidRPr="00F5435A" w:rsidRDefault="00333234" w:rsidP="004F191F">
                  <w:pPr>
                    <w:spacing w:after="200"/>
                    <w:rPr>
                      <w:color w:val="FF0000"/>
                      <w:sz w:val="24"/>
                    </w:rPr>
                  </w:pPr>
                </w:p>
              </w:txbxContent>
            </v:textbox>
            <w10:wrap anchorx="page" anchory="page"/>
            <w10:anchorlock/>
          </v:shape>
        </w:pict>
      </w:r>
      <w:r w:rsidRPr="00513C6F">
        <w:rPr>
          <w:noProof/>
        </w:rPr>
        <w:pict>
          <v:shape id="_x0000_s1029" type="#_x0000_t202" style="position:absolute;margin-left:134.65pt;margin-top:131.25pt;width:410.6pt;height:226.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" filled="f" stroked="f">
            <v:textbox inset="0,0,0,0">
              <w:txbxContent>
                <w:p w:rsidR="00333234" w:rsidRPr="00E41D90" w:rsidRDefault="00333234" w:rsidP="004F191F">
                  <w:pPr>
                    <w:pStyle w:val="Podtitul"/>
                    <w:rPr>
                      <w:sz w:val="66"/>
                      <w:szCs w:val="66"/>
                    </w:rPr>
                  </w:pPr>
                  <w:r w:rsidRPr="00E41D90">
                    <w:rPr>
                      <w:sz w:val="66"/>
                      <w:szCs w:val="66"/>
                    </w:rPr>
                    <w:t>TENDENCE</w:t>
                  </w:r>
                  <w:r>
                    <w:rPr>
                      <w:sz w:val="66"/>
                      <w:szCs w:val="66"/>
                    </w:rPr>
                    <w:t xml:space="preserve"> </w:t>
                  </w:r>
                  <w:r w:rsidRPr="00E41D90">
                    <w:rPr>
                      <w:sz w:val="66"/>
                      <w:szCs w:val="66"/>
                    </w:rPr>
                    <w:t>MAKROEKON</w:t>
                  </w:r>
                  <w:r>
                    <w:rPr>
                      <w:sz w:val="66"/>
                      <w:szCs w:val="66"/>
                    </w:rPr>
                    <w:t>O</w:t>
                  </w:r>
                  <w:r w:rsidRPr="00E41D90">
                    <w:rPr>
                      <w:sz w:val="66"/>
                      <w:szCs w:val="66"/>
                    </w:rPr>
                    <w:t>MICKÉHO VÝVOJE A KVALITY ŽIVOTA V</w:t>
                  </w:r>
                  <w:r>
                    <w:rPr>
                      <w:sz w:val="66"/>
                      <w:szCs w:val="66"/>
                    </w:rPr>
                    <w:t> ČESKÉ REPUBLICE V ROCE 2014</w:t>
                  </w:r>
                </w:p>
              </w:txbxContent>
            </v:textbox>
            <w10:wrap anchorx="page" anchory="page"/>
            <w10:anchorlock/>
          </v:shape>
        </w:pict>
      </w:r>
      <w:r w:rsidRPr="00513C6F">
        <w:rPr>
          <w:noProof/>
        </w:rPr>
        <w:pict>
          <v:group id="Group 24" o:spid="_x0000_s1030" style="position:absolute;margin-left:45.1pt;margin-top:36.8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">
            <o:lock v:ext="edit" aspectratio="t"/>
            <v:rect id="Rectangle 9" o:spid="_x0000_s1031" style="position:absolute;left:1215;top:901;width:676;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dfb4A&#10;AADaAAAADwAAAGRycy9kb3ducmV2LnhtbERPTYvCMBC9L/gfwgje1lQPrlTTIooguB62Cl7HZmyD&#10;zaQ00Xb/vTks7PHxvtf5YBvxos4bxwpm0wQEcem04UrB5bz/XILwAVlj45gU/JKHPBt9rDHVrucf&#10;ehWhEjGEfYoK6hDaVEpf1mTRT11LHLm76yyGCLtK6g77GG4bOU+ShbRoODbU2NK2pvJRPK0CI797&#10;W5yuO5c827O5ft2WPhyVmoyHzQpEoCH8i//cB60gbo1X4g2Q2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BHX2+AAAA2gAAAA8AAAAAAAAAAAAAAAAAmAIAAGRycy9kb3ducmV2&#10;LnhtbFBLBQYAAAAABAAEAPUAAACDAwAAAAA=&#10;" fillcolor="#0071bc" stroked="f">
              <o:lock v:ext="edit" aspectratio="t"/>
            </v:rect>
            <v:rect id="Rectangle 10" o:spid="_x0000_s1032" style="position:absolute;left:567;top:1131;width:1324;height: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45sIA&#10;AADaAAAADwAAAGRycy9kb3ducmV2LnhtbESPT4vCMBTE74LfITzBm6Z68E/XKIuysLB6sApen83b&#10;NmzzUppou9/eCILHYWZ+w6w2na3EnRpvHCuYjBMQxLnThgsF59PXaAHCB2SNlWNS8E8eNut+b4Wp&#10;di0f6Z6FQkQI+xQVlCHUqZQ+L8miH7uaOHq/rrEYomwKqRtsI9xWcpokM2nRcFwosaZtSflfdrMK&#10;jNy3Njtcdi651SdzmV8XPvwoNRx0nx8gAnXhHX61v7WCJTyvxBs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jbjmwgAAANoAAAAPAAAAAAAAAAAAAAAAAJgCAABkcnMvZG93&#10;bnJldi54bWxQSwUGAAAAAAQABAD1AAAAhwMAAAAA&#10;" fillcolor="#0071bc" stroked="f">
              <o:lock v:ext="edit" aspectratio="t"/>
            </v:rect>
            <v:rect id="Rectangle 11" o:spid="_x0000_s1033" style="position:absolute;left:1288;top:1361;width:603;height:1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mR8QA&#10;AADbAAAADwAAAGRycy9kb3ducmV2LnhtbESPQWvCQBSE7wX/w/KE3pqNUtoQXUUshULbQxMh12f2&#10;mSxm34bsauK/dwuFHoeZ+YZZbyfbiSsN3jhWsEhSEMS104YbBYfy/SkD4QOyxs4xKbiRh+1m9rDG&#10;XLuRf+hahEZECPscFbQh9LmUvm7Jok9cTxy9kxsshiiHRuoBxwi3nVym6Yu0aDgutNjTvqX6XFys&#10;AiO/Rlt8V28uvfSlqV6PmQ+fSj3Op90KRKAp/If/2h9awfIZ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pkfEAAAA2wAAAA8AAAAAAAAAAAAAAAAAmAIAAGRycy9k&#10;b3ducmV2LnhtbFBLBQYAAAAABAAEAPUAAACJAwAAAAA=&#10;" fillcolor="#0071bc" stroked="f">
              <o:lock v:ext="edit" aspectratio="t"/>
            </v:rect>
            <v:shape id="Freeform 12" o:spid="_x0000_s1034" style="position:absolute;left:1969;top:1311;width:600;height:207;visibility:visible;mso-wrap-style:square;v-text-anchor:top" coordsize="120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cN8EA&#10;AADbAAAADwAAAGRycy9kb3ducmV2LnhtbESPQYvCMBSE78L+h/AEb5paUJauUYqs7IqnrfX+aN42&#10;xealNFHrvzeC4HGYmW+Y1WawrbhS7xvHCuazBARx5XTDtYLyuJt+gvABWWPrmBTcycNm/TFaYabd&#10;jf/oWoRaRAj7DBWYELpMSl8ZsuhnriOO3r/rLYYo+1rqHm8RbluZJslSWmw4LhjsaGuoOhcXq+A7&#10;J0N52W0L3renn9P5kDb7g1KT8ZB/gQg0hHf41f7VCtIFPL/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MHDfBAAAA2wAAAA8AAAAAAAAAAAAAAAAAmAIAAGRycy9kb3du&#10;cmV2LnhtbFBLBQYAAAAABAAEAPUAAACGAw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520,84;537,88;550,100;557,114;559,131;554,147;544,160;530,168;506,170;540,202;567,190;587,169;599,142;599,111;587,84;567,63;540,51;466,204;388,146;393,50;343,177;257,18;174,18;216,81;231,88;235,104;225,116;204,119;258,135;271,121;276,102;275,83;266,67;252,55;232,50;204,204;243,141;67,42;0,139;3,166;12,184;34,201;67,207;96,202;119,186;131,166;134,139;95,143;89,163;78,170;63,172;52,168;42,156;40,50" o:connectangles="0,0,0,0,0,0,0,0,0,0,0,0,0,0,0,0,0,0,0,0,0,0,0,0,0,0,0,0,0,0,0,0,0,0,0,0,0,0,0,0,0,0,0,0,0,0,0,0,0,0,0,0,0,0"/>
              <o:lock v:ext="edit" aspectratio="t" verticies="t"/>
            </v:shape>
            <v:shape id="Freeform 13" o:spid="_x0000_s1035" style="position:absolute;left:1962;top:1081;width:1319;height:208;visibility:visible;mso-wrap-style:square;v-text-anchor:top" coordsize="263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aAMYA&#10;AADbAAAADwAAAGRycy9kb3ducmV2LnhtbESPQWvCQBSE7wX/w/KEXqRuVBBJ3YSiFKQqqGkPvT2y&#10;r0lo9m3Y3Zr033cFocdhZr5h1vlgWnEl5xvLCmbTBARxaXXDlYL34vVpBcIHZI2tZVLwSx7ybPSw&#10;xlTbns90vYRKRAj7FBXUIXSplL6syaCf2o44el/WGQxRukpqh32Em1bOk2QpDTYcF2rsaFNT+X35&#10;MQo2RfvhFod+f3aT7e7t81jJ4nhS6nE8vDyDCDSE//C9vdMK5ku4fY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haAMYAAADbAAAADwAAAAAAAAAAAAAAAACYAgAAZHJz&#10;L2Rvd25yZXYueG1sUEsFBgAAAAAEAAQA9QAAAIsDA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1221,204;1166,50;1072,137;1004,54;943,51;900,82;887,136;907,181;959,208;1000,157;969,169;945,161;929,137;933,107;953,89;984,88;864,50;802,50;680,59;638,46;602,54;581,82;583,116;610,138;644,153;637,171;608,170;586,198;633,208;671,193;687,160;678,126;638,107;621,93;635,80;665,90;452,84;452,204;343,204;333,177;158,204;84,49;42,48;14,68;6,103;19,128;64,147;71,165;48,174;17,158;40,207;84,202;110,176;110,135;93,117;50,99;53,84;76,81" o:connectangles="0,0,0,0,0,0,0,0,0,0,0,0,0,0,0,0,0,0,0,0,0,0,0,0,0,0,0,0,0,0,0,0,0,0,0,0,0,0,0,0,0,0,0,0,0,0,0,0,0,0,0,0,0,0,0,0,0,0"/>
              <o:lock v:ext="edit" aspectratio="t" verticies="t"/>
            </v:shape>
            <v:shape id="Freeform 14" o:spid="_x0000_s1036" style="position:absolute;left:1962;top:851;width:679;height:208;visibility:visible;mso-wrap-style:square;v-text-anchor:top" coordsize="135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zGsMA&#10;AADbAAAADwAAAGRycy9kb3ducmV2LnhtbESPQWvCQBSE74L/YXmCF6mbetCSukpVot5KVXp+zT6T&#10;0OzbdHc18d+7BcHjMPPNMPNlZ2pxJecrywpexwkI4tzqigsFp2P28gbCB2SNtWVScCMPy0W/N8dU&#10;25a/6HoIhYgl7FNUUIbQpFL6vCSDfmwb4uidrTMYonSF1A7bWG5qOUmSqTRYcVwosaF1Sfnv4WIU&#10;TKbfP7tsX6w+6+3fyOnzJhu1G6WGg+7jHUSgLjzDD3qvIzeD/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gzGsMAAADbAAAADwAAAAAAAAAAAAAAAACYAgAAZHJzL2Rv&#10;d25yZXYueG1sUEsFBgAAAAAEAAQA9QAAAIgDA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641,18;679,50;581,130;432,204;530,50;349,54;318,46;290,50;271,64;261,87;261,112;272,129;307,144;324,153;322,168;306,174;284,168;260,195;293,207;326,206;351,193;365,172;365,138;356,124;329,111;304,99;303,87;315,80;332,82;232,50;185,170;185,84;105,1;108,51;65,48;29,65;6,96;0,136;11,170;41,197;82,208;118,153;97,167;76,168;59,162;45,146;42,124;49,104;63,91;83,86;107,92" o:connectangles="0,0,0,0,0,0,0,0,0,0,0,0,0,0,0,0,0,0,0,0,0,0,0,0,0,0,0,0,0,0,0,0,0,0,0,0,0,0,0,0,0,0,0,0,0,0,0,0,0,0,0"/>
              <o:lock v:ext="edit" aspectratio="t" verticies="t"/>
            </v:shape>
            <w10:wrap type="square" anchorx="page" anchory="page"/>
          </v:group>
        </w:pict>
      </w:r>
    </w:p>
    <w:p w:rsidR="005D5A35" w:rsidRDefault="005D5A35" w:rsidP="0060487F">
      <w:pPr>
        <w:pStyle w:val="Styl1"/>
        <w:rPr>
          <w:rFonts w:cs="Arial"/>
          <w:sz w:val="20"/>
        </w:rPr>
      </w:pPr>
    </w:p>
    <w:p w:rsidR="005D5A35" w:rsidRDefault="005D5A35" w:rsidP="0060487F">
      <w:pPr>
        <w:pStyle w:val="Styl1"/>
        <w:rPr>
          <w:rFonts w:cs="Arial"/>
          <w:sz w:val="20"/>
        </w:rPr>
      </w:pPr>
    </w:p>
    <w:p w:rsidR="005D5A35" w:rsidRDefault="005D5A35" w:rsidP="0060487F">
      <w:pPr>
        <w:pStyle w:val="Styl1"/>
        <w:rPr>
          <w:rFonts w:cs="Arial"/>
          <w:sz w:val="20"/>
        </w:rPr>
      </w:pPr>
    </w:p>
    <w:p w:rsidR="005D5A35" w:rsidRDefault="005D5A35" w:rsidP="00D31932">
      <w:pPr>
        <w:autoSpaceDE w:val="0"/>
        <w:autoSpaceDN w:val="0"/>
        <w:adjustRightInd w:val="0"/>
        <w:spacing w:line="240" w:lineRule="auto"/>
        <w:jc w:val="both"/>
        <w:rPr>
          <w:rFonts w:cs="Arial"/>
        </w:rPr>
      </w:pPr>
    </w:p>
    <w:p w:rsidR="005D5A35" w:rsidRDefault="00513C6F" w:rsidP="00D31932">
      <w:pPr>
        <w:autoSpaceDE w:val="0"/>
        <w:autoSpaceDN w:val="0"/>
        <w:adjustRightInd w:val="0"/>
        <w:spacing w:line="240" w:lineRule="auto"/>
        <w:jc w:val="both"/>
        <w:rPr>
          <w:rFonts w:cs="Arial"/>
          <w:lang w:eastAsia="ar-SA"/>
        </w:rPr>
      </w:pPr>
      <w:r w:rsidRPr="00513C6F">
        <w:rPr>
          <w:noProof/>
        </w:rPr>
        <w:pict>
          <v:line id="Přímá spojnice 33" o:spid="_x0000_s1037" style="position:absolute;left:0;text-align:left;z-index:251656704;visibility:visible;mso-wrap-distance-top:-3e-5mm;mso-wrap-distance-bottom:-3e-5mm;mso-position-horizontal-relative:page;mso-position-vertical-relative:page"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w:r>
      <w:r w:rsidR="005D5A35">
        <w:rPr>
          <w:rFonts w:cs="Arial"/>
        </w:rPr>
        <w:br w:type="page"/>
      </w:r>
    </w:p>
    <w:p w:rsidR="005D5A35" w:rsidRDefault="005D5A35" w:rsidP="0060487F">
      <w:pPr>
        <w:pStyle w:val="Styl1"/>
        <w:rPr>
          <w:rFonts w:cs="Arial"/>
          <w:sz w:val="20"/>
        </w:rPr>
      </w:pPr>
    </w:p>
    <w:p w:rsidR="005D5A35" w:rsidRDefault="005D5A35" w:rsidP="0060487F">
      <w:pPr>
        <w:pStyle w:val="Styl1"/>
        <w:rPr>
          <w:rFonts w:cs="Arial"/>
          <w:sz w:val="20"/>
        </w:rPr>
      </w:pPr>
    </w:p>
    <w:p w:rsidR="005D5A35" w:rsidRDefault="005D5A35">
      <w:pPr>
        <w:spacing w:line="240" w:lineRule="auto"/>
        <w:rPr>
          <w:rFonts w:cs="Arial"/>
          <w:lang w:eastAsia="ar-SA"/>
        </w:rPr>
      </w:pPr>
    </w:p>
    <w:p w:rsidR="005D5A35" w:rsidRDefault="005D5A35" w:rsidP="0060487F">
      <w:pPr>
        <w:pStyle w:val="Styl1"/>
        <w:rPr>
          <w:rFonts w:cs="Arial"/>
          <w:sz w:val="20"/>
        </w:rPr>
      </w:pPr>
    </w:p>
    <w:p w:rsidR="005D5A35" w:rsidRPr="006404A7" w:rsidRDefault="00513C6F" w:rsidP="0060487F">
      <w:pPr>
        <w:pStyle w:val="Styl1"/>
        <w:rPr>
          <w:rFonts w:cs="Arial"/>
          <w:color w:val="7DB41E"/>
          <w:sz w:val="20"/>
          <w:szCs w:val="20"/>
        </w:rPr>
      </w:pPr>
      <w:r w:rsidRPr="00513C6F">
        <w:rPr>
          <w:noProof/>
          <w:lang w:eastAsia="cs-CZ"/>
        </w:rPr>
        <w:pict>
          <v:shape id="_x0000_s1038" type="#_x0000_t202" style="position:absolute;margin-left:56.7pt;margin-top:116.25pt;width:481.9pt;height:595.3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" filled="f" stroked="f">
            <v:textbox inset="0,0,0,0">
              <w:txbxContent>
                <w:p w:rsidR="00333234" w:rsidRPr="00207730" w:rsidRDefault="00333234" w:rsidP="00437C76">
                  <w:pPr>
                    <w:pStyle w:val="TL-Kontakty"/>
                    <w:rPr>
                      <w:b w:val="0"/>
                    </w:rPr>
                  </w:pPr>
                  <w:r w:rsidRPr="00207730">
                    <w:rPr>
                      <w:rStyle w:val="TL-KontaktyChar"/>
                      <w:b/>
                    </w:rPr>
                    <w:t>KONTAKTY V ÚSTŘEDÍ</w:t>
                  </w:r>
                </w:p>
                <w:p w:rsidR="00333234" w:rsidRPr="00EA4153" w:rsidRDefault="00333234" w:rsidP="00BD366B">
                  <w:pPr>
                    <w:spacing w:after="80" w:line="240" w:lineRule="auto"/>
                    <w:rPr>
                      <w:b/>
                      <w:color w:val="0071BC"/>
                    </w:rPr>
                  </w:pPr>
                  <w:r w:rsidRPr="00320214">
                    <w:rPr>
                      <w:b/>
                      <w:color w:val="0071BC"/>
                    </w:rPr>
                    <w:t>Český statistický úřad</w:t>
                  </w:r>
                  <w:r>
                    <w:rPr>
                      <w:b/>
                      <w:color w:val="0071BC"/>
                    </w:rPr>
                    <w:t xml:space="preserve"> | </w:t>
                  </w:r>
                  <w:r>
                    <w:t xml:space="preserve">Na padesátém 81, 100 82 Praha 10 | tel.: 274 051 111 | </w:t>
                  </w:r>
                  <w:r w:rsidRPr="00841D9F">
                    <w:rPr>
                      <w:b/>
                      <w:bCs/>
                    </w:rPr>
                    <w:t>www.czso.cz</w:t>
                  </w:r>
                </w:p>
                <w:p w:rsidR="00333234" w:rsidRPr="00B27293" w:rsidRDefault="00333234" w:rsidP="00BD366B">
                  <w:pPr>
                    <w:spacing w:after="80" w:line="240" w:lineRule="auto"/>
                  </w:pPr>
                  <w:r w:rsidRPr="00100014">
                    <w:rPr>
                      <w:b/>
                    </w:rPr>
                    <w:t>Oddělení informačních služeb</w:t>
                  </w:r>
                  <w:r w:rsidRPr="00EA4153">
                    <w:t xml:space="preserve"> |</w:t>
                  </w:r>
                  <w:r>
                    <w:rPr>
                      <w:b/>
                    </w:rPr>
                    <w:t xml:space="preserve"> </w:t>
                  </w:r>
                  <w:r>
                    <w:t>tel.: 274 052 648, 274 052 304, 274 052 451 | e-mail: infoservis@czso.cz</w:t>
                  </w:r>
                </w:p>
                <w:p w:rsidR="00333234" w:rsidRPr="00EA4153" w:rsidRDefault="00333234" w:rsidP="00BD366B">
                  <w:pPr>
                    <w:spacing w:after="80" w:line="240" w:lineRule="auto"/>
                    <w:rPr>
                      <w:b/>
                    </w:rPr>
                  </w:pPr>
                  <w:r w:rsidRPr="00100014">
                    <w:rPr>
                      <w:b/>
                    </w:rPr>
                    <w:t>Prodejna publikací ČSÚ</w:t>
                  </w:r>
                  <w:r>
                    <w:t xml:space="preserve"> | tel.: 274 052 361 | e-mail: prodejna@czso.cz</w:t>
                  </w:r>
                </w:p>
                <w:p w:rsidR="00333234" w:rsidRPr="00EA4153" w:rsidRDefault="00333234" w:rsidP="00BD366B">
                  <w:pPr>
                    <w:spacing w:after="80" w:line="240" w:lineRule="auto"/>
                    <w:rPr>
                      <w:b/>
                    </w:rPr>
                  </w:pPr>
                  <w:r>
                    <w:rPr>
                      <w:b/>
                    </w:rPr>
                    <w:t xml:space="preserve">Evropská data (ESDS), </w:t>
                  </w:r>
                  <w:r w:rsidRPr="00100014">
                    <w:rPr>
                      <w:b/>
                    </w:rPr>
                    <w:t>mezinárodní srovnání</w:t>
                  </w:r>
                  <w:r>
                    <w:t xml:space="preserve"> | tel.: 274 052 347, 274 052 757 | e-mail: esds@czso.cz</w:t>
                  </w:r>
                </w:p>
                <w:p w:rsidR="00333234" w:rsidRPr="00EA4153" w:rsidRDefault="00333234" w:rsidP="00BD366B">
                  <w:pPr>
                    <w:spacing w:after="80" w:line="240" w:lineRule="auto"/>
                    <w:rPr>
                      <w:b/>
                    </w:rPr>
                  </w:pPr>
                  <w:r w:rsidRPr="00100014">
                    <w:rPr>
                      <w:b/>
                    </w:rPr>
                    <w:t>Ústřední statistická knihovna</w:t>
                  </w:r>
                  <w:r>
                    <w:t xml:space="preserve"> | tel.: 274 052 361 | e-mail: knihovna@czso.cz</w:t>
                  </w:r>
                </w:p>
                <w:p w:rsidR="00333234" w:rsidRDefault="00333234" w:rsidP="00BD366B">
                  <w:pPr>
                    <w:spacing w:line="240" w:lineRule="auto"/>
                  </w:pPr>
                </w:p>
                <w:p w:rsidR="00333234" w:rsidRPr="0071229A" w:rsidRDefault="00333234" w:rsidP="004F06F5">
                  <w:pPr>
                    <w:pStyle w:val="TL-Kontakty"/>
                  </w:pPr>
                  <w:r w:rsidRPr="0071229A">
                    <w:t>INFORMAČNÍ SLUŽBY V REGIONECH</w:t>
                  </w:r>
                </w:p>
                <w:p w:rsidR="00333234" w:rsidRDefault="00333234" w:rsidP="00BD366B">
                  <w:pPr>
                    <w:spacing w:line="240" w:lineRule="auto"/>
                  </w:pPr>
                  <w:r w:rsidRPr="00100014">
                    <w:rPr>
                      <w:b/>
                      <w:color w:val="0071BC"/>
                    </w:rPr>
                    <w:t>Hl. m. Praha</w:t>
                  </w:r>
                  <w:r>
                    <w:t xml:space="preserve"> | Na padesátém 81, 100 82 Praha 10 | tel.: 274 052 673, 274 054 223</w:t>
                  </w:r>
                </w:p>
                <w:p w:rsidR="00333234" w:rsidRPr="00100014" w:rsidRDefault="00333234" w:rsidP="00BD366B">
                  <w:pPr>
                    <w:spacing w:line="240" w:lineRule="auto"/>
                    <w:rPr>
                      <w:b/>
                    </w:rPr>
                  </w:pPr>
                  <w:r>
                    <w:t xml:space="preserve">e-mail: infoservispraha@czso.cz | </w:t>
                  </w:r>
                  <w:r w:rsidRPr="00100014">
                    <w:rPr>
                      <w:b/>
                    </w:rPr>
                    <w:t>www.praha.czso.cz</w:t>
                  </w:r>
                </w:p>
                <w:p w:rsidR="00333234" w:rsidRDefault="00333234" w:rsidP="00BD366B">
                  <w:pPr>
                    <w:spacing w:line="240" w:lineRule="auto"/>
                  </w:pPr>
                </w:p>
                <w:p w:rsidR="00333234" w:rsidRPr="00B27293" w:rsidRDefault="00333234" w:rsidP="00BD366B">
                  <w:pPr>
                    <w:spacing w:line="240" w:lineRule="auto"/>
                    <w:rPr>
                      <w:b/>
                      <w:color w:val="0071BC"/>
                    </w:rPr>
                  </w:pPr>
                  <w:r w:rsidRPr="00100014">
                    <w:rPr>
                      <w:b/>
                      <w:color w:val="0071BC"/>
                    </w:rPr>
                    <w:t>Středočeský kraj</w:t>
                  </w:r>
                  <w:r>
                    <w:t xml:space="preserve"> | Na padesátém 81, 100 82 Praha 10</w:t>
                  </w:r>
                  <w:r w:rsidRPr="00B27293">
                    <w:t xml:space="preserve"> |</w:t>
                  </w:r>
                  <w:r w:rsidRPr="00B27293">
                    <w:rPr>
                      <w:b/>
                    </w:rPr>
                    <w:t xml:space="preserve"> </w:t>
                  </w:r>
                  <w:r>
                    <w:t>tel.: 274 054 175</w:t>
                  </w:r>
                </w:p>
                <w:p w:rsidR="00333234" w:rsidRPr="00B27293" w:rsidRDefault="00333234" w:rsidP="00BD366B">
                  <w:pPr>
                    <w:spacing w:line="240" w:lineRule="auto"/>
                  </w:pPr>
                  <w:r>
                    <w:t xml:space="preserve">e-mail: infoservisstc@czso.cz | </w:t>
                  </w:r>
                  <w:r w:rsidRPr="00100014">
                    <w:rPr>
                      <w:b/>
                    </w:rPr>
                    <w:t>www.stredocesky.czso.cz</w:t>
                  </w:r>
                </w:p>
                <w:p w:rsidR="00333234" w:rsidRDefault="00333234" w:rsidP="00BD366B">
                  <w:pPr>
                    <w:spacing w:line="240" w:lineRule="auto"/>
                  </w:pPr>
                </w:p>
                <w:p w:rsidR="00333234" w:rsidRPr="00B27293" w:rsidRDefault="00333234" w:rsidP="00BD366B">
                  <w:pPr>
                    <w:spacing w:line="240" w:lineRule="auto"/>
                    <w:rPr>
                      <w:b/>
                      <w:color w:val="0071BC"/>
                    </w:rPr>
                  </w:pPr>
                  <w:r w:rsidRPr="00100014">
                    <w:rPr>
                      <w:b/>
                      <w:color w:val="0071BC"/>
                    </w:rPr>
                    <w:t>České Budějovice</w:t>
                  </w:r>
                  <w:r>
                    <w:t xml:space="preserve"> | Žižkova 1, 370 77 České Budějovice | tel.: 386 718 440</w:t>
                  </w:r>
                </w:p>
                <w:p w:rsidR="00333234" w:rsidRPr="00B27293" w:rsidRDefault="00333234" w:rsidP="00BD366B">
                  <w:pPr>
                    <w:spacing w:line="240" w:lineRule="auto"/>
                  </w:pPr>
                  <w:r>
                    <w:t xml:space="preserve">e-mail: infoserviscb@czso.cz | </w:t>
                  </w:r>
                  <w:r w:rsidRPr="00100014">
                    <w:rPr>
                      <w:b/>
                    </w:rPr>
                    <w:t>www.cbudejovice.czso.cz</w:t>
                  </w:r>
                </w:p>
                <w:p w:rsidR="00333234" w:rsidRDefault="00333234" w:rsidP="00BD366B">
                  <w:pPr>
                    <w:spacing w:line="240" w:lineRule="auto"/>
                  </w:pPr>
                </w:p>
                <w:p w:rsidR="00333234" w:rsidRPr="00B27293" w:rsidRDefault="00333234" w:rsidP="00BD366B">
                  <w:pPr>
                    <w:spacing w:line="240" w:lineRule="auto"/>
                    <w:rPr>
                      <w:b/>
                      <w:color w:val="0071BC"/>
                    </w:rPr>
                  </w:pPr>
                  <w:r w:rsidRPr="0071229A">
                    <w:rPr>
                      <w:b/>
                      <w:color w:val="0071BC"/>
                    </w:rPr>
                    <w:t>Plzeň</w:t>
                  </w:r>
                  <w:r>
                    <w:t xml:space="preserve"> | Slovanská alej 36, 326 64 Plzeň | tel.: 377 612 108, 377 612 249</w:t>
                  </w:r>
                </w:p>
                <w:p w:rsidR="00333234" w:rsidRPr="00B27293" w:rsidRDefault="00333234" w:rsidP="00BD366B">
                  <w:pPr>
                    <w:spacing w:line="240" w:lineRule="auto"/>
                  </w:pPr>
                  <w:r>
                    <w:t xml:space="preserve">e-mail: infoservisplzen@czso.cz | </w:t>
                  </w:r>
                  <w:r w:rsidRPr="0071229A">
                    <w:rPr>
                      <w:b/>
                    </w:rPr>
                    <w:t>www.plzen.czso.cz</w:t>
                  </w:r>
                </w:p>
                <w:p w:rsidR="00333234" w:rsidRDefault="00333234" w:rsidP="00BD366B">
                  <w:pPr>
                    <w:spacing w:line="240" w:lineRule="auto"/>
                  </w:pPr>
                </w:p>
                <w:p w:rsidR="00333234" w:rsidRPr="00B27293" w:rsidRDefault="00333234" w:rsidP="00BD366B">
                  <w:pPr>
                    <w:spacing w:line="240" w:lineRule="auto"/>
                    <w:rPr>
                      <w:b/>
                      <w:color w:val="0071BC"/>
                    </w:rPr>
                  </w:pPr>
                  <w:r w:rsidRPr="0071229A">
                    <w:rPr>
                      <w:b/>
                      <w:color w:val="0071BC"/>
                    </w:rPr>
                    <w:t>Karlovy Vary</w:t>
                  </w:r>
                  <w:r>
                    <w:t xml:space="preserve"> | Sportovní 28, 360 01 Karlovy Vary | tel.: 353 114 529, 353 114 525</w:t>
                  </w:r>
                </w:p>
                <w:p w:rsidR="00333234" w:rsidRDefault="00333234" w:rsidP="00BD366B">
                  <w:pPr>
                    <w:spacing w:line="240" w:lineRule="auto"/>
                    <w:rPr>
                      <w:b/>
                    </w:rPr>
                  </w:pPr>
                  <w:r>
                    <w:t xml:space="preserve">e-mail: infoserviskv@czso.cz | </w:t>
                  </w:r>
                  <w:r>
                    <w:rPr>
                      <w:b/>
                    </w:rPr>
                    <w:t>www.kvary.czso.cz</w:t>
                  </w:r>
                </w:p>
                <w:p w:rsidR="00333234" w:rsidRDefault="00333234" w:rsidP="00BD366B">
                  <w:pPr>
                    <w:spacing w:line="240" w:lineRule="auto"/>
                  </w:pPr>
                </w:p>
                <w:p w:rsidR="00333234" w:rsidRPr="00B27293" w:rsidRDefault="00333234" w:rsidP="00BD366B">
                  <w:pPr>
                    <w:spacing w:line="240" w:lineRule="auto"/>
                    <w:rPr>
                      <w:b/>
                      <w:bCs/>
                      <w:color w:val="0071BC"/>
                    </w:rPr>
                  </w:pPr>
                  <w:r w:rsidRPr="0071229A">
                    <w:rPr>
                      <w:b/>
                      <w:bCs/>
                      <w:color w:val="0071BC"/>
                    </w:rPr>
                    <w:t>Ústí nad Labem</w:t>
                  </w:r>
                  <w:r>
                    <w:t xml:space="preserve"> | </w:t>
                  </w:r>
                  <w:proofErr w:type="spellStart"/>
                  <w:r w:rsidRPr="0071229A">
                    <w:rPr>
                      <w:bCs/>
                    </w:rPr>
                    <w:t>Špálova</w:t>
                  </w:r>
                  <w:proofErr w:type="spellEnd"/>
                  <w:r w:rsidRPr="0071229A">
                    <w:rPr>
                      <w:bCs/>
                    </w:rPr>
                    <w:t xml:space="preserve"> 2684, 400 11 Ústí nad Labem</w:t>
                  </w:r>
                  <w:r>
                    <w:t xml:space="preserve"> | </w:t>
                  </w:r>
                  <w:r w:rsidRPr="0071229A">
                    <w:rPr>
                      <w:bCs/>
                    </w:rPr>
                    <w:t>tel.: 472 706 176, 472 706 121</w:t>
                  </w:r>
                </w:p>
                <w:p w:rsidR="00333234" w:rsidRPr="00B27293" w:rsidRDefault="00333234" w:rsidP="00BD366B">
                  <w:pPr>
                    <w:spacing w:line="240" w:lineRule="auto"/>
                    <w:rPr>
                      <w:bCs/>
                    </w:rPr>
                  </w:pPr>
                  <w:r w:rsidRPr="0071229A">
                    <w:rPr>
                      <w:bCs/>
                    </w:rPr>
                    <w:t>e-mail: infoservisul@czso.cz</w:t>
                  </w:r>
                  <w:r>
                    <w:t xml:space="preserve"> | </w:t>
                  </w:r>
                  <w:r w:rsidRPr="0071229A">
                    <w:rPr>
                      <w:b/>
                      <w:bCs/>
                    </w:rPr>
                    <w:t>www.ustinadlabem.czso.cz</w:t>
                  </w:r>
                </w:p>
                <w:p w:rsidR="00333234" w:rsidRPr="0071229A" w:rsidRDefault="00333234" w:rsidP="00BD366B">
                  <w:pPr>
                    <w:spacing w:line="240" w:lineRule="auto"/>
                    <w:rPr>
                      <w:bCs/>
                    </w:rPr>
                  </w:pPr>
                </w:p>
                <w:p w:rsidR="00333234" w:rsidRPr="00B27293" w:rsidRDefault="00333234" w:rsidP="00BD366B">
                  <w:pPr>
                    <w:spacing w:line="240" w:lineRule="auto"/>
                    <w:rPr>
                      <w:b/>
                      <w:bCs/>
                      <w:color w:val="0071BC"/>
                    </w:rPr>
                  </w:pPr>
                  <w:r w:rsidRPr="0071229A">
                    <w:rPr>
                      <w:b/>
                      <w:bCs/>
                      <w:color w:val="0071BC"/>
                    </w:rPr>
                    <w:t>Liberec</w:t>
                  </w:r>
                  <w:r>
                    <w:t xml:space="preserve"> | </w:t>
                  </w:r>
                  <w:r w:rsidRPr="0071229A">
                    <w:rPr>
                      <w:bCs/>
                    </w:rPr>
                    <w:t>Nám. Dr. Edvarda Beneše 585/26, 460 01 Liberec 1</w:t>
                  </w:r>
                  <w:r>
                    <w:t xml:space="preserve"> | </w:t>
                  </w:r>
                  <w:r w:rsidRPr="0071229A">
                    <w:rPr>
                      <w:bCs/>
                    </w:rPr>
                    <w:t>tel.: 485 238 811</w:t>
                  </w:r>
                </w:p>
                <w:p w:rsidR="00333234" w:rsidRPr="00B27293" w:rsidRDefault="00333234" w:rsidP="00BD366B">
                  <w:pPr>
                    <w:spacing w:line="240" w:lineRule="auto"/>
                    <w:rPr>
                      <w:bCs/>
                    </w:rPr>
                  </w:pPr>
                  <w:r w:rsidRPr="0071229A">
                    <w:rPr>
                      <w:bCs/>
                    </w:rPr>
                    <w:t>e-mail: infoservislbc@czso.cz</w:t>
                  </w:r>
                  <w:r>
                    <w:t xml:space="preserve"> | </w:t>
                  </w:r>
                  <w:r w:rsidRPr="0071229A">
                    <w:rPr>
                      <w:b/>
                      <w:bCs/>
                    </w:rPr>
                    <w:t>www.liberec.czso.cz</w:t>
                  </w:r>
                </w:p>
                <w:p w:rsidR="00333234" w:rsidRPr="0071229A" w:rsidRDefault="00333234" w:rsidP="00BD366B">
                  <w:pPr>
                    <w:spacing w:line="240" w:lineRule="auto"/>
                    <w:rPr>
                      <w:bCs/>
                    </w:rPr>
                  </w:pPr>
                </w:p>
                <w:p w:rsidR="00333234" w:rsidRPr="00B27293" w:rsidRDefault="00333234" w:rsidP="00BD366B">
                  <w:pPr>
                    <w:spacing w:line="240" w:lineRule="auto"/>
                    <w:rPr>
                      <w:b/>
                      <w:bCs/>
                      <w:color w:val="0071BC"/>
                    </w:rPr>
                  </w:pPr>
                  <w:r w:rsidRPr="0071229A">
                    <w:rPr>
                      <w:b/>
                      <w:bCs/>
                      <w:color w:val="0071BC"/>
                    </w:rPr>
                    <w:t>Hradec Králové</w:t>
                  </w:r>
                  <w:r>
                    <w:t xml:space="preserve"> | </w:t>
                  </w:r>
                  <w:r>
                    <w:rPr>
                      <w:bCs/>
                    </w:rPr>
                    <w:t xml:space="preserve">Myslivečkova 914, </w:t>
                  </w:r>
                  <w:r w:rsidRPr="0071229A">
                    <w:rPr>
                      <w:bCs/>
                    </w:rPr>
                    <w:t>500 03 Hradec Králové 3</w:t>
                  </w:r>
                  <w:r>
                    <w:t xml:space="preserve"> | t</w:t>
                  </w:r>
                  <w:r w:rsidRPr="0071229A">
                    <w:rPr>
                      <w:bCs/>
                    </w:rPr>
                    <w:t>el.: 495 762 322, 495 762 317</w:t>
                  </w:r>
                </w:p>
                <w:p w:rsidR="00333234" w:rsidRPr="00B27293" w:rsidRDefault="00333234" w:rsidP="00BD366B">
                  <w:pPr>
                    <w:spacing w:line="240" w:lineRule="auto"/>
                    <w:rPr>
                      <w:bCs/>
                    </w:rPr>
                  </w:pPr>
                  <w:r w:rsidRPr="0071229A">
                    <w:rPr>
                      <w:bCs/>
                    </w:rPr>
                    <w:t>e-mail: infoservishk@czso.cz</w:t>
                  </w:r>
                  <w:r>
                    <w:t xml:space="preserve"> | </w:t>
                  </w:r>
                  <w:r w:rsidRPr="0071229A">
                    <w:rPr>
                      <w:b/>
                      <w:bCs/>
                    </w:rPr>
                    <w:t>www.hradeckralove.czso.cz</w:t>
                  </w:r>
                </w:p>
                <w:p w:rsidR="00333234" w:rsidRPr="0071229A" w:rsidRDefault="00333234" w:rsidP="00BD366B">
                  <w:pPr>
                    <w:spacing w:line="240" w:lineRule="auto"/>
                    <w:rPr>
                      <w:bCs/>
                    </w:rPr>
                  </w:pPr>
                </w:p>
                <w:p w:rsidR="00333234" w:rsidRPr="00B27293" w:rsidRDefault="00333234" w:rsidP="00BD366B">
                  <w:pPr>
                    <w:spacing w:line="240" w:lineRule="auto"/>
                    <w:rPr>
                      <w:b/>
                      <w:bCs/>
                      <w:color w:val="0071BC"/>
                    </w:rPr>
                  </w:pPr>
                  <w:r w:rsidRPr="0071229A">
                    <w:rPr>
                      <w:b/>
                      <w:bCs/>
                      <w:color w:val="0071BC"/>
                    </w:rPr>
                    <w:t>Pardubice</w:t>
                  </w:r>
                  <w:r>
                    <w:t xml:space="preserve"> | </w:t>
                  </w:r>
                  <w:r w:rsidRPr="0071229A">
                    <w:rPr>
                      <w:bCs/>
                    </w:rPr>
                    <w:t>V Ráji 872, 531 53 Pardubice</w:t>
                  </w:r>
                  <w:r>
                    <w:t xml:space="preserve"> | </w:t>
                  </w:r>
                  <w:r w:rsidRPr="0071229A">
                    <w:rPr>
                      <w:bCs/>
                    </w:rPr>
                    <w:t>tel.: 466 743 480, 466 743 418</w:t>
                  </w:r>
                </w:p>
                <w:p w:rsidR="00333234" w:rsidRPr="00B27293" w:rsidRDefault="00333234" w:rsidP="00BD366B">
                  <w:pPr>
                    <w:spacing w:line="240" w:lineRule="auto"/>
                    <w:rPr>
                      <w:bCs/>
                    </w:rPr>
                  </w:pPr>
                  <w:r w:rsidRPr="0071229A">
                    <w:rPr>
                      <w:bCs/>
                    </w:rPr>
                    <w:t>e-mail: infoservispa@czso.cz</w:t>
                  </w:r>
                  <w:r>
                    <w:t xml:space="preserve"> | </w:t>
                  </w:r>
                  <w:r w:rsidRPr="0071229A">
                    <w:rPr>
                      <w:b/>
                      <w:bCs/>
                    </w:rPr>
                    <w:t>www.pardubice.czso.cz</w:t>
                  </w:r>
                </w:p>
                <w:p w:rsidR="00333234" w:rsidRPr="0071229A" w:rsidRDefault="00333234" w:rsidP="00BD366B">
                  <w:pPr>
                    <w:spacing w:line="240" w:lineRule="auto"/>
                    <w:rPr>
                      <w:bCs/>
                    </w:rPr>
                  </w:pPr>
                </w:p>
                <w:p w:rsidR="00333234" w:rsidRPr="00B27293" w:rsidRDefault="00333234" w:rsidP="00BD366B">
                  <w:pPr>
                    <w:spacing w:line="240" w:lineRule="auto"/>
                    <w:rPr>
                      <w:b/>
                      <w:bCs/>
                      <w:color w:val="0071BC"/>
                    </w:rPr>
                  </w:pPr>
                  <w:r w:rsidRPr="0071229A">
                    <w:rPr>
                      <w:b/>
                      <w:bCs/>
                      <w:color w:val="0071BC"/>
                    </w:rPr>
                    <w:t>Jihlava</w:t>
                  </w:r>
                  <w:r>
                    <w:t xml:space="preserve"> | </w:t>
                  </w:r>
                  <w:r w:rsidRPr="0071229A">
                    <w:rPr>
                      <w:bCs/>
                    </w:rPr>
                    <w:t>Ke Skalce 30, 586 01 Jihlava</w:t>
                  </w:r>
                  <w:r>
                    <w:t xml:space="preserve"> | t</w:t>
                  </w:r>
                  <w:r w:rsidRPr="0071229A">
                    <w:rPr>
                      <w:bCs/>
                    </w:rPr>
                    <w:t>el.: 567 109 062, 567 109 080</w:t>
                  </w:r>
                </w:p>
                <w:p w:rsidR="00333234" w:rsidRPr="00B27293" w:rsidRDefault="00333234" w:rsidP="00BD366B">
                  <w:pPr>
                    <w:spacing w:line="240" w:lineRule="auto"/>
                    <w:rPr>
                      <w:bCs/>
                    </w:rPr>
                  </w:pPr>
                  <w:r w:rsidRPr="0071229A">
                    <w:rPr>
                      <w:bCs/>
                    </w:rPr>
                    <w:t>e-mail: infoservisvys@czso.cz</w:t>
                  </w:r>
                  <w:r>
                    <w:t xml:space="preserve"> | </w:t>
                  </w:r>
                  <w:r w:rsidRPr="0071229A">
                    <w:rPr>
                      <w:b/>
                      <w:bCs/>
                    </w:rPr>
                    <w:t>www.jihlava.czso.cz</w:t>
                  </w:r>
                </w:p>
                <w:p w:rsidR="00333234" w:rsidRPr="0071229A" w:rsidRDefault="00333234" w:rsidP="00BD366B">
                  <w:pPr>
                    <w:spacing w:line="240" w:lineRule="auto"/>
                    <w:rPr>
                      <w:bCs/>
                    </w:rPr>
                  </w:pPr>
                </w:p>
                <w:p w:rsidR="00333234" w:rsidRPr="00B27293" w:rsidRDefault="00333234" w:rsidP="00BD366B">
                  <w:pPr>
                    <w:spacing w:line="240" w:lineRule="auto"/>
                    <w:rPr>
                      <w:b/>
                      <w:bCs/>
                    </w:rPr>
                  </w:pPr>
                  <w:r w:rsidRPr="0071229A">
                    <w:rPr>
                      <w:b/>
                      <w:bCs/>
                      <w:color w:val="0071BC"/>
                    </w:rPr>
                    <w:t>Brno</w:t>
                  </w:r>
                  <w:r>
                    <w:t xml:space="preserve"> | </w:t>
                  </w:r>
                  <w:r w:rsidRPr="0071229A">
                    <w:rPr>
                      <w:bCs/>
                    </w:rPr>
                    <w:t>Jezuitská 2, 601 59 Brno</w:t>
                  </w:r>
                  <w:r>
                    <w:t xml:space="preserve"> | t</w:t>
                  </w:r>
                  <w:r w:rsidRPr="0071229A">
                    <w:rPr>
                      <w:bCs/>
                    </w:rPr>
                    <w:t>el.: 542 528 115, 542 528 105</w:t>
                  </w:r>
                </w:p>
                <w:p w:rsidR="00333234" w:rsidRPr="00B27293" w:rsidRDefault="00333234" w:rsidP="00BD366B">
                  <w:pPr>
                    <w:spacing w:line="240" w:lineRule="auto"/>
                    <w:rPr>
                      <w:bCs/>
                    </w:rPr>
                  </w:pPr>
                  <w:r w:rsidRPr="0071229A">
                    <w:rPr>
                      <w:bCs/>
                    </w:rPr>
                    <w:t>e-mail: infoservisbrno@czso.cz</w:t>
                  </w:r>
                  <w:r>
                    <w:t xml:space="preserve"> | </w:t>
                  </w:r>
                  <w:r w:rsidRPr="0071229A">
                    <w:rPr>
                      <w:b/>
                      <w:bCs/>
                    </w:rPr>
                    <w:t>www.brno.czso.cz</w:t>
                  </w:r>
                </w:p>
                <w:p w:rsidR="00333234" w:rsidRPr="0071229A" w:rsidRDefault="00333234" w:rsidP="00BD366B">
                  <w:pPr>
                    <w:spacing w:line="240" w:lineRule="auto"/>
                    <w:rPr>
                      <w:bCs/>
                    </w:rPr>
                  </w:pPr>
                </w:p>
                <w:p w:rsidR="00333234" w:rsidRPr="00B27293" w:rsidRDefault="00333234" w:rsidP="00BD366B">
                  <w:pPr>
                    <w:spacing w:line="240" w:lineRule="auto"/>
                    <w:rPr>
                      <w:b/>
                      <w:bCs/>
                    </w:rPr>
                  </w:pPr>
                  <w:r w:rsidRPr="0071229A">
                    <w:rPr>
                      <w:b/>
                      <w:bCs/>
                      <w:color w:val="0071BC"/>
                    </w:rPr>
                    <w:t>Olomouc</w:t>
                  </w:r>
                  <w:r>
                    <w:t xml:space="preserve"> | </w:t>
                  </w:r>
                  <w:proofErr w:type="spellStart"/>
                  <w:r w:rsidRPr="0071229A">
                    <w:rPr>
                      <w:bCs/>
                    </w:rPr>
                    <w:t>Jeremenkova</w:t>
                  </w:r>
                  <w:proofErr w:type="spellEnd"/>
                  <w:r w:rsidRPr="0071229A">
                    <w:rPr>
                      <w:bCs/>
                    </w:rPr>
                    <w:t xml:space="preserve"> 1142/42, 772 11 Olomouc</w:t>
                  </w:r>
                  <w:r>
                    <w:t xml:space="preserve"> | </w:t>
                  </w:r>
                  <w:r w:rsidRPr="0071229A">
                    <w:rPr>
                      <w:bCs/>
                    </w:rPr>
                    <w:t>tel.: 585 731 516, 585 731 509</w:t>
                  </w:r>
                </w:p>
                <w:p w:rsidR="00333234" w:rsidRPr="00B27293" w:rsidRDefault="00333234" w:rsidP="00BD366B">
                  <w:pPr>
                    <w:spacing w:line="240" w:lineRule="auto"/>
                    <w:rPr>
                      <w:bCs/>
                    </w:rPr>
                  </w:pPr>
                  <w:r w:rsidRPr="0071229A">
                    <w:rPr>
                      <w:bCs/>
                    </w:rPr>
                    <w:t>e-mail: infoservisolom@czso.cz</w:t>
                  </w:r>
                  <w:r>
                    <w:t xml:space="preserve"> | </w:t>
                  </w:r>
                  <w:r w:rsidRPr="0071229A">
                    <w:rPr>
                      <w:b/>
                      <w:bCs/>
                    </w:rPr>
                    <w:t>www.olomouc.czso.cz</w:t>
                  </w:r>
                </w:p>
                <w:p w:rsidR="00333234" w:rsidRPr="0071229A" w:rsidRDefault="00333234" w:rsidP="00BD366B">
                  <w:pPr>
                    <w:spacing w:line="240" w:lineRule="auto"/>
                    <w:rPr>
                      <w:bCs/>
                    </w:rPr>
                  </w:pPr>
                </w:p>
                <w:p w:rsidR="00333234" w:rsidRPr="00B27293" w:rsidRDefault="00333234" w:rsidP="00BD366B">
                  <w:pPr>
                    <w:spacing w:line="240" w:lineRule="auto"/>
                    <w:rPr>
                      <w:b/>
                      <w:bCs/>
                    </w:rPr>
                  </w:pPr>
                  <w:r w:rsidRPr="0071229A">
                    <w:rPr>
                      <w:b/>
                      <w:bCs/>
                      <w:color w:val="0071BC"/>
                    </w:rPr>
                    <w:t>Ostrava</w:t>
                  </w:r>
                  <w:r>
                    <w:t xml:space="preserve"> | </w:t>
                  </w:r>
                  <w:proofErr w:type="spellStart"/>
                  <w:r w:rsidRPr="0071229A">
                    <w:rPr>
                      <w:bCs/>
                    </w:rPr>
                    <w:t>Repinova</w:t>
                  </w:r>
                  <w:proofErr w:type="spellEnd"/>
                  <w:r w:rsidRPr="0071229A">
                    <w:rPr>
                      <w:bCs/>
                    </w:rPr>
                    <w:t xml:space="preserve"> 17, 702 03 Ostrava</w:t>
                  </w:r>
                  <w:r>
                    <w:t xml:space="preserve"> | </w:t>
                  </w:r>
                  <w:r w:rsidRPr="0071229A">
                    <w:rPr>
                      <w:bCs/>
                    </w:rPr>
                    <w:t>tel.: 595 131 230, 595 131 232</w:t>
                  </w:r>
                </w:p>
                <w:p w:rsidR="00333234" w:rsidRPr="00B27293" w:rsidRDefault="00333234" w:rsidP="00BD366B">
                  <w:pPr>
                    <w:spacing w:line="240" w:lineRule="auto"/>
                    <w:rPr>
                      <w:bCs/>
                    </w:rPr>
                  </w:pPr>
                  <w:r w:rsidRPr="0071229A">
                    <w:rPr>
                      <w:bCs/>
                    </w:rPr>
                    <w:t>e-mail: infoservis_ov@czso.cz</w:t>
                  </w:r>
                  <w:r>
                    <w:t xml:space="preserve"> | </w:t>
                  </w:r>
                  <w:r w:rsidRPr="0071229A">
                    <w:rPr>
                      <w:b/>
                      <w:bCs/>
                    </w:rPr>
                    <w:t>www.ostrava.czso.cz</w:t>
                  </w:r>
                </w:p>
                <w:p w:rsidR="00333234" w:rsidRPr="0071229A" w:rsidRDefault="00333234" w:rsidP="00BD366B">
                  <w:pPr>
                    <w:spacing w:line="240" w:lineRule="auto"/>
                    <w:rPr>
                      <w:bCs/>
                    </w:rPr>
                  </w:pPr>
                </w:p>
                <w:p w:rsidR="00333234" w:rsidRPr="0071229A" w:rsidRDefault="00333234" w:rsidP="00BD366B">
                  <w:pPr>
                    <w:spacing w:line="240" w:lineRule="auto"/>
                    <w:rPr>
                      <w:bCs/>
                    </w:rPr>
                  </w:pPr>
                  <w:r w:rsidRPr="0071229A">
                    <w:rPr>
                      <w:b/>
                      <w:bCs/>
                      <w:color w:val="0071BC"/>
                    </w:rPr>
                    <w:t>Zlín</w:t>
                  </w:r>
                  <w:r>
                    <w:t xml:space="preserve"> | </w:t>
                  </w:r>
                  <w:r w:rsidRPr="0071229A">
                    <w:rPr>
                      <w:bCs/>
                    </w:rPr>
                    <w:t>tř. Tomáše Bati 1565, 761 76 Zlín</w:t>
                  </w:r>
                  <w:r>
                    <w:t xml:space="preserve"> | </w:t>
                  </w:r>
                  <w:r w:rsidRPr="0071229A">
                    <w:rPr>
                      <w:bCs/>
                    </w:rPr>
                    <w:t>tel.: 577 004 931, 577 004 935</w:t>
                  </w:r>
                </w:p>
                <w:p w:rsidR="00333234" w:rsidRPr="00B27293" w:rsidRDefault="00333234" w:rsidP="00BD366B">
                  <w:pPr>
                    <w:spacing w:line="240" w:lineRule="auto"/>
                    <w:rPr>
                      <w:bCs/>
                    </w:rPr>
                  </w:pPr>
                  <w:r w:rsidRPr="0071229A">
                    <w:rPr>
                      <w:bCs/>
                    </w:rPr>
                    <w:t>e-mail: infoservis-zl@czso.cz</w:t>
                  </w:r>
                  <w:r>
                    <w:t xml:space="preserve"> | </w:t>
                  </w:r>
                  <w:r w:rsidRPr="0071229A">
                    <w:rPr>
                      <w:b/>
                      <w:bCs/>
                    </w:rPr>
                    <w:t>www.zlin.czso.cz</w:t>
                  </w:r>
                </w:p>
                <w:p w:rsidR="00333234" w:rsidRPr="00B27293" w:rsidRDefault="00333234" w:rsidP="00BD366B">
                  <w:pPr>
                    <w:spacing w:line="240" w:lineRule="auto"/>
                  </w:pPr>
                </w:p>
              </w:txbxContent>
            </v:textbox>
            <w10:wrap anchorx="page" anchory="page"/>
            <w10:anchorlock/>
          </v:shape>
        </w:pict>
      </w:r>
      <w:r w:rsidRPr="00513C6F">
        <w:rPr>
          <w:noProof/>
          <w:lang w:eastAsia="cs-CZ"/>
        </w:rPr>
        <w:pict>
          <v:shape id="_x0000_s1039" type="#_x0000_t202" style="position:absolute;margin-left:56.7pt;margin-top:56.7pt;width:481.85pt;height:33.1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" filled="f" stroked="f">
            <v:textbox style="mso-fit-shape-to-text:t" inset="0,0,0,0">
              <w:txbxContent>
                <w:p w:rsidR="00333234" w:rsidRPr="00B95F50" w:rsidRDefault="00333234" w:rsidP="0060487F">
                  <w:pPr>
                    <w:rPr>
                      <w:b/>
                      <w:bCs/>
                      <w:sz w:val="24"/>
                    </w:rPr>
                  </w:pPr>
                  <w:r w:rsidRPr="009362AF">
                    <w:rPr>
                      <w:b/>
                      <w:color w:val="0071BC"/>
                      <w:sz w:val="24"/>
                    </w:rPr>
                    <w:t>Zajímají Vás nejnovější údaje o inflaci, HDP, obyvatelstvu, průměrných mzdách</w:t>
                  </w:r>
                  <w:r w:rsidRPr="00B95F50">
                    <w:rPr>
                      <w:b/>
                      <w:color w:val="0071BC"/>
                    </w:rPr>
                    <w:t xml:space="preserve"> </w:t>
                  </w:r>
                  <w:r>
                    <w:rPr>
                      <w:b/>
                      <w:color w:val="0071BC"/>
                      <w:sz w:val="24"/>
                    </w:rPr>
                    <w:br/>
                  </w:r>
                  <w:r w:rsidRPr="00B95F50">
                    <w:rPr>
                      <w:b/>
                      <w:color w:val="0071BC"/>
                      <w:sz w:val="24"/>
                    </w:rPr>
                    <w:t xml:space="preserve">a mnohé další? Najdete je na stránkách ČSÚ na internetu: </w:t>
                  </w:r>
                  <w:r w:rsidRPr="00B95F50">
                    <w:rPr>
                      <w:b/>
                      <w:bCs/>
                      <w:sz w:val="24"/>
                    </w:rPr>
                    <w:t>www.czso.cz</w:t>
                  </w:r>
                </w:p>
              </w:txbxContent>
            </v:textbox>
            <w10:wrap anchorx="page" anchory="page"/>
            <w10:anchorlock/>
          </v:shape>
        </w:pict>
      </w:r>
      <w:r w:rsidRPr="00513C6F">
        <w:rPr>
          <w:noProof/>
          <w:lang w:eastAsia="cs-CZ"/>
        </w:rPr>
        <w:pict>
          <v:shape id="_x0000_s1040" type="#_x0000_t202" style="position:absolute;margin-left:56.35pt;margin-top:747pt;width:481.9pt;height:28.3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" filled="f" stroked="f">
            <v:textbox inset="0,0,0,0">
              <w:txbxContent>
                <w:p w:rsidR="00333234" w:rsidRPr="00841D9F" w:rsidRDefault="00333234" w:rsidP="004F06F5"/>
                <w:p w:rsidR="00333234" w:rsidRPr="00AF2852" w:rsidRDefault="00333234" w:rsidP="004F06F5">
                  <w:r w:rsidRPr="00841D9F">
                    <w:t>© Český sta</w:t>
                  </w:r>
                  <w:r>
                    <w:t>tistický úřad, Praha, 2015</w:t>
                  </w:r>
                </w:p>
              </w:txbxContent>
            </v:textbox>
            <w10:wrap anchorx="page" anchory="page"/>
            <w10:anchorlock/>
          </v:shape>
        </w:pict>
      </w:r>
    </w:p>
    <w:p w:rsidR="005D5A35" w:rsidRDefault="005D5A35" w:rsidP="00F04811">
      <w:pPr>
        <w:pStyle w:val="Zkladnodstavec"/>
        <w:spacing w:after="240"/>
        <w:rPr>
          <w:rFonts w:ascii="Arial" w:hAnsi="Arial" w:cs="Arial"/>
          <w:b/>
          <w:color w:val="A5007B"/>
          <w:sz w:val="32"/>
          <w:szCs w:val="32"/>
        </w:rPr>
      </w:pPr>
    </w:p>
    <w:p w:rsidR="005D5A35" w:rsidRPr="0060487F" w:rsidRDefault="005D5A35">
      <w:pPr>
        <w:rPr>
          <w:rFonts w:cs="Arial"/>
          <w:b/>
          <w:color w:val="A5007B"/>
          <w:sz w:val="32"/>
          <w:szCs w:val="32"/>
        </w:rPr>
        <w:sectPr w:rsidR="005D5A35" w:rsidRPr="0060487F" w:rsidSect="00F46FD1">
          <w:pgSz w:w="11906" w:h="16838" w:code="9"/>
          <w:pgMar w:top="1134" w:right="1134" w:bottom="1418" w:left="1134" w:header="709" w:footer="709" w:gutter="0"/>
          <w:cols w:space="708"/>
          <w:titlePg/>
          <w:docGrid w:linePitch="360"/>
        </w:sectPr>
      </w:pPr>
    </w:p>
    <w:p w:rsidR="005D5A35" w:rsidRPr="008B0C8B" w:rsidRDefault="005D5A35" w:rsidP="008B0C8B">
      <w:pPr>
        <w:pStyle w:val="Nadpis1"/>
        <w:spacing w:after="120" w:line="240" w:lineRule="auto"/>
      </w:pPr>
      <w:bookmarkStart w:id="1" w:name="_Toc412459447"/>
      <w:bookmarkStart w:id="2" w:name="_Toc424828109"/>
      <w:bookmarkStart w:id="3" w:name="_Toc426017646"/>
      <w:r w:rsidRPr="001C357A">
        <w:lastRenderedPageBreak/>
        <w:t>Obsah</w:t>
      </w:r>
      <w:bookmarkEnd w:id="1"/>
      <w:bookmarkEnd w:id="2"/>
      <w:bookmarkEnd w:id="3"/>
    </w:p>
    <w:p w:rsidR="00171D2A" w:rsidRDefault="00513C6F">
      <w:pPr>
        <w:pStyle w:val="Obsah1"/>
        <w:rPr>
          <w:rFonts w:asciiTheme="minorHAnsi" w:eastAsiaTheme="minorEastAsia" w:hAnsiTheme="minorHAnsi" w:cstheme="minorBidi"/>
          <w:b w:val="0"/>
          <w:sz w:val="22"/>
          <w:szCs w:val="22"/>
          <w:lang w:eastAsia="cs-CZ"/>
        </w:rPr>
      </w:pPr>
      <w:r w:rsidRPr="00513C6F">
        <w:fldChar w:fldCharType="begin"/>
      </w:r>
      <w:r w:rsidR="005D5A35" w:rsidRPr="00E921C7">
        <w:instrText xml:space="preserve"> TOC \o "1-3" \h \z \u </w:instrText>
      </w:r>
      <w:r w:rsidRPr="00513C6F">
        <w:fldChar w:fldCharType="separate"/>
      </w:r>
      <w:hyperlink w:anchor="_Toc426017646" w:history="1">
        <w:r w:rsidR="00171D2A" w:rsidRPr="008E1EE8">
          <w:rPr>
            <w:rStyle w:val="Hypertextovodkaz"/>
          </w:rPr>
          <w:t>Obsah</w:t>
        </w:r>
        <w:r w:rsidR="00171D2A">
          <w:rPr>
            <w:rStyle w:val="Hypertextovodkaz"/>
          </w:rPr>
          <w:tab/>
        </w:r>
        <w:r w:rsidR="00171D2A">
          <w:rPr>
            <w:webHidden/>
          </w:rPr>
          <w:tab/>
        </w:r>
        <w:r w:rsidR="00171D2A">
          <w:rPr>
            <w:webHidden/>
          </w:rPr>
          <w:fldChar w:fldCharType="begin"/>
        </w:r>
        <w:r w:rsidR="00171D2A">
          <w:rPr>
            <w:webHidden/>
          </w:rPr>
          <w:instrText xml:space="preserve"> PAGEREF _Toc426017646 \h </w:instrText>
        </w:r>
        <w:r w:rsidR="00171D2A">
          <w:rPr>
            <w:webHidden/>
          </w:rPr>
        </w:r>
        <w:r w:rsidR="00171D2A">
          <w:rPr>
            <w:webHidden/>
          </w:rPr>
          <w:fldChar w:fldCharType="separate"/>
        </w:r>
        <w:r w:rsidR="00171D2A">
          <w:rPr>
            <w:webHidden/>
          </w:rPr>
          <w:t>3</w:t>
        </w:r>
        <w:r w:rsidR="00171D2A">
          <w:rPr>
            <w:webHidden/>
          </w:rPr>
          <w:fldChar w:fldCharType="end"/>
        </w:r>
      </w:hyperlink>
    </w:p>
    <w:p w:rsidR="00171D2A" w:rsidRDefault="00171D2A">
      <w:pPr>
        <w:pStyle w:val="Obsah1"/>
        <w:rPr>
          <w:rFonts w:asciiTheme="minorHAnsi" w:eastAsiaTheme="minorEastAsia" w:hAnsiTheme="minorHAnsi" w:cstheme="minorBidi"/>
          <w:b w:val="0"/>
          <w:sz w:val="22"/>
          <w:szCs w:val="22"/>
          <w:lang w:eastAsia="cs-CZ"/>
        </w:rPr>
      </w:pPr>
      <w:hyperlink w:anchor="_Toc426017647" w:history="1">
        <w:r w:rsidRPr="008E1EE8">
          <w:rPr>
            <w:rStyle w:val="Hypertextovodkaz"/>
          </w:rPr>
          <w:t>Úvod</w:t>
        </w:r>
        <w:r>
          <w:rPr>
            <w:webHidden/>
          </w:rPr>
          <w:tab/>
        </w:r>
        <w:r>
          <w:rPr>
            <w:webHidden/>
          </w:rPr>
          <w:tab/>
        </w:r>
        <w:r>
          <w:rPr>
            <w:webHidden/>
          </w:rPr>
          <w:fldChar w:fldCharType="begin"/>
        </w:r>
        <w:r>
          <w:rPr>
            <w:webHidden/>
          </w:rPr>
          <w:instrText xml:space="preserve"> PAGEREF _Toc426017647 \h </w:instrText>
        </w:r>
        <w:r>
          <w:rPr>
            <w:webHidden/>
          </w:rPr>
        </w:r>
        <w:r>
          <w:rPr>
            <w:webHidden/>
          </w:rPr>
          <w:fldChar w:fldCharType="separate"/>
        </w:r>
        <w:r>
          <w:rPr>
            <w:webHidden/>
          </w:rPr>
          <w:t>4</w:t>
        </w:r>
        <w:r>
          <w:rPr>
            <w:webHidden/>
          </w:rPr>
          <w:fldChar w:fldCharType="end"/>
        </w:r>
      </w:hyperlink>
    </w:p>
    <w:p w:rsidR="00171D2A" w:rsidRDefault="00171D2A">
      <w:pPr>
        <w:pStyle w:val="Obsah1"/>
        <w:rPr>
          <w:rFonts w:asciiTheme="minorHAnsi" w:eastAsiaTheme="minorEastAsia" w:hAnsiTheme="minorHAnsi" w:cstheme="minorBidi"/>
          <w:b w:val="0"/>
          <w:sz w:val="22"/>
          <w:szCs w:val="22"/>
          <w:lang w:eastAsia="cs-CZ"/>
        </w:rPr>
      </w:pPr>
      <w:hyperlink w:anchor="_Toc426017648" w:history="1">
        <w:r w:rsidRPr="008E1EE8">
          <w:rPr>
            <w:rStyle w:val="Hypertextovodkaz"/>
          </w:rPr>
          <w:t>1.</w:t>
        </w:r>
        <w:r>
          <w:rPr>
            <w:rFonts w:asciiTheme="minorHAnsi" w:eastAsiaTheme="minorEastAsia" w:hAnsiTheme="minorHAnsi" w:cstheme="minorBidi"/>
            <w:b w:val="0"/>
            <w:sz w:val="22"/>
            <w:szCs w:val="22"/>
            <w:lang w:eastAsia="cs-CZ"/>
          </w:rPr>
          <w:tab/>
        </w:r>
        <w:r w:rsidRPr="008E1EE8">
          <w:rPr>
            <w:rStyle w:val="Hypertextovodkaz"/>
          </w:rPr>
          <w:t>Shrnutí</w:t>
        </w:r>
        <w:r>
          <w:rPr>
            <w:webHidden/>
          </w:rPr>
          <w:tab/>
        </w:r>
        <w:r>
          <w:rPr>
            <w:webHidden/>
          </w:rPr>
          <w:fldChar w:fldCharType="begin"/>
        </w:r>
        <w:r>
          <w:rPr>
            <w:webHidden/>
          </w:rPr>
          <w:instrText xml:space="preserve"> PAGEREF _Toc426017648 \h </w:instrText>
        </w:r>
        <w:r>
          <w:rPr>
            <w:webHidden/>
          </w:rPr>
        </w:r>
        <w:r>
          <w:rPr>
            <w:webHidden/>
          </w:rPr>
          <w:fldChar w:fldCharType="separate"/>
        </w:r>
        <w:r>
          <w:rPr>
            <w:webHidden/>
          </w:rPr>
          <w:t>5</w:t>
        </w:r>
        <w:r>
          <w:rPr>
            <w:webHidden/>
          </w:rPr>
          <w:fldChar w:fldCharType="end"/>
        </w:r>
      </w:hyperlink>
    </w:p>
    <w:p w:rsidR="00171D2A" w:rsidRDefault="00171D2A">
      <w:pPr>
        <w:pStyle w:val="Obsah1"/>
        <w:rPr>
          <w:rFonts w:asciiTheme="minorHAnsi" w:eastAsiaTheme="minorEastAsia" w:hAnsiTheme="minorHAnsi" w:cstheme="minorBidi"/>
          <w:b w:val="0"/>
          <w:sz w:val="22"/>
          <w:szCs w:val="22"/>
          <w:lang w:eastAsia="cs-CZ"/>
        </w:rPr>
      </w:pPr>
      <w:hyperlink w:anchor="_Toc426017649" w:history="1">
        <w:r w:rsidRPr="008E1EE8">
          <w:rPr>
            <w:rStyle w:val="Hypertextovodkaz"/>
          </w:rPr>
          <w:t>2.</w:t>
        </w:r>
        <w:r>
          <w:rPr>
            <w:rFonts w:asciiTheme="minorHAnsi" w:eastAsiaTheme="minorEastAsia" w:hAnsiTheme="minorHAnsi" w:cstheme="minorBidi"/>
            <w:b w:val="0"/>
            <w:sz w:val="22"/>
            <w:szCs w:val="22"/>
            <w:lang w:eastAsia="cs-CZ"/>
          </w:rPr>
          <w:tab/>
        </w:r>
        <w:r w:rsidRPr="008E1EE8">
          <w:rPr>
            <w:rStyle w:val="Hypertextovodkaz"/>
          </w:rPr>
          <w:t>Souhrnná výkonnost ekonomiky</w:t>
        </w:r>
        <w:r>
          <w:rPr>
            <w:webHidden/>
          </w:rPr>
          <w:tab/>
        </w:r>
        <w:r>
          <w:rPr>
            <w:webHidden/>
          </w:rPr>
          <w:fldChar w:fldCharType="begin"/>
        </w:r>
        <w:r>
          <w:rPr>
            <w:webHidden/>
          </w:rPr>
          <w:instrText xml:space="preserve"> PAGEREF _Toc426017649 \h </w:instrText>
        </w:r>
        <w:r>
          <w:rPr>
            <w:webHidden/>
          </w:rPr>
        </w:r>
        <w:r>
          <w:rPr>
            <w:webHidden/>
          </w:rPr>
          <w:fldChar w:fldCharType="separate"/>
        </w:r>
        <w:r>
          <w:rPr>
            <w:webHidden/>
          </w:rPr>
          <w:t>7</w:t>
        </w:r>
        <w:r>
          <w:rPr>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50" w:history="1">
        <w:r w:rsidRPr="008E1EE8">
          <w:rPr>
            <w:rStyle w:val="Hypertextovodkaz"/>
            <w:noProof/>
          </w:rPr>
          <w:t>2.1.</w:t>
        </w:r>
        <w:r>
          <w:rPr>
            <w:rFonts w:asciiTheme="minorHAnsi" w:eastAsiaTheme="minorEastAsia" w:hAnsiTheme="minorHAnsi" w:cstheme="minorBidi"/>
            <w:noProof/>
            <w:sz w:val="22"/>
            <w:szCs w:val="22"/>
          </w:rPr>
          <w:tab/>
        </w:r>
        <w:r w:rsidRPr="008E1EE8">
          <w:rPr>
            <w:rStyle w:val="Hypertextovodkaz"/>
            <w:noProof/>
          </w:rPr>
          <w:t>Hrubý domácí produkt</w:t>
        </w:r>
        <w:r>
          <w:rPr>
            <w:noProof/>
            <w:webHidden/>
          </w:rPr>
          <w:tab/>
        </w:r>
        <w:r>
          <w:rPr>
            <w:noProof/>
            <w:webHidden/>
          </w:rPr>
          <w:fldChar w:fldCharType="begin"/>
        </w:r>
        <w:r>
          <w:rPr>
            <w:noProof/>
            <w:webHidden/>
          </w:rPr>
          <w:instrText xml:space="preserve"> PAGEREF _Toc426017650 \h </w:instrText>
        </w:r>
        <w:r>
          <w:rPr>
            <w:noProof/>
            <w:webHidden/>
          </w:rPr>
        </w:r>
        <w:r>
          <w:rPr>
            <w:noProof/>
            <w:webHidden/>
          </w:rPr>
          <w:fldChar w:fldCharType="separate"/>
        </w:r>
        <w:r>
          <w:rPr>
            <w:noProof/>
            <w:webHidden/>
          </w:rPr>
          <w:t>7</w:t>
        </w:r>
        <w:r>
          <w:rPr>
            <w:noProof/>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51" w:history="1">
        <w:r w:rsidRPr="008E1EE8">
          <w:rPr>
            <w:rStyle w:val="Hypertextovodkaz"/>
            <w:noProof/>
          </w:rPr>
          <w:t>2.2.</w:t>
        </w:r>
        <w:r>
          <w:rPr>
            <w:rFonts w:asciiTheme="minorHAnsi" w:eastAsiaTheme="minorEastAsia" w:hAnsiTheme="minorHAnsi" w:cstheme="minorBidi"/>
            <w:noProof/>
            <w:sz w:val="22"/>
            <w:szCs w:val="22"/>
          </w:rPr>
          <w:tab/>
        </w:r>
        <w:r w:rsidRPr="008E1EE8">
          <w:rPr>
            <w:rStyle w:val="Hypertextovodkaz"/>
            <w:noProof/>
          </w:rPr>
          <w:t>Výdajová strana hrubého domácího produktu</w:t>
        </w:r>
        <w:r>
          <w:rPr>
            <w:noProof/>
            <w:webHidden/>
          </w:rPr>
          <w:tab/>
        </w:r>
        <w:r>
          <w:rPr>
            <w:noProof/>
            <w:webHidden/>
          </w:rPr>
          <w:fldChar w:fldCharType="begin"/>
        </w:r>
        <w:r>
          <w:rPr>
            <w:noProof/>
            <w:webHidden/>
          </w:rPr>
          <w:instrText xml:space="preserve"> PAGEREF _Toc426017651 \h </w:instrText>
        </w:r>
        <w:r>
          <w:rPr>
            <w:noProof/>
            <w:webHidden/>
          </w:rPr>
        </w:r>
        <w:r>
          <w:rPr>
            <w:noProof/>
            <w:webHidden/>
          </w:rPr>
          <w:fldChar w:fldCharType="separate"/>
        </w:r>
        <w:r>
          <w:rPr>
            <w:noProof/>
            <w:webHidden/>
          </w:rPr>
          <w:t>9</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52" w:history="1">
        <w:r w:rsidRPr="008E1EE8">
          <w:rPr>
            <w:rStyle w:val="Hypertextovodkaz"/>
            <w:noProof/>
          </w:rPr>
          <w:t>2.2.1.</w:t>
        </w:r>
        <w:r>
          <w:rPr>
            <w:rFonts w:asciiTheme="minorHAnsi" w:eastAsiaTheme="minorEastAsia" w:hAnsiTheme="minorHAnsi" w:cstheme="minorBidi"/>
            <w:noProof/>
            <w:sz w:val="22"/>
            <w:szCs w:val="22"/>
          </w:rPr>
          <w:tab/>
        </w:r>
        <w:r w:rsidRPr="008E1EE8">
          <w:rPr>
            <w:rStyle w:val="Hypertextovodkaz"/>
            <w:noProof/>
          </w:rPr>
          <w:t>Výdaje na konečnou spotřebu domácností</w:t>
        </w:r>
        <w:r>
          <w:rPr>
            <w:noProof/>
            <w:webHidden/>
          </w:rPr>
          <w:tab/>
        </w:r>
        <w:r>
          <w:rPr>
            <w:noProof/>
            <w:webHidden/>
          </w:rPr>
          <w:fldChar w:fldCharType="begin"/>
        </w:r>
        <w:r>
          <w:rPr>
            <w:noProof/>
            <w:webHidden/>
          </w:rPr>
          <w:instrText xml:space="preserve"> PAGEREF _Toc426017652 \h </w:instrText>
        </w:r>
        <w:r>
          <w:rPr>
            <w:noProof/>
            <w:webHidden/>
          </w:rPr>
        </w:r>
        <w:r>
          <w:rPr>
            <w:noProof/>
            <w:webHidden/>
          </w:rPr>
          <w:fldChar w:fldCharType="separate"/>
        </w:r>
        <w:r>
          <w:rPr>
            <w:noProof/>
            <w:webHidden/>
          </w:rPr>
          <w:t>9</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53" w:history="1">
        <w:r w:rsidRPr="008E1EE8">
          <w:rPr>
            <w:rStyle w:val="Hypertextovodkaz"/>
            <w:noProof/>
          </w:rPr>
          <w:t>2.2.2.</w:t>
        </w:r>
        <w:r>
          <w:rPr>
            <w:rFonts w:asciiTheme="minorHAnsi" w:eastAsiaTheme="minorEastAsia" w:hAnsiTheme="minorHAnsi" w:cstheme="minorBidi"/>
            <w:noProof/>
            <w:sz w:val="22"/>
            <w:szCs w:val="22"/>
          </w:rPr>
          <w:tab/>
        </w:r>
        <w:r w:rsidRPr="008E1EE8">
          <w:rPr>
            <w:rStyle w:val="Hypertextovodkaz"/>
            <w:noProof/>
          </w:rPr>
          <w:t>Výdaje na konečnou spotřebu vládních institucí</w:t>
        </w:r>
        <w:r>
          <w:rPr>
            <w:noProof/>
            <w:webHidden/>
          </w:rPr>
          <w:tab/>
        </w:r>
        <w:r>
          <w:rPr>
            <w:noProof/>
            <w:webHidden/>
          </w:rPr>
          <w:fldChar w:fldCharType="begin"/>
        </w:r>
        <w:r>
          <w:rPr>
            <w:noProof/>
            <w:webHidden/>
          </w:rPr>
          <w:instrText xml:space="preserve"> PAGEREF _Toc426017653 \h </w:instrText>
        </w:r>
        <w:r>
          <w:rPr>
            <w:noProof/>
            <w:webHidden/>
          </w:rPr>
        </w:r>
        <w:r>
          <w:rPr>
            <w:noProof/>
            <w:webHidden/>
          </w:rPr>
          <w:fldChar w:fldCharType="separate"/>
        </w:r>
        <w:r>
          <w:rPr>
            <w:noProof/>
            <w:webHidden/>
          </w:rPr>
          <w:t>11</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54" w:history="1">
        <w:r w:rsidRPr="008E1EE8">
          <w:rPr>
            <w:rStyle w:val="Hypertextovodkaz"/>
            <w:noProof/>
          </w:rPr>
          <w:t>2.2.3.</w:t>
        </w:r>
        <w:r>
          <w:rPr>
            <w:rFonts w:asciiTheme="minorHAnsi" w:eastAsiaTheme="minorEastAsia" w:hAnsiTheme="minorHAnsi" w:cstheme="minorBidi"/>
            <w:noProof/>
            <w:sz w:val="22"/>
            <w:szCs w:val="22"/>
          </w:rPr>
          <w:tab/>
        </w:r>
        <w:r w:rsidRPr="008E1EE8">
          <w:rPr>
            <w:rStyle w:val="Hypertextovodkaz"/>
            <w:noProof/>
          </w:rPr>
          <w:t>Tvorba hrubého fixního kapitálu</w:t>
        </w:r>
        <w:r>
          <w:rPr>
            <w:noProof/>
            <w:webHidden/>
          </w:rPr>
          <w:tab/>
        </w:r>
        <w:r>
          <w:rPr>
            <w:noProof/>
            <w:webHidden/>
          </w:rPr>
          <w:fldChar w:fldCharType="begin"/>
        </w:r>
        <w:r>
          <w:rPr>
            <w:noProof/>
            <w:webHidden/>
          </w:rPr>
          <w:instrText xml:space="preserve"> PAGEREF _Toc426017654 \h </w:instrText>
        </w:r>
        <w:r>
          <w:rPr>
            <w:noProof/>
            <w:webHidden/>
          </w:rPr>
        </w:r>
        <w:r>
          <w:rPr>
            <w:noProof/>
            <w:webHidden/>
          </w:rPr>
          <w:fldChar w:fldCharType="separate"/>
        </w:r>
        <w:r>
          <w:rPr>
            <w:noProof/>
            <w:webHidden/>
          </w:rPr>
          <w:t>13</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55" w:history="1">
        <w:r w:rsidRPr="008E1EE8">
          <w:rPr>
            <w:rStyle w:val="Hypertextovodkaz"/>
            <w:noProof/>
          </w:rPr>
          <w:t>2.2.4.</w:t>
        </w:r>
        <w:r>
          <w:rPr>
            <w:rFonts w:asciiTheme="minorHAnsi" w:eastAsiaTheme="minorEastAsia" w:hAnsiTheme="minorHAnsi" w:cstheme="minorBidi"/>
            <w:noProof/>
            <w:sz w:val="22"/>
            <w:szCs w:val="22"/>
          </w:rPr>
          <w:tab/>
        </w:r>
        <w:r w:rsidRPr="008E1EE8">
          <w:rPr>
            <w:rStyle w:val="Hypertextovodkaz"/>
            <w:noProof/>
          </w:rPr>
          <w:t>Změna zásob</w:t>
        </w:r>
        <w:r>
          <w:rPr>
            <w:noProof/>
            <w:webHidden/>
          </w:rPr>
          <w:tab/>
        </w:r>
        <w:r>
          <w:rPr>
            <w:noProof/>
            <w:webHidden/>
          </w:rPr>
          <w:fldChar w:fldCharType="begin"/>
        </w:r>
        <w:r>
          <w:rPr>
            <w:noProof/>
            <w:webHidden/>
          </w:rPr>
          <w:instrText xml:space="preserve"> PAGEREF _Toc426017655 \h </w:instrText>
        </w:r>
        <w:r>
          <w:rPr>
            <w:noProof/>
            <w:webHidden/>
          </w:rPr>
        </w:r>
        <w:r>
          <w:rPr>
            <w:noProof/>
            <w:webHidden/>
          </w:rPr>
          <w:fldChar w:fldCharType="separate"/>
        </w:r>
        <w:r>
          <w:rPr>
            <w:noProof/>
            <w:webHidden/>
          </w:rPr>
          <w:t>15</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56" w:history="1">
        <w:r w:rsidRPr="008E1EE8">
          <w:rPr>
            <w:rStyle w:val="Hypertextovodkaz"/>
            <w:noProof/>
          </w:rPr>
          <w:t>2.2.5.</w:t>
        </w:r>
        <w:r>
          <w:rPr>
            <w:rFonts w:asciiTheme="minorHAnsi" w:eastAsiaTheme="minorEastAsia" w:hAnsiTheme="minorHAnsi" w:cstheme="minorBidi"/>
            <w:noProof/>
            <w:sz w:val="22"/>
            <w:szCs w:val="22"/>
          </w:rPr>
          <w:tab/>
        </w:r>
        <w:r w:rsidRPr="008E1EE8">
          <w:rPr>
            <w:rStyle w:val="Hypertextovodkaz"/>
            <w:noProof/>
          </w:rPr>
          <w:t>Bilance zahraničního obchodu</w:t>
        </w:r>
        <w:r>
          <w:rPr>
            <w:noProof/>
            <w:webHidden/>
          </w:rPr>
          <w:tab/>
        </w:r>
        <w:r>
          <w:rPr>
            <w:noProof/>
            <w:webHidden/>
          </w:rPr>
          <w:fldChar w:fldCharType="begin"/>
        </w:r>
        <w:r>
          <w:rPr>
            <w:noProof/>
            <w:webHidden/>
          </w:rPr>
          <w:instrText xml:space="preserve"> PAGEREF _Toc426017656 \h </w:instrText>
        </w:r>
        <w:r>
          <w:rPr>
            <w:noProof/>
            <w:webHidden/>
          </w:rPr>
        </w:r>
        <w:r>
          <w:rPr>
            <w:noProof/>
            <w:webHidden/>
          </w:rPr>
          <w:fldChar w:fldCharType="separate"/>
        </w:r>
        <w:r>
          <w:rPr>
            <w:noProof/>
            <w:webHidden/>
          </w:rPr>
          <w:t>15</w:t>
        </w:r>
        <w:r>
          <w:rPr>
            <w:noProof/>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57" w:history="1">
        <w:r w:rsidRPr="008E1EE8">
          <w:rPr>
            <w:rStyle w:val="Hypertextovodkaz"/>
            <w:noProof/>
          </w:rPr>
          <w:t>2.3.</w:t>
        </w:r>
        <w:r>
          <w:rPr>
            <w:rFonts w:asciiTheme="minorHAnsi" w:eastAsiaTheme="minorEastAsia" w:hAnsiTheme="minorHAnsi" w:cstheme="minorBidi"/>
            <w:noProof/>
            <w:sz w:val="22"/>
            <w:szCs w:val="22"/>
          </w:rPr>
          <w:tab/>
        </w:r>
        <w:r w:rsidRPr="008E1EE8">
          <w:rPr>
            <w:rStyle w:val="Hypertextovodkaz"/>
            <w:noProof/>
          </w:rPr>
          <w:t>Nabídková strana hrubého domácího produktu</w:t>
        </w:r>
        <w:r>
          <w:rPr>
            <w:noProof/>
            <w:webHidden/>
          </w:rPr>
          <w:tab/>
        </w:r>
        <w:r>
          <w:rPr>
            <w:noProof/>
            <w:webHidden/>
          </w:rPr>
          <w:fldChar w:fldCharType="begin"/>
        </w:r>
        <w:r>
          <w:rPr>
            <w:noProof/>
            <w:webHidden/>
          </w:rPr>
          <w:instrText xml:space="preserve"> PAGEREF _Toc426017657 \h </w:instrText>
        </w:r>
        <w:r>
          <w:rPr>
            <w:noProof/>
            <w:webHidden/>
          </w:rPr>
        </w:r>
        <w:r>
          <w:rPr>
            <w:noProof/>
            <w:webHidden/>
          </w:rPr>
          <w:fldChar w:fldCharType="separate"/>
        </w:r>
        <w:r>
          <w:rPr>
            <w:noProof/>
            <w:webHidden/>
          </w:rPr>
          <w:t>17</w:t>
        </w:r>
        <w:r>
          <w:rPr>
            <w:noProof/>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58" w:history="1">
        <w:r w:rsidRPr="008E1EE8">
          <w:rPr>
            <w:rStyle w:val="Hypertextovodkaz"/>
            <w:noProof/>
          </w:rPr>
          <w:t>2.4.</w:t>
        </w:r>
        <w:r>
          <w:rPr>
            <w:rFonts w:asciiTheme="minorHAnsi" w:eastAsiaTheme="minorEastAsia" w:hAnsiTheme="minorHAnsi" w:cstheme="minorBidi"/>
            <w:noProof/>
            <w:sz w:val="22"/>
            <w:szCs w:val="22"/>
          </w:rPr>
          <w:tab/>
        </w:r>
        <w:r w:rsidRPr="008E1EE8">
          <w:rPr>
            <w:rStyle w:val="Hypertextovodkaz"/>
            <w:noProof/>
          </w:rPr>
          <w:t>Příspěvky ke změně hrubého domácího produktu a hrubé přidané hodnoty</w:t>
        </w:r>
        <w:r>
          <w:rPr>
            <w:noProof/>
            <w:webHidden/>
          </w:rPr>
          <w:tab/>
        </w:r>
        <w:r>
          <w:rPr>
            <w:noProof/>
            <w:webHidden/>
          </w:rPr>
          <w:fldChar w:fldCharType="begin"/>
        </w:r>
        <w:r>
          <w:rPr>
            <w:noProof/>
            <w:webHidden/>
          </w:rPr>
          <w:instrText xml:space="preserve"> PAGEREF _Toc426017658 \h </w:instrText>
        </w:r>
        <w:r>
          <w:rPr>
            <w:noProof/>
            <w:webHidden/>
          </w:rPr>
        </w:r>
        <w:r>
          <w:rPr>
            <w:noProof/>
            <w:webHidden/>
          </w:rPr>
          <w:fldChar w:fldCharType="separate"/>
        </w:r>
        <w:r>
          <w:rPr>
            <w:noProof/>
            <w:webHidden/>
          </w:rPr>
          <w:t>19</w:t>
        </w:r>
        <w:r>
          <w:rPr>
            <w:noProof/>
            <w:webHidden/>
          </w:rPr>
          <w:fldChar w:fldCharType="end"/>
        </w:r>
      </w:hyperlink>
    </w:p>
    <w:p w:rsidR="00171D2A" w:rsidRDefault="00171D2A">
      <w:pPr>
        <w:pStyle w:val="Obsah1"/>
        <w:rPr>
          <w:rFonts w:asciiTheme="minorHAnsi" w:eastAsiaTheme="minorEastAsia" w:hAnsiTheme="minorHAnsi" w:cstheme="minorBidi"/>
          <w:b w:val="0"/>
          <w:sz w:val="22"/>
          <w:szCs w:val="22"/>
          <w:lang w:eastAsia="cs-CZ"/>
        </w:rPr>
      </w:pPr>
      <w:hyperlink w:anchor="_Toc426017659" w:history="1">
        <w:r w:rsidRPr="008E1EE8">
          <w:rPr>
            <w:rStyle w:val="Hypertextovodkaz"/>
          </w:rPr>
          <w:t>3.</w:t>
        </w:r>
        <w:r>
          <w:rPr>
            <w:rFonts w:asciiTheme="minorHAnsi" w:eastAsiaTheme="minorEastAsia" w:hAnsiTheme="minorHAnsi" w:cstheme="minorBidi"/>
            <w:b w:val="0"/>
            <w:sz w:val="22"/>
            <w:szCs w:val="22"/>
            <w:lang w:eastAsia="cs-CZ"/>
          </w:rPr>
          <w:tab/>
        </w:r>
        <w:r w:rsidRPr="008E1EE8">
          <w:rPr>
            <w:rStyle w:val="Hypertextovodkaz"/>
          </w:rPr>
          <w:t>Výkonnost nefinančních podniků</w:t>
        </w:r>
        <w:r>
          <w:rPr>
            <w:webHidden/>
          </w:rPr>
          <w:tab/>
        </w:r>
        <w:r>
          <w:rPr>
            <w:webHidden/>
          </w:rPr>
          <w:fldChar w:fldCharType="begin"/>
        </w:r>
        <w:r>
          <w:rPr>
            <w:webHidden/>
          </w:rPr>
          <w:instrText xml:space="preserve"> PAGEREF _Toc426017659 \h </w:instrText>
        </w:r>
        <w:r>
          <w:rPr>
            <w:webHidden/>
          </w:rPr>
        </w:r>
        <w:r>
          <w:rPr>
            <w:webHidden/>
          </w:rPr>
          <w:fldChar w:fldCharType="separate"/>
        </w:r>
        <w:r>
          <w:rPr>
            <w:webHidden/>
          </w:rPr>
          <w:t>20</w:t>
        </w:r>
        <w:r>
          <w:rPr>
            <w:webHidden/>
          </w:rPr>
          <w:fldChar w:fldCharType="end"/>
        </w:r>
      </w:hyperlink>
    </w:p>
    <w:p w:rsidR="00171D2A" w:rsidRDefault="00171D2A">
      <w:pPr>
        <w:pStyle w:val="Obsah1"/>
        <w:rPr>
          <w:rFonts w:asciiTheme="minorHAnsi" w:eastAsiaTheme="minorEastAsia" w:hAnsiTheme="minorHAnsi" w:cstheme="minorBidi"/>
          <w:b w:val="0"/>
          <w:sz w:val="22"/>
          <w:szCs w:val="22"/>
          <w:lang w:eastAsia="cs-CZ"/>
        </w:rPr>
      </w:pPr>
      <w:hyperlink w:anchor="_Toc426017660" w:history="1">
        <w:r w:rsidRPr="008E1EE8">
          <w:rPr>
            <w:rStyle w:val="Hypertextovodkaz"/>
          </w:rPr>
          <w:t>4.</w:t>
        </w:r>
        <w:r>
          <w:rPr>
            <w:rFonts w:asciiTheme="minorHAnsi" w:eastAsiaTheme="minorEastAsia" w:hAnsiTheme="minorHAnsi" w:cstheme="minorBidi"/>
            <w:b w:val="0"/>
            <w:sz w:val="22"/>
            <w:szCs w:val="22"/>
            <w:lang w:eastAsia="cs-CZ"/>
          </w:rPr>
          <w:tab/>
        </w:r>
        <w:r w:rsidRPr="008E1EE8">
          <w:rPr>
            <w:rStyle w:val="Hypertextovodkaz"/>
          </w:rPr>
          <w:t>Cenový vývoj</w:t>
        </w:r>
        <w:r>
          <w:rPr>
            <w:webHidden/>
          </w:rPr>
          <w:tab/>
        </w:r>
        <w:r>
          <w:rPr>
            <w:webHidden/>
          </w:rPr>
          <w:fldChar w:fldCharType="begin"/>
        </w:r>
        <w:r>
          <w:rPr>
            <w:webHidden/>
          </w:rPr>
          <w:instrText xml:space="preserve"> PAGEREF _Toc426017660 \h </w:instrText>
        </w:r>
        <w:r>
          <w:rPr>
            <w:webHidden/>
          </w:rPr>
        </w:r>
        <w:r>
          <w:rPr>
            <w:webHidden/>
          </w:rPr>
          <w:fldChar w:fldCharType="separate"/>
        </w:r>
        <w:r>
          <w:rPr>
            <w:webHidden/>
          </w:rPr>
          <w:t>26</w:t>
        </w:r>
        <w:r>
          <w:rPr>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61" w:history="1">
        <w:r w:rsidRPr="008E1EE8">
          <w:rPr>
            <w:rStyle w:val="Hypertextovodkaz"/>
            <w:noProof/>
          </w:rPr>
          <w:t>4.1.</w:t>
        </w:r>
        <w:r>
          <w:rPr>
            <w:rFonts w:asciiTheme="minorHAnsi" w:eastAsiaTheme="minorEastAsia" w:hAnsiTheme="minorHAnsi" w:cstheme="minorBidi"/>
            <w:noProof/>
            <w:sz w:val="22"/>
            <w:szCs w:val="22"/>
          </w:rPr>
          <w:tab/>
        </w:r>
        <w:r w:rsidRPr="008E1EE8">
          <w:rPr>
            <w:rStyle w:val="Hypertextovodkaz"/>
            <w:noProof/>
          </w:rPr>
          <w:t>Celková cenová hladina</w:t>
        </w:r>
        <w:r>
          <w:rPr>
            <w:noProof/>
            <w:webHidden/>
          </w:rPr>
          <w:tab/>
        </w:r>
        <w:r>
          <w:rPr>
            <w:noProof/>
            <w:webHidden/>
          </w:rPr>
          <w:fldChar w:fldCharType="begin"/>
        </w:r>
        <w:r>
          <w:rPr>
            <w:noProof/>
            <w:webHidden/>
          </w:rPr>
          <w:instrText xml:space="preserve"> PAGEREF _Toc426017661 \h </w:instrText>
        </w:r>
        <w:r>
          <w:rPr>
            <w:noProof/>
            <w:webHidden/>
          </w:rPr>
        </w:r>
        <w:r>
          <w:rPr>
            <w:noProof/>
            <w:webHidden/>
          </w:rPr>
          <w:fldChar w:fldCharType="separate"/>
        </w:r>
        <w:r>
          <w:rPr>
            <w:noProof/>
            <w:webHidden/>
          </w:rPr>
          <w:t>26</w:t>
        </w:r>
        <w:r>
          <w:rPr>
            <w:noProof/>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62" w:history="1">
        <w:r w:rsidRPr="008E1EE8">
          <w:rPr>
            <w:rStyle w:val="Hypertextovodkaz"/>
            <w:noProof/>
          </w:rPr>
          <w:t>4.2.</w:t>
        </w:r>
        <w:r>
          <w:rPr>
            <w:rFonts w:asciiTheme="minorHAnsi" w:eastAsiaTheme="minorEastAsia" w:hAnsiTheme="minorHAnsi" w:cstheme="minorBidi"/>
            <w:noProof/>
            <w:sz w:val="22"/>
            <w:szCs w:val="22"/>
          </w:rPr>
          <w:tab/>
        </w:r>
        <w:r w:rsidRPr="008E1EE8">
          <w:rPr>
            <w:rStyle w:val="Hypertextovodkaz"/>
            <w:noProof/>
          </w:rPr>
          <w:t>Ceny pro spotřebitele</w:t>
        </w:r>
        <w:r>
          <w:rPr>
            <w:noProof/>
            <w:webHidden/>
          </w:rPr>
          <w:tab/>
        </w:r>
        <w:r>
          <w:rPr>
            <w:noProof/>
            <w:webHidden/>
          </w:rPr>
          <w:fldChar w:fldCharType="begin"/>
        </w:r>
        <w:r>
          <w:rPr>
            <w:noProof/>
            <w:webHidden/>
          </w:rPr>
          <w:instrText xml:space="preserve"> PAGEREF _Toc426017662 \h </w:instrText>
        </w:r>
        <w:r>
          <w:rPr>
            <w:noProof/>
            <w:webHidden/>
          </w:rPr>
        </w:r>
        <w:r>
          <w:rPr>
            <w:noProof/>
            <w:webHidden/>
          </w:rPr>
          <w:fldChar w:fldCharType="separate"/>
        </w:r>
        <w:r>
          <w:rPr>
            <w:noProof/>
            <w:webHidden/>
          </w:rPr>
          <w:t>27</w:t>
        </w:r>
        <w:r>
          <w:rPr>
            <w:noProof/>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63" w:history="1">
        <w:r w:rsidRPr="008E1EE8">
          <w:rPr>
            <w:rStyle w:val="Hypertextovodkaz"/>
            <w:noProof/>
          </w:rPr>
          <w:t>4.3.</w:t>
        </w:r>
        <w:r>
          <w:rPr>
            <w:rFonts w:asciiTheme="minorHAnsi" w:eastAsiaTheme="minorEastAsia" w:hAnsiTheme="minorHAnsi" w:cstheme="minorBidi"/>
            <w:noProof/>
            <w:sz w:val="22"/>
            <w:szCs w:val="22"/>
          </w:rPr>
          <w:tab/>
        </w:r>
        <w:r w:rsidRPr="008E1EE8">
          <w:rPr>
            <w:rStyle w:val="Hypertextovodkaz"/>
            <w:noProof/>
          </w:rPr>
          <w:t>Ceny výrobců</w:t>
        </w:r>
        <w:r>
          <w:rPr>
            <w:noProof/>
            <w:webHidden/>
          </w:rPr>
          <w:tab/>
        </w:r>
        <w:r>
          <w:rPr>
            <w:noProof/>
            <w:webHidden/>
          </w:rPr>
          <w:fldChar w:fldCharType="begin"/>
        </w:r>
        <w:r>
          <w:rPr>
            <w:noProof/>
            <w:webHidden/>
          </w:rPr>
          <w:instrText xml:space="preserve"> PAGEREF _Toc426017663 \h </w:instrText>
        </w:r>
        <w:r>
          <w:rPr>
            <w:noProof/>
            <w:webHidden/>
          </w:rPr>
        </w:r>
        <w:r>
          <w:rPr>
            <w:noProof/>
            <w:webHidden/>
          </w:rPr>
          <w:fldChar w:fldCharType="separate"/>
        </w:r>
        <w:r>
          <w:rPr>
            <w:noProof/>
            <w:webHidden/>
          </w:rPr>
          <w:t>31</w:t>
        </w:r>
        <w:r>
          <w:rPr>
            <w:noProof/>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64" w:history="1">
        <w:r w:rsidRPr="008E1EE8">
          <w:rPr>
            <w:rStyle w:val="Hypertextovodkaz"/>
            <w:noProof/>
          </w:rPr>
          <w:t>4.4.</w:t>
        </w:r>
        <w:r>
          <w:rPr>
            <w:rFonts w:asciiTheme="minorHAnsi" w:eastAsiaTheme="minorEastAsia" w:hAnsiTheme="minorHAnsi" w:cstheme="minorBidi"/>
            <w:noProof/>
            <w:sz w:val="22"/>
            <w:szCs w:val="22"/>
          </w:rPr>
          <w:tab/>
        </w:r>
        <w:r w:rsidRPr="008E1EE8">
          <w:rPr>
            <w:rStyle w:val="Hypertextovodkaz"/>
            <w:noProof/>
          </w:rPr>
          <w:t>Ceny v zahraničním obchodě se zbožím</w:t>
        </w:r>
        <w:r>
          <w:rPr>
            <w:noProof/>
            <w:webHidden/>
          </w:rPr>
          <w:tab/>
        </w:r>
        <w:r>
          <w:rPr>
            <w:noProof/>
            <w:webHidden/>
          </w:rPr>
          <w:fldChar w:fldCharType="begin"/>
        </w:r>
        <w:r>
          <w:rPr>
            <w:noProof/>
            <w:webHidden/>
          </w:rPr>
          <w:instrText xml:space="preserve"> PAGEREF _Toc426017664 \h </w:instrText>
        </w:r>
        <w:r>
          <w:rPr>
            <w:noProof/>
            <w:webHidden/>
          </w:rPr>
        </w:r>
        <w:r>
          <w:rPr>
            <w:noProof/>
            <w:webHidden/>
          </w:rPr>
          <w:fldChar w:fldCharType="separate"/>
        </w:r>
        <w:r>
          <w:rPr>
            <w:noProof/>
            <w:webHidden/>
          </w:rPr>
          <w:t>33</w:t>
        </w:r>
        <w:r>
          <w:rPr>
            <w:noProof/>
            <w:webHidden/>
          </w:rPr>
          <w:fldChar w:fldCharType="end"/>
        </w:r>
      </w:hyperlink>
    </w:p>
    <w:p w:rsidR="00171D2A" w:rsidRDefault="00171D2A">
      <w:pPr>
        <w:pStyle w:val="Obsah1"/>
        <w:rPr>
          <w:rFonts w:asciiTheme="minorHAnsi" w:eastAsiaTheme="minorEastAsia" w:hAnsiTheme="minorHAnsi" w:cstheme="minorBidi"/>
          <w:b w:val="0"/>
          <w:sz w:val="22"/>
          <w:szCs w:val="22"/>
          <w:lang w:eastAsia="cs-CZ"/>
        </w:rPr>
      </w:pPr>
      <w:hyperlink w:anchor="_Toc426017665" w:history="1">
        <w:r w:rsidRPr="008E1EE8">
          <w:rPr>
            <w:rStyle w:val="Hypertextovodkaz"/>
          </w:rPr>
          <w:t>5.</w:t>
        </w:r>
        <w:r>
          <w:rPr>
            <w:rFonts w:asciiTheme="minorHAnsi" w:eastAsiaTheme="minorEastAsia" w:hAnsiTheme="minorHAnsi" w:cstheme="minorBidi"/>
            <w:b w:val="0"/>
            <w:sz w:val="22"/>
            <w:szCs w:val="22"/>
            <w:lang w:eastAsia="cs-CZ"/>
          </w:rPr>
          <w:tab/>
        </w:r>
        <w:r w:rsidRPr="008E1EE8">
          <w:rPr>
            <w:rStyle w:val="Hypertextovodkaz"/>
          </w:rPr>
          <w:t>Makroekonomická stabilita a ostatní nerovnováhy</w:t>
        </w:r>
        <w:r>
          <w:rPr>
            <w:webHidden/>
          </w:rPr>
          <w:tab/>
        </w:r>
        <w:r>
          <w:rPr>
            <w:webHidden/>
          </w:rPr>
          <w:fldChar w:fldCharType="begin"/>
        </w:r>
        <w:r>
          <w:rPr>
            <w:webHidden/>
          </w:rPr>
          <w:instrText xml:space="preserve"> PAGEREF _Toc426017665 \h </w:instrText>
        </w:r>
        <w:r>
          <w:rPr>
            <w:webHidden/>
          </w:rPr>
        </w:r>
        <w:r>
          <w:rPr>
            <w:webHidden/>
          </w:rPr>
          <w:fldChar w:fldCharType="separate"/>
        </w:r>
        <w:r>
          <w:rPr>
            <w:webHidden/>
          </w:rPr>
          <w:t>35</w:t>
        </w:r>
        <w:r>
          <w:rPr>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66" w:history="1">
        <w:r w:rsidRPr="008E1EE8">
          <w:rPr>
            <w:rStyle w:val="Hypertextovodkaz"/>
            <w:noProof/>
          </w:rPr>
          <w:t>5.1.</w:t>
        </w:r>
        <w:r>
          <w:rPr>
            <w:rFonts w:asciiTheme="minorHAnsi" w:eastAsiaTheme="minorEastAsia" w:hAnsiTheme="minorHAnsi" w:cstheme="minorBidi"/>
            <w:noProof/>
            <w:sz w:val="22"/>
            <w:szCs w:val="22"/>
          </w:rPr>
          <w:tab/>
        </w:r>
        <w:r w:rsidRPr="008E1EE8">
          <w:rPr>
            <w:rStyle w:val="Hypertextovodkaz"/>
            <w:noProof/>
          </w:rPr>
          <w:t>Vnitřní nerovnováha</w:t>
        </w:r>
        <w:r>
          <w:rPr>
            <w:noProof/>
            <w:webHidden/>
          </w:rPr>
          <w:tab/>
        </w:r>
        <w:r>
          <w:rPr>
            <w:noProof/>
            <w:webHidden/>
          </w:rPr>
          <w:fldChar w:fldCharType="begin"/>
        </w:r>
        <w:r>
          <w:rPr>
            <w:noProof/>
            <w:webHidden/>
          </w:rPr>
          <w:instrText xml:space="preserve"> PAGEREF _Toc426017666 \h </w:instrText>
        </w:r>
        <w:r>
          <w:rPr>
            <w:noProof/>
            <w:webHidden/>
          </w:rPr>
        </w:r>
        <w:r>
          <w:rPr>
            <w:noProof/>
            <w:webHidden/>
          </w:rPr>
          <w:fldChar w:fldCharType="separate"/>
        </w:r>
        <w:r>
          <w:rPr>
            <w:noProof/>
            <w:webHidden/>
          </w:rPr>
          <w:t>35</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67" w:history="1">
        <w:r w:rsidRPr="008E1EE8">
          <w:rPr>
            <w:rStyle w:val="Hypertextovodkaz"/>
            <w:noProof/>
          </w:rPr>
          <w:t>5.1.1.</w:t>
        </w:r>
        <w:r>
          <w:rPr>
            <w:rFonts w:asciiTheme="minorHAnsi" w:eastAsiaTheme="minorEastAsia" w:hAnsiTheme="minorHAnsi" w:cstheme="minorBidi"/>
            <w:noProof/>
            <w:sz w:val="22"/>
            <w:szCs w:val="22"/>
          </w:rPr>
          <w:tab/>
        </w:r>
        <w:r w:rsidRPr="008E1EE8">
          <w:rPr>
            <w:rStyle w:val="Hypertextovodkaz"/>
            <w:noProof/>
          </w:rPr>
          <w:t>Deficity a hrubý konsolidovaný dluh sektoru vládních institucí</w:t>
        </w:r>
        <w:r>
          <w:rPr>
            <w:noProof/>
            <w:webHidden/>
          </w:rPr>
          <w:tab/>
        </w:r>
        <w:r>
          <w:rPr>
            <w:noProof/>
            <w:webHidden/>
          </w:rPr>
          <w:fldChar w:fldCharType="begin"/>
        </w:r>
        <w:r>
          <w:rPr>
            <w:noProof/>
            <w:webHidden/>
          </w:rPr>
          <w:instrText xml:space="preserve"> PAGEREF _Toc426017667 \h </w:instrText>
        </w:r>
        <w:r>
          <w:rPr>
            <w:noProof/>
            <w:webHidden/>
          </w:rPr>
        </w:r>
        <w:r>
          <w:rPr>
            <w:noProof/>
            <w:webHidden/>
          </w:rPr>
          <w:fldChar w:fldCharType="separate"/>
        </w:r>
        <w:r>
          <w:rPr>
            <w:noProof/>
            <w:webHidden/>
          </w:rPr>
          <w:t>35</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68" w:history="1">
        <w:r w:rsidRPr="008E1EE8">
          <w:rPr>
            <w:rStyle w:val="Hypertextovodkaz"/>
            <w:noProof/>
          </w:rPr>
          <w:t>5.1.1.1.</w:t>
        </w:r>
        <w:r>
          <w:rPr>
            <w:rFonts w:asciiTheme="minorHAnsi" w:eastAsiaTheme="minorEastAsia" w:hAnsiTheme="minorHAnsi" w:cstheme="minorBidi"/>
            <w:noProof/>
            <w:sz w:val="22"/>
            <w:szCs w:val="22"/>
          </w:rPr>
          <w:tab/>
        </w:r>
        <w:r w:rsidRPr="008E1EE8">
          <w:rPr>
            <w:rStyle w:val="Hypertextovodkaz"/>
            <w:noProof/>
          </w:rPr>
          <w:t>Salda hospodaření sektoru vládních institucí</w:t>
        </w:r>
        <w:r>
          <w:rPr>
            <w:noProof/>
            <w:webHidden/>
          </w:rPr>
          <w:tab/>
        </w:r>
        <w:r>
          <w:rPr>
            <w:noProof/>
            <w:webHidden/>
          </w:rPr>
          <w:fldChar w:fldCharType="begin"/>
        </w:r>
        <w:r>
          <w:rPr>
            <w:noProof/>
            <w:webHidden/>
          </w:rPr>
          <w:instrText xml:space="preserve"> PAGEREF _Toc426017668 \h </w:instrText>
        </w:r>
        <w:r>
          <w:rPr>
            <w:noProof/>
            <w:webHidden/>
          </w:rPr>
        </w:r>
        <w:r>
          <w:rPr>
            <w:noProof/>
            <w:webHidden/>
          </w:rPr>
          <w:fldChar w:fldCharType="separate"/>
        </w:r>
        <w:r>
          <w:rPr>
            <w:noProof/>
            <w:webHidden/>
          </w:rPr>
          <w:t>35</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69" w:history="1">
        <w:r w:rsidRPr="008E1EE8">
          <w:rPr>
            <w:rStyle w:val="Hypertextovodkaz"/>
            <w:noProof/>
          </w:rPr>
          <w:t>5.1.1.2.</w:t>
        </w:r>
        <w:r>
          <w:rPr>
            <w:rFonts w:asciiTheme="minorHAnsi" w:eastAsiaTheme="minorEastAsia" w:hAnsiTheme="minorHAnsi" w:cstheme="minorBidi"/>
            <w:noProof/>
            <w:sz w:val="22"/>
            <w:szCs w:val="22"/>
          </w:rPr>
          <w:tab/>
        </w:r>
        <w:r w:rsidRPr="008E1EE8">
          <w:rPr>
            <w:rStyle w:val="Hypertextovodkaz"/>
            <w:noProof/>
          </w:rPr>
          <w:t>Hrubý konsolidovaný dluh sektoru vládních institucí</w:t>
        </w:r>
        <w:r>
          <w:rPr>
            <w:noProof/>
            <w:webHidden/>
          </w:rPr>
          <w:tab/>
        </w:r>
        <w:r>
          <w:rPr>
            <w:noProof/>
            <w:webHidden/>
          </w:rPr>
          <w:fldChar w:fldCharType="begin"/>
        </w:r>
        <w:r>
          <w:rPr>
            <w:noProof/>
            <w:webHidden/>
          </w:rPr>
          <w:instrText xml:space="preserve"> PAGEREF _Toc426017669 \h </w:instrText>
        </w:r>
        <w:r>
          <w:rPr>
            <w:noProof/>
            <w:webHidden/>
          </w:rPr>
        </w:r>
        <w:r>
          <w:rPr>
            <w:noProof/>
            <w:webHidden/>
          </w:rPr>
          <w:fldChar w:fldCharType="separate"/>
        </w:r>
        <w:r>
          <w:rPr>
            <w:noProof/>
            <w:webHidden/>
          </w:rPr>
          <w:t>40</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70" w:history="1">
        <w:r w:rsidRPr="008E1EE8">
          <w:rPr>
            <w:rStyle w:val="Hypertextovodkaz"/>
            <w:noProof/>
          </w:rPr>
          <w:t>5.1.2.</w:t>
        </w:r>
        <w:r>
          <w:rPr>
            <w:rFonts w:asciiTheme="minorHAnsi" w:eastAsiaTheme="minorEastAsia" w:hAnsiTheme="minorHAnsi" w:cstheme="minorBidi"/>
            <w:noProof/>
            <w:sz w:val="22"/>
            <w:szCs w:val="22"/>
          </w:rPr>
          <w:tab/>
        </w:r>
        <w:r w:rsidRPr="008E1EE8">
          <w:rPr>
            <w:rStyle w:val="Hypertextovodkaz"/>
            <w:noProof/>
          </w:rPr>
          <w:t>Soukromá zadluženost</w:t>
        </w:r>
        <w:r>
          <w:rPr>
            <w:noProof/>
            <w:webHidden/>
          </w:rPr>
          <w:tab/>
        </w:r>
        <w:r>
          <w:rPr>
            <w:noProof/>
            <w:webHidden/>
          </w:rPr>
          <w:fldChar w:fldCharType="begin"/>
        </w:r>
        <w:r>
          <w:rPr>
            <w:noProof/>
            <w:webHidden/>
          </w:rPr>
          <w:instrText xml:space="preserve"> PAGEREF _Toc426017670 \h </w:instrText>
        </w:r>
        <w:r>
          <w:rPr>
            <w:noProof/>
            <w:webHidden/>
          </w:rPr>
        </w:r>
        <w:r>
          <w:rPr>
            <w:noProof/>
            <w:webHidden/>
          </w:rPr>
          <w:fldChar w:fldCharType="separate"/>
        </w:r>
        <w:r>
          <w:rPr>
            <w:noProof/>
            <w:webHidden/>
          </w:rPr>
          <w:t>41</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71" w:history="1">
        <w:r w:rsidRPr="008E1EE8">
          <w:rPr>
            <w:rStyle w:val="Hypertextovodkaz"/>
            <w:noProof/>
          </w:rPr>
          <w:t>5.1.3.</w:t>
        </w:r>
        <w:r>
          <w:rPr>
            <w:rFonts w:asciiTheme="minorHAnsi" w:eastAsiaTheme="minorEastAsia" w:hAnsiTheme="minorHAnsi" w:cstheme="minorBidi"/>
            <w:noProof/>
            <w:sz w:val="22"/>
            <w:szCs w:val="22"/>
          </w:rPr>
          <w:tab/>
        </w:r>
        <w:r w:rsidRPr="008E1EE8">
          <w:rPr>
            <w:rStyle w:val="Hypertextovodkaz"/>
            <w:noProof/>
          </w:rPr>
          <w:t>„Komplexní dluh“ – zadluženost vládních institucí a soukromého sektoru</w:t>
        </w:r>
        <w:r>
          <w:rPr>
            <w:noProof/>
            <w:webHidden/>
          </w:rPr>
          <w:tab/>
        </w:r>
        <w:r>
          <w:rPr>
            <w:noProof/>
            <w:webHidden/>
          </w:rPr>
          <w:fldChar w:fldCharType="begin"/>
        </w:r>
        <w:r>
          <w:rPr>
            <w:noProof/>
            <w:webHidden/>
          </w:rPr>
          <w:instrText xml:space="preserve"> PAGEREF _Toc426017671 \h </w:instrText>
        </w:r>
        <w:r>
          <w:rPr>
            <w:noProof/>
            <w:webHidden/>
          </w:rPr>
        </w:r>
        <w:r>
          <w:rPr>
            <w:noProof/>
            <w:webHidden/>
          </w:rPr>
          <w:fldChar w:fldCharType="separate"/>
        </w:r>
        <w:r>
          <w:rPr>
            <w:noProof/>
            <w:webHidden/>
          </w:rPr>
          <w:t>43</w:t>
        </w:r>
        <w:r>
          <w:rPr>
            <w:noProof/>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72" w:history="1">
        <w:r w:rsidRPr="008E1EE8">
          <w:rPr>
            <w:rStyle w:val="Hypertextovodkaz"/>
            <w:noProof/>
          </w:rPr>
          <w:t>5.2.</w:t>
        </w:r>
        <w:r>
          <w:rPr>
            <w:rFonts w:asciiTheme="minorHAnsi" w:eastAsiaTheme="minorEastAsia" w:hAnsiTheme="minorHAnsi" w:cstheme="minorBidi"/>
            <w:noProof/>
            <w:sz w:val="22"/>
            <w:szCs w:val="22"/>
          </w:rPr>
          <w:tab/>
        </w:r>
        <w:r w:rsidRPr="008E1EE8">
          <w:rPr>
            <w:rStyle w:val="Hypertextovodkaz"/>
            <w:noProof/>
          </w:rPr>
          <w:t>Vnější nerovnováha</w:t>
        </w:r>
        <w:r>
          <w:rPr>
            <w:noProof/>
            <w:webHidden/>
          </w:rPr>
          <w:tab/>
        </w:r>
        <w:r>
          <w:rPr>
            <w:noProof/>
            <w:webHidden/>
          </w:rPr>
          <w:fldChar w:fldCharType="begin"/>
        </w:r>
        <w:r>
          <w:rPr>
            <w:noProof/>
            <w:webHidden/>
          </w:rPr>
          <w:instrText xml:space="preserve"> PAGEREF _Toc426017672 \h </w:instrText>
        </w:r>
        <w:r>
          <w:rPr>
            <w:noProof/>
            <w:webHidden/>
          </w:rPr>
        </w:r>
        <w:r>
          <w:rPr>
            <w:noProof/>
            <w:webHidden/>
          </w:rPr>
          <w:fldChar w:fldCharType="separate"/>
        </w:r>
        <w:r>
          <w:rPr>
            <w:noProof/>
            <w:webHidden/>
          </w:rPr>
          <w:t>45</w:t>
        </w:r>
        <w:r>
          <w:rPr>
            <w:noProof/>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73" w:history="1">
        <w:r w:rsidRPr="008E1EE8">
          <w:rPr>
            <w:rStyle w:val="Hypertextovodkaz"/>
            <w:noProof/>
          </w:rPr>
          <w:t>5.3.</w:t>
        </w:r>
        <w:r>
          <w:rPr>
            <w:rFonts w:asciiTheme="minorHAnsi" w:eastAsiaTheme="minorEastAsia" w:hAnsiTheme="minorHAnsi" w:cstheme="minorBidi"/>
            <w:noProof/>
            <w:sz w:val="22"/>
            <w:szCs w:val="22"/>
          </w:rPr>
          <w:tab/>
        </w:r>
        <w:r w:rsidRPr="008E1EE8">
          <w:rPr>
            <w:rStyle w:val="Hypertextovodkaz"/>
            <w:noProof/>
          </w:rPr>
          <w:t>Úspory a investice</w:t>
        </w:r>
        <w:r>
          <w:rPr>
            <w:noProof/>
            <w:webHidden/>
          </w:rPr>
          <w:tab/>
        </w:r>
        <w:r>
          <w:rPr>
            <w:noProof/>
            <w:webHidden/>
          </w:rPr>
          <w:fldChar w:fldCharType="begin"/>
        </w:r>
        <w:r>
          <w:rPr>
            <w:noProof/>
            <w:webHidden/>
          </w:rPr>
          <w:instrText xml:space="preserve"> PAGEREF _Toc426017673 \h </w:instrText>
        </w:r>
        <w:r>
          <w:rPr>
            <w:noProof/>
            <w:webHidden/>
          </w:rPr>
        </w:r>
        <w:r>
          <w:rPr>
            <w:noProof/>
            <w:webHidden/>
          </w:rPr>
          <w:fldChar w:fldCharType="separate"/>
        </w:r>
        <w:r>
          <w:rPr>
            <w:noProof/>
            <w:webHidden/>
          </w:rPr>
          <w:t>46</w:t>
        </w:r>
        <w:r>
          <w:rPr>
            <w:noProof/>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74" w:history="1">
        <w:r w:rsidRPr="008E1EE8">
          <w:rPr>
            <w:rStyle w:val="Hypertextovodkaz"/>
            <w:noProof/>
          </w:rPr>
          <w:t>5.4.</w:t>
        </w:r>
        <w:r>
          <w:rPr>
            <w:rFonts w:asciiTheme="minorHAnsi" w:eastAsiaTheme="minorEastAsia" w:hAnsiTheme="minorHAnsi" w:cstheme="minorBidi"/>
            <w:noProof/>
            <w:sz w:val="22"/>
            <w:szCs w:val="22"/>
          </w:rPr>
          <w:tab/>
        </w:r>
        <w:r w:rsidRPr="008E1EE8">
          <w:rPr>
            <w:rStyle w:val="Hypertextovodkaz"/>
            <w:noProof/>
          </w:rPr>
          <w:t>Ostatní nerovnováhy</w:t>
        </w:r>
        <w:r>
          <w:rPr>
            <w:noProof/>
            <w:webHidden/>
          </w:rPr>
          <w:tab/>
        </w:r>
        <w:r>
          <w:rPr>
            <w:noProof/>
            <w:webHidden/>
          </w:rPr>
          <w:fldChar w:fldCharType="begin"/>
        </w:r>
        <w:r>
          <w:rPr>
            <w:noProof/>
            <w:webHidden/>
          </w:rPr>
          <w:instrText xml:space="preserve"> PAGEREF _Toc426017674 \h </w:instrText>
        </w:r>
        <w:r>
          <w:rPr>
            <w:noProof/>
            <w:webHidden/>
          </w:rPr>
        </w:r>
        <w:r>
          <w:rPr>
            <w:noProof/>
            <w:webHidden/>
          </w:rPr>
          <w:fldChar w:fldCharType="separate"/>
        </w:r>
        <w:r>
          <w:rPr>
            <w:noProof/>
            <w:webHidden/>
          </w:rPr>
          <w:t>47</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75" w:history="1">
        <w:r w:rsidRPr="008E1EE8">
          <w:rPr>
            <w:rStyle w:val="Hypertextovodkaz"/>
            <w:noProof/>
          </w:rPr>
          <w:t>5.4.1.</w:t>
        </w:r>
        <w:r>
          <w:rPr>
            <w:rFonts w:asciiTheme="minorHAnsi" w:eastAsiaTheme="minorEastAsia" w:hAnsiTheme="minorHAnsi" w:cstheme="minorBidi"/>
            <w:noProof/>
            <w:sz w:val="22"/>
            <w:szCs w:val="22"/>
          </w:rPr>
          <w:tab/>
        </w:r>
        <w:r w:rsidRPr="008E1EE8">
          <w:rPr>
            <w:rStyle w:val="Hypertextovodkaz"/>
            <w:noProof/>
          </w:rPr>
          <w:t>Přímé zahraniční investice</w:t>
        </w:r>
        <w:r>
          <w:rPr>
            <w:noProof/>
            <w:webHidden/>
          </w:rPr>
          <w:tab/>
        </w:r>
        <w:r>
          <w:rPr>
            <w:noProof/>
            <w:webHidden/>
          </w:rPr>
          <w:fldChar w:fldCharType="begin"/>
        </w:r>
        <w:r>
          <w:rPr>
            <w:noProof/>
            <w:webHidden/>
          </w:rPr>
          <w:instrText xml:space="preserve"> PAGEREF _Toc426017675 \h </w:instrText>
        </w:r>
        <w:r>
          <w:rPr>
            <w:noProof/>
            <w:webHidden/>
          </w:rPr>
        </w:r>
        <w:r>
          <w:rPr>
            <w:noProof/>
            <w:webHidden/>
          </w:rPr>
          <w:fldChar w:fldCharType="separate"/>
        </w:r>
        <w:r>
          <w:rPr>
            <w:noProof/>
            <w:webHidden/>
          </w:rPr>
          <w:t>47</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76" w:history="1">
        <w:r w:rsidRPr="008E1EE8">
          <w:rPr>
            <w:rStyle w:val="Hypertextovodkaz"/>
            <w:noProof/>
          </w:rPr>
          <w:t>5.4.2.</w:t>
        </w:r>
        <w:r>
          <w:rPr>
            <w:rFonts w:asciiTheme="minorHAnsi" w:eastAsiaTheme="minorEastAsia" w:hAnsiTheme="minorHAnsi" w:cstheme="minorBidi"/>
            <w:noProof/>
            <w:sz w:val="22"/>
            <w:szCs w:val="22"/>
          </w:rPr>
          <w:tab/>
        </w:r>
        <w:r w:rsidRPr="008E1EE8">
          <w:rPr>
            <w:rStyle w:val="Hypertextovodkaz"/>
            <w:noProof/>
          </w:rPr>
          <w:t>Dividendy a reinvestované zisky</w:t>
        </w:r>
        <w:r>
          <w:rPr>
            <w:noProof/>
            <w:webHidden/>
          </w:rPr>
          <w:tab/>
        </w:r>
        <w:r>
          <w:rPr>
            <w:noProof/>
            <w:webHidden/>
          </w:rPr>
          <w:fldChar w:fldCharType="begin"/>
        </w:r>
        <w:r>
          <w:rPr>
            <w:noProof/>
            <w:webHidden/>
          </w:rPr>
          <w:instrText xml:space="preserve"> PAGEREF _Toc426017676 \h </w:instrText>
        </w:r>
        <w:r>
          <w:rPr>
            <w:noProof/>
            <w:webHidden/>
          </w:rPr>
        </w:r>
        <w:r>
          <w:rPr>
            <w:noProof/>
            <w:webHidden/>
          </w:rPr>
          <w:fldChar w:fldCharType="separate"/>
        </w:r>
        <w:r>
          <w:rPr>
            <w:noProof/>
            <w:webHidden/>
          </w:rPr>
          <w:t>49</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77" w:history="1">
        <w:r w:rsidRPr="008E1EE8">
          <w:rPr>
            <w:rStyle w:val="Hypertextovodkaz"/>
            <w:noProof/>
          </w:rPr>
          <w:t>5.4.3.</w:t>
        </w:r>
        <w:r>
          <w:rPr>
            <w:rFonts w:asciiTheme="minorHAnsi" w:eastAsiaTheme="minorEastAsia" w:hAnsiTheme="minorHAnsi" w:cstheme="minorBidi"/>
            <w:noProof/>
            <w:sz w:val="22"/>
            <w:szCs w:val="22"/>
          </w:rPr>
          <w:tab/>
        </w:r>
        <w:r w:rsidRPr="008E1EE8">
          <w:rPr>
            <w:rStyle w:val="Hypertextovodkaz"/>
            <w:noProof/>
          </w:rPr>
          <w:t>Zisky nefinančních podniků a vývoj mezd</w:t>
        </w:r>
        <w:r>
          <w:rPr>
            <w:noProof/>
            <w:webHidden/>
          </w:rPr>
          <w:tab/>
        </w:r>
        <w:r>
          <w:rPr>
            <w:noProof/>
            <w:webHidden/>
          </w:rPr>
          <w:fldChar w:fldCharType="begin"/>
        </w:r>
        <w:r>
          <w:rPr>
            <w:noProof/>
            <w:webHidden/>
          </w:rPr>
          <w:instrText xml:space="preserve"> PAGEREF _Toc426017677 \h </w:instrText>
        </w:r>
        <w:r>
          <w:rPr>
            <w:noProof/>
            <w:webHidden/>
          </w:rPr>
        </w:r>
        <w:r>
          <w:rPr>
            <w:noProof/>
            <w:webHidden/>
          </w:rPr>
          <w:fldChar w:fldCharType="separate"/>
        </w:r>
        <w:r>
          <w:rPr>
            <w:noProof/>
            <w:webHidden/>
          </w:rPr>
          <w:t>51</w:t>
        </w:r>
        <w:r>
          <w:rPr>
            <w:noProof/>
            <w:webHidden/>
          </w:rPr>
          <w:fldChar w:fldCharType="end"/>
        </w:r>
      </w:hyperlink>
    </w:p>
    <w:p w:rsidR="00171D2A" w:rsidRDefault="00171D2A">
      <w:pPr>
        <w:pStyle w:val="Obsah1"/>
        <w:rPr>
          <w:rFonts w:asciiTheme="minorHAnsi" w:eastAsiaTheme="minorEastAsia" w:hAnsiTheme="minorHAnsi" w:cstheme="minorBidi"/>
          <w:b w:val="0"/>
          <w:sz w:val="22"/>
          <w:szCs w:val="22"/>
          <w:lang w:eastAsia="cs-CZ"/>
        </w:rPr>
      </w:pPr>
      <w:hyperlink w:anchor="_Toc426017678" w:history="1">
        <w:r w:rsidRPr="008E1EE8">
          <w:rPr>
            <w:rStyle w:val="Hypertextovodkaz"/>
          </w:rPr>
          <w:t>6.</w:t>
        </w:r>
        <w:r>
          <w:rPr>
            <w:rFonts w:asciiTheme="minorHAnsi" w:eastAsiaTheme="minorEastAsia" w:hAnsiTheme="minorHAnsi" w:cstheme="minorBidi"/>
            <w:b w:val="0"/>
            <w:sz w:val="22"/>
            <w:szCs w:val="22"/>
            <w:lang w:eastAsia="cs-CZ"/>
          </w:rPr>
          <w:tab/>
        </w:r>
        <w:r w:rsidRPr="008E1EE8">
          <w:rPr>
            <w:rStyle w:val="Hypertextovodkaz"/>
          </w:rPr>
          <w:t>Vybrané ekonomické aspekty kvality života – nerovnosti</w:t>
        </w:r>
        <w:r>
          <w:rPr>
            <w:webHidden/>
          </w:rPr>
          <w:tab/>
        </w:r>
        <w:r>
          <w:rPr>
            <w:webHidden/>
          </w:rPr>
          <w:fldChar w:fldCharType="begin"/>
        </w:r>
        <w:r>
          <w:rPr>
            <w:webHidden/>
          </w:rPr>
          <w:instrText xml:space="preserve"> PAGEREF _Toc426017678 \h </w:instrText>
        </w:r>
        <w:r>
          <w:rPr>
            <w:webHidden/>
          </w:rPr>
        </w:r>
        <w:r>
          <w:rPr>
            <w:webHidden/>
          </w:rPr>
          <w:fldChar w:fldCharType="separate"/>
        </w:r>
        <w:r>
          <w:rPr>
            <w:webHidden/>
          </w:rPr>
          <w:t>53</w:t>
        </w:r>
        <w:r>
          <w:rPr>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79" w:history="1">
        <w:r w:rsidRPr="008E1EE8">
          <w:rPr>
            <w:rStyle w:val="Hypertextovodkaz"/>
            <w:noProof/>
          </w:rPr>
          <w:t>6.1.</w:t>
        </w:r>
        <w:r>
          <w:rPr>
            <w:rFonts w:asciiTheme="minorHAnsi" w:eastAsiaTheme="minorEastAsia" w:hAnsiTheme="minorHAnsi" w:cstheme="minorBidi"/>
            <w:noProof/>
            <w:sz w:val="22"/>
            <w:szCs w:val="22"/>
          </w:rPr>
          <w:tab/>
        </w:r>
        <w:r w:rsidRPr="008E1EE8">
          <w:rPr>
            <w:rStyle w:val="Hypertextovodkaz"/>
            <w:noProof/>
          </w:rPr>
          <w:t>Regionální disparity</w:t>
        </w:r>
        <w:r>
          <w:rPr>
            <w:noProof/>
            <w:webHidden/>
          </w:rPr>
          <w:tab/>
        </w:r>
        <w:r>
          <w:rPr>
            <w:noProof/>
            <w:webHidden/>
          </w:rPr>
          <w:fldChar w:fldCharType="begin"/>
        </w:r>
        <w:r>
          <w:rPr>
            <w:noProof/>
            <w:webHidden/>
          </w:rPr>
          <w:instrText xml:space="preserve"> PAGEREF _Toc426017679 \h </w:instrText>
        </w:r>
        <w:r>
          <w:rPr>
            <w:noProof/>
            <w:webHidden/>
          </w:rPr>
        </w:r>
        <w:r>
          <w:rPr>
            <w:noProof/>
            <w:webHidden/>
          </w:rPr>
          <w:fldChar w:fldCharType="separate"/>
        </w:r>
        <w:r>
          <w:rPr>
            <w:noProof/>
            <w:webHidden/>
          </w:rPr>
          <w:t>53</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80" w:history="1">
        <w:r w:rsidRPr="008E1EE8">
          <w:rPr>
            <w:rStyle w:val="Hypertextovodkaz"/>
            <w:noProof/>
          </w:rPr>
          <w:t>6.1.1.</w:t>
        </w:r>
        <w:r>
          <w:rPr>
            <w:rFonts w:asciiTheme="minorHAnsi" w:eastAsiaTheme="minorEastAsia" w:hAnsiTheme="minorHAnsi" w:cstheme="minorBidi"/>
            <w:noProof/>
            <w:sz w:val="22"/>
            <w:szCs w:val="22"/>
          </w:rPr>
          <w:tab/>
        </w:r>
        <w:r w:rsidRPr="008E1EE8">
          <w:rPr>
            <w:rStyle w:val="Hypertextovodkaz"/>
            <w:noProof/>
          </w:rPr>
          <w:t>HDP na obyvatele</w:t>
        </w:r>
        <w:r>
          <w:rPr>
            <w:noProof/>
            <w:webHidden/>
          </w:rPr>
          <w:tab/>
        </w:r>
        <w:r>
          <w:rPr>
            <w:noProof/>
            <w:webHidden/>
          </w:rPr>
          <w:fldChar w:fldCharType="begin"/>
        </w:r>
        <w:r>
          <w:rPr>
            <w:noProof/>
            <w:webHidden/>
          </w:rPr>
          <w:instrText xml:space="preserve"> PAGEREF _Toc426017680 \h </w:instrText>
        </w:r>
        <w:r>
          <w:rPr>
            <w:noProof/>
            <w:webHidden/>
          </w:rPr>
        </w:r>
        <w:r>
          <w:rPr>
            <w:noProof/>
            <w:webHidden/>
          </w:rPr>
          <w:fldChar w:fldCharType="separate"/>
        </w:r>
        <w:r>
          <w:rPr>
            <w:noProof/>
            <w:webHidden/>
          </w:rPr>
          <w:t>53</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81" w:history="1">
        <w:r w:rsidRPr="008E1EE8">
          <w:rPr>
            <w:rStyle w:val="Hypertextovodkaz"/>
            <w:noProof/>
          </w:rPr>
          <w:t>6.1.2.</w:t>
        </w:r>
        <w:r>
          <w:rPr>
            <w:rFonts w:asciiTheme="minorHAnsi" w:eastAsiaTheme="minorEastAsia" w:hAnsiTheme="minorHAnsi" w:cstheme="minorBidi"/>
            <w:noProof/>
            <w:sz w:val="22"/>
            <w:szCs w:val="22"/>
          </w:rPr>
          <w:tab/>
        </w:r>
        <w:r w:rsidRPr="008E1EE8">
          <w:rPr>
            <w:rStyle w:val="Hypertextovodkaz"/>
            <w:noProof/>
          </w:rPr>
          <w:t>Čistý disponibilní důchod domácností</w:t>
        </w:r>
        <w:r>
          <w:rPr>
            <w:noProof/>
            <w:webHidden/>
          </w:rPr>
          <w:tab/>
        </w:r>
        <w:r>
          <w:rPr>
            <w:noProof/>
            <w:webHidden/>
          </w:rPr>
          <w:fldChar w:fldCharType="begin"/>
        </w:r>
        <w:r>
          <w:rPr>
            <w:noProof/>
            <w:webHidden/>
          </w:rPr>
          <w:instrText xml:space="preserve"> PAGEREF _Toc426017681 \h </w:instrText>
        </w:r>
        <w:r>
          <w:rPr>
            <w:noProof/>
            <w:webHidden/>
          </w:rPr>
        </w:r>
        <w:r>
          <w:rPr>
            <w:noProof/>
            <w:webHidden/>
          </w:rPr>
          <w:fldChar w:fldCharType="separate"/>
        </w:r>
        <w:r>
          <w:rPr>
            <w:noProof/>
            <w:webHidden/>
          </w:rPr>
          <w:t>54</w:t>
        </w:r>
        <w:r>
          <w:rPr>
            <w:noProof/>
            <w:webHidden/>
          </w:rPr>
          <w:fldChar w:fldCharType="end"/>
        </w:r>
      </w:hyperlink>
    </w:p>
    <w:p w:rsidR="00171D2A" w:rsidRDefault="00171D2A">
      <w:pPr>
        <w:pStyle w:val="Obsah2"/>
        <w:tabs>
          <w:tab w:val="left" w:pos="880"/>
          <w:tab w:val="right" w:leader="dot" w:pos="9628"/>
        </w:tabs>
        <w:rPr>
          <w:rFonts w:asciiTheme="minorHAnsi" w:eastAsiaTheme="minorEastAsia" w:hAnsiTheme="minorHAnsi" w:cstheme="minorBidi"/>
          <w:noProof/>
          <w:sz w:val="22"/>
          <w:szCs w:val="22"/>
        </w:rPr>
      </w:pPr>
      <w:hyperlink w:anchor="_Toc426017682" w:history="1">
        <w:r w:rsidRPr="008E1EE8">
          <w:rPr>
            <w:rStyle w:val="Hypertextovodkaz"/>
            <w:noProof/>
          </w:rPr>
          <w:t>6.2.</w:t>
        </w:r>
        <w:r>
          <w:rPr>
            <w:rFonts w:asciiTheme="minorHAnsi" w:eastAsiaTheme="minorEastAsia" w:hAnsiTheme="minorHAnsi" w:cstheme="minorBidi"/>
            <w:noProof/>
            <w:sz w:val="22"/>
            <w:szCs w:val="22"/>
          </w:rPr>
          <w:tab/>
        </w:r>
        <w:r w:rsidRPr="008E1EE8">
          <w:rPr>
            <w:rStyle w:val="Hypertextovodkaz"/>
            <w:noProof/>
          </w:rPr>
          <w:t>Sociální rozdíly</w:t>
        </w:r>
        <w:r>
          <w:rPr>
            <w:noProof/>
            <w:webHidden/>
          </w:rPr>
          <w:tab/>
        </w:r>
        <w:r>
          <w:rPr>
            <w:noProof/>
            <w:webHidden/>
          </w:rPr>
          <w:fldChar w:fldCharType="begin"/>
        </w:r>
        <w:r>
          <w:rPr>
            <w:noProof/>
            <w:webHidden/>
          </w:rPr>
          <w:instrText xml:space="preserve"> PAGEREF _Toc426017682 \h </w:instrText>
        </w:r>
        <w:r>
          <w:rPr>
            <w:noProof/>
            <w:webHidden/>
          </w:rPr>
        </w:r>
        <w:r>
          <w:rPr>
            <w:noProof/>
            <w:webHidden/>
          </w:rPr>
          <w:fldChar w:fldCharType="separate"/>
        </w:r>
        <w:r>
          <w:rPr>
            <w:noProof/>
            <w:webHidden/>
          </w:rPr>
          <w:t>58</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83" w:history="1">
        <w:r w:rsidRPr="008E1EE8">
          <w:rPr>
            <w:rStyle w:val="Hypertextovodkaz"/>
            <w:noProof/>
          </w:rPr>
          <w:t>6.2.1.</w:t>
        </w:r>
        <w:r>
          <w:rPr>
            <w:rFonts w:asciiTheme="minorHAnsi" w:eastAsiaTheme="minorEastAsia" w:hAnsiTheme="minorHAnsi" w:cstheme="minorBidi"/>
            <w:noProof/>
            <w:sz w:val="22"/>
            <w:szCs w:val="22"/>
          </w:rPr>
          <w:tab/>
        </w:r>
        <w:r w:rsidRPr="008E1EE8">
          <w:rPr>
            <w:rStyle w:val="Hypertextovodkaz"/>
            <w:noProof/>
          </w:rPr>
          <w:t>Změny ve struktuře disponibilních příjmů domácností</w:t>
        </w:r>
        <w:r>
          <w:rPr>
            <w:noProof/>
            <w:webHidden/>
          </w:rPr>
          <w:tab/>
        </w:r>
        <w:r>
          <w:rPr>
            <w:noProof/>
            <w:webHidden/>
          </w:rPr>
          <w:fldChar w:fldCharType="begin"/>
        </w:r>
        <w:r>
          <w:rPr>
            <w:noProof/>
            <w:webHidden/>
          </w:rPr>
          <w:instrText xml:space="preserve"> PAGEREF _Toc426017683 \h </w:instrText>
        </w:r>
        <w:r>
          <w:rPr>
            <w:noProof/>
            <w:webHidden/>
          </w:rPr>
        </w:r>
        <w:r>
          <w:rPr>
            <w:noProof/>
            <w:webHidden/>
          </w:rPr>
          <w:fldChar w:fldCharType="separate"/>
        </w:r>
        <w:r>
          <w:rPr>
            <w:noProof/>
            <w:webHidden/>
          </w:rPr>
          <w:t>58</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84" w:history="1">
        <w:r w:rsidRPr="008E1EE8">
          <w:rPr>
            <w:rStyle w:val="Hypertextovodkaz"/>
            <w:noProof/>
          </w:rPr>
          <w:t>6.2.2.</w:t>
        </w:r>
        <w:r>
          <w:rPr>
            <w:rFonts w:asciiTheme="minorHAnsi" w:eastAsiaTheme="minorEastAsia" w:hAnsiTheme="minorHAnsi" w:cstheme="minorBidi"/>
            <w:noProof/>
            <w:sz w:val="22"/>
            <w:szCs w:val="22"/>
          </w:rPr>
          <w:tab/>
        </w:r>
        <w:r w:rsidRPr="008E1EE8">
          <w:rPr>
            <w:rStyle w:val="Hypertextovodkaz"/>
            <w:noProof/>
          </w:rPr>
          <w:t>Spotřeba a hrubé úspory</w:t>
        </w:r>
        <w:r>
          <w:rPr>
            <w:noProof/>
            <w:webHidden/>
          </w:rPr>
          <w:tab/>
        </w:r>
        <w:r>
          <w:rPr>
            <w:noProof/>
            <w:webHidden/>
          </w:rPr>
          <w:fldChar w:fldCharType="begin"/>
        </w:r>
        <w:r>
          <w:rPr>
            <w:noProof/>
            <w:webHidden/>
          </w:rPr>
          <w:instrText xml:space="preserve"> PAGEREF _Toc426017684 \h </w:instrText>
        </w:r>
        <w:r>
          <w:rPr>
            <w:noProof/>
            <w:webHidden/>
          </w:rPr>
        </w:r>
        <w:r>
          <w:rPr>
            <w:noProof/>
            <w:webHidden/>
          </w:rPr>
          <w:fldChar w:fldCharType="separate"/>
        </w:r>
        <w:r>
          <w:rPr>
            <w:noProof/>
            <w:webHidden/>
          </w:rPr>
          <w:t>59</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85" w:history="1">
        <w:r w:rsidRPr="008E1EE8">
          <w:rPr>
            <w:rStyle w:val="Hypertextovodkaz"/>
            <w:noProof/>
          </w:rPr>
          <w:t>6.2.3.</w:t>
        </w:r>
        <w:r>
          <w:rPr>
            <w:rFonts w:asciiTheme="minorHAnsi" w:eastAsiaTheme="minorEastAsia" w:hAnsiTheme="minorHAnsi" w:cstheme="minorBidi"/>
            <w:noProof/>
            <w:sz w:val="22"/>
            <w:szCs w:val="22"/>
          </w:rPr>
          <w:tab/>
        </w:r>
        <w:r w:rsidRPr="008E1EE8">
          <w:rPr>
            <w:rStyle w:val="Hypertextovodkaz"/>
            <w:noProof/>
          </w:rPr>
          <w:t>Příjmová rozvrstvenost domácností a jejich vydání</w:t>
        </w:r>
        <w:r>
          <w:rPr>
            <w:noProof/>
            <w:webHidden/>
          </w:rPr>
          <w:tab/>
        </w:r>
        <w:r>
          <w:rPr>
            <w:noProof/>
            <w:webHidden/>
          </w:rPr>
          <w:fldChar w:fldCharType="begin"/>
        </w:r>
        <w:r>
          <w:rPr>
            <w:noProof/>
            <w:webHidden/>
          </w:rPr>
          <w:instrText xml:space="preserve"> PAGEREF _Toc426017685 \h </w:instrText>
        </w:r>
        <w:r>
          <w:rPr>
            <w:noProof/>
            <w:webHidden/>
          </w:rPr>
        </w:r>
        <w:r>
          <w:rPr>
            <w:noProof/>
            <w:webHidden/>
          </w:rPr>
          <w:fldChar w:fldCharType="separate"/>
        </w:r>
        <w:r>
          <w:rPr>
            <w:noProof/>
            <w:webHidden/>
          </w:rPr>
          <w:t>61</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86" w:history="1">
        <w:r w:rsidRPr="008E1EE8">
          <w:rPr>
            <w:rStyle w:val="Hypertextovodkaz"/>
            <w:noProof/>
          </w:rPr>
          <w:t>6.2.3.1.</w:t>
        </w:r>
        <w:r>
          <w:rPr>
            <w:rFonts w:asciiTheme="minorHAnsi" w:eastAsiaTheme="minorEastAsia" w:hAnsiTheme="minorHAnsi" w:cstheme="minorBidi"/>
            <w:noProof/>
            <w:sz w:val="22"/>
            <w:szCs w:val="22"/>
          </w:rPr>
          <w:tab/>
        </w:r>
        <w:r w:rsidRPr="008E1EE8">
          <w:rPr>
            <w:rStyle w:val="Hypertextovodkaz"/>
            <w:noProof/>
          </w:rPr>
          <w:t>Peněžní příjmy domácností horního a dolního decilu</w:t>
        </w:r>
        <w:r>
          <w:rPr>
            <w:noProof/>
            <w:webHidden/>
          </w:rPr>
          <w:tab/>
        </w:r>
        <w:r>
          <w:rPr>
            <w:noProof/>
            <w:webHidden/>
          </w:rPr>
          <w:fldChar w:fldCharType="begin"/>
        </w:r>
        <w:r>
          <w:rPr>
            <w:noProof/>
            <w:webHidden/>
          </w:rPr>
          <w:instrText xml:space="preserve"> PAGEREF _Toc426017686 \h </w:instrText>
        </w:r>
        <w:r>
          <w:rPr>
            <w:noProof/>
            <w:webHidden/>
          </w:rPr>
        </w:r>
        <w:r>
          <w:rPr>
            <w:noProof/>
            <w:webHidden/>
          </w:rPr>
          <w:fldChar w:fldCharType="separate"/>
        </w:r>
        <w:r>
          <w:rPr>
            <w:noProof/>
            <w:webHidden/>
          </w:rPr>
          <w:t>61</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87" w:history="1">
        <w:r w:rsidRPr="008E1EE8">
          <w:rPr>
            <w:rStyle w:val="Hypertextovodkaz"/>
            <w:noProof/>
          </w:rPr>
          <w:t>6.2.3.2.</w:t>
        </w:r>
        <w:r>
          <w:rPr>
            <w:rFonts w:asciiTheme="minorHAnsi" w:eastAsiaTheme="minorEastAsia" w:hAnsiTheme="minorHAnsi" w:cstheme="minorBidi"/>
            <w:noProof/>
            <w:sz w:val="22"/>
            <w:szCs w:val="22"/>
          </w:rPr>
          <w:tab/>
        </w:r>
        <w:r w:rsidRPr="008E1EE8">
          <w:rPr>
            <w:rStyle w:val="Hypertextovodkaz"/>
            <w:noProof/>
          </w:rPr>
          <w:t>Rozdíly mezi domácnostmi zaměstnanců a domácnostmi důchodců</w:t>
        </w:r>
        <w:r>
          <w:rPr>
            <w:noProof/>
            <w:webHidden/>
          </w:rPr>
          <w:tab/>
        </w:r>
        <w:r>
          <w:rPr>
            <w:noProof/>
            <w:webHidden/>
          </w:rPr>
          <w:fldChar w:fldCharType="begin"/>
        </w:r>
        <w:r>
          <w:rPr>
            <w:noProof/>
            <w:webHidden/>
          </w:rPr>
          <w:instrText xml:space="preserve"> PAGEREF _Toc426017687 \h </w:instrText>
        </w:r>
        <w:r>
          <w:rPr>
            <w:noProof/>
            <w:webHidden/>
          </w:rPr>
        </w:r>
        <w:r>
          <w:rPr>
            <w:noProof/>
            <w:webHidden/>
          </w:rPr>
          <w:fldChar w:fldCharType="separate"/>
        </w:r>
        <w:r>
          <w:rPr>
            <w:noProof/>
            <w:webHidden/>
          </w:rPr>
          <w:t>63</w:t>
        </w:r>
        <w:r>
          <w:rPr>
            <w:noProof/>
            <w:webHidden/>
          </w:rPr>
          <w:fldChar w:fldCharType="end"/>
        </w:r>
      </w:hyperlink>
    </w:p>
    <w:p w:rsidR="00171D2A" w:rsidRDefault="00171D2A">
      <w:pPr>
        <w:pStyle w:val="Obsah3"/>
        <w:tabs>
          <w:tab w:val="left" w:pos="1320"/>
          <w:tab w:val="right" w:leader="dot" w:pos="9628"/>
        </w:tabs>
        <w:rPr>
          <w:rFonts w:asciiTheme="minorHAnsi" w:eastAsiaTheme="minorEastAsia" w:hAnsiTheme="minorHAnsi" w:cstheme="minorBidi"/>
          <w:noProof/>
          <w:sz w:val="22"/>
          <w:szCs w:val="22"/>
        </w:rPr>
      </w:pPr>
      <w:hyperlink w:anchor="_Toc426017688" w:history="1">
        <w:r w:rsidRPr="008E1EE8">
          <w:rPr>
            <w:rStyle w:val="Hypertextovodkaz"/>
            <w:noProof/>
          </w:rPr>
          <w:t>6.2.4.</w:t>
        </w:r>
        <w:r>
          <w:rPr>
            <w:rFonts w:asciiTheme="minorHAnsi" w:eastAsiaTheme="minorEastAsia" w:hAnsiTheme="minorHAnsi" w:cstheme="minorBidi"/>
            <w:noProof/>
            <w:sz w:val="22"/>
            <w:szCs w:val="22"/>
          </w:rPr>
          <w:tab/>
        </w:r>
        <w:r w:rsidRPr="008E1EE8">
          <w:rPr>
            <w:rStyle w:val="Hypertextovodkaz"/>
            <w:noProof/>
          </w:rPr>
          <w:t>Čistá peněžní vydání domácností na osobu podle decilového rozdělení příjmů</w:t>
        </w:r>
        <w:r>
          <w:rPr>
            <w:noProof/>
            <w:webHidden/>
          </w:rPr>
          <w:tab/>
        </w:r>
        <w:r>
          <w:rPr>
            <w:noProof/>
            <w:webHidden/>
          </w:rPr>
          <w:fldChar w:fldCharType="begin"/>
        </w:r>
        <w:r>
          <w:rPr>
            <w:noProof/>
            <w:webHidden/>
          </w:rPr>
          <w:instrText xml:space="preserve"> PAGEREF _Toc426017688 \h </w:instrText>
        </w:r>
        <w:r>
          <w:rPr>
            <w:noProof/>
            <w:webHidden/>
          </w:rPr>
        </w:r>
        <w:r>
          <w:rPr>
            <w:noProof/>
            <w:webHidden/>
          </w:rPr>
          <w:fldChar w:fldCharType="separate"/>
        </w:r>
        <w:r>
          <w:rPr>
            <w:noProof/>
            <w:webHidden/>
          </w:rPr>
          <w:t>65</w:t>
        </w:r>
        <w:r>
          <w:rPr>
            <w:noProof/>
            <w:webHidden/>
          </w:rPr>
          <w:fldChar w:fldCharType="end"/>
        </w:r>
      </w:hyperlink>
    </w:p>
    <w:p w:rsidR="006E15CB" w:rsidRDefault="00513C6F" w:rsidP="00664C40">
      <w:pPr>
        <w:pStyle w:val="Nadpis1"/>
        <w:spacing w:before="200"/>
      </w:pPr>
      <w:r w:rsidRPr="00E921C7">
        <w:fldChar w:fldCharType="end"/>
      </w:r>
    </w:p>
    <w:p w:rsidR="00664C40" w:rsidRDefault="00664C40" w:rsidP="001E3DA4">
      <w:pPr>
        <w:sectPr w:rsidR="00664C40" w:rsidSect="00357449">
          <w:headerReference w:type="even" r:id="rId9"/>
          <w:headerReference w:type="default" r:id="rId10"/>
          <w:footerReference w:type="even" r:id="rId11"/>
          <w:footerReference w:type="default" r:id="rId12"/>
          <w:pgSz w:w="11906" w:h="16838" w:code="9"/>
          <w:pgMar w:top="1134" w:right="1134" w:bottom="1418" w:left="1134" w:header="680" w:footer="680" w:gutter="0"/>
          <w:cols w:space="708"/>
          <w:docGrid w:linePitch="360"/>
        </w:sectPr>
      </w:pPr>
    </w:p>
    <w:p w:rsidR="00F46FD1" w:rsidRDefault="00174FFB" w:rsidP="00174FFB">
      <w:pPr>
        <w:pStyle w:val="Nadpis1"/>
      </w:pPr>
      <w:bookmarkStart w:id="4" w:name="_Toc426017647"/>
      <w:r>
        <w:lastRenderedPageBreak/>
        <w:t>Úvod</w:t>
      </w:r>
      <w:bookmarkEnd w:id="4"/>
    </w:p>
    <w:p w:rsidR="00F34509" w:rsidRDefault="00F34509" w:rsidP="00F34509">
      <w:pPr>
        <w:pStyle w:val="Textpoznpodarou"/>
        <w:jc w:val="both"/>
      </w:pPr>
      <w:r>
        <w:t>Pravidelná r</w:t>
      </w:r>
      <w:r w:rsidR="000848F4">
        <w:t>oční analýza „Tendence</w:t>
      </w:r>
      <w:r>
        <w:t xml:space="preserve"> makroekonomického vývoje a kvality života v</w:t>
      </w:r>
      <w:r w:rsidR="00EC6972">
        <w:t> České republice</w:t>
      </w:r>
      <w:r>
        <w:t>“ je obsáhlejším empirickým rozborem předcházejícího roku zasazeného časově do kontextu střednědobých či dlouhodobých trendů vývoje. Pokud nejsou v určitých zvolených tématech údaje předchozího roku k dispozici, končí časové řady a jejich hodnocení rokem, za nějž jsou data naposledy dostupná.  Publikace této roční makroanalýzy vyplňuje „místo na trhu“ obsáhlejších zpráv a analýz státních institucí. Zpráva o inflaci České národní banky akcentuje logicky více měnové podmínky v ekonomice, Makroekonomická predi</w:t>
      </w:r>
      <w:r w:rsidR="000848F4">
        <w:t>kce M</w:t>
      </w:r>
      <w:r>
        <w:t xml:space="preserve">inisterstva financí je pak kromě analýzy zaměřena především prognosticky. Předkládaná publikace je tedy více soustředěna na reálnou ekonomiku, </w:t>
      </w:r>
      <w:r w:rsidR="00EC6972">
        <w:t xml:space="preserve">využívá zejména </w:t>
      </w:r>
      <w:r>
        <w:t>data z</w:t>
      </w:r>
      <w:r w:rsidR="00EC6972">
        <w:t xml:space="preserve"> p</w:t>
      </w:r>
      <w:r w:rsidR="007E386C">
        <w:t>rodukce ČSÚ, především národní účty</w:t>
      </w:r>
      <w:r>
        <w:t xml:space="preserve">. V této aktuální verzi jsou navíc poprvé v části o kvalitě života rozebrány </w:t>
      </w:r>
      <w:proofErr w:type="spellStart"/>
      <w:r>
        <w:t>šířeji</w:t>
      </w:r>
      <w:proofErr w:type="spellEnd"/>
      <w:r>
        <w:t xml:space="preserve"> i</w:t>
      </w:r>
      <w:r w:rsidR="00EC6972">
        <w:t> </w:t>
      </w:r>
      <w:r>
        <w:t>údaje ze</w:t>
      </w:r>
      <w:r w:rsidR="00EC6972">
        <w:t> </w:t>
      </w:r>
      <w:r>
        <w:t>sociálních šetření a rodinných účtů.</w:t>
      </w:r>
    </w:p>
    <w:p w:rsidR="00F34509" w:rsidRDefault="00F34509" w:rsidP="00F34509">
      <w:pPr>
        <w:pStyle w:val="Textpoznpodarou"/>
        <w:jc w:val="both"/>
      </w:pPr>
    </w:p>
    <w:p w:rsidR="00F34509" w:rsidRDefault="00F34509" w:rsidP="00F34509">
      <w:pPr>
        <w:pStyle w:val="Textpoznpodarou"/>
        <w:jc w:val="both"/>
      </w:pPr>
      <w:r>
        <w:t>Kromě části o souhrnné výkonnosti ekonomiky a cenovém vývoji, které jsou obsáh</w:t>
      </w:r>
      <w:r w:rsidR="000848F4">
        <w:t>lejším rozpracováním témat, jim</w:t>
      </w:r>
      <w:r>
        <w:t>ž se analytický útvar ČSU věnuje v pravidelných čtvrtletních zprávách s názvem „Vývoj české ekonomiky“, pokračuje tato publikace v „tradičním“ tématu makroekonomických nerovnováh. V této předkládané publikaci je navíc zohledněn v několika případech výjimečný rok 2014 v rozboru dalších nerovnováh, jako jsou stavy přímých zahraničních investic v ČR a přímých investic českých subjektů v zahraničí či</w:t>
      </w:r>
      <w:r w:rsidR="00EC6972">
        <w:t xml:space="preserve"> vývoj</w:t>
      </w:r>
      <w:r>
        <w:t xml:space="preserve"> nepoměru dividend a reinvestovaných zisků přímých investorů. Především však příčinami a mimořádnými faktory ovlivňujícími výši zisků nefinančních podniků v roce 2014 a jejich ner</w:t>
      </w:r>
      <w:r w:rsidR="000848F4">
        <w:t>ovnovážnou</w:t>
      </w:r>
      <w:r>
        <w:t xml:space="preserve"> proporci k vývoji mezd.</w:t>
      </w:r>
      <w:r w:rsidR="00923F10">
        <w:t xml:space="preserve"> Vzhledem ke specifikům loňského roku se nefinančními podniky analýza zabývá také v samostatné části.</w:t>
      </w:r>
    </w:p>
    <w:p w:rsidR="00F34509" w:rsidRDefault="00F34509" w:rsidP="00F34509">
      <w:pPr>
        <w:pStyle w:val="Textpoznpodarou"/>
        <w:jc w:val="both"/>
      </w:pPr>
    </w:p>
    <w:p w:rsidR="00F34509" w:rsidRDefault="00F34509" w:rsidP="00F34509">
      <w:pPr>
        <w:pStyle w:val="Textpoznpodarou"/>
        <w:jc w:val="both"/>
      </w:pPr>
      <w:r>
        <w:t>Část o kvalitě života je věnována nerovnostem</w:t>
      </w:r>
      <w:r w:rsidR="00877329">
        <w:t xml:space="preserve"> souvisejícím s materiálními podmínkami kvality života</w:t>
      </w:r>
      <w:r>
        <w:t xml:space="preserve">, a sice těm, které </w:t>
      </w:r>
      <w:r w:rsidR="00877329">
        <w:t xml:space="preserve">se dotýkají </w:t>
      </w:r>
      <w:r>
        <w:t>disparit regionální</w:t>
      </w:r>
      <w:r w:rsidR="00877329">
        <w:t>ch</w:t>
      </w:r>
      <w:r>
        <w:t xml:space="preserve"> a sociální</w:t>
      </w:r>
      <w:r w:rsidR="00877329">
        <w:t>ch</w:t>
      </w:r>
      <w:r>
        <w:t>, kde je analýza soustředěna na desetinu českých domácností s nejnižšími příjmy a desetinu domácností s nejvyššími příjmy. I v této části o kvalitě života jsou využívána data ČSÚ.</w:t>
      </w:r>
    </w:p>
    <w:p w:rsidR="00F34509" w:rsidRDefault="00F34509" w:rsidP="00F34509">
      <w:pPr>
        <w:pStyle w:val="Textpoznpodarou"/>
        <w:jc w:val="both"/>
      </w:pPr>
    </w:p>
    <w:p w:rsidR="00F34509" w:rsidRDefault="00F34509" w:rsidP="00F34509">
      <w:pPr>
        <w:pStyle w:val="Textpoznpodarou"/>
        <w:jc w:val="both"/>
      </w:pPr>
      <w:r>
        <w:t>Stále platí, že ČSÚ v této publikaci usiluje o rozšiřován</w:t>
      </w:r>
      <w:r w:rsidR="001A5DA4">
        <w:t xml:space="preserve">í analýzy i na témata </w:t>
      </w:r>
      <w:proofErr w:type="spellStart"/>
      <w:r w:rsidR="001A5DA4">
        <w:t>ne</w:t>
      </w:r>
      <w:r>
        <w:t>makroekonomická</w:t>
      </w:r>
      <w:proofErr w:type="spellEnd"/>
      <w:r>
        <w:t>, tj. soustředěná dosud především na materiální kvalitu života s cílem přiblížit se věrnějšímu a komplexnějšímu obrazu vývoje v České republice.</w:t>
      </w:r>
    </w:p>
    <w:p w:rsidR="00174FFB" w:rsidRDefault="00174FFB" w:rsidP="00174FFB"/>
    <w:p w:rsidR="00174FFB" w:rsidRDefault="00174FFB" w:rsidP="00174FFB"/>
    <w:p w:rsidR="00174FFB" w:rsidRDefault="00174FFB" w:rsidP="00174FFB"/>
    <w:p w:rsidR="00174FFB" w:rsidRDefault="00174FFB" w:rsidP="00174FFB"/>
    <w:p w:rsidR="00174FFB" w:rsidRDefault="00174FFB" w:rsidP="00174FFB"/>
    <w:p w:rsidR="00174FFB" w:rsidRDefault="00174FFB" w:rsidP="00174FFB"/>
    <w:p w:rsidR="00174FFB" w:rsidRDefault="00174FFB" w:rsidP="00174FFB"/>
    <w:p w:rsidR="00174FFB" w:rsidRDefault="00174FFB" w:rsidP="00174FFB"/>
    <w:p w:rsidR="00174FFB" w:rsidRDefault="00174FFB" w:rsidP="00174FFB"/>
    <w:p w:rsidR="00174FFB" w:rsidRDefault="00174FFB" w:rsidP="00174FFB"/>
    <w:p w:rsidR="00174FFB" w:rsidRDefault="00174FFB" w:rsidP="00174FFB"/>
    <w:p w:rsidR="00174FFB" w:rsidRDefault="00174FFB" w:rsidP="00174FFB"/>
    <w:p w:rsidR="00F34509" w:rsidRDefault="00F34509" w:rsidP="00174FFB"/>
    <w:p w:rsidR="00F34509" w:rsidRDefault="00F34509" w:rsidP="00174FFB"/>
    <w:p w:rsidR="00F34509" w:rsidRDefault="00F34509" w:rsidP="00174FFB"/>
    <w:p w:rsidR="00F34509" w:rsidRDefault="00F34509" w:rsidP="00174FFB"/>
    <w:p w:rsidR="00174FFB" w:rsidRDefault="00174FFB" w:rsidP="00174FFB"/>
    <w:p w:rsidR="00174FFB" w:rsidRDefault="00174FFB" w:rsidP="00174FFB"/>
    <w:p w:rsidR="008059A4" w:rsidRPr="008E6113" w:rsidRDefault="008059A4" w:rsidP="008059A4">
      <w:pPr>
        <w:rPr>
          <w:rFonts w:cs="Arial"/>
          <w:b/>
        </w:rPr>
      </w:pPr>
      <w:r w:rsidRPr="008E6113">
        <w:rPr>
          <w:rFonts w:cs="Arial"/>
          <w:b/>
        </w:rPr>
        <w:t>Kapitoly zpracovali:</w:t>
      </w:r>
    </w:p>
    <w:p w:rsidR="008059A4" w:rsidRDefault="008059A4" w:rsidP="008059A4">
      <w:pPr>
        <w:rPr>
          <w:rFonts w:cs="Arial"/>
        </w:rPr>
      </w:pPr>
    </w:p>
    <w:p w:rsidR="00F34509" w:rsidRDefault="008059A4" w:rsidP="008059A4">
      <w:pPr>
        <w:spacing w:after="120" w:line="276" w:lineRule="auto"/>
        <w:rPr>
          <w:rFonts w:cs="Arial"/>
        </w:rPr>
      </w:pPr>
      <w:r>
        <w:rPr>
          <w:rFonts w:cs="Arial"/>
        </w:rPr>
        <w:t xml:space="preserve">Drahomíra </w:t>
      </w:r>
      <w:r w:rsidR="00F34509">
        <w:rPr>
          <w:rFonts w:cs="Arial"/>
        </w:rPr>
        <w:t xml:space="preserve">Dubská </w:t>
      </w:r>
      <w:r w:rsidR="00F34509">
        <w:rPr>
          <w:rFonts w:cs="Arial"/>
        </w:rPr>
        <w:tab/>
      </w:r>
      <w:r w:rsidR="00317C76">
        <w:rPr>
          <w:rFonts w:cs="Arial"/>
        </w:rPr>
        <w:t xml:space="preserve">Úvod, </w:t>
      </w:r>
      <w:r w:rsidR="00F34509">
        <w:rPr>
          <w:rFonts w:cs="Arial"/>
        </w:rPr>
        <w:t>Shrnutí (kap. 1), kap. 5</w:t>
      </w:r>
      <w:r>
        <w:rPr>
          <w:rFonts w:cs="Arial"/>
        </w:rPr>
        <w:t xml:space="preserve">, kap. </w:t>
      </w:r>
      <w:r w:rsidR="00F34509">
        <w:rPr>
          <w:rFonts w:cs="Arial"/>
        </w:rPr>
        <w:t>6</w:t>
      </w:r>
    </w:p>
    <w:p w:rsidR="00F34509" w:rsidRDefault="00F34509" w:rsidP="00F34509">
      <w:pPr>
        <w:spacing w:after="120" w:line="276" w:lineRule="auto"/>
        <w:rPr>
          <w:rFonts w:cs="Arial"/>
        </w:rPr>
      </w:pPr>
      <w:r>
        <w:rPr>
          <w:rFonts w:cs="Arial"/>
        </w:rPr>
        <w:t>Jiří Kamenický</w:t>
      </w:r>
      <w:r>
        <w:rPr>
          <w:rFonts w:cs="Arial"/>
        </w:rPr>
        <w:tab/>
      </w:r>
      <w:r>
        <w:rPr>
          <w:rFonts w:cs="Arial"/>
        </w:rPr>
        <w:tab/>
        <w:t>Shrnutí (kap. 1), kap. 3</w:t>
      </w:r>
    </w:p>
    <w:p w:rsidR="008059A4" w:rsidRDefault="008059A4" w:rsidP="008059A4">
      <w:pPr>
        <w:spacing w:after="120" w:line="276" w:lineRule="auto"/>
        <w:rPr>
          <w:rFonts w:cs="Arial"/>
        </w:rPr>
      </w:pPr>
      <w:r>
        <w:rPr>
          <w:rFonts w:cs="Arial"/>
        </w:rPr>
        <w:t>Lukáš Kučera</w:t>
      </w:r>
      <w:r>
        <w:rPr>
          <w:rFonts w:cs="Arial"/>
        </w:rPr>
        <w:tab/>
      </w:r>
      <w:r>
        <w:rPr>
          <w:rFonts w:cs="Arial"/>
        </w:rPr>
        <w:tab/>
        <w:t xml:space="preserve">Shrnutí </w:t>
      </w:r>
      <w:r w:rsidR="00F34509">
        <w:rPr>
          <w:rFonts w:cs="Arial"/>
        </w:rPr>
        <w:t>(kap. 1), kap. 2, kap. 4</w:t>
      </w:r>
    </w:p>
    <w:p w:rsidR="00174FFB" w:rsidRDefault="00174FFB" w:rsidP="00174FFB"/>
    <w:p w:rsidR="00174FFB" w:rsidRDefault="00174FFB" w:rsidP="00174FFB">
      <w:pPr>
        <w:pStyle w:val="Nadpis1"/>
        <w:numPr>
          <w:ilvl w:val="0"/>
          <w:numId w:val="1"/>
        </w:numPr>
        <w:jc w:val="both"/>
      </w:pPr>
      <w:bookmarkStart w:id="5" w:name="_Toc426017648"/>
      <w:r>
        <w:lastRenderedPageBreak/>
        <w:t>Shrnutí</w:t>
      </w:r>
      <w:bookmarkEnd w:id="5"/>
    </w:p>
    <w:p w:rsidR="009362AF" w:rsidRPr="008666C3" w:rsidRDefault="00317C76" w:rsidP="00435D30">
      <w:pPr>
        <w:pStyle w:val="Textpoznpodarou"/>
        <w:numPr>
          <w:ilvl w:val="0"/>
          <w:numId w:val="2"/>
        </w:numPr>
        <w:ind w:left="425" w:hanging="357"/>
        <w:jc w:val="both"/>
        <w:rPr>
          <w:spacing w:val="-2"/>
          <w:lang w:eastAsia="ar-SA"/>
        </w:rPr>
      </w:pPr>
      <w:r w:rsidRPr="008666C3">
        <w:rPr>
          <w:spacing w:val="-2"/>
          <w:lang w:eastAsia="ar-SA"/>
        </w:rPr>
        <w:t>Recese</w:t>
      </w:r>
      <w:r w:rsidR="009362AF" w:rsidRPr="008666C3">
        <w:rPr>
          <w:spacing w:val="-2"/>
          <w:lang w:eastAsia="ar-SA"/>
        </w:rPr>
        <w:t xml:space="preserve">, </w:t>
      </w:r>
      <w:r w:rsidRPr="008666C3">
        <w:rPr>
          <w:spacing w:val="-2"/>
          <w:lang w:eastAsia="ar-SA"/>
        </w:rPr>
        <w:t xml:space="preserve">se </w:t>
      </w:r>
      <w:r w:rsidR="009362AF" w:rsidRPr="008666C3">
        <w:rPr>
          <w:spacing w:val="-2"/>
          <w:lang w:eastAsia="ar-SA"/>
        </w:rPr>
        <w:t>kter</w:t>
      </w:r>
      <w:r w:rsidRPr="008666C3">
        <w:rPr>
          <w:spacing w:val="-2"/>
          <w:lang w:eastAsia="ar-SA"/>
        </w:rPr>
        <w:t>ou se</w:t>
      </w:r>
      <w:r w:rsidR="009362AF" w:rsidRPr="008666C3">
        <w:rPr>
          <w:spacing w:val="-2"/>
          <w:lang w:eastAsia="ar-SA"/>
        </w:rPr>
        <w:t xml:space="preserve"> česk</w:t>
      </w:r>
      <w:r w:rsidRPr="008666C3">
        <w:rPr>
          <w:spacing w:val="-2"/>
          <w:lang w:eastAsia="ar-SA"/>
        </w:rPr>
        <w:t>á</w:t>
      </w:r>
      <w:r w:rsidR="009362AF" w:rsidRPr="008666C3">
        <w:rPr>
          <w:spacing w:val="-2"/>
          <w:lang w:eastAsia="ar-SA"/>
        </w:rPr>
        <w:t xml:space="preserve"> ekonomik</w:t>
      </w:r>
      <w:r w:rsidRPr="008666C3">
        <w:rPr>
          <w:spacing w:val="-2"/>
          <w:lang w:eastAsia="ar-SA"/>
        </w:rPr>
        <w:t>a potýkala</w:t>
      </w:r>
      <w:r w:rsidR="009362AF" w:rsidRPr="008666C3">
        <w:rPr>
          <w:spacing w:val="-2"/>
          <w:lang w:eastAsia="ar-SA"/>
        </w:rPr>
        <w:t xml:space="preserve"> v letech 2012 a 2013 a při níž se HDP</w:t>
      </w:r>
      <w:r w:rsidR="009362AF" w:rsidRPr="008666C3">
        <w:rPr>
          <w:rStyle w:val="Znakapoznpodarou"/>
          <w:spacing w:val="-2"/>
          <w:lang w:eastAsia="ar-SA"/>
        </w:rPr>
        <w:footnoteReference w:id="1"/>
      </w:r>
      <w:r w:rsidR="009362AF" w:rsidRPr="008666C3">
        <w:rPr>
          <w:spacing w:val="-2"/>
          <w:lang w:eastAsia="ar-SA"/>
        </w:rPr>
        <w:t xml:space="preserve"> snížil v úhrnu o 1,4 %, </w:t>
      </w:r>
      <w:r w:rsidR="00A75744">
        <w:rPr>
          <w:spacing w:val="-2"/>
          <w:lang w:eastAsia="ar-SA"/>
        </w:rPr>
        <w:t>již skončila</w:t>
      </w:r>
      <w:r w:rsidR="009362AF" w:rsidRPr="008666C3">
        <w:rPr>
          <w:spacing w:val="-2"/>
          <w:lang w:eastAsia="ar-SA"/>
        </w:rPr>
        <w:t>. Opětovné posilování domácí a zahraniční poptávky</w:t>
      </w:r>
      <w:r w:rsidR="00A75744">
        <w:rPr>
          <w:spacing w:val="-2"/>
          <w:lang w:eastAsia="ar-SA"/>
        </w:rPr>
        <w:t>,</w:t>
      </w:r>
      <w:r w:rsidR="00981EC7" w:rsidRPr="008666C3">
        <w:rPr>
          <w:spacing w:val="-2"/>
          <w:lang w:eastAsia="ar-SA"/>
        </w:rPr>
        <w:t xml:space="preserve"> a také </w:t>
      </w:r>
      <w:r w:rsidR="00D47948" w:rsidRPr="008666C3">
        <w:rPr>
          <w:spacing w:val="-2"/>
          <w:lang w:eastAsia="ar-SA"/>
        </w:rPr>
        <w:t>další faktory</w:t>
      </w:r>
      <w:r w:rsidR="00A75744">
        <w:rPr>
          <w:spacing w:val="-2"/>
          <w:lang w:eastAsia="ar-SA"/>
        </w:rPr>
        <w:t>,</w:t>
      </w:r>
      <w:r w:rsidR="00D47948" w:rsidRPr="008666C3">
        <w:rPr>
          <w:spacing w:val="-2"/>
          <w:lang w:eastAsia="ar-SA"/>
        </w:rPr>
        <w:t xml:space="preserve"> </w:t>
      </w:r>
      <w:r w:rsidR="009362AF" w:rsidRPr="008666C3">
        <w:rPr>
          <w:spacing w:val="-2"/>
          <w:lang w:eastAsia="ar-SA"/>
        </w:rPr>
        <w:t xml:space="preserve">se promítly do růstu výkonu ekonomiky o rovná 2 %. Přestože se jednalo o přírůstek </w:t>
      </w:r>
      <w:r w:rsidR="006A2B36">
        <w:rPr>
          <w:spacing w:val="-2"/>
          <w:lang w:eastAsia="ar-SA"/>
        </w:rPr>
        <w:t>poměrně značný</w:t>
      </w:r>
      <w:r w:rsidR="009362AF" w:rsidRPr="008666C3">
        <w:rPr>
          <w:spacing w:val="-2"/>
          <w:lang w:eastAsia="ar-SA"/>
        </w:rPr>
        <w:t>, proti rokům konjunktury 2004 až 2008 – kdy se HDP zvyšoval v průměru o 5,3 % za rok – byl nízký. Nižší byl růst HDP v roce 2014 i v porovnání s vývojem za celé období existence samostatné ČR (v průměru +2,4 % ročně).</w:t>
      </w:r>
    </w:p>
    <w:p w:rsidR="009362AF" w:rsidRPr="004827FE" w:rsidRDefault="009362AF" w:rsidP="009362AF">
      <w:pPr>
        <w:pStyle w:val="Textpoznpodarou"/>
        <w:ind w:left="425"/>
        <w:jc w:val="both"/>
        <w:rPr>
          <w:sz w:val="16"/>
          <w:szCs w:val="16"/>
          <w:lang w:eastAsia="ar-SA"/>
        </w:rPr>
      </w:pPr>
    </w:p>
    <w:p w:rsidR="009362AF" w:rsidRPr="003A2CF4" w:rsidRDefault="009362AF" w:rsidP="00435D30">
      <w:pPr>
        <w:pStyle w:val="Textpoznpodarou"/>
        <w:numPr>
          <w:ilvl w:val="0"/>
          <w:numId w:val="2"/>
        </w:numPr>
        <w:ind w:left="425" w:hanging="357"/>
        <w:jc w:val="both"/>
        <w:rPr>
          <w:spacing w:val="-2"/>
          <w:lang w:eastAsia="ar-SA"/>
        </w:rPr>
      </w:pPr>
      <w:r w:rsidRPr="003A2CF4">
        <w:rPr>
          <w:spacing w:val="-2"/>
          <w:lang w:eastAsia="ar-SA"/>
        </w:rPr>
        <w:t>Ve srovnání s jednotlivými zeměmi Evropské unie dosáhla česká ekonomika v loňském roce průměrného růstu</w:t>
      </w:r>
      <w:r w:rsidR="00171672">
        <w:rPr>
          <w:spacing w:val="-2"/>
          <w:lang w:eastAsia="ar-SA"/>
        </w:rPr>
        <w:t xml:space="preserve"> (v žebříčku jí patřilo čtrnácté</w:t>
      </w:r>
      <w:r w:rsidRPr="003A2CF4">
        <w:rPr>
          <w:spacing w:val="-2"/>
          <w:lang w:eastAsia="ar-SA"/>
        </w:rPr>
        <w:t xml:space="preserve"> místo), proti výsledku za celou EU – kde HDP </w:t>
      </w:r>
      <w:r w:rsidR="00D47948">
        <w:rPr>
          <w:spacing w:val="-2"/>
          <w:lang w:eastAsia="ar-SA"/>
        </w:rPr>
        <w:t>vzrostl</w:t>
      </w:r>
      <w:r w:rsidRPr="003A2CF4">
        <w:rPr>
          <w:spacing w:val="-2"/>
          <w:lang w:eastAsia="ar-SA"/>
        </w:rPr>
        <w:t xml:space="preserve"> pouze o 1,3 % – byl vývoj v tuzemsku však příznivější. Projevil se i v opětovném „nastartování“ reálné konvergence. Jestliže v roce 2011 dosahovala ekonomická úroveň ČR – měřená hrubým domácím produktem </w:t>
      </w:r>
      <w:r w:rsidR="00B47FCC">
        <w:rPr>
          <w:spacing w:val="-2"/>
          <w:lang w:eastAsia="ar-SA"/>
        </w:rPr>
        <w:t xml:space="preserve">na obyvatele </w:t>
      </w:r>
      <w:r w:rsidRPr="003A2CF4">
        <w:rPr>
          <w:spacing w:val="-2"/>
          <w:lang w:eastAsia="ar-SA"/>
        </w:rPr>
        <w:t>v</w:t>
      </w:r>
      <w:r>
        <w:rPr>
          <w:spacing w:val="-2"/>
          <w:lang w:eastAsia="ar-SA"/>
        </w:rPr>
        <w:t> </w:t>
      </w:r>
      <w:r w:rsidRPr="003A2CF4">
        <w:rPr>
          <w:spacing w:val="-2"/>
          <w:lang w:eastAsia="ar-SA"/>
        </w:rPr>
        <w:t>paritě</w:t>
      </w:r>
      <w:r>
        <w:rPr>
          <w:spacing w:val="-2"/>
          <w:lang w:eastAsia="ar-SA"/>
        </w:rPr>
        <w:t> </w:t>
      </w:r>
      <w:r w:rsidR="00B47FCC">
        <w:rPr>
          <w:spacing w:val="-2"/>
          <w:lang w:eastAsia="ar-SA"/>
        </w:rPr>
        <w:t>kupní síly</w:t>
      </w:r>
      <w:r w:rsidR="00FD4B88">
        <w:rPr>
          <w:spacing w:val="-2"/>
          <w:lang w:eastAsia="ar-SA"/>
        </w:rPr>
        <w:t xml:space="preserve"> – 83</w:t>
      </w:r>
      <w:r w:rsidRPr="003A2CF4">
        <w:rPr>
          <w:spacing w:val="-2"/>
          <w:lang w:eastAsia="ar-SA"/>
        </w:rPr>
        <w:t xml:space="preserve"> % pr</w:t>
      </w:r>
      <w:r w:rsidR="00FD4B88">
        <w:rPr>
          <w:spacing w:val="-2"/>
          <w:lang w:eastAsia="ar-SA"/>
        </w:rPr>
        <w:t>ůměru EU a v obou letech recese 2012 a 2013 už pouze 82</w:t>
      </w:r>
      <w:r w:rsidRPr="003A2CF4">
        <w:rPr>
          <w:spacing w:val="-2"/>
          <w:lang w:eastAsia="ar-SA"/>
        </w:rPr>
        <w:t> %, loni</w:t>
      </w:r>
      <w:r>
        <w:rPr>
          <w:spacing w:val="-2"/>
          <w:lang w:eastAsia="ar-SA"/>
        </w:rPr>
        <w:t> </w:t>
      </w:r>
      <w:r w:rsidR="00FD4B88">
        <w:rPr>
          <w:spacing w:val="-2"/>
          <w:lang w:eastAsia="ar-SA"/>
        </w:rPr>
        <w:t>stoupla na 84</w:t>
      </w:r>
      <w:r w:rsidRPr="003A2CF4">
        <w:rPr>
          <w:spacing w:val="-2"/>
          <w:lang w:eastAsia="ar-SA"/>
        </w:rPr>
        <w:t xml:space="preserve"> %.</w:t>
      </w:r>
      <w:r>
        <w:rPr>
          <w:spacing w:val="-2"/>
          <w:lang w:eastAsia="ar-SA"/>
        </w:rPr>
        <w:t xml:space="preserve"> D</w:t>
      </w:r>
      <w:r w:rsidRPr="003A2CF4">
        <w:rPr>
          <w:spacing w:val="-2"/>
          <w:lang w:eastAsia="ar-SA"/>
        </w:rPr>
        <w:t xml:space="preserve">ohánění ekonomicky vyspělejších zemí </w:t>
      </w:r>
      <w:r>
        <w:rPr>
          <w:spacing w:val="-2"/>
          <w:lang w:eastAsia="ar-SA"/>
        </w:rPr>
        <w:t>probíhalo</w:t>
      </w:r>
      <w:r w:rsidRPr="003A2CF4">
        <w:rPr>
          <w:spacing w:val="-2"/>
          <w:lang w:eastAsia="ar-SA"/>
        </w:rPr>
        <w:t xml:space="preserve"> v podmínkách výrazného zlepšení vnějších ekonomických vztahů měřených saldem běžného účtu platební bilance a při oživení trhu</w:t>
      </w:r>
      <w:r>
        <w:rPr>
          <w:spacing w:val="-2"/>
          <w:lang w:eastAsia="ar-SA"/>
        </w:rPr>
        <w:t> </w:t>
      </w:r>
      <w:r w:rsidRPr="003A2CF4">
        <w:rPr>
          <w:spacing w:val="-2"/>
          <w:lang w:eastAsia="ar-SA"/>
        </w:rPr>
        <w:t>práce</w:t>
      </w:r>
      <w:r>
        <w:rPr>
          <w:spacing w:val="-2"/>
          <w:lang w:eastAsia="ar-SA"/>
        </w:rPr>
        <w:t>, tj.</w:t>
      </w:r>
      <w:r w:rsidRPr="003A2CF4">
        <w:rPr>
          <w:spacing w:val="-2"/>
          <w:lang w:eastAsia="ar-SA"/>
        </w:rPr>
        <w:t xml:space="preserve"> </w:t>
      </w:r>
      <w:r>
        <w:rPr>
          <w:spacing w:val="-2"/>
          <w:lang w:eastAsia="ar-SA"/>
        </w:rPr>
        <w:t>nárůstu zaměstnanosti i</w:t>
      </w:r>
      <w:r w:rsidRPr="003A2CF4">
        <w:rPr>
          <w:spacing w:val="-2"/>
          <w:lang w:eastAsia="ar-SA"/>
        </w:rPr>
        <w:t xml:space="preserve"> mezd. </w:t>
      </w:r>
      <w:r>
        <w:rPr>
          <w:spacing w:val="-2"/>
          <w:lang w:eastAsia="ar-SA"/>
        </w:rPr>
        <w:t>P</w:t>
      </w:r>
      <w:r w:rsidRPr="003A2CF4">
        <w:rPr>
          <w:spacing w:val="-2"/>
          <w:lang w:eastAsia="ar-SA"/>
        </w:rPr>
        <w:t>řes</w:t>
      </w:r>
      <w:r>
        <w:rPr>
          <w:spacing w:val="-2"/>
          <w:lang w:eastAsia="ar-SA"/>
        </w:rPr>
        <w:t>tože došlo ke</w:t>
      </w:r>
      <w:r w:rsidRPr="003A2CF4">
        <w:rPr>
          <w:spacing w:val="-2"/>
          <w:lang w:eastAsia="ar-SA"/>
        </w:rPr>
        <w:t xml:space="preserve"> zvětšení deficitu vládních institucí</w:t>
      </w:r>
      <w:r>
        <w:rPr>
          <w:spacing w:val="-2"/>
          <w:lang w:eastAsia="ar-SA"/>
        </w:rPr>
        <w:t>, </w:t>
      </w:r>
      <w:r w:rsidRPr="003A2CF4">
        <w:rPr>
          <w:spacing w:val="-2"/>
          <w:lang w:eastAsia="ar-SA"/>
        </w:rPr>
        <w:t xml:space="preserve"> reálná konvergence </w:t>
      </w:r>
      <w:r>
        <w:rPr>
          <w:spacing w:val="-2"/>
          <w:lang w:eastAsia="ar-SA"/>
        </w:rPr>
        <w:t xml:space="preserve">byla </w:t>
      </w:r>
      <w:r w:rsidRPr="003A2CF4">
        <w:rPr>
          <w:spacing w:val="-2"/>
          <w:lang w:eastAsia="ar-SA"/>
        </w:rPr>
        <w:t>doprovázena také poklesem hrubého konsolidovaného dluhu.</w:t>
      </w:r>
    </w:p>
    <w:p w:rsidR="009362AF" w:rsidRPr="004827FE" w:rsidRDefault="009362AF" w:rsidP="009362AF">
      <w:pPr>
        <w:rPr>
          <w:sz w:val="16"/>
          <w:szCs w:val="16"/>
          <w:lang w:eastAsia="ar-SA"/>
        </w:rPr>
      </w:pPr>
    </w:p>
    <w:p w:rsidR="009362AF" w:rsidRPr="00171672" w:rsidRDefault="00171672" w:rsidP="00435D30">
      <w:pPr>
        <w:pStyle w:val="Textpoznpodarou"/>
        <w:numPr>
          <w:ilvl w:val="0"/>
          <w:numId w:val="2"/>
        </w:numPr>
        <w:ind w:left="425" w:hanging="357"/>
        <w:jc w:val="both"/>
        <w:rPr>
          <w:lang w:eastAsia="ar-SA"/>
        </w:rPr>
      </w:pPr>
      <w:r w:rsidRPr="00171672">
        <w:rPr>
          <w:lang w:eastAsia="ar-SA"/>
        </w:rPr>
        <w:t>K r</w:t>
      </w:r>
      <w:r w:rsidR="009362AF" w:rsidRPr="00171672">
        <w:rPr>
          <w:lang w:eastAsia="ar-SA"/>
        </w:rPr>
        <w:t>ůst</w:t>
      </w:r>
      <w:r w:rsidRPr="00171672">
        <w:rPr>
          <w:lang w:eastAsia="ar-SA"/>
        </w:rPr>
        <w:t>u</w:t>
      </w:r>
      <w:r w:rsidR="009362AF" w:rsidRPr="00171672">
        <w:rPr>
          <w:lang w:eastAsia="ar-SA"/>
        </w:rPr>
        <w:t xml:space="preserve"> české ekonomiky v roce 2014 </w:t>
      </w:r>
      <w:r w:rsidRPr="00171672">
        <w:rPr>
          <w:lang w:eastAsia="ar-SA"/>
        </w:rPr>
        <w:t>přispěly pozitivně</w:t>
      </w:r>
      <w:r w:rsidR="009362AF" w:rsidRPr="00171672">
        <w:rPr>
          <w:lang w:eastAsia="ar-SA"/>
        </w:rPr>
        <w:t xml:space="preserve"> všech</w:t>
      </w:r>
      <w:r w:rsidRPr="00171672">
        <w:rPr>
          <w:lang w:eastAsia="ar-SA"/>
        </w:rPr>
        <w:t>ny klíčové slož</w:t>
      </w:r>
      <w:r w:rsidR="009362AF" w:rsidRPr="00171672">
        <w:rPr>
          <w:lang w:eastAsia="ar-SA"/>
        </w:rPr>
        <w:t>k</w:t>
      </w:r>
      <w:r w:rsidRPr="00171672">
        <w:rPr>
          <w:lang w:eastAsia="ar-SA"/>
        </w:rPr>
        <w:t>y</w:t>
      </w:r>
      <w:r w:rsidR="009362AF" w:rsidRPr="00171672">
        <w:rPr>
          <w:lang w:eastAsia="ar-SA"/>
        </w:rPr>
        <w:t xml:space="preserve"> domácí poptávky. Výdaje na konečnou </w:t>
      </w:r>
      <w:r w:rsidRPr="00171672">
        <w:rPr>
          <w:lang w:eastAsia="ar-SA"/>
        </w:rPr>
        <w:t>s</w:t>
      </w:r>
      <w:r w:rsidR="009362AF" w:rsidRPr="00171672">
        <w:rPr>
          <w:lang w:eastAsia="ar-SA"/>
        </w:rPr>
        <w:t xml:space="preserve">potřebu domácností (vč. neziskových institucí) se na něm podílely díky vyšším příjmům domácností a zlepšeným spotřebitelským náladám +0,7 </w:t>
      </w:r>
      <w:proofErr w:type="spellStart"/>
      <w:r w:rsidR="009362AF" w:rsidRPr="00171672">
        <w:rPr>
          <w:lang w:eastAsia="ar-SA"/>
        </w:rPr>
        <w:t>pb</w:t>
      </w:r>
      <w:proofErr w:type="spellEnd"/>
      <w:r w:rsidR="009362AF" w:rsidRPr="00171672">
        <w:rPr>
          <w:lang w:eastAsia="ar-SA"/>
        </w:rPr>
        <w:t>.</w:t>
      </w:r>
      <w:r>
        <w:rPr>
          <w:rStyle w:val="Znakapoznpodarou"/>
          <w:lang w:eastAsia="ar-SA"/>
        </w:rPr>
        <w:footnoteReference w:id="2"/>
      </w:r>
      <w:r w:rsidR="009362AF" w:rsidRPr="00171672">
        <w:rPr>
          <w:lang w:eastAsia="ar-SA"/>
        </w:rPr>
        <w:t>, výdaje na konečnou spotřebu vládních institucí vlivem pokračující fiskální expanze +0,4 </w:t>
      </w:r>
      <w:proofErr w:type="spellStart"/>
      <w:r w:rsidR="009362AF" w:rsidRPr="00171672">
        <w:rPr>
          <w:lang w:eastAsia="ar-SA"/>
        </w:rPr>
        <w:t>pb</w:t>
      </w:r>
      <w:proofErr w:type="spellEnd"/>
      <w:r w:rsidR="009362AF" w:rsidRPr="00171672">
        <w:rPr>
          <w:lang w:eastAsia="ar-SA"/>
        </w:rPr>
        <w:t xml:space="preserve">. Obnovená investiční aktivita – zejména </w:t>
      </w:r>
      <w:r w:rsidR="00490988" w:rsidRPr="00171672">
        <w:rPr>
          <w:lang w:eastAsia="ar-SA"/>
        </w:rPr>
        <w:t xml:space="preserve">u investic </w:t>
      </w:r>
      <w:r w:rsidR="009362AF" w:rsidRPr="00171672">
        <w:rPr>
          <w:lang w:eastAsia="ar-SA"/>
        </w:rPr>
        <w:t>do strojů, ale i do staveb a do dopravních prostředků a zařízení – se promítla v růstu ekonomiky taktéž pozitivně (+</w:t>
      </w:r>
      <w:r>
        <w:rPr>
          <w:lang w:eastAsia="ar-SA"/>
        </w:rPr>
        <w:t xml:space="preserve">0,5 </w:t>
      </w:r>
      <w:proofErr w:type="spellStart"/>
      <w:r>
        <w:rPr>
          <w:lang w:eastAsia="ar-SA"/>
        </w:rPr>
        <w:t>pb</w:t>
      </w:r>
      <w:proofErr w:type="spellEnd"/>
      <w:r>
        <w:rPr>
          <w:lang w:eastAsia="ar-SA"/>
        </w:rPr>
        <w:t>.), stejně tak změna</w:t>
      </w:r>
      <w:r w:rsidR="009362AF" w:rsidRPr="00171672">
        <w:rPr>
          <w:lang w:eastAsia="ar-SA"/>
        </w:rPr>
        <w:t xml:space="preserve"> zásob (vč. čistého pořízení cenností, +0,6 </w:t>
      </w:r>
      <w:proofErr w:type="spellStart"/>
      <w:r w:rsidR="009362AF" w:rsidRPr="00171672">
        <w:rPr>
          <w:lang w:eastAsia="ar-SA"/>
        </w:rPr>
        <w:t>pb</w:t>
      </w:r>
      <w:proofErr w:type="spellEnd"/>
      <w:r w:rsidR="009362AF" w:rsidRPr="00171672">
        <w:rPr>
          <w:lang w:eastAsia="ar-SA"/>
        </w:rPr>
        <w:t xml:space="preserve">.) spočívající především v posilování zásob materiálu a nedokončené produkce. Zatímco výsledek zahraničního obchodu se zbožím v reálném vyjádření se proti roku 2013 fakticky nezměnil a jeho příspěvek tak byl nulový, bilance služeb se zhoršila (-0,2 </w:t>
      </w:r>
      <w:proofErr w:type="spellStart"/>
      <w:r w:rsidR="009362AF" w:rsidRPr="00171672">
        <w:rPr>
          <w:lang w:eastAsia="ar-SA"/>
        </w:rPr>
        <w:t>pb</w:t>
      </w:r>
      <w:proofErr w:type="spellEnd"/>
      <w:r w:rsidR="009362AF" w:rsidRPr="00171672">
        <w:rPr>
          <w:lang w:eastAsia="ar-SA"/>
        </w:rPr>
        <w:t>.).</w:t>
      </w:r>
    </w:p>
    <w:p w:rsidR="009362AF" w:rsidRPr="004827FE" w:rsidRDefault="009362AF" w:rsidP="009362AF">
      <w:pPr>
        <w:pStyle w:val="Odstavecseseznamem"/>
        <w:ind w:left="0"/>
        <w:rPr>
          <w:spacing w:val="-2"/>
          <w:sz w:val="16"/>
          <w:szCs w:val="16"/>
          <w:lang w:eastAsia="ar-SA"/>
        </w:rPr>
      </w:pPr>
    </w:p>
    <w:p w:rsidR="009362AF" w:rsidRPr="00C4537B" w:rsidRDefault="009362AF" w:rsidP="00435D30">
      <w:pPr>
        <w:pStyle w:val="Textpoznpodarou"/>
        <w:numPr>
          <w:ilvl w:val="0"/>
          <w:numId w:val="2"/>
        </w:numPr>
        <w:ind w:left="425" w:hanging="357"/>
        <w:jc w:val="both"/>
        <w:rPr>
          <w:spacing w:val="-2"/>
          <w:lang w:eastAsia="ar-SA"/>
        </w:rPr>
      </w:pPr>
      <w:r w:rsidRPr="00C4537B">
        <w:rPr>
          <w:spacing w:val="-2"/>
          <w:lang w:eastAsia="ar-SA"/>
        </w:rPr>
        <w:t>Na zvýšení celkov</w:t>
      </w:r>
      <w:r w:rsidR="00490988">
        <w:rPr>
          <w:spacing w:val="-2"/>
          <w:lang w:eastAsia="ar-SA"/>
        </w:rPr>
        <w:t xml:space="preserve">é hrubé přidané hodnoty o 2,7 % </w:t>
      </w:r>
      <w:r w:rsidR="00490988" w:rsidRPr="003A2CF4">
        <w:rPr>
          <w:spacing w:val="-2"/>
          <w:lang w:eastAsia="ar-SA"/>
        </w:rPr>
        <w:t>–</w:t>
      </w:r>
      <w:r w:rsidRPr="00C4537B">
        <w:rPr>
          <w:spacing w:val="-2"/>
          <w:lang w:eastAsia="ar-SA"/>
        </w:rPr>
        <w:t xml:space="preserve"> které nebylo na rozdíl od</w:t>
      </w:r>
      <w:r w:rsidR="00490988">
        <w:rPr>
          <w:spacing w:val="-2"/>
          <w:lang w:eastAsia="ar-SA"/>
        </w:rPr>
        <w:t xml:space="preserve"> růstu</w:t>
      </w:r>
      <w:r w:rsidRPr="00C4537B">
        <w:rPr>
          <w:spacing w:val="-2"/>
          <w:lang w:eastAsia="ar-SA"/>
        </w:rPr>
        <w:t xml:space="preserve"> HDP zkresleno nerovnoměrným výběrem spotřebních daní z tabákových výrobků a mezi zeměmi EU tak patřilo k nadprůměrným (</w:t>
      </w:r>
      <w:r>
        <w:rPr>
          <w:spacing w:val="-2"/>
          <w:lang w:eastAsia="ar-SA"/>
        </w:rPr>
        <w:t>více</w:t>
      </w:r>
      <w:r w:rsidRPr="00C4537B">
        <w:rPr>
          <w:spacing w:val="-2"/>
          <w:lang w:eastAsia="ar-SA"/>
        </w:rPr>
        <w:t xml:space="preserve"> </w:t>
      </w:r>
      <w:r>
        <w:rPr>
          <w:spacing w:val="-2"/>
          <w:lang w:eastAsia="ar-SA"/>
        </w:rPr>
        <w:t>stoupla</w:t>
      </w:r>
      <w:r w:rsidRPr="00C4537B">
        <w:rPr>
          <w:spacing w:val="-2"/>
          <w:lang w:eastAsia="ar-SA"/>
        </w:rPr>
        <w:t xml:space="preserve"> hrubá přidaná hodnota </w:t>
      </w:r>
      <w:r w:rsidR="00171672">
        <w:rPr>
          <w:spacing w:val="-2"/>
          <w:lang w:eastAsia="ar-SA"/>
        </w:rPr>
        <w:t>jen v sedmi</w:t>
      </w:r>
      <w:r w:rsidR="00490988">
        <w:rPr>
          <w:spacing w:val="-2"/>
          <w:lang w:eastAsia="ar-SA"/>
        </w:rPr>
        <w:t xml:space="preserve"> jiných ekonomikách) </w:t>
      </w:r>
      <w:r w:rsidR="00490988" w:rsidRPr="003A2CF4">
        <w:rPr>
          <w:spacing w:val="-2"/>
          <w:lang w:eastAsia="ar-SA"/>
        </w:rPr>
        <w:t>–</w:t>
      </w:r>
      <w:r w:rsidRPr="00C4537B">
        <w:rPr>
          <w:spacing w:val="-2"/>
          <w:lang w:eastAsia="ar-SA"/>
        </w:rPr>
        <w:t xml:space="preserve"> participoval především rychle rostoucí zpracovatelský průmysl (+1,4 </w:t>
      </w:r>
      <w:proofErr w:type="spellStart"/>
      <w:r w:rsidRPr="00C4537B">
        <w:rPr>
          <w:spacing w:val="-2"/>
          <w:lang w:eastAsia="ar-SA"/>
        </w:rPr>
        <w:t>pb</w:t>
      </w:r>
      <w:proofErr w:type="spellEnd"/>
      <w:r w:rsidRPr="00C4537B">
        <w:rPr>
          <w:spacing w:val="-2"/>
          <w:lang w:eastAsia="ar-SA"/>
        </w:rPr>
        <w:t xml:space="preserve">.) a objemově významné služby (+0,9 </w:t>
      </w:r>
      <w:proofErr w:type="spellStart"/>
      <w:r w:rsidRPr="00C4537B">
        <w:rPr>
          <w:spacing w:val="-2"/>
          <w:lang w:eastAsia="ar-SA"/>
        </w:rPr>
        <w:t>pb</w:t>
      </w:r>
      <w:proofErr w:type="spellEnd"/>
      <w:r w:rsidRPr="00C4537B">
        <w:rPr>
          <w:spacing w:val="-2"/>
          <w:lang w:eastAsia="ar-SA"/>
        </w:rPr>
        <w:t>.). Přispělo k němu pozitivně ale i stavebnictví a odvětví zahrnující zemědělství, lesnictví a rybářství (</w:t>
      </w:r>
      <w:r>
        <w:rPr>
          <w:spacing w:val="-2"/>
          <w:lang w:eastAsia="ar-SA"/>
        </w:rPr>
        <w:t>shodně +0,2</w:t>
      </w:r>
      <w:r w:rsidR="00490988">
        <w:rPr>
          <w:spacing w:val="-2"/>
          <w:lang w:eastAsia="ar-SA"/>
        </w:rPr>
        <w:t xml:space="preserve"> </w:t>
      </w:r>
      <w:proofErr w:type="spellStart"/>
      <w:r w:rsidR="00490988">
        <w:rPr>
          <w:spacing w:val="-2"/>
          <w:lang w:eastAsia="ar-SA"/>
        </w:rPr>
        <w:t>pb</w:t>
      </w:r>
      <w:proofErr w:type="spellEnd"/>
      <w:r w:rsidR="00490988">
        <w:rPr>
          <w:spacing w:val="-2"/>
          <w:lang w:eastAsia="ar-SA"/>
        </w:rPr>
        <w:t>.).</w:t>
      </w:r>
      <w:r w:rsidRPr="00C4537B">
        <w:rPr>
          <w:spacing w:val="-2"/>
          <w:lang w:eastAsia="ar-SA"/>
        </w:rPr>
        <w:t xml:space="preserve"> </w:t>
      </w:r>
      <w:r w:rsidR="00171672">
        <w:rPr>
          <w:spacing w:val="-2"/>
          <w:lang w:eastAsia="ar-SA"/>
        </w:rPr>
        <w:t>Průmyslová o</w:t>
      </w:r>
      <w:r w:rsidR="00981EC7">
        <w:rPr>
          <w:spacing w:val="-2"/>
          <w:lang w:eastAsia="ar-SA"/>
        </w:rPr>
        <w:t xml:space="preserve">dvětví mimo </w:t>
      </w:r>
      <w:r w:rsidRPr="00C4537B">
        <w:rPr>
          <w:spacing w:val="-2"/>
          <w:lang w:eastAsia="ar-SA"/>
        </w:rPr>
        <w:t>zpracovatelsk</w:t>
      </w:r>
      <w:r w:rsidR="00981EC7">
        <w:rPr>
          <w:spacing w:val="-2"/>
          <w:lang w:eastAsia="ar-SA"/>
        </w:rPr>
        <w:t>ý průmysl</w:t>
      </w:r>
      <w:r w:rsidR="00490988" w:rsidRPr="00490988">
        <w:rPr>
          <w:spacing w:val="-2"/>
          <w:lang w:eastAsia="ar-SA"/>
        </w:rPr>
        <w:t xml:space="preserve"> </w:t>
      </w:r>
      <w:r w:rsidR="00490988" w:rsidRPr="00C4537B">
        <w:rPr>
          <w:spacing w:val="-2"/>
          <w:lang w:eastAsia="ar-SA"/>
        </w:rPr>
        <w:t>přidala</w:t>
      </w:r>
      <w:r w:rsidR="00490988" w:rsidRPr="00490988">
        <w:rPr>
          <w:spacing w:val="-2"/>
          <w:lang w:eastAsia="ar-SA"/>
        </w:rPr>
        <w:t xml:space="preserve"> </w:t>
      </w:r>
      <w:r w:rsidR="00490988" w:rsidRPr="00C4537B">
        <w:rPr>
          <w:spacing w:val="-2"/>
          <w:lang w:eastAsia="ar-SA"/>
        </w:rPr>
        <w:t xml:space="preserve">+0,1 </w:t>
      </w:r>
      <w:proofErr w:type="spellStart"/>
      <w:r w:rsidR="00490988" w:rsidRPr="00C4537B">
        <w:rPr>
          <w:spacing w:val="-2"/>
          <w:lang w:eastAsia="ar-SA"/>
        </w:rPr>
        <w:t>pb</w:t>
      </w:r>
      <w:proofErr w:type="spellEnd"/>
      <w:r w:rsidR="00490988" w:rsidRPr="00C4537B">
        <w:rPr>
          <w:spacing w:val="-2"/>
          <w:lang w:eastAsia="ar-SA"/>
        </w:rPr>
        <w:t>.</w:t>
      </w:r>
    </w:p>
    <w:p w:rsidR="009362AF" w:rsidRPr="004827FE" w:rsidRDefault="009362AF" w:rsidP="009362AF">
      <w:pPr>
        <w:pStyle w:val="Odstavecseseznamem"/>
        <w:ind w:left="0"/>
        <w:rPr>
          <w:sz w:val="16"/>
          <w:szCs w:val="16"/>
          <w:lang w:eastAsia="ar-SA"/>
        </w:rPr>
      </w:pPr>
    </w:p>
    <w:p w:rsidR="009362AF" w:rsidRPr="00D47948" w:rsidRDefault="009362AF" w:rsidP="00435D30">
      <w:pPr>
        <w:pStyle w:val="Textpoznpodarou"/>
        <w:numPr>
          <w:ilvl w:val="0"/>
          <w:numId w:val="2"/>
        </w:numPr>
        <w:ind w:left="425" w:hanging="357"/>
        <w:jc w:val="both"/>
        <w:rPr>
          <w:spacing w:val="-4"/>
          <w:lang w:eastAsia="ar-SA"/>
        </w:rPr>
      </w:pPr>
      <w:r w:rsidRPr="00D47948">
        <w:rPr>
          <w:spacing w:val="-4"/>
          <w:lang w:eastAsia="ar-SA"/>
        </w:rPr>
        <w:t>Příznivý vývoj v ekonomice, doprovázený pozitivními změnami na trhu práce, se přenesl do růstu celkových příjmů domácností. Zatímco v úhrnu za roky 2011 až 2013 tyto příjmy v podobě hrubého dispo</w:t>
      </w:r>
      <w:r w:rsidR="00B06DC2">
        <w:rPr>
          <w:spacing w:val="-4"/>
          <w:lang w:eastAsia="ar-SA"/>
        </w:rPr>
        <w:t>nibilního důchodu klesly reálně</w:t>
      </w:r>
      <w:r w:rsidR="00D47948" w:rsidRPr="00D47948">
        <w:rPr>
          <w:spacing w:val="-4"/>
          <w:lang w:eastAsia="ar-SA"/>
        </w:rPr>
        <w:t xml:space="preserve"> </w:t>
      </w:r>
      <w:r w:rsidRPr="00D47948">
        <w:rPr>
          <w:spacing w:val="-4"/>
          <w:lang w:eastAsia="ar-SA"/>
        </w:rPr>
        <w:t>o 3,4 %</w:t>
      </w:r>
      <w:r w:rsidR="00171672">
        <w:rPr>
          <w:spacing w:val="-4"/>
          <w:lang w:eastAsia="ar-SA"/>
        </w:rPr>
        <w:t xml:space="preserve"> </w:t>
      </w:r>
      <w:r w:rsidR="00171672" w:rsidRPr="00D47948">
        <w:rPr>
          <w:spacing w:val="-4"/>
          <w:lang w:eastAsia="ar-SA"/>
        </w:rPr>
        <w:t>(</w:t>
      </w:r>
      <w:proofErr w:type="spellStart"/>
      <w:r w:rsidR="00171672" w:rsidRPr="00D47948">
        <w:rPr>
          <w:spacing w:val="-4"/>
          <w:lang w:eastAsia="ar-SA"/>
        </w:rPr>
        <w:t>deflováno</w:t>
      </w:r>
      <w:proofErr w:type="spellEnd"/>
      <w:r w:rsidR="00171672">
        <w:rPr>
          <w:spacing w:val="-4"/>
          <w:lang w:eastAsia="ar-SA"/>
        </w:rPr>
        <w:t xml:space="preserve"> deflátorem výdajů</w:t>
      </w:r>
      <w:r w:rsidR="00171672" w:rsidRPr="00D47948">
        <w:rPr>
          <w:spacing w:val="-4"/>
          <w:lang w:eastAsia="ar-SA"/>
        </w:rPr>
        <w:t xml:space="preserve"> na konečnou spotřebu domácností)</w:t>
      </w:r>
      <w:r w:rsidRPr="00D47948">
        <w:rPr>
          <w:spacing w:val="-4"/>
          <w:lang w:eastAsia="ar-SA"/>
        </w:rPr>
        <w:t>, v roce 2014 už o 1,7 % stouply. Na nominálním přírůstku o 49,2 mld. korun se podílel především nárůst objemově nejvýznamnějších mezd a platů (+32,4 mld.), ale také hrubého provozního přebytku a smíšeného důchodu (+29,6 mld.), v němž převládají zisky malých podnikatelů. Protisměrně působilo zhoršení salda přerozdělení s ostatními institucionálními sektory (-2,8 mld.) a salda příjmů a výdajů z vlastnictví (-10,0 mld.).</w:t>
      </w:r>
    </w:p>
    <w:p w:rsidR="00B47436" w:rsidRPr="00644C5B" w:rsidRDefault="00B47436" w:rsidP="00B47436">
      <w:pPr>
        <w:pStyle w:val="Odstavecseseznamem"/>
        <w:rPr>
          <w:sz w:val="16"/>
          <w:szCs w:val="16"/>
          <w:lang w:eastAsia="ar-SA"/>
        </w:rPr>
      </w:pPr>
    </w:p>
    <w:p w:rsidR="009362AF" w:rsidRDefault="009362AF" w:rsidP="00435D30">
      <w:pPr>
        <w:pStyle w:val="Textpoznpodarou"/>
        <w:numPr>
          <w:ilvl w:val="0"/>
          <w:numId w:val="2"/>
        </w:numPr>
        <w:ind w:left="425" w:hanging="357"/>
        <w:jc w:val="both"/>
        <w:rPr>
          <w:lang w:eastAsia="ar-SA"/>
        </w:rPr>
      </w:pPr>
      <w:r w:rsidRPr="00490988">
        <w:rPr>
          <w:lang w:eastAsia="ar-SA"/>
        </w:rPr>
        <w:t xml:space="preserve">Nárůst celkové cenové hladiny </w:t>
      </w:r>
      <w:r w:rsidR="00D47948">
        <w:rPr>
          <w:lang w:eastAsia="ar-SA"/>
        </w:rPr>
        <w:t xml:space="preserve">(dle implicitního deflátoru HDP) </w:t>
      </w:r>
      <w:r w:rsidRPr="00490988">
        <w:rPr>
          <w:lang w:eastAsia="ar-SA"/>
        </w:rPr>
        <w:t>o 2,5 %, který byl nejvyšší od roku 2009, byl zejména důsledkem příznivého cenového vývoje v zahraničním obchodě se zbožím</w:t>
      </w:r>
      <w:r w:rsidR="00C30530">
        <w:rPr>
          <w:lang w:eastAsia="ar-SA"/>
        </w:rPr>
        <w:t>, tj. kladných směnných relací</w:t>
      </w:r>
      <w:r w:rsidR="00490988" w:rsidRPr="00490988">
        <w:rPr>
          <w:lang w:eastAsia="ar-SA"/>
        </w:rPr>
        <w:t>. Růst samotných spotřebitelských cen však zpomalil</w:t>
      </w:r>
      <w:r w:rsidRPr="00490988">
        <w:rPr>
          <w:lang w:eastAsia="ar-SA"/>
        </w:rPr>
        <w:t xml:space="preserve">, stejně jako v drtivé většině zemí EU. Navzdory uvolněným měnovým podmínkám (nízkým základním měnově politickým sazbám a slabší koruně) </w:t>
      </w:r>
      <w:r w:rsidR="00490988" w:rsidRPr="00490988">
        <w:rPr>
          <w:lang w:eastAsia="ar-SA"/>
        </w:rPr>
        <w:t>se snížil</w:t>
      </w:r>
      <w:r w:rsidRPr="00490988">
        <w:rPr>
          <w:lang w:eastAsia="ar-SA"/>
        </w:rPr>
        <w:t xml:space="preserve"> na </w:t>
      </w:r>
      <w:r w:rsidR="004D726E">
        <w:rPr>
          <w:lang w:eastAsia="ar-SA"/>
        </w:rPr>
        <w:t>+</w:t>
      </w:r>
      <w:r w:rsidRPr="00490988">
        <w:rPr>
          <w:lang w:eastAsia="ar-SA"/>
        </w:rPr>
        <w:t>0,4 %. B</w:t>
      </w:r>
      <w:r w:rsidR="00490988" w:rsidRPr="00490988">
        <w:rPr>
          <w:lang w:eastAsia="ar-SA"/>
        </w:rPr>
        <w:t>yl druhý</w:t>
      </w:r>
      <w:r w:rsidRPr="00490988">
        <w:rPr>
          <w:lang w:eastAsia="ar-SA"/>
        </w:rPr>
        <w:t xml:space="preserve"> nejnižší v</w:t>
      </w:r>
      <w:r w:rsidR="00981EC7">
        <w:rPr>
          <w:lang w:eastAsia="ar-SA"/>
        </w:rPr>
        <w:t> </w:t>
      </w:r>
      <w:r w:rsidRPr="00490988">
        <w:rPr>
          <w:lang w:eastAsia="ar-SA"/>
        </w:rPr>
        <w:t>historii</w:t>
      </w:r>
      <w:r w:rsidR="00981EC7">
        <w:rPr>
          <w:lang w:eastAsia="ar-SA"/>
        </w:rPr>
        <w:t xml:space="preserve"> samostatné ČR</w:t>
      </w:r>
      <w:r w:rsidRPr="00490988">
        <w:rPr>
          <w:lang w:eastAsia="ar-SA"/>
        </w:rPr>
        <w:t>.</w:t>
      </w:r>
    </w:p>
    <w:p w:rsidR="00644C5B" w:rsidRPr="00490988" w:rsidRDefault="00644C5B" w:rsidP="00644C5B">
      <w:pPr>
        <w:pStyle w:val="Textpoznpodarou"/>
        <w:jc w:val="both"/>
        <w:rPr>
          <w:lang w:eastAsia="ar-SA"/>
        </w:rPr>
      </w:pPr>
    </w:p>
    <w:p w:rsidR="009362AF" w:rsidRPr="00C4537B" w:rsidRDefault="009362AF" w:rsidP="00435D30">
      <w:pPr>
        <w:pStyle w:val="Textpoznpodarou"/>
        <w:numPr>
          <w:ilvl w:val="0"/>
          <w:numId w:val="2"/>
        </w:numPr>
        <w:ind w:left="425" w:hanging="357"/>
        <w:jc w:val="both"/>
        <w:rPr>
          <w:lang w:eastAsia="ar-SA"/>
        </w:rPr>
      </w:pPr>
      <w:r w:rsidRPr="00C4537B">
        <w:rPr>
          <w:lang w:eastAsia="ar-SA"/>
        </w:rPr>
        <w:t>Příznivý vývoj cen v zahraničním obc</w:t>
      </w:r>
      <w:r>
        <w:rPr>
          <w:lang w:eastAsia="ar-SA"/>
        </w:rPr>
        <w:t>hodě se zbožím, který se promítnu</w:t>
      </w:r>
      <w:r w:rsidR="006A2B36">
        <w:rPr>
          <w:lang w:eastAsia="ar-SA"/>
        </w:rPr>
        <w:t>l do významného</w:t>
      </w:r>
      <w:r w:rsidRPr="00C4537B">
        <w:rPr>
          <w:lang w:eastAsia="ar-SA"/>
        </w:rPr>
        <w:t xml:space="preserve"> zlepšení bilance v běžných cenách</w:t>
      </w:r>
      <w:r w:rsidR="00E71983">
        <w:rPr>
          <w:lang w:eastAsia="ar-SA"/>
        </w:rPr>
        <w:t>,</w:t>
      </w:r>
      <w:r w:rsidRPr="00C4537B">
        <w:rPr>
          <w:lang w:eastAsia="ar-SA"/>
        </w:rPr>
        <w:t xml:space="preserve"> a tedy i do celkového výsledku zahraničního obchodu</w:t>
      </w:r>
      <w:r w:rsidR="00BF59A0">
        <w:rPr>
          <w:lang w:eastAsia="ar-SA"/>
        </w:rPr>
        <w:t xml:space="preserve"> se zbožím a službami</w:t>
      </w:r>
      <w:r w:rsidRPr="00C4537B">
        <w:rPr>
          <w:lang w:eastAsia="ar-SA"/>
        </w:rPr>
        <w:t>, přinesl české ekonomice dodatečné zisky v řá</w:t>
      </w:r>
      <w:r>
        <w:rPr>
          <w:lang w:eastAsia="ar-SA"/>
        </w:rPr>
        <w:t>du</w:t>
      </w:r>
      <w:r w:rsidRPr="00C4537B">
        <w:rPr>
          <w:lang w:eastAsia="ar-SA"/>
        </w:rPr>
        <w:t xml:space="preserve"> desítek miliard korun. Podle reálného hrubého domácího důchodu, který je na rozdíl od HDP zohledňuje, stoupl její výkon o 3,2 %.</w:t>
      </w:r>
    </w:p>
    <w:p w:rsidR="00174FFB" w:rsidRDefault="00174FFB" w:rsidP="009362AF">
      <w:pPr>
        <w:pStyle w:val="Textpoznpodarou"/>
        <w:jc w:val="both"/>
        <w:rPr>
          <w:lang w:eastAsia="ar-SA"/>
        </w:rPr>
      </w:pPr>
    </w:p>
    <w:p w:rsidR="004827FE" w:rsidRDefault="004827FE" w:rsidP="004827FE">
      <w:pPr>
        <w:pStyle w:val="Textpoznpodarou"/>
        <w:numPr>
          <w:ilvl w:val="0"/>
          <w:numId w:val="2"/>
        </w:numPr>
        <w:ind w:left="425" w:hanging="357"/>
        <w:jc w:val="both"/>
        <w:rPr>
          <w:lang w:eastAsia="ar-SA"/>
        </w:rPr>
      </w:pPr>
      <w:r w:rsidRPr="004827FE">
        <w:rPr>
          <w:lang w:eastAsia="ar-SA"/>
        </w:rPr>
        <w:t>Rok 2014 potvrdil, že se česká ekonomika vyznačuje dlouhodobou relativní stabilitou. Výrazné vychýlení z rovnovážných stavů nebylo patrné ani v letech krize v roce 2009 či recese v letech 2012-2013. Makroekonomická stabilita a relativně nízké nerovnováhy i v některých dalších důležitých indikátorech jsou cennou devizou české ekonomiky.</w:t>
      </w:r>
    </w:p>
    <w:p w:rsidR="004827FE" w:rsidRPr="004827FE" w:rsidRDefault="004827FE" w:rsidP="004827FE">
      <w:pPr>
        <w:pStyle w:val="Textpoznpodarou"/>
        <w:numPr>
          <w:ilvl w:val="0"/>
          <w:numId w:val="2"/>
        </w:numPr>
        <w:ind w:left="425" w:hanging="357"/>
        <w:jc w:val="both"/>
        <w:rPr>
          <w:lang w:eastAsia="ar-SA"/>
        </w:rPr>
      </w:pPr>
      <w:r w:rsidRPr="004827FE">
        <w:rPr>
          <w:lang w:eastAsia="ar-SA"/>
        </w:rPr>
        <w:lastRenderedPageBreak/>
        <w:t xml:space="preserve">Vnitřní nerovnováhy podle výsledku hospodaření sektoru vládních institucí, resp. vývoje jejich hrubého konsolidovaného </w:t>
      </w:r>
      <w:r w:rsidR="00D32D31">
        <w:rPr>
          <w:lang w:eastAsia="ar-SA"/>
        </w:rPr>
        <w:t>dluhu ukazují, že CR patří k</w:t>
      </w:r>
      <w:r w:rsidRPr="004827FE">
        <w:rPr>
          <w:lang w:eastAsia="ar-SA"/>
        </w:rPr>
        <w:t xml:space="preserve"> zemím EU, kde jsou problémy tohoto sektoru spíše menší. S poměrem dluhu k nominálnímu HDP je ČR „usazena“ spolehlivě ve třetině zemí s nejnižší takto měřenou zadlužeností. I deficit hospodaření byl v posledních čtyřech letech příznivější než v EU. V roce 2014 činil v ČR 1,98 % HDP oproti 1,16 % v r</w:t>
      </w:r>
      <w:r w:rsidR="00B47436">
        <w:rPr>
          <w:lang w:eastAsia="ar-SA"/>
        </w:rPr>
        <w:t>oce 2013, dluh klesl na 42,57 %</w:t>
      </w:r>
      <w:r w:rsidRPr="004827FE">
        <w:rPr>
          <w:lang w:eastAsia="ar-SA"/>
        </w:rPr>
        <w:t xml:space="preserve"> HDP ze 45,02 %. V EU šlo o 2,9 % u deficitu </w:t>
      </w:r>
      <w:r w:rsidRPr="00876C5B">
        <w:rPr>
          <w:lang w:eastAsia="ar-SA"/>
        </w:rPr>
        <w:t xml:space="preserve">a </w:t>
      </w:r>
      <w:r w:rsidR="00876C5B" w:rsidRPr="00876C5B">
        <w:rPr>
          <w:lang w:eastAsia="ar-SA"/>
        </w:rPr>
        <w:t>86,8</w:t>
      </w:r>
      <w:r w:rsidRPr="00876C5B">
        <w:rPr>
          <w:lang w:eastAsia="ar-SA"/>
        </w:rPr>
        <w:t xml:space="preserve"> % v případě</w:t>
      </w:r>
      <w:r w:rsidRPr="004827FE">
        <w:rPr>
          <w:lang w:eastAsia="ar-SA"/>
        </w:rPr>
        <w:t xml:space="preserve"> dluhu.</w:t>
      </w:r>
    </w:p>
    <w:p w:rsidR="004827FE" w:rsidRPr="00644C5B" w:rsidRDefault="004827FE" w:rsidP="004827FE">
      <w:pPr>
        <w:pStyle w:val="Textpoznpodarou"/>
        <w:spacing w:after="120" w:line="252" w:lineRule="auto"/>
        <w:contextualSpacing/>
        <w:jc w:val="both"/>
        <w:rPr>
          <w:rFonts w:cs="Arial"/>
          <w:sz w:val="18"/>
          <w:szCs w:val="18"/>
        </w:rPr>
      </w:pPr>
    </w:p>
    <w:p w:rsidR="004827FE" w:rsidRPr="004827FE" w:rsidRDefault="004827FE" w:rsidP="004827FE">
      <w:pPr>
        <w:pStyle w:val="Textpoznpodarou"/>
        <w:numPr>
          <w:ilvl w:val="0"/>
          <w:numId w:val="2"/>
        </w:numPr>
        <w:ind w:left="425" w:hanging="357"/>
        <w:jc w:val="both"/>
        <w:rPr>
          <w:lang w:eastAsia="ar-SA"/>
        </w:rPr>
      </w:pPr>
      <w:r w:rsidRPr="004827FE">
        <w:rPr>
          <w:lang w:eastAsia="ar-SA"/>
        </w:rPr>
        <w:t>Soukromá zadluženost, tj. dluhy domácností (vč. neziskových institucí) a nefinančních podniků, byla v roce 2013 v ČR třetí nejnižší v Evropě (v roce 2008 a 2009 vůbec nejnižší, v roce 2012 druhá nejnižší). V úhrnu dluhu vládních institucí a soukromé zadluženosti pak zaujala ČR v roce 2013 pozici 3.</w:t>
      </w:r>
      <w:r w:rsidR="00B47436">
        <w:rPr>
          <w:lang w:eastAsia="ar-SA"/>
        </w:rPr>
        <w:t> </w:t>
      </w:r>
      <w:r w:rsidRPr="004827FE">
        <w:rPr>
          <w:lang w:eastAsia="ar-SA"/>
        </w:rPr>
        <w:t>nejméně zadlužené země EU (po Litvě a Rumunsku).</w:t>
      </w:r>
    </w:p>
    <w:p w:rsidR="004827FE" w:rsidRPr="00644C5B" w:rsidRDefault="004827FE" w:rsidP="004827FE">
      <w:pPr>
        <w:pStyle w:val="Textpoznpodarou"/>
        <w:ind w:left="425"/>
        <w:jc w:val="both"/>
        <w:rPr>
          <w:sz w:val="18"/>
          <w:szCs w:val="18"/>
          <w:lang w:eastAsia="ar-SA"/>
        </w:rPr>
      </w:pPr>
    </w:p>
    <w:p w:rsidR="00211036" w:rsidRPr="004827FE" w:rsidRDefault="004827FE" w:rsidP="00211036">
      <w:pPr>
        <w:pStyle w:val="Textpoznpodarou"/>
        <w:numPr>
          <w:ilvl w:val="0"/>
          <w:numId w:val="2"/>
        </w:numPr>
        <w:ind w:left="425" w:hanging="357"/>
        <w:jc w:val="both"/>
        <w:rPr>
          <w:lang w:eastAsia="ar-SA"/>
        </w:rPr>
      </w:pPr>
      <w:r w:rsidRPr="004827FE">
        <w:rPr>
          <w:lang w:eastAsia="ar-SA"/>
        </w:rPr>
        <w:t>Vnější rovnováha české ekonomiky dosáhla ne</w:t>
      </w:r>
      <w:r w:rsidR="00AD4F85">
        <w:rPr>
          <w:lang w:eastAsia="ar-SA"/>
        </w:rPr>
        <w:t xml:space="preserve">jlepšího výsledku od roku 1993 </w:t>
      </w:r>
      <w:r w:rsidR="00AD4F85">
        <w:rPr>
          <w:spacing w:val="-2"/>
          <w:lang w:eastAsia="ar-SA"/>
        </w:rPr>
        <w:t>–</w:t>
      </w:r>
      <w:r w:rsidRPr="004827FE">
        <w:rPr>
          <w:lang w:eastAsia="ar-SA"/>
        </w:rPr>
        <w:t xml:space="preserve"> běžný účet plat</w:t>
      </w:r>
      <w:r w:rsidR="003A0D5B">
        <w:rPr>
          <w:lang w:eastAsia="ar-SA"/>
        </w:rPr>
        <w:t>ební bilance byl v přebytku 26,1</w:t>
      </w:r>
      <w:r w:rsidRPr="004827FE">
        <w:rPr>
          <w:lang w:eastAsia="ar-SA"/>
        </w:rPr>
        <w:t xml:space="preserve"> mld. korun díky výraznému zlepšení obchodní bilance (hlavně vlivem obchodu s auty). </w:t>
      </w:r>
      <w:r w:rsidR="00211036" w:rsidRPr="004827FE">
        <w:rPr>
          <w:lang w:eastAsia="ar-SA"/>
        </w:rPr>
        <w:t xml:space="preserve">Spolu s bilancí služeb „přebila“ i čistý odliv výnosů v podobě dividend, proti němuž působilo rekordní </w:t>
      </w:r>
      <w:r w:rsidR="00211036">
        <w:rPr>
          <w:lang w:eastAsia="ar-SA"/>
        </w:rPr>
        <w:t xml:space="preserve">kladné </w:t>
      </w:r>
      <w:r w:rsidR="00211036" w:rsidRPr="004827FE">
        <w:rPr>
          <w:lang w:eastAsia="ar-SA"/>
        </w:rPr>
        <w:t>„mzdové saldo“ (ČR získala na mzdách o 22,2 mld. korun víc, než kolik si odvezli do svých zemí zahraniční pracovníci v ČR).</w:t>
      </w:r>
    </w:p>
    <w:p w:rsidR="004827FE" w:rsidRPr="00495D8B" w:rsidRDefault="004827FE" w:rsidP="00211036">
      <w:pPr>
        <w:pStyle w:val="Textpoznpodarou"/>
        <w:ind w:left="425"/>
        <w:jc w:val="both"/>
        <w:rPr>
          <w:lang w:eastAsia="ar-SA"/>
        </w:rPr>
      </w:pPr>
    </w:p>
    <w:p w:rsidR="004827FE" w:rsidRPr="00495D8B" w:rsidRDefault="004827FE" w:rsidP="004827FE">
      <w:pPr>
        <w:pStyle w:val="Textpoznpodarou"/>
        <w:numPr>
          <w:ilvl w:val="0"/>
          <w:numId w:val="2"/>
        </w:numPr>
        <w:ind w:left="425" w:hanging="357"/>
        <w:jc w:val="both"/>
        <w:rPr>
          <w:lang w:eastAsia="ar-SA"/>
        </w:rPr>
      </w:pPr>
      <w:r w:rsidRPr="00495D8B">
        <w:rPr>
          <w:lang w:eastAsia="ar-SA"/>
        </w:rPr>
        <w:t>Dlouhodobě nerovnovážný je stav přímých investic, kterých ČR přijala ze zahraničí sedmkrát více (v čistém vyjádření 2,775 bil. korun koncem r</w:t>
      </w:r>
      <w:r w:rsidR="00B47436" w:rsidRPr="00495D8B">
        <w:rPr>
          <w:lang w:eastAsia="ar-SA"/>
        </w:rPr>
        <w:t>oku 2014)</w:t>
      </w:r>
      <w:r w:rsidR="00382658">
        <w:rPr>
          <w:lang w:eastAsia="ar-SA"/>
        </w:rPr>
        <w:t>,</w:t>
      </w:r>
      <w:r w:rsidR="00B47436" w:rsidRPr="00495D8B">
        <w:rPr>
          <w:lang w:eastAsia="ar-SA"/>
        </w:rPr>
        <w:t xml:space="preserve"> než kolik v čistém „</w:t>
      </w:r>
      <w:proofErr w:type="spellStart"/>
      <w:r w:rsidR="00B47436" w:rsidRPr="00495D8B">
        <w:rPr>
          <w:lang w:eastAsia="ar-SA"/>
        </w:rPr>
        <w:t>na</w:t>
      </w:r>
      <w:r w:rsidRPr="00495D8B">
        <w:rPr>
          <w:lang w:eastAsia="ar-SA"/>
        </w:rPr>
        <w:t>investovaly</w:t>
      </w:r>
      <w:proofErr w:type="spellEnd"/>
      <w:r w:rsidRPr="00495D8B">
        <w:rPr>
          <w:lang w:eastAsia="ar-SA"/>
        </w:rPr>
        <w:t>“ české subjekty v cizině (434,8 mld. korun). Navíc se stále zvětšuje nepoměr mezi zisky repatriovanými do zemí zahraničních investorů oproti ziskům investovaným zpět do české ekonomiky</w:t>
      </w:r>
      <w:r w:rsidR="00211036">
        <w:rPr>
          <w:lang w:eastAsia="ar-SA"/>
        </w:rPr>
        <w:t>.</w:t>
      </w:r>
      <w:r w:rsidRPr="00495D8B">
        <w:rPr>
          <w:lang w:eastAsia="ar-SA"/>
        </w:rPr>
        <w:t xml:space="preserve"> Postupné ubývání prvotních impulsů přímých zahraničních investic pro českou ekonomiku nastoluje otázku, jak generovat budoucí růst i z jiných zdrojů.</w:t>
      </w:r>
    </w:p>
    <w:p w:rsidR="004827FE" w:rsidRPr="00644C5B" w:rsidRDefault="004827FE" w:rsidP="004827FE">
      <w:pPr>
        <w:pStyle w:val="Textpoznpodarou"/>
        <w:ind w:left="425"/>
        <w:jc w:val="both"/>
        <w:rPr>
          <w:lang w:eastAsia="ar-SA"/>
        </w:rPr>
      </w:pPr>
    </w:p>
    <w:p w:rsidR="004827FE" w:rsidRDefault="004827FE" w:rsidP="004827FE">
      <w:pPr>
        <w:pStyle w:val="Textpoznpodarou"/>
        <w:numPr>
          <w:ilvl w:val="0"/>
          <w:numId w:val="2"/>
        </w:numPr>
        <w:ind w:left="425" w:hanging="357"/>
        <w:jc w:val="both"/>
        <w:rPr>
          <w:lang w:eastAsia="ar-SA"/>
        </w:rPr>
      </w:pPr>
      <w:r w:rsidRPr="004827FE">
        <w:rPr>
          <w:spacing w:val="-4"/>
          <w:lang w:eastAsia="ar-SA"/>
        </w:rPr>
        <w:t xml:space="preserve">Obecně pozitivní investiční klima v roce 2014 umocňoval meziročně mimořádně vysoký růst firemních zisků v podobě jejich hrubého i čistého provozního přebytku (meziročně +12,4 %, tj. </w:t>
      </w:r>
      <w:r w:rsidR="00A64143">
        <w:rPr>
          <w:spacing w:val="-4"/>
          <w:lang w:eastAsia="ar-SA"/>
        </w:rPr>
        <w:t>+</w:t>
      </w:r>
      <w:r w:rsidRPr="004827FE">
        <w:rPr>
          <w:spacing w:val="-4"/>
          <w:lang w:eastAsia="ar-SA"/>
        </w:rPr>
        <w:t>131,8 mld., resp. +24,6 %, tj.</w:t>
      </w:r>
      <w:r>
        <w:rPr>
          <w:spacing w:val="-4"/>
          <w:lang w:eastAsia="ar-SA"/>
        </w:rPr>
        <w:t> </w:t>
      </w:r>
      <w:r w:rsidRPr="004827FE">
        <w:rPr>
          <w:spacing w:val="-4"/>
          <w:lang w:eastAsia="ar-SA"/>
        </w:rPr>
        <w:t>+123 mld. korun). Silně exportně orientovaná česká ekonomika tak těžila z oslabení koruny, pádu cen</w:t>
      </w:r>
      <w:r w:rsidR="00B47436">
        <w:rPr>
          <w:spacing w:val="-4"/>
          <w:lang w:eastAsia="ar-SA"/>
        </w:rPr>
        <w:t xml:space="preserve"> energií na světových trzích a z</w:t>
      </w:r>
      <w:r w:rsidRPr="004827FE">
        <w:rPr>
          <w:spacing w:val="-4"/>
          <w:lang w:eastAsia="ar-SA"/>
        </w:rPr>
        <w:t xml:space="preserve"> poptávkových impulsů. Tvorba národních úspor</w:t>
      </w:r>
      <w:r>
        <w:rPr>
          <w:spacing w:val="-4"/>
          <w:lang w:eastAsia="ar-SA"/>
        </w:rPr>
        <w:t> </w:t>
      </w:r>
      <w:r w:rsidRPr="004827FE">
        <w:rPr>
          <w:spacing w:val="-4"/>
          <w:lang w:eastAsia="ar-SA"/>
        </w:rPr>
        <w:t>pak umožnila, že investice do fixních aktiv a zásob bylo nutné jen v menší míře financovat z vnějších zdrojů (kromě celé ekonomiky to platilo i pro samotné firmy). Úměrně tomu rostly jen velmi mírně bankovní úvěry poskytované firmám. Český ekonomický růst tak probíhal bez úvěrové expanze</w:t>
      </w:r>
      <w:r w:rsidRPr="004827FE">
        <w:rPr>
          <w:lang w:eastAsia="ar-SA"/>
        </w:rPr>
        <w:t>.</w:t>
      </w:r>
    </w:p>
    <w:p w:rsidR="004827FE" w:rsidRPr="00495D8B" w:rsidRDefault="004827FE" w:rsidP="004827FE">
      <w:pPr>
        <w:pStyle w:val="Textpoznpodarou"/>
        <w:jc w:val="both"/>
        <w:rPr>
          <w:lang w:eastAsia="ar-SA"/>
        </w:rPr>
      </w:pPr>
    </w:p>
    <w:p w:rsidR="004827FE" w:rsidRDefault="004827FE" w:rsidP="004827FE">
      <w:pPr>
        <w:pStyle w:val="Textpoznpodarou"/>
        <w:numPr>
          <w:ilvl w:val="0"/>
          <w:numId w:val="2"/>
        </w:numPr>
        <w:ind w:left="425" w:hanging="357"/>
        <w:jc w:val="both"/>
        <w:rPr>
          <w:lang w:eastAsia="ar-SA"/>
        </w:rPr>
      </w:pPr>
      <w:r w:rsidRPr="004827FE">
        <w:rPr>
          <w:lang w:eastAsia="ar-SA"/>
        </w:rPr>
        <w:t>Vysoké zisky firem v roce 2014 však nebyly spojeny s výraznějším nárůstem jimi vyplácených mezd (+2,2 %). Jistou opatrnost nefinančních podniků lze zřejmě vysvětlit i tím, že v předchozích šesti, resp. prakticky i čtyřech letech, firemní zisky v průměru meziročně klesaly, zatímco mzdy v průměru vykazovaly růst.</w:t>
      </w:r>
    </w:p>
    <w:p w:rsidR="00644C5B" w:rsidRDefault="00644C5B" w:rsidP="00495D8B">
      <w:pPr>
        <w:pStyle w:val="Odstavecseseznamem"/>
        <w:ind w:left="0"/>
        <w:rPr>
          <w:lang w:eastAsia="ar-SA"/>
        </w:rPr>
      </w:pPr>
    </w:p>
    <w:p w:rsidR="00644C5B" w:rsidRDefault="00495D8B" w:rsidP="004827FE">
      <w:pPr>
        <w:pStyle w:val="Textpoznpodarou"/>
        <w:numPr>
          <w:ilvl w:val="0"/>
          <w:numId w:val="2"/>
        </w:numPr>
        <w:ind w:left="425" w:hanging="357"/>
        <w:jc w:val="both"/>
        <w:rPr>
          <w:lang w:eastAsia="ar-SA"/>
        </w:rPr>
      </w:pPr>
      <w:r w:rsidRPr="00495D8B">
        <w:rPr>
          <w:lang w:eastAsia="ar-SA"/>
        </w:rPr>
        <w:t>U nefinančních podniků pokračoval dlouhodobý pokles podílu úvěrů v selhání (na konci roku 2014 činil 6,6 %, před čtyřmi lety rovných 9 %). Problémy se splácením měly dle údajů z konce loň</w:t>
      </w:r>
      <w:r w:rsidR="004A5864">
        <w:rPr>
          <w:lang w:eastAsia="ar-SA"/>
        </w:rPr>
        <w:t>ského roku především podniky ve</w:t>
      </w:r>
      <w:r w:rsidRPr="00495D8B">
        <w:rPr>
          <w:lang w:eastAsia="ar-SA"/>
        </w:rPr>
        <w:t xml:space="preserve"> stavebnictví (23,4 %) a z hlediska úvěrového trhu v okrajovém segmentu stravování, pohostinství a ubytování (19,7 %). Ve zpracovatelském p</w:t>
      </w:r>
      <w:r w:rsidR="003A49F1">
        <w:rPr>
          <w:lang w:eastAsia="ar-SA"/>
        </w:rPr>
        <w:t>růmyslu se proti konci roku 2010</w:t>
      </w:r>
      <w:r w:rsidRPr="00495D8B">
        <w:rPr>
          <w:lang w:eastAsia="ar-SA"/>
        </w:rPr>
        <w:t xml:space="preserve"> podíl úvěrů v</w:t>
      </w:r>
      <w:r w:rsidR="003A49F1">
        <w:rPr>
          <w:lang w:eastAsia="ar-SA"/>
        </w:rPr>
        <w:t xml:space="preserve"> selhání mírně snížil (z 13,6 %</w:t>
      </w:r>
      <w:r w:rsidRPr="00495D8B">
        <w:rPr>
          <w:lang w:eastAsia="ar-SA"/>
        </w:rPr>
        <w:t xml:space="preserve"> na 13,4%), podobně i v odvětví velkoobchodu a maloobchodu (z 9,4 % na 8,9 %).</w:t>
      </w:r>
    </w:p>
    <w:p w:rsidR="00644C5B" w:rsidRPr="00495D8B" w:rsidRDefault="00644C5B" w:rsidP="004827FE">
      <w:pPr>
        <w:pStyle w:val="Textpoznpodarou"/>
        <w:ind w:left="425"/>
        <w:jc w:val="both"/>
        <w:rPr>
          <w:lang w:eastAsia="ar-SA"/>
        </w:rPr>
      </w:pPr>
    </w:p>
    <w:p w:rsidR="004827FE" w:rsidRDefault="004827FE" w:rsidP="004827FE">
      <w:pPr>
        <w:pStyle w:val="Textpoznpodarou"/>
        <w:numPr>
          <w:ilvl w:val="0"/>
          <w:numId w:val="2"/>
        </w:numPr>
        <w:ind w:left="425" w:hanging="357"/>
        <w:jc w:val="both"/>
        <w:rPr>
          <w:lang w:eastAsia="ar-SA"/>
        </w:rPr>
      </w:pPr>
      <w:r w:rsidRPr="004827FE">
        <w:rPr>
          <w:lang w:eastAsia="ar-SA"/>
        </w:rPr>
        <w:t>Vývoj mezd jako hlavní složky čistých disponibilních příjmů domácností má vliv i na regionální disparity v České republice a tedy na materiální kvalitu života. Analýza jednoznačně nepotvrzuje, že „bohaté regiony se stávají ještě bohatšími a chudé ještě chudšími“. Významný negativní posun ale proběhl např. v kraji Jihočeském a Ústeckém, tj. 3. a 5. nejbohatším kraji podle disponibilních příjmů na obyvatele v</w:t>
      </w:r>
      <w:r w:rsidR="00B47436">
        <w:rPr>
          <w:lang w:eastAsia="ar-SA"/>
        </w:rPr>
        <w:t> </w:t>
      </w:r>
      <w:r w:rsidRPr="004827FE">
        <w:rPr>
          <w:lang w:eastAsia="ar-SA"/>
        </w:rPr>
        <w:t>roce 1995. Do roku 2013 se Jihočeský kraj posunul v pořadí krajů ČR až do druhé poloviny a Ústecký kraj na samý konec žebříčku. Z období po vstupu do EU vytěžil nejvíce kraj Jihomoravský. Faktory disparit a jejich změn byly hlavně změny ekonomické struktury, rozdíl v intenzitě přílivu zahraničních investic a peněz z EU.</w:t>
      </w:r>
    </w:p>
    <w:p w:rsidR="004827FE" w:rsidRPr="00495D8B" w:rsidRDefault="004827FE" w:rsidP="004827FE">
      <w:pPr>
        <w:pStyle w:val="Textpoznpodarou"/>
        <w:ind w:left="425"/>
        <w:jc w:val="both"/>
        <w:rPr>
          <w:lang w:eastAsia="ar-SA"/>
        </w:rPr>
      </w:pPr>
    </w:p>
    <w:p w:rsidR="004827FE" w:rsidRDefault="004827FE" w:rsidP="004827FE">
      <w:pPr>
        <w:pStyle w:val="Textpoznpodarou"/>
        <w:numPr>
          <w:ilvl w:val="0"/>
          <w:numId w:val="2"/>
        </w:numPr>
        <w:ind w:left="425" w:hanging="357"/>
        <w:jc w:val="both"/>
        <w:rPr>
          <w:lang w:eastAsia="ar-SA"/>
        </w:rPr>
      </w:pPr>
      <w:r w:rsidRPr="004827FE">
        <w:rPr>
          <w:lang w:eastAsia="ar-SA"/>
        </w:rPr>
        <w:t xml:space="preserve">Sociální disparity příjmů a výdajů rozebíraných podle desetiny domácností s nejvyššími a desetiny s nejnižšími příjmy - ze šetření u domácností v roce 2014 s příjmy a výdaji roku 2013 - dokládá příjmové převýšení 6,9krát v hrubých a 5,9krát v čistých peněžních příjmech na osobu v domácnosti. V dolním decilu se meziročně zvýšil podíl domácností s příjmy pod úrovní životního minima, stejně jako v decilu, kde mají významný podíl domácnosti důchodců. Analýza dále identifikuje disparity v příjmech zaměstnanců a důchodců </w:t>
      </w:r>
      <w:r w:rsidR="00B47436">
        <w:rPr>
          <w:lang w:eastAsia="ar-SA"/>
        </w:rPr>
        <w:t>a také v horním a dolním decilu</w:t>
      </w:r>
      <w:r w:rsidRPr="004827FE">
        <w:rPr>
          <w:lang w:eastAsia="ar-SA"/>
        </w:rPr>
        <w:t xml:space="preserve"> podrobně podle skupin vydání.</w:t>
      </w:r>
    </w:p>
    <w:p w:rsidR="00D34225" w:rsidRDefault="00D34225" w:rsidP="00435D30">
      <w:pPr>
        <w:pStyle w:val="Nadpis1"/>
        <w:numPr>
          <w:ilvl w:val="0"/>
          <w:numId w:val="1"/>
        </w:numPr>
        <w:jc w:val="both"/>
      </w:pPr>
      <w:bookmarkStart w:id="6" w:name="_Toc426017649"/>
      <w:r>
        <w:lastRenderedPageBreak/>
        <w:t>Souhrnná výkonnost ekonomiky</w:t>
      </w:r>
      <w:bookmarkEnd w:id="6"/>
    </w:p>
    <w:tbl>
      <w:tblPr>
        <w:tblW w:w="5000" w:type="pct"/>
        <w:tblLayout w:type="fixed"/>
        <w:tblLook w:val="00A0"/>
      </w:tblPr>
      <w:tblGrid>
        <w:gridCol w:w="9854"/>
      </w:tblGrid>
      <w:tr w:rsidR="00D34225" w:rsidRPr="00CD6F99" w:rsidTr="008C41F7">
        <w:tc>
          <w:tcPr>
            <w:tcW w:w="5000" w:type="pct"/>
          </w:tcPr>
          <w:p w:rsidR="00D34225" w:rsidRPr="00A557BF" w:rsidRDefault="00D34225" w:rsidP="008C41F7">
            <w:pPr>
              <w:pStyle w:val="Textpoznpodarou"/>
              <w:jc w:val="both"/>
            </w:pPr>
            <w:r w:rsidRPr="00A557BF">
              <w:t>Po dvou letech recese</w:t>
            </w:r>
            <w:r w:rsidR="00877329">
              <w:rPr>
                <w:rStyle w:val="Znakapoznpodarou"/>
              </w:rPr>
              <w:footnoteReference w:id="3"/>
            </w:r>
            <w:r w:rsidRPr="00A557BF">
              <w:t xml:space="preserve"> výkon české ekonomik</w:t>
            </w:r>
            <w:r w:rsidR="00D47948">
              <w:t xml:space="preserve">y již stoupl. </w:t>
            </w:r>
            <w:r w:rsidRPr="00A557BF">
              <w:t>HDP narostl</w:t>
            </w:r>
            <w:r w:rsidR="00915F5B">
              <w:t xml:space="preserve"> v roce 2014</w:t>
            </w:r>
            <w:r w:rsidRPr="00A557BF">
              <w:t xml:space="preserve"> o 2,0 %, hrub</w:t>
            </w:r>
            <w:r w:rsidR="00D47948">
              <w:t>á</w:t>
            </w:r>
            <w:r w:rsidRPr="00A557BF">
              <w:t xml:space="preserve"> přidan</w:t>
            </w:r>
            <w:r w:rsidR="00D47948">
              <w:t>á</w:t>
            </w:r>
            <w:r w:rsidRPr="00A557BF">
              <w:t xml:space="preserve"> hodnot</w:t>
            </w:r>
            <w:r w:rsidR="00D47948">
              <w:t>a</w:t>
            </w:r>
            <w:r w:rsidRPr="00A557BF">
              <w:t xml:space="preserve"> nezkreslen</w:t>
            </w:r>
            <w:r w:rsidR="00D47948">
              <w:t>á</w:t>
            </w:r>
            <w:r w:rsidRPr="00A557BF">
              <w:t xml:space="preserve"> asymetrickým výběrem spotřebních daní z tabákových výrobků dokonce o 2,7 </w:t>
            </w:r>
            <w:r>
              <w:t>%. Zatímco z hlediska</w:t>
            </w:r>
            <w:r w:rsidRPr="00A557BF">
              <w:t xml:space="preserve"> růstu HDP připadlo české ekonomice mezi zeměmi EU až místo </w:t>
            </w:r>
            <w:r w:rsidR="00915F5B">
              <w:t>čtrnácté</w:t>
            </w:r>
            <w:r w:rsidRPr="00A557BF">
              <w:t xml:space="preserve">, tedy průměrné, v pojetí hrubé přidané hodnoty místo </w:t>
            </w:r>
            <w:r w:rsidR="00915F5B">
              <w:t>osmé</w:t>
            </w:r>
            <w:r w:rsidRPr="00A557BF">
              <w:t xml:space="preserve"> a tedy nadprůměrné.</w:t>
            </w:r>
          </w:p>
          <w:p w:rsidR="00D34225" w:rsidRPr="00877329" w:rsidRDefault="00D34225" w:rsidP="008C41F7">
            <w:pPr>
              <w:pStyle w:val="Textpoznpodarou"/>
              <w:jc w:val="both"/>
            </w:pPr>
          </w:p>
        </w:tc>
      </w:tr>
    </w:tbl>
    <w:p w:rsidR="00D34225" w:rsidRPr="00AD306C" w:rsidRDefault="00D34225" w:rsidP="00435D30">
      <w:pPr>
        <w:pStyle w:val="Nadpis2"/>
        <w:numPr>
          <w:ilvl w:val="1"/>
          <w:numId w:val="3"/>
        </w:numPr>
      </w:pPr>
      <w:bookmarkStart w:id="7" w:name="_Toc426017650"/>
      <w:r>
        <w:t>Hrubý domácí produkt</w:t>
      </w:r>
      <w:bookmarkEnd w:id="7"/>
    </w:p>
    <w:tbl>
      <w:tblPr>
        <w:tblW w:w="5000" w:type="pct"/>
        <w:tblLayout w:type="fixed"/>
        <w:tblLook w:val="00A0"/>
      </w:tblPr>
      <w:tblGrid>
        <w:gridCol w:w="2077"/>
        <w:gridCol w:w="282"/>
        <w:gridCol w:w="7495"/>
      </w:tblGrid>
      <w:tr w:rsidR="00D34225" w:rsidRPr="0002083E" w:rsidTr="008C41F7">
        <w:trPr>
          <w:trHeight w:val="1635"/>
        </w:trPr>
        <w:tc>
          <w:tcPr>
            <w:tcW w:w="1054" w:type="pct"/>
          </w:tcPr>
          <w:p w:rsidR="00D34225" w:rsidRPr="00A557BF" w:rsidRDefault="00D34225" w:rsidP="008C41F7">
            <w:pPr>
              <w:spacing w:line="240" w:lineRule="auto"/>
              <w:rPr>
                <w:sz w:val="16"/>
                <w:szCs w:val="16"/>
              </w:rPr>
            </w:pPr>
            <w:r w:rsidRPr="00A557BF">
              <w:rPr>
                <w:sz w:val="16"/>
                <w:szCs w:val="16"/>
              </w:rPr>
              <w:t>Recese z let 2012 a 2013 byla způsobena zejména poklesem domácí poptávky. Její oživení recesi také ukončilo</w:t>
            </w:r>
          </w:p>
        </w:tc>
        <w:tc>
          <w:tcPr>
            <w:tcW w:w="143" w:type="pct"/>
          </w:tcPr>
          <w:p w:rsidR="00D34225" w:rsidRPr="00A557BF" w:rsidRDefault="00D34225" w:rsidP="008C41F7">
            <w:pPr>
              <w:pStyle w:val="Textpoznpodarou"/>
              <w:jc w:val="both"/>
            </w:pPr>
          </w:p>
        </w:tc>
        <w:tc>
          <w:tcPr>
            <w:tcW w:w="3803" w:type="pct"/>
          </w:tcPr>
          <w:p w:rsidR="00D34225" w:rsidRPr="00A557BF" w:rsidRDefault="00D34225" w:rsidP="008C41F7">
            <w:pPr>
              <w:pStyle w:val="Textpoznpodarou"/>
              <w:jc w:val="both"/>
            </w:pPr>
            <w:r w:rsidRPr="00A557BF">
              <w:t xml:space="preserve">Recese, </w:t>
            </w:r>
            <w:r w:rsidR="00A75744">
              <w:t>se kterou se česká ekonomika</w:t>
            </w:r>
            <w:r w:rsidRPr="00A557BF">
              <w:t xml:space="preserve"> </w:t>
            </w:r>
            <w:r w:rsidR="00A75744">
              <w:t>potýkala</w:t>
            </w:r>
            <w:r w:rsidRPr="00A557BF">
              <w:t xml:space="preserve"> v dvouletém období 2012-2013 a za níž stály zejména domácí faktory (rychlá konsolidace veřejných financí, nízká investiční aktivita firem, reálně klesající celkové příjmy domácností zrcadlící se v nevýrazné spotřebě a oslabující poptávce po domech a bytech), v roce 2014 už dále nepokračovala. Naopak, české hospodářství ožilo. Obnovená domácí a zahraniční poptávka, </w:t>
            </w:r>
            <w:r w:rsidR="00D47948">
              <w:t>spolu s dalšími faktory</w:t>
            </w:r>
            <w:r w:rsidR="00A75744">
              <w:t>,</w:t>
            </w:r>
            <w:r w:rsidR="00D47948">
              <w:t xml:space="preserve"> </w:t>
            </w:r>
            <w:r w:rsidRPr="00A557BF">
              <w:t>se společně projevily v nárůstu hrubé</w:t>
            </w:r>
            <w:r w:rsidR="00915F5B">
              <w:t>ho</w:t>
            </w:r>
            <w:r w:rsidRPr="00A557BF">
              <w:t xml:space="preserve"> domácího produktu (HDP) o rovná 2 %.</w:t>
            </w:r>
          </w:p>
          <w:p w:rsidR="00D34225" w:rsidRPr="00877329" w:rsidRDefault="00D34225" w:rsidP="008C41F7">
            <w:pPr>
              <w:pStyle w:val="Textpoznpodarou"/>
              <w:jc w:val="both"/>
            </w:pPr>
          </w:p>
        </w:tc>
      </w:tr>
      <w:tr w:rsidR="00D34225" w:rsidRPr="0002083E" w:rsidTr="008C41F7">
        <w:tc>
          <w:tcPr>
            <w:tcW w:w="1054" w:type="pct"/>
          </w:tcPr>
          <w:p w:rsidR="00D34225" w:rsidRPr="00A557BF" w:rsidRDefault="00D34225" w:rsidP="008C41F7">
            <w:pPr>
              <w:spacing w:line="240" w:lineRule="auto"/>
              <w:rPr>
                <w:spacing w:val="-2"/>
                <w:sz w:val="16"/>
                <w:szCs w:val="16"/>
              </w:rPr>
            </w:pPr>
            <w:r w:rsidRPr="00A557BF">
              <w:rPr>
                <w:spacing w:val="-2"/>
                <w:sz w:val="16"/>
                <w:szCs w:val="16"/>
              </w:rPr>
              <w:t xml:space="preserve">Růst české ekonomiky, jak ukazuje </w:t>
            </w:r>
            <w:proofErr w:type="spellStart"/>
            <w:r w:rsidRPr="00A557BF">
              <w:rPr>
                <w:spacing w:val="-2"/>
                <w:sz w:val="16"/>
                <w:szCs w:val="16"/>
              </w:rPr>
              <w:t>mezikvartální</w:t>
            </w:r>
            <w:proofErr w:type="spellEnd"/>
            <w:r w:rsidRPr="00A557BF">
              <w:rPr>
                <w:spacing w:val="-2"/>
                <w:sz w:val="16"/>
                <w:szCs w:val="16"/>
              </w:rPr>
              <w:t xml:space="preserve"> dynamika HDP, byl stabilní</w:t>
            </w:r>
          </w:p>
        </w:tc>
        <w:tc>
          <w:tcPr>
            <w:tcW w:w="143" w:type="pct"/>
          </w:tcPr>
          <w:p w:rsidR="00D34225" w:rsidRPr="00A557BF" w:rsidRDefault="00D34225" w:rsidP="008C41F7">
            <w:pPr>
              <w:pStyle w:val="Textpoznpodarou"/>
              <w:jc w:val="both"/>
            </w:pPr>
          </w:p>
        </w:tc>
        <w:tc>
          <w:tcPr>
            <w:tcW w:w="3803" w:type="pct"/>
          </w:tcPr>
          <w:p w:rsidR="00D34225" w:rsidRPr="00A557BF" w:rsidRDefault="00D34225" w:rsidP="008C41F7">
            <w:pPr>
              <w:pStyle w:val="Textpoznpodarou"/>
              <w:jc w:val="both"/>
              <w:rPr>
                <w:spacing w:val="-4"/>
              </w:rPr>
            </w:pPr>
            <w:r w:rsidRPr="00A557BF">
              <w:rPr>
                <w:spacing w:val="-4"/>
              </w:rPr>
              <w:t xml:space="preserve">Z </w:t>
            </w:r>
            <w:proofErr w:type="spellStart"/>
            <w:r w:rsidRPr="00A557BF">
              <w:rPr>
                <w:spacing w:val="-4"/>
              </w:rPr>
              <w:t>mezičtvrtletní</w:t>
            </w:r>
            <w:proofErr w:type="spellEnd"/>
            <w:r w:rsidRPr="00A557BF">
              <w:rPr>
                <w:spacing w:val="-4"/>
              </w:rPr>
              <w:t xml:space="preserve"> dynamiky HDP (očištěno od sezónnosti a vlivu nestejného počtu pracovních dní) bylo patrné, že ekonomika ČR posilovala stabilně. S výjimkou 1. čtvrtletí 2014, kdy fakticky stagnovala, rostla už rok a </w:t>
            </w:r>
            <w:proofErr w:type="spellStart"/>
            <w:r w:rsidRPr="00A557BF">
              <w:rPr>
                <w:spacing w:val="-4"/>
              </w:rPr>
              <w:t>třičtvrtě</w:t>
            </w:r>
            <w:proofErr w:type="spellEnd"/>
            <w:r w:rsidRPr="00A557BF">
              <w:rPr>
                <w:spacing w:val="-4"/>
              </w:rPr>
              <w:t>.</w:t>
            </w:r>
          </w:p>
          <w:p w:rsidR="00D34225" w:rsidRPr="00877329" w:rsidRDefault="00D34225" w:rsidP="008C41F7">
            <w:pPr>
              <w:pStyle w:val="Textpoznpodarou"/>
              <w:jc w:val="both"/>
            </w:pPr>
          </w:p>
        </w:tc>
      </w:tr>
      <w:tr w:rsidR="00D34225" w:rsidRPr="0002083E" w:rsidTr="008C41F7">
        <w:trPr>
          <w:trHeight w:val="1400"/>
        </w:trPr>
        <w:tc>
          <w:tcPr>
            <w:tcW w:w="1054" w:type="pct"/>
          </w:tcPr>
          <w:p w:rsidR="00D34225" w:rsidRPr="00A557BF" w:rsidRDefault="00D34225" w:rsidP="008C41F7">
            <w:pPr>
              <w:spacing w:line="240" w:lineRule="auto"/>
              <w:rPr>
                <w:sz w:val="16"/>
                <w:szCs w:val="16"/>
              </w:rPr>
            </w:pPr>
            <w:r w:rsidRPr="00A557BF">
              <w:rPr>
                <w:sz w:val="16"/>
                <w:szCs w:val="16"/>
              </w:rPr>
              <w:t>Nárůst HDP v roce 2014 o 2,0 % byl srovnatelný s přírůstky z let dočasného oživení 2010 a 2011, …</w:t>
            </w:r>
          </w:p>
        </w:tc>
        <w:tc>
          <w:tcPr>
            <w:tcW w:w="143" w:type="pct"/>
          </w:tcPr>
          <w:p w:rsidR="00D34225" w:rsidRPr="00A557BF" w:rsidRDefault="00D34225" w:rsidP="008C41F7">
            <w:pPr>
              <w:pStyle w:val="Textpoznpodarou"/>
              <w:jc w:val="both"/>
            </w:pPr>
          </w:p>
        </w:tc>
        <w:tc>
          <w:tcPr>
            <w:tcW w:w="3803" w:type="pct"/>
          </w:tcPr>
          <w:p w:rsidR="00D34225" w:rsidRPr="00A557BF" w:rsidRDefault="00D34225" w:rsidP="008C41F7">
            <w:pPr>
              <w:pStyle w:val="Textpoznpodarou"/>
              <w:jc w:val="both"/>
            </w:pPr>
            <w:r w:rsidRPr="00A557BF">
              <w:t>Výkon ekonomiky ČR, měřený hrubým domácím produktem, stoupl v roce 2014 zhruba stejně jako v letech 2010 a 2011 (+2,3 %, +2,0 %). Na roky konjunktury 2004 až 2008, kdy HDP narůstal v průměru o 5,3 % ročně (v samotném roce 2006 se HDP zvýšil dokonce o 6,9 %, nejvíce v historii ČR), se ale českému hospodářství navázat nepodařilo. Podprůměrný byl růst tuzemské ekonomiky i</w:t>
            </w:r>
            <w:r>
              <w:t> </w:t>
            </w:r>
            <w:r w:rsidRPr="00A557BF">
              <w:t>s</w:t>
            </w:r>
            <w:r>
              <w:t> </w:t>
            </w:r>
            <w:r w:rsidRPr="00A557BF">
              <w:t>ohledem na průměrnou dynamiku HDP za celé období existence samostatné České republiky (+2,4 %), ale i například za samotné období „pozdní transformace“ (1993-2000, v průměru +2,3 % za rok).</w:t>
            </w:r>
          </w:p>
          <w:p w:rsidR="00D34225" w:rsidRPr="00F058AB" w:rsidRDefault="00D34225" w:rsidP="008C41F7">
            <w:pPr>
              <w:pStyle w:val="Textpoznpodarou"/>
              <w:jc w:val="both"/>
              <w:rPr>
                <w:sz w:val="18"/>
                <w:szCs w:val="18"/>
              </w:rPr>
            </w:pPr>
          </w:p>
        </w:tc>
      </w:tr>
      <w:tr w:rsidR="00D34225" w:rsidRPr="0002083E" w:rsidTr="008C41F7">
        <w:trPr>
          <w:trHeight w:val="1575"/>
        </w:trPr>
        <w:tc>
          <w:tcPr>
            <w:tcW w:w="1054" w:type="pct"/>
          </w:tcPr>
          <w:p w:rsidR="00D34225" w:rsidRPr="00A557BF" w:rsidRDefault="00D34225" w:rsidP="008C41F7">
            <w:pPr>
              <w:spacing w:line="240" w:lineRule="auto"/>
              <w:rPr>
                <w:sz w:val="16"/>
                <w:szCs w:val="16"/>
              </w:rPr>
            </w:pPr>
            <w:r w:rsidRPr="00A557BF">
              <w:rPr>
                <w:sz w:val="16"/>
                <w:szCs w:val="16"/>
              </w:rPr>
              <w:t>…avšak při srovnání s roky konjunktury, kdy ČR zužitkovávala přínosy ze vstupu do EU a z pokračujícího přílivu přímých zahraničních investic, byl růst její ekonomiky významně podprůměrný</w:t>
            </w:r>
          </w:p>
        </w:tc>
        <w:tc>
          <w:tcPr>
            <w:tcW w:w="143" w:type="pct"/>
          </w:tcPr>
          <w:p w:rsidR="00D34225" w:rsidRPr="00A557BF" w:rsidRDefault="00D34225" w:rsidP="008C41F7">
            <w:pPr>
              <w:pStyle w:val="Textpoznpodarou"/>
              <w:jc w:val="both"/>
            </w:pPr>
          </w:p>
        </w:tc>
        <w:tc>
          <w:tcPr>
            <w:tcW w:w="3803" w:type="pct"/>
          </w:tcPr>
          <w:p w:rsidR="00D34225" w:rsidRPr="00A557BF" w:rsidRDefault="00D34225" w:rsidP="008C41F7">
            <w:pPr>
              <w:pStyle w:val="Textpoznpodarou"/>
              <w:jc w:val="both"/>
              <w:rPr>
                <w:spacing w:val="-2"/>
              </w:rPr>
            </w:pPr>
            <w:r w:rsidRPr="00A557BF">
              <w:rPr>
                <w:spacing w:val="-2"/>
              </w:rPr>
              <w:t xml:space="preserve">Ukazuje se, že období předkrizové (tedy roky 2004 až 2008) – ve kterém česká ekonomika těžila ze začlenění do hospodářského prostoru Evropské unie a z pokračujícího přílivu přímých zahraničních investic – a období </w:t>
            </w:r>
            <w:proofErr w:type="spellStart"/>
            <w:r w:rsidRPr="00A557BF">
              <w:rPr>
                <w:spacing w:val="-2"/>
              </w:rPr>
              <w:t>pokrizové</w:t>
            </w:r>
            <w:proofErr w:type="spellEnd"/>
            <w:r w:rsidRPr="00A557BF">
              <w:rPr>
                <w:spacing w:val="-2"/>
              </w:rPr>
              <w:t xml:space="preserve"> (období od roku 2010 dále), silně poznamenané snahou tuzemských fiskálních autorit o rychlou konsolidaci veřejných financí, ale také dluhovými a deflačními problémy </w:t>
            </w:r>
            <w:proofErr w:type="spellStart"/>
            <w:r w:rsidRPr="00A557BF">
              <w:rPr>
                <w:spacing w:val="-2"/>
              </w:rPr>
              <w:t>eurozóny</w:t>
            </w:r>
            <w:proofErr w:type="spellEnd"/>
            <w:r w:rsidRPr="00A557BF">
              <w:rPr>
                <w:spacing w:val="-2"/>
              </w:rPr>
              <w:t>, jsou periodami jen těžko srovnatelnými. Je vůbec otázka, jaký další pozitivní impuls – který by navíc musel zřejmě být strukturální, nikoliv jen cyklický – by musel přijít, aby tuzemská ekonomika na tyto výjimečné roky dlouhodoběji navázala, nebo se jim co do vykázané dynamiky HDP alespoň přiblížila.</w:t>
            </w:r>
          </w:p>
        </w:tc>
      </w:tr>
    </w:tbl>
    <w:p w:rsidR="00D34225" w:rsidRPr="00877329" w:rsidRDefault="00D34225" w:rsidP="00D34225">
      <w:pPr>
        <w:rPr>
          <w:szCs w:val="20"/>
        </w:rPr>
      </w:pPr>
    </w:p>
    <w:tbl>
      <w:tblPr>
        <w:tblW w:w="5000" w:type="pct"/>
        <w:tblLook w:val="04A0"/>
      </w:tblPr>
      <w:tblGrid>
        <w:gridCol w:w="1051"/>
        <w:gridCol w:w="1027"/>
        <w:gridCol w:w="287"/>
        <w:gridCol w:w="2563"/>
        <w:gridCol w:w="715"/>
        <w:gridCol w:w="4211"/>
      </w:tblGrid>
      <w:tr w:rsidR="00D34225" w:rsidRPr="0002083E" w:rsidTr="008C41F7">
        <w:tc>
          <w:tcPr>
            <w:tcW w:w="534" w:type="pct"/>
          </w:tcPr>
          <w:p w:rsidR="00D34225" w:rsidRPr="00A557BF" w:rsidRDefault="00D34225" w:rsidP="008C41F7">
            <w:pPr>
              <w:pStyle w:val="Textpoznpodarou"/>
            </w:pPr>
            <w:r w:rsidRPr="00A557BF">
              <w:t>Graf č. 1</w:t>
            </w:r>
          </w:p>
        </w:tc>
        <w:tc>
          <w:tcPr>
            <w:tcW w:w="1967" w:type="pct"/>
            <w:gridSpan w:val="3"/>
          </w:tcPr>
          <w:p w:rsidR="00E97535" w:rsidRDefault="00D34225" w:rsidP="008C41F7">
            <w:pPr>
              <w:pStyle w:val="Textpoznpodarou"/>
            </w:pPr>
            <w:r w:rsidRPr="00A557BF">
              <w:rPr>
                <w:b/>
              </w:rPr>
              <w:t>Dlouhodobý vývoj HDP v</w:t>
            </w:r>
            <w:r w:rsidR="00E97535">
              <w:rPr>
                <w:b/>
              </w:rPr>
              <w:t> </w:t>
            </w:r>
            <w:r w:rsidRPr="00A557BF">
              <w:rPr>
                <w:b/>
              </w:rPr>
              <w:t>ČR</w:t>
            </w:r>
          </w:p>
          <w:p w:rsidR="00D34225" w:rsidRPr="00A557BF" w:rsidRDefault="00D34225" w:rsidP="008C41F7">
            <w:pPr>
              <w:pStyle w:val="Textpoznpodarou"/>
            </w:pPr>
            <w:r w:rsidRPr="00A557BF">
              <w:t>(y/y v %, reálně)</w:t>
            </w:r>
          </w:p>
        </w:tc>
        <w:tc>
          <w:tcPr>
            <w:tcW w:w="362" w:type="pct"/>
          </w:tcPr>
          <w:p w:rsidR="00D34225" w:rsidRPr="00A557BF" w:rsidRDefault="00D34225" w:rsidP="008C41F7">
            <w:pPr>
              <w:pStyle w:val="Textpoznpodarou"/>
            </w:pPr>
            <w:r w:rsidRPr="00A557BF">
              <w:t>Graf č. 2</w:t>
            </w:r>
          </w:p>
        </w:tc>
        <w:tc>
          <w:tcPr>
            <w:tcW w:w="2136" w:type="pct"/>
          </w:tcPr>
          <w:p w:rsidR="00D34225" w:rsidRPr="00A557BF" w:rsidRDefault="00D34225" w:rsidP="008C41F7">
            <w:pPr>
              <w:pStyle w:val="Textpoznpodarou"/>
            </w:pPr>
            <w:r w:rsidRPr="00A557BF">
              <w:rPr>
                <w:b/>
              </w:rPr>
              <w:t xml:space="preserve">HDP po čtvrtletích </w:t>
            </w:r>
            <w:r w:rsidRPr="00A557BF">
              <w:t>(v %, reálně, očištěno od sezónnosti a vlivu počtu pracovních dní)</w:t>
            </w:r>
          </w:p>
        </w:tc>
      </w:tr>
      <w:tr w:rsidR="00D34225" w:rsidRPr="0056182E" w:rsidTr="008C41F7">
        <w:tc>
          <w:tcPr>
            <w:tcW w:w="2502" w:type="pct"/>
            <w:gridSpan w:val="4"/>
          </w:tcPr>
          <w:p w:rsidR="00D34225" w:rsidRPr="0056182E" w:rsidRDefault="002A2083" w:rsidP="008C41F7">
            <w:pPr>
              <w:pStyle w:val="Textpoznpodarou"/>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187.5pt;visibility:visible;mso-wrap-style:square">
                  <v:imagedata r:id="rId13" o:title=""/>
                </v:shape>
              </w:pict>
            </w:r>
          </w:p>
        </w:tc>
        <w:tc>
          <w:tcPr>
            <w:tcW w:w="2498" w:type="pct"/>
            <w:gridSpan w:val="2"/>
          </w:tcPr>
          <w:p w:rsidR="00D34225" w:rsidRPr="0056182E" w:rsidRDefault="00513C6F" w:rsidP="008C41F7">
            <w:pPr>
              <w:pStyle w:val="Textpoznpodarou"/>
              <w:jc w:val="both"/>
            </w:pPr>
            <w:r>
              <w:rPr>
                <w:noProof/>
              </w:rPr>
              <w:pict>
                <v:shape id="_x0000_i1026" type="#_x0000_t75" style="width:237pt;height:187.5pt;visibility:visible;mso-wrap-style:square">
                  <v:imagedata r:id="rId14" o:title=""/>
                </v:shape>
              </w:pict>
            </w:r>
          </w:p>
        </w:tc>
      </w:tr>
      <w:tr w:rsidR="00D34225" w:rsidRPr="0002083E" w:rsidTr="008C41F7">
        <w:tc>
          <w:tcPr>
            <w:tcW w:w="5000" w:type="pct"/>
            <w:gridSpan w:val="6"/>
          </w:tcPr>
          <w:p w:rsidR="00877329" w:rsidRPr="00A557BF" w:rsidRDefault="00D34225" w:rsidP="00877329">
            <w:pPr>
              <w:pStyle w:val="Textpoznpodarou"/>
              <w:jc w:val="right"/>
              <w:rPr>
                <w:noProof/>
              </w:rPr>
            </w:pPr>
            <w:r w:rsidRPr="00A557BF">
              <w:rPr>
                <w:sz w:val="18"/>
                <w:szCs w:val="18"/>
              </w:rPr>
              <w:t>Zdroj: ČSÚ</w:t>
            </w:r>
          </w:p>
        </w:tc>
      </w:tr>
      <w:tr w:rsidR="00D34225" w:rsidRPr="00A557BF" w:rsidTr="008C41F7">
        <w:tblPrEx>
          <w:tblLook w:val="00A0"/>
        </w:tblPrEx>
        <w:tc>
          <w:tcPr>
            <w:tcW w:w="1055" w:type="pct"/>
            <w:gridSpan w:val="2"/>
          </w:tcPr>
          <w:p w:rsidR="00D34225" w:rsidRPr="00A557BF" w:rsidRDefault="00D34225" w:rsidP="008C41F7">
            <w:pPr>
              <w:spacing w:line="240" w:lineRule="auto"/>
              <w:rPr>
                <w:sz w:val="16"/>
                <w:szCs w:val="16"/>
              </w:rPr>
            </w:pPr>
            <w:r w:rsidRPr="00A557BF">
              <w:rPr>
                <w:sz w:val="16"/>
                <w:szCs w:val="16"/>
              </w:rPr>
              <w:lastRenderedPageBreak/>
              <w:t>Ze zemí EU z recese v roce 2014 vy</w:t>
            </w:r>
            <w:r>
              <w:rPr>
                <w:sz w:val="16"/>
                <w:szCs w:val="16"/>
              </w:rPr>
              <w:t>stoupilo kromě ČR také</w:t>
            </w:r>
            <w:r w:rsidRPr="00A557BF">
              <w:rPr>
                <w:sz w:val="16"/>
                <w:szCs w:val="16"/>
              </w:rPr>
              <w:t xml:space="preserve"> Dánsko, Nizozemsko, ale i</w:t>
            </w:r>
            <w:r>
              <w:rPr>
                <w:sz w:val="16"/>
                <w:szCs w:val="16"/>
              </w:rPr>
              <w:t> </w:t>
            </w:r>
            <w:r w:rsidRPr="00A557BF">
              <w:rPr>
                <w:sz w:val="16"/>
                <w:szCs w:val="16"/>
              </w:rPr>
              <w:t>jižanské</w:t>
            </w:r>
            <w:r>
              <w:rPr>
                <w:sz w:val="16"/>
                <w:szCs w:val="16"/>
              </w:rPr>
              <w:t xml:space="preserve"> Slovinsko, </w:t>
            </w:r>
            <w:r w:rsidRPr="00A557BF">
              <w:rPr>
                <w:sz w:val="16"/>
                <w:szCs w:val="16"/>
              </w:rPr>
              <w:t>Španělsko, Portugalsko a</w:t>
            </w:r>
            <w:r>
              <w:rPr>
                <w:sz w:val="16"/>
                <w:szCs w:val="16"/>
              </w:rPr>
              <w:t> </w:t>
            </w:r>
            <w:r w:rsidRPr="00A557BF">
              <w:rPr>
                <w:sz w:val="16"/>
                <w:szCs w:val="16"/>
              </w:rPr>
              <w:t xml:space="preserve">Řecko, … </w:t>
            </w:r>
          </w:p>
        </w:tc>
        <w:tc>
          <w:tcPr>
            <w:tcW w:w="145" w:type="pct"/>
          </w:tcPr>
          <w:p w:rsidR="00D34225" w:rsidRPr="00A557BF" w:rsidRDefault="00D34225" w:rsidP="008C41F7">
            <w:pPr>
              <w:pStyle w:val="Textpoznpodarou"/>
              <w:jc w:val="both"/>
            </w:pPr>
          </w:p>
        </w:tc>
        <w:tc>
          <w:tcPr>
            <w:tcW w:w="3800" w:type="pct"/>
            <w:gridSpan w:val="3"/>
          </w:tcPr>
          <w:p w:rsidR="00D34225" w:rsidRPr="00A557BF" w:rsidRDefault="00D34225" w:rsidP="008C41F7">
            <w:pPr>
              <w:pStyle w:val="Textpoznpodarou"/>
              <w:jc w:val="both"/>
            </w:pPr>
            <w:r w:rsidRPr="00A557BF">
              <w:t>Z recese se v roce 2014 nevyprostila jen Česká republika, ale také dalších šest zemí Evropské unie. Dva roky trvající pokles HDP se přetavil v růst ve Slovinsku, v Dánsku a v Nizozemsku, tříletá recese skončila na Pyrenejském poloostrově, tedy ve Španělsku a v Portugalsku. Recesivní sevření polevilo i v dluhy a deflací sužovaném Řecku (v kumulaci za roky 2008 až 2013 klesl HDP této ekonomiky o 26,4 %</w:t>
            </w:r>
            <w:r w:rsidRPr="00A557BF">
              <w:rPr>
                <w:lang w:val="en-US"/>
              </w:rPr>
              <w:t xml:space="preserve">, </w:t>
            </w:r>
            <w:r w:rsidRPr="00A557BF">
              <w:t xml:space="preserve">v roce 2014 již o 0,8 % stoupl), </w:t>
            </w:r>
            <w:r w:rsidR="00D74E76">
              <w:t>lze ale očekávat, že recese</w:t>
            </w:r>
            <w:r>
              <w:t xml:space="preserve"> se spolu s politickou</w:t>
            </w:r>
            <w:r w:rsidRPr="00A557BF">
              <w:t xml:space="preserve"> a </w:t>
            </w:r>
            <w:r>
              <w:t>ekonomickou nestabilitou</w:t>
            </w:r>
            <w:r w:rsidRPr="00A557BF">
              <w:t xml:space="preserve"> </w:t>
            </w:r>
            <w:r>
              <w:t>navrátí</w:t>
            </w:r>
            <w:r w:rsidRPr="00A557BF">
              <w:t>.</w:t>
            </w:r>
          </w:p>
          <w:p w:rsidR="00D34225" w:rsidRPr="00A557BF" w:rsidRDefault="00D34225" w:rsidP="008C41F7">
            <w:pPr>
              <w:pStyle w:val="Textpoznpodarou"/>
              <w:jc w:val="both"/>
              <w:rPr>
                <w:sz w:val="16"/>
                <w:szCs w:val="16"/>
              </w:rPr>
            </w:pPr>
          </w:p>
        </w:tc>
      </w:tr>
      <w:tr w:rsidR="00D34225" w:rsidRPr="00A557BF" w:rsidTr="008C41F7">
        <w:tblPrEx>
          <w:tblLook w:val="00A0"/>
        </w:tblPrEx>
        <w:trPr>
          <w:trHeight w:val="1590"/>
        </w:trPr>
        <w:tc>
          <w:tcPr>
            <w:tcW w:w="1055" w:type="pct"/>
            <w:gridSpan w:val="2"/>
          </w:tcPr>
          <w:p w:rsidR="00D34225" w:rsidRPr="00A557BF" w:rsidRDefault="00D34225" w:rsidP="008C41F7">
            <w:pPr>
              <w:spacing w:line="240" w:lineRule="auto"/>
              <w:rPr>
                <w:sz w:val="16"/>
                <w:szCs w:val="16"/>
              </w:rPr>
            </w:pPr>
            <w:r w:rsidRPr="00A557BF">
              <w:rPr>
                <w:sz w:val="16"/>
                <w:szCs w:val="16"/>
              </w:rPr>
              <w:t>…v Itálii, na Kypru a v Chorvatsku HDP klesal nicméně i nadále. Z recese se dosud nevymanilo ani Finsko</w:t>
            </w:r>
          </w:p>
        </w:tc>
        <w:tc>
          <w:tcPr>
            <w:tcW w:w="145" w:type="pct"/>
          </w:tcPr>
          <w:p w:rsidR="00D34225" w:rsidRPr="00A557BF" w:rsidRDefault="00D34225" w:rsidP="008C41F7">
            <w:pPr>
              <w:pStyle w:val="Textpoznpodarou"/>
              <w:jc w:val="both"/>
            </w:pPr>
          </w:p>
        </w:tc>
        <w:tc>
          <w:tcPr>
            <w:tcW w:w="3800" w:type="pct"/>
            <w:gridSpan w:val="3"/>
          </w:tcPr>
          <w:p w:rsidR="00D34225" w:rsidRPr="00A557BF" w:rsidRDefault="00D34225" w:rsidP="008C41F7">
            <w:pPr>
              <w:pStyle w:val="Textpoznpodarou"/>
              <w:jc w:val="both"/>
            </w:pPr>
            <w:r w:rsidRPr="00A557BF">
              <w:t>O oživení hospodářského prostoru EU v roce 2014 svědčil fakt, že pokles výkonnosti e</w:t>
            </w:r>
            <w:r>
              <w:t>vidovaly jen čtyři členské země, tedy</w:t>
            </w:r>
            <w:r w:rsidRPr="00A557BF">
              <w:t xml:space="preserve"> stejný počet jako v roce 2011. Potřetí za seb</w:t>
            </w:r>
            <w:r w:rsidR="005F2F28">
              <w:t>ou se HDP snížil ve Finsku (-0,4</w:t>
            </w:r>
            <w:r w:rsidRPr="00A557BF">
              <w:t xml:space="preserve"> %</w:t>
            </w:r>
            <w:r w:rsidRPr="00A557BF">
              <w:rPr>
                <w:lang w:val="en-US"/>
              </w:rPr>
              <w:t>;</w:t>
            </w:r>
            <w:r w:rsidRPr="00A557BF">
              <w:t xml:space="preserve"> v ku</w:t>
            </w:r>
            <w:r w:rsidR="005F2F28">
              <w:t>mulaci za roky 2012 až 2014 -2,9</w:t>
            </w:r>
            <w:r w:rsidRPr="00A557BF">
              <w:t xml:space="preserve"> %), v Itálii (-0,4 %</w:t>
            </w:r>
            <w:r w:rsidRPr="00A557BF">
              <w:rPr>
                <w:lang w:val="en-US"/>
              </w:rPr>
              <w:t>;</w:t>
            </w:r>
            <w:r w:rsidRPr="00A557BF">
              <w:t xml:space="preserve"> -4,8 %) a na Kypru (-2,3 %</w:t>
            </w:r>
            <w:r w:rsidRPr="00A557BF">
              <w:rPr>
                <w:lang w:val="en-US"/>
              </w:rPr>
              <w:t>;</w:t>
            </w:r>
            <w:r w:rsidRPr="00A557BF">
              <w:t xml:space="preserve"> -9,7 %). Šestým rokem se s recesí potýkal nejnovější člen evropské osmadvacítky, Chorvatsko (v roce 2014 pokles HDP o 0,4 %</w:t>
            </w:r>
            <w:r w:rsidRPr="00A557BF">
              <w:rPr>
                <w:lang w:val="en-US"/>
              </w:rPr>
              <w:t xml:space="preserve">; </w:t>
            </w:r>
            <w:r w:rsidRPr="00A557BF">
              <w:t>v kumulaci za roky 2009 až 2014 již -12,4 %).</w:t>
            </w:r>
          </w:p>
          <w:p w:rsidR="00D34225" w:rsidRPr="00A557BF" w:rsidRDefault="00D34225" w:rsidP="008C41F7">
            <w:pPr>
              <w:pStyle w:val="Textpoznpodarou"/>
              <w:jc w:val="both"/>
              <w:rPr>
                <w:sz w:val="16"/>
                <w:szCs w:val="16"/>
              </w:rPr>
            </w:pPr>
          </w:p>
        </w:tc>
      </w:tr>
      <w:tr w:rsidR="00D34225" w:rsidRPr="00A557BF" w:rsidTr="008C41F7">
        <w:tblPrEx>
          <w:tblLook w:val="00A0"/>
        </w:tblPrEx>
        <w:trPr>
          <w:trHeight w:val="465"/>
        </w:trPr>
        <w:tc>
          <w:tcPr>
            <w:tcW w:w="1055" w:type="pct"/>
            <w:gridSpan w:val="2"/>
          </w:tcPr>
          <w:p w:rsidR="00D34225" w:rsidRPr="00A557BF" w:rsidRDefault="00D34225" w:rsidP="008C41F7">
            <w:pPr>
              <w:spacing w:line="240" w:lineRule="auto"/>
              <w:rPr>
                <w:sz w:val="16"/>
                <w:szCs w:val="16"/>
              </w:rPr>
            </w:pPr>
          </w:p>
        </w:tc>
        <w:tc>
          <w:tcPr>
            <w:tcW w:w="145" w:type="pct"/>
          </w:tcPr>
          <w:p w:rsidR="00D34225" w:rsidRPr="00A557BF" w:rsidRDefault="00D34225" w:rsidP="008C41F7">
            <w:pPr>
              <w:pStyle w:val="Textpoznpodarou"/>
              <w:jc w:val="both"/>
            </w:pPr>
          </w:p>
        </w:tc>
        <w:tc>
          <w:tcPr>
            <w:tcW w:w="3800" w:type="pct"/>
            <w:gridSpan w:val="3"/>
          </w:tcPr>
          <w:p w:rsidR="00D34225" w:rsidRPr="00A557BF" w:rsidRDefault="00D34225" w:rsidP="008C41F7">
            <w:pPr>
              <w:pStyle w:val="Textpoznpodarou"/>
              <w:jc w:val="both"/>
            </w:pPr>
            <w:r w:rsidRPr="00A557BF">
              <w:t xml:space="preserve">Pozitivním aspektem ekonomického vývoje v EU v roce 2014 bylo i to, že </w:t>
            </w:r>
            <w:r>
              <w:t>pokles HDP nově nepoznamenal</w:t>
            </w:r>
            <w:r w:rsidRPr="00A557BF">
              <w:t xml:space="preserve"> ani jednu z členských zemí.</w:t>
            </w:r>
          </w:p>
          <w:p w:rsidR="00D34225" w:rsidRPr="00A557BF" w:rsidRDefault="00D34225" w:rsidP="008C41F7">
            <w:pPr>
              <w:pStyle w:val="Textpoznpodarou"/>
              <w:jc w:val="both"/>
              <w:rPr>
                <w:sz w:val="16"/>
                <w:szCs w:val="16"/>
              </w:rPr>
            </w:pPr>
          </w:p>
        </w:tc>
      </w:tr>
      <w:tr w:rsidR="00D34225" w:rsidRPr="00A557BF" w:rsidTr="008C41F7">
        <w:tblPrEx>
          <w:tblLook w:val="00A0"/>
        </w:tblPrEx>
        <w:trPr>
          <w:trHeight w:val="2025"/>
        </w:trPr>
        <w:tc>
          <w:tcPr>
            <w:tcW w:w="1055" w:type="pct"/>
            <w:gridSpan w:val="2"/>
          </w:tcPr>
          <w:p w:rsidR="00D34225" w:rsidRPr="00A557BF" w:rsidRDefault="00D34225" w:rsidP="008C41F7">
            <w:pPr>
              <w:spacing w:line="240" w:lineRule="auto"/>
              <w:rPr>
                <w:sz w:val="16"/>
                <w:szCs w:val="16"/>
              </w:rPr>
            </w:pPr>
            <w:r w:rsidRPr="00A557BF">
              <w:rPr>
                <w:sz w:val="16"/>
                <w:szCs w:val="16"/>
              </w:rPr>
              <w:t xml:space="preserve">V první desítce nejrychleji rostoucích zemí EU z vyspělých ekonomik jen </w:t>
            </w:r>
            <w:r w:rsidR="005F2F28">
              <w:rPr>
                <w:sz w:val="16"/>
                <w:szCs w:val="16"/>
              </w:rPr>
              <w:t xml:space="preserve">Lucembursko, </w:t>
            </w:r>
            <w:r w:rsidRPr="00A557BF">
              <w:rPr>
                <w:sz w:val="16"/>
                <w:szCs w:val="16"/>
              </w:rPr>
              <w:t>Irsko a Velká Británie, …</w:t>
            </w:r>
          </w:p>
        </w:tc>
        <w:tc>
          <w:tcPr>
            <w:tcW w:w="145" w:type="pct"/>
          </w:tcPr>
          <w:p w:rsidR="00D34225" w:rsidRPr="00A557BF" w:rsidRDefault="00D34225" w:rsidP="008C41F7">
            <w:pPr>
              <w:pStyle w:val="Textpoznpodarou"/>
              <w:jc w:val="both"/>
            </w:pPr>
          </w:p>
        </w:tc>
        <w:tc>
          <w:tcPr>
            <w:tcW w:w="3800" w:type="pct"/>
            <w:gridSpan w:val="3"/>
          </w:tcPr>
          <w:p w:rsidR="00D34225" w:rsidRPr="005F2F28" w:rsidRDefault="00D34225" w:rsidP="008C41F7">
            <w:pPr>
              <w:pStyle w:val="Textpoznpodarou"/>
              <w:jc w:val="both"/>
              <w:rPr>
                <w:spacing w:val="-6"/>
              </w:rPr>
            </w:pPr>
            <w:r w:rsidRPr="005F2F28">
              <w:rPr>
                <w:spacing w:val="-6"/>
              </w:rPr>
              <w:t>Na špici zemí EU, co se týče přírůstku HDP v roce 2014, se umístilo</w:t>
            </w:r>
            <w:r w:rsidR="005F2F28" w:rsidRPr="005F2F28">
              <w:rPr>
                <w:spacing w:val="-6"/>
              </w:rPr>
              <w:t xml:space="preserve"> Lucembursko a Irsko. Jejich</w:t>
            </w:r>
            <w:r w:rsidRPr="005F2F28">
              <w:rPr>
                <w:spacing w:val="-6"/>
              </w:rPr>
              <w:t xml:space="preserve"> výkonnost stoupla o vysokých</w:t>
            </w:r>
            <w:r w:rsidR="005F2F28" w:rsidRPr="005F2F28">
              <w:rPr>
                <w:spacing w:val="-6"/>
              </w:rPr>
              <w:t xml:space="preserve"> 5,6 % a</w:t>
            </w:r>
            <w:r w:rsidRPr="005F2F28">
              <w:rPr>
                <w:spacing w:val="-6"/>
              </w:rPr>
              <w:t xml:space="preserve"> 4,8 %, a to při zmenšujícím se hrubém konsolidovaném dluhu vládních institucí (relativně, tj. v poměru k HDP, </w:t>
            </w:r>
            <w:r w:rsidR="005F2F28" w:rsidRPr="005F2F28">
              <w:rPr>
                <w:spacing w:val="-6"/>
              </w:rPr>
              <w:t>v případě Irska</w:t>
            </w:r>
            <w:r w:rsidRPr="005F2F28">
              <w:rPr>
                <w:spacing w:val="-6"/>
              </w:rPr>
              <w:t xml:space="preserve"> také v absolutním vyjádření).</w:t>
            </w:r>
            <w:r w:rsidR="005F2F28" w:rsidRPr="005F2F28">
              <w:rPr>
                <w:spacing w:val="-6"/>
              </w:rPr>
              <w:t xml:space="preserve"> Teprve až s velkým odstupem je</w:t>
            </w:r>
            <w:r w:rsidRPr="005F2F28">
              <w:rPr>
                <w:spacing w:val="-6"/>
              </w:rPr>
              <w:t xml:space="preserve"> následovalo Maďarsko (+3,6 %), Malta (+3,5 %) a Polsko (+3,4 %). První desítka nejrychleji rostoucích zemí byla složena </w:t>
            </w:r>
            <w:r w:rsidR="005F2F28" w:rsidRPr="005F2F28">
              <w:rPr>
                <w:spacing w:val="-6"/>
              </w:rPr>
              <w:t>spíše</w:t>
            </w:r>
            <w:r w:rsidRPr="005F2F28">
              <w:rPr>
                <w:spacing w:val="-6"/>
              </w:rPr>
              <w:t xml:space="preserve"> z konvergujících ekonomik, z vyspělých zemí se do ní dostala kromě zmíněného </w:t>
            </w:r>
            <w:r w:rsidR="005F2F28" w:rsidRPr="005F2F28">
              <w:rPr>
                <w:spacing w:val="-6"/>
              </w:rPr>
              <w:t xml:space="preserve">Lucemburska a </w:t>
            </w:r>
            <w:r w:rsidRPr="005F2F28">
              <w:rPr>
                <w:spacing w:val="-6"/>
              </w:rPr>
              <w:t>I</w:t>
            </w:r>
            <w:r w:rsidR="005F2F28" w:rsidRPr="005F2F28">
              <w:rPr>
                <w:spacing w:val="-6"/>
              </w:rPr>
              <w:t>rska už jen Velká Británie (šesté</w:t>
            </w:r>
            <w:r w:rsidRPr="005F2F28">
              <w:rPr>
                <w:spacing w:val="-6"/>
              </w:rPr>
              <w:t xml:space="preserve"> místo, +3,0 %). Zde ovšem, v porovnání s</w:t>
            </w:r>
            <w:r w:rsidR="005F2F28" w:rsidRPr="005F2F28">
              <w:rPr>
                <w:spacing w:val="-6"/>
              </w:rPr>
              <w:t> Lucemburskem a</w:t>
            </w:r>
            <w:r w:rsidRPr="005F2F28">
              <w:rPr>
                <w:spacing w:val="-6"/>
              </w:rPr>
              <w:t> Irskem, docházelo k „méně zdravému růstu ekonomiky“, totiž za cenu dále se zvyšujícího hrubého konsolidovaného dluhu vládních institucí (v absolutním i relativním vyjádření).</w:t>
            </w:r>
          </w:p>
          <w:p w:rsidR="00D34225" w:rsidRPr="00A557BF" w:rsidRDefault="00D34225" w:rsidP="008C41F7">
            <w:pPr>
              <w:pStyle w:val="Textpoznpodarou"/>
              <w:jc w:val="both"/>
              <w:rPr>
                <w:sz w:val="16"/>
                <w:szCs w:val="16"/>
              </w:rPr>
            </w:pPr>
          </w:p>
        </w:tc>
      </w:tr>
      <w:tr w:rsidR="00D34225" w:rsidRPr="00A557BF" w:rsidTr="008C41F7">
        <w:tblPrEx>
          <w:tblLook w:val="00A0"/>
        </w:tblPrEx>
        <w:trPr>
          <w:trHeight w:val="1088"/>
        </w:trPr>
        <w:tc>
          <w:tcPr>
            <w:tcW w:w="1055" w:type="pct"/>
            <w:gridSpan w:val="2"/>
          </w:tcPr>
          <w:p w:rsidR="00D34225" w:rsidRPr="00A557BF" w:rsidRDefault="00D34225" w:rsidP="008C41F7">
            <w:pPr>
              <w:rPr>
                <w:sz w:val="16"/>
                <w:szCs w:val="16"/>
              </w:rPr>
            </w:pPr>
            <w:r w:rsidRPr="00A557BF">
              <w:rPr>
                <w:sz w:val="16"/>
                <w:szCs w:val="16"/>
              </w:rPr>
              <w:t xml:space="preserve">…ČR na místě </w:t>
            </w:r>
            <w:r w:rsidR="0019505A">
              <w:rPr>
                <w:sz w:val="16"/>
                <w:szCs w:val="16"/>
              </w:rPr>
              <w:t>čtrnáctém</w:t>
            </w:r>
          </w:p>
        </w:tc>
        <w:tc>
          <w:tcPr>
            <w:tcW w:w="145" w:type="pct"/>
          </w:tcPr>
          <w:p w:rsidR="00D34225" w:rsidRPr="00A557BF" w:rsidRDefault="00D34225" w:rsidP="008C41F7">
            <w:pPr>
              <w:pStyle w:val="Textpoznpodarou"/>
              <w:jc w:val="both"/>
            </w:pPr>
          </w:p>
        </w:tc>
        <w:tc>
          <w:tcPr>
            <w:tcW w:w="3800" w:type="pct"/>
            <w:gridSpan w:val="3"/>
          </w:tcPr>
          <w:p w:rsidR="00D34225" w:rsidRPr="00A557BF" w:rsidRDefault="00D34225" w:rsidP="008C41F7">
            <w:pPr>
              <w:pStyle w:val="Textpoznpodarou"/>
              <w:jc w:val="both"/>
            </w:pPr>
            <w:r w:rsidRPr="00A557BF">
              <w:t>České republice v pomyslném žebříčku nejrychleji rostoucích eko</w:t>
            </w:r>
            <w:r w:rsidR="0019505A">
              <w:t>nomik EU náleželo místo čtrnácté</w:t>
            </w:r>
            <w:r w:rsidRPr="00A557BF">
              <w:t xml:space="preserve">, tedy pozice průměrná. Jelikož se hrubý konsolidovaný dluh sektoru vládních institucí v tuzemsku mezi rokem 2013 a 2014 snížil (absolutně z 1,840 bil. korun na 1,816 bil. korun, relativně díky růstu HDP v nominálním vyjádření </w:t>
            </w:r>
            <w:r>
              <w:t xml:space="preserve">dokonce </w:t>
            </w:r>
            <w:r w:rsidRPr="00A557BF">
              <w:t>ze 45,0 % na 42,6 %), dal se růst české ekonomiky v tomto ohledu považovat za „zdravý“.</w:t>
            </w:r>
          </w:p>
          <w:p w:rsidR="00D34225" w:rsidRPr="00A557BF" w:rsidRDefault="00D34225" w:rsidP="008C41F7">
            <w:pPr>
              <w:pStyle w:val="Textpoznpodarou"/>
              <w:jc w:val="both"/>
              <w:rPr>
                <w:spacing w:val="-2"/>
                <w:sz w:val="16"/>
                <w:szCs w:val="16"/>
              </w:rPr>
            </w:pPr>
          </w:p>
        </w:tc>
      </w:tr>
      <w:tr w:rsidR="00D34225" w:rsidRPr="00A557BF" w:rsidTr="008C41F7">
        <w:tblPrEx>
          <w:tblLook w:val="00A0"/>
        </w:tblPrEx>
        <w:trPr>
          <w:trHeight w:val="465"/>
        </w:trPr>
        <w:tc>
          <w:tcPr>
            <w:tcW w:w="1055" w:type="pct"/>
            <w:gridSpan w:val="2"/>
          </w:tcPr>
          <w:p w:rsidR="00D34225" w:rsidRPr="00A557BF" w:rsidRDefault="00D34225" w:rsidP="008C41F7">
            <w:pPr>
              <w:spacing w:line="240" w:lineRule="auto"/>
              <w:rPr>
                <w:sz w:val="16"/>
                <w:szCs w:val="16"/>
              </w:rPr>
            </w:pPr>
            <w:r w:rsidRPr="00A557BF">
              <w:rPr>
                <w:sz w:val="16"/>
                <w:szCs w:val="16"/>
              </w:rPr>
              <w:t>Růst ekonomiky USA silnější než EU</w:t>
            </w:r>
          </w:p>
        </w:tc>
        <w:tc>
          <w:tcPr>
            <w:tcW w:w="145" w:type="pct"/>
          </w:tcPr>
          <w:p w:rsidR="00D34225" w:rsidRPr="00A557BF" w:rsidRDefault="00D34225" w:rsidP="008C41F7">
            <w:pPr>
              <w:pStyle w:val="Textpoznpodarou"/>
              <w:jc w:val="both"/>
            </w:pPr>
          </w:p>
        </w:tc>
        <w:tc>
          <w:tcPr>
            <w:tcW w:w="3800" w:type="pct"/>
            <w:gridSpan w:val="3"/>
          </w:tcPr>
          <w:p w:rsidR="00D34225" w:rsidRPr="00A557BF" w:rsidRDefault="00D34225" w:rsidP="00D47948">
            <w:pPr>
              <w:pStyle w:val="Textpoznpodarou"/>
              <w:jc w:val="both"/>
              <w:rPr>
                <w:spacing w:val="-4"/>
                <w:sz w:val="16"/>
                <w:szCs w:val="16"/>
              </w:rPr>
            </w:pPr>
            <w:r w:rsidRPr="00A557BF">
              <w:rPr>
                <w:spacing w:val="-4"/>
              </w:rPr>
              <w:t>I přestože HDP v ČR v roce 2014 (+2,0 %) posílil více než v EU jako celku (+1,3 %), za </w:t>
            </w:r>
            <w:r>
              <w:rPr>
                <w:spacing w:val="-4"/>
              </w:rPr>
              <w:t>ekonomikou</w:t>
            </w:r>
            <w:r w:rsidRPr="00A557BF">
              <w:rPr>
                <w:spacing w:val="-4"/>
              </w:rPr>
              <w:t xml:space="preserve"> USA </w:t>
            </w:r>
            <w:r w:rsidR="00D47948">
              <w:rPr>
                <w:spacing w:val="-4"/>
              </w:rPr>
              <w:t>(+2,4 %)</w:t>
            </w:r>
            <w:r w:rsidR="00D47948" w:rsidRPr="00A557BF">
              <w:rPr>
                <w:spacing w:val="-4"/>
              </w:rPr>
              <w:t xml:space="preserve"> </w:t>
            </w:r>
            <w:r w:rsidRPr="00A557BF">
              <w:rPr>
                <w:spacing w:val="-4"/>
              </w:rPr>
              <w:t>co do vykázané dynamiky zaostával</w:t>
            </w:r>
            <w:r w:rsidR="00D47948">
              <w:rPr>
                <w:spacing w:val="-4"/>
              </w:rPr>
              <w:t xml:space="preserve">. </w:t>
            </w:r>
            <w:r w:rsidRPr="00A557BF">
              <w:rPr>
                <w:spacing w:val="-4"/>
              </w:rPr>
              <w:t xml:space="preserve"> Ba co více, jestliže si tuzemská ekonomika v letech 2012 a 2013 prošla dvouletou recesí (v EU se</w:t>
            </w:r>
            <w:r>
              <w:rPr>
                <w:spacing w:val="-4"/>
              </w:rPr>
              <w:t> </w:t>
            </w:r>
            <w:r w:rsidRPr="00A557BF">
              <w:rPr>
                <w:spacing w:val="-4"/>
              </w:rPr>
              <w:t>HDP snížil jen v roce 2012, v roce 2013 již v podstatě stagnoval), ekonomika USA</w:t>
            </w:r>
            <w:r>
              <w:rPr>
                <w:spacing w:val="-4"/>
              </w:rPr>
              <w:t> </w:t>
            </w:r>
            <w:r w:rsidRPr="00A557BF">
              <w:rPr>
                <w:spacing w:val="-4"/>
              </w:rPr>
              <w:t>rostla tempy, jež vždy překračovala hranici 2 %. Zatímco tak HDP v ČR v kumulaci za</w:t>
            </w:r>
            <w:r>
              <w:rPr>
                <w:spacing w:val="-4"/>
              </w:rPr>
              <w:t> </w:t>
            </w:r>
            <w:r w:rsidRPr="00A557BF">
              <w:rPr>
                <w:spacing w:val="-4"/>
              </w:rPr>
              <w:t>roky 2012-2014 narostl o 0,5 % a v EU jen o mírně vyšších 0,9 %, v USA – patrně i díky úspěchu politiky kvantitativního uvolňování – o 7,1 %.</w:t>
            </w:r>
          </w:p>
        </w:tc>
      </w:tr>
    </w:tbl>
    <w:p w:rsidR="00DB5104" w:rsidRPr="00A557BF" w:rsidRDefault="00DB5104" w:rsidP="00D34225">
      <w:pPr>
        <w:rPr>
          <w:sz w:val="14"/>
          <w:szCs w:val="14"/>
        </w:rPr>
      </w:pPr>
    </w:p>
    <w:tbl>
      <w:tblPr>
        <w:tblW w:w="5000" w:type="pct"/>
        <w:tblLook w:val="04A0"/>
      </w:tblPr>
      <w:tblGrid>
        <w:gridCol w:w="1051"/>
        <w:gridCol w:w="1030"/>
        <w:gridCol w:w="288"/>
        <w:gridCol w:w="2559"/>
        <w:gridCol w:w="1088"/>
        <w:gridCol w:w="3838"/>
      </w:tblGrid>
      <w:tr w:rsidR="00D34225" w:rsidRPr="00A557BF" w:rsidTr="00DB5104">
        <w:tc>
          <w:tcPr>
            <w:tcW w:w="533" w:type="pct"/>
          </w:tcPr>
          <w:p w:rsidR="00D34225" w:rsidRPr="00A557BF" w:rsidRDefault="00D34225" w:rsidP="008C41F7">
            <w:pPr>
              <w:pStyle w:val="Textpoznpodarou"/>
            </w:pPr>
            <w:r w:rsidRPr="00A557BF">
              <w:t>Graf č. 3</w:t>
            </w:r>
          </w:p>
        </w:tc>
        <w:tc>
          <w:tcPr>
            <w:tcW w:w="1965" w:type="pct"/>
            <w:gridSpan w:val="3"/>
          </w:tcPr>
          <w:p w:rsidR="00D34225" w:rsidRPr="00A557BF" w:rsidRDefault="00D34225" w:rsidP="008C41F7">
            <w:pPr>
              <w:pStyle w:val="Textpoznpodarou"/>
            </w:pPr>
            <w:r w:rsidRPr="00A557BF">
              <w:rPr>
                <w:b/>
              </w:rPr>
              <w:t xml:space="preserve">Hrubý domácí produkt v ČR, EU28, </w:t>
            </w:r>
            <w:proofErr w:type="spellStart"/>
            <w:r w:rsidRPr="00A557BF">
              <w:rPr>
                <w:b/>
              </w:rPr>
              <w:t>eurozóně</w:t>
            </w:r>
            <w:proofErr w:type="spellEnd"/>
            <w:r w:rsidRPr="00A557BF">
              <w:rPr>
                <w:b/>
              </w:rPr>
              <w:t xml:space="preserve"> a v USA </w:t>
            </w:r>
            <w:r w:rsidRPr="00A557BF">
              <w:t>(y/y v %, reálně)</w:t>
            </w:r>
          </w:p>
        </w:tc>
        <w:tc>
          <w:tcPr>
            <w:tcW w:w="552" w:type="pct"/>
          </w:tcPr>
          <w:p w:rsidR="00D34225" w:rsidRPr="00A557BF" w:rsidRDefault="00D34225" w:rsidP="008C41F7">
            <w:pPr>
              <w:pStyle w:val="Textpoznpodarou"/>
            </w:pPr>
            <w:r w:rsidRPr="00A557BF">
              <w:t>Graf č. 4</w:t>
            </w:r>
          </w:p>
        </w:tc>
        <w:tc>
          <w:tcPr>
            <w:tcW w:w="1950" w:type="pct"/>
          </w:tcPr>
          <w:p w:rsidR="00D34225" w:rsidRPr="00A557BF" w:rsidRDefault="00D34225" w:rsidP="008C41F7">
            <w:pPr>
              <w:pStyle w:val="Textpoznpodarou"/>
            </w:pPr>
            <w:r w:rsidRPr="00A557BF">
              <w:rPr>
                <w:b/>
              </w:rPr>
              <w:t xml:space="preserve">Hrubý domácí produkt ve vybraných zemích EU </w:t>
            </w:r>
            <w:r w:rsidRPr="00A557BF">
              <w:t>(y/y v %, reálně)</w:t>
            </w:r>
          </w:p>
        </w:tc>
      </w:tr>
      <w:tr w:rsidR="00D34225" w:rsidRPr="0056182E" w:rsidTr="00DB5104">
        <w:tc>
          <w:tcPr>
            <w:tcW w:w="2498" w:type="pct"/>
            <w:gridSpan w:val="4"/>
          </w:tcPr>
          <w:p w:rsidR="00D34225" w:rsidRPr="0056182E" w:rsidRDefault="002A2083" w:rsidP="008C41F7">
            <w:pPr>
              <w:pStyle w:val="Textpoznpodarou"/>
              <w:jc w:val="both"/>
            </w:pPr>
            <w:r w:rsidRPr="00513C6F">
              <w:rPr>
                <w:noProof/>
                <w:sz w:val="14"/>
                <w:szCs w:val="14"/>
              </w:rPr>
              <w:pict>
                <v:shape id="_x0000_i1027" type="#_x0000_t75" style="width:237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">
                  <v:imagedata r:id="rId15" o:title=""/>
                  <o:lock v:ext="edit" aspectratio="f"/>
                </v:shape>
              </w:pict>
            </w:r>
          </w:p>
        </w:tc>
        <w:tc>
          <w:tcPr>
            <w:tcW w:w="2502" w:type="pct"/>
            <w:gridSpan w:val="2"/>
          </w:tcPr>
          <w:p w:rsidR="00D34225" w:rsidRPr="0056182E" w:rsidRDefault="002A2083" w:rsidP="008C41F7">
            <w:pPr>
              <w:pStyle w:val="Textpoznpodarou"/>
              <w:jc w:val="both"/>
            </w:pPr>
            <w:r w:rsidRPr="00513C6F">
              <w:rPr>
                <w:noProof/>
                <w:sz w:val="14"/>
                <w:szCs w:val="14"/>
              </w:rPr>
              <w:pict>
                <v:shape id="_x0000_i1028" type="#_x0000_t75" style="width:237pt;height:18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">
                  <v:imagedata r:id="rId16" o:title="" cropbottom="-54f"/>
                  <o:lock v:ext="edit" aspectratio="f"/>
                </v:shape>
              </w:pict>
            </w:r>
          </w:p>
        </w:tc>
      </w:tr>
      <w:tr w:rsidR="00D34225" w:rsidRPr="0002083E" w:rsidTr="00DB5104">
        <w:tc>
          <w:tcPr>
            <w:tcW w:w="5000" w:type="pct"/>
            <w:gridSpan w:val="6"/>
          </w:tcPr>
          <w:p w:rsidR="00D34225" w:rsidRPr="00A557BF" w:rsidRDefault="00D34225" w:rsidP="008C41F7">
            <w:pPr>
              <w:pStyle w:val="Textpoznpodarou"/>
              <w:jc w:val="right"/>
              <w:rPr>
                <w:noProof/>
              </w:rPr>
            </w:pPr>
            <w:r w:rsidRPr="00A557BF">
              <w:rPr>
                <w:sz w:val="18"/>
                <w:szCs w:val="18"/>
              </w:rPr>
              <w:t xml:space="preserve">Zdroj: </w:t>
            </w:r>
            <w:proofErr w:type="spellStart"/>
            <w:r w:rsidRPr="00A557BF">
              <w:rPr>
                <w:sz w:val="18"/>
                <w:szCs w:val="18"/>
              </w:rPr>
              <w:t>Eurostat</w:t>
            </w:r>
            <w:proofErr w:type="spellEnd"/>
          </w:p>
        </w:tc>
      </w:tr>
      <w:tr w:rsidR="00D34225" w:rsidRPr="0000051B" w:rsidTr="00DB5104">
        <w:tblPrEx>
          <w:tblLook w:val="00A0"/>
        </w:tblPrEx>
        <w:tc>
          <w:tcPr>
            <w:tcW w:w="1055" w:type="pct"/>
            <w:gridSpan w:val="2"/>
          </w:tcPr>
          <w:p w:rsidR="00D34225" w:rsidRPr="00A557BF" w:rsidRDefault="00D34225" w:rsidP="008C41F7">
            <w:pPr>
              <w:spacing w:line="240" w:lineRule="auto"/>
              <w:rPr>
                <w:sz w:val="16"/>
                <w:szCs w:val="16"/>
              </w:rPr>
            </w:pPr>
            <w:r>
              <w:rPr>
                <w:sz w:val="16"/>
                <w:szCs w:val="16"/>
              </w:rPr>
              <w:lastRenderedPageBreak/>
              <w:t xml:space="preserve">Proti roku </w:t>
            </w:r>
            <w:r w:rsidRPr="00A557BF">
              <w:rPr>
                <w:sz w:val="16"/>
                <w:szCs w:val="16"/>
              </w:rPr>
              <w:t>2009 narostla česká ekonomika o</w:t>
            </w:r>
            <w:r>
              <w:rPr>
                <w:sz w:val="16"/>
                <w:szCs w:val="16"/>
              </w:rPr>
              <w:t> </w:t>
            </w:r>
            <w:r w:rsidRPr="00A557BF">
              <w:rPr>
                <w:sz w:val="16"/>
                <w:szCs w:val="16"/>
              </w:rPr>
              <w:t>4,9</w:t>
            </w:r>
            <w:r>
              <w:rPr>
                <w:sz w:val="16"/>
                <w:szCs w:val="16"/>
              </w:rPr>
              <w:t> </w:t>
            </w:r>
            <w:r w:rsidRPr="00A557BF">
              <w:rPr>
                <w:sz w:val="16"/>
                <w:szCs w:val="16"/>
              </w:rPr>
              <w:t>%, méně než polská, slovenská a maďarská</w:t>
            </w:r>
          </w:p>
        </w:tc>
        <w:tc>
          <w:tcPr>
            <w:tcW w:w="145" w:type="pct"/>
          </w:tcPr>
          <w:p w:rsidR="00D34225" w:rsidRPr="00A557BF" w:rsidRDefault="00D34225" w:rsidP="008C41F7">
            <w:pPr>
              <w:pStyle w:val="Textpoznpodarou"/>
              <w:jc w:val="both"/>
            </w:pPr>
          </w:p>
        </w:tc>
        <w:tc>
          <w:tcPr>
            <w:tcW w:w="3800" w:type="pct"/>
            <w:gridSpan w:val="3"/>
          </w:tcPr>
          <w:p w:rsidR="00D34225" w:rsidRPr="00A557BF" w:rsidRDefault="00D34225" w:rsidP="008C41F7">
            <w:pPr>
              <w:pStyle w:val="Textpoznpodarou"/>
              <w:jc w:val="both"/>
            </w:pPr>
            <w:r w:rsidRPr="00A557BF">
              <w:t>V kumulaci za posledních pět let, tj. proti „dnu“ roku</w:t>
            </w:r>
            <w:r>
              <w:t xml:space="preserve"> hluboké</w:t>
            </w:r>
            <w:r w:rsidRPr="00A557BF">
              <w:t xml:space="preserve"> recese 2009, narostl HDP v České republice o 4,9 %. Posílil tak zhruba stejně jako v Evropské unii jako celku (+4,8 %). Zatímco v porovnání se srovnatelnými středoevropskými ekonomikami – tedy s Polskem (+16,3 %), Slovenskem (+13,6 %) a Maďarskem (+6,3 %) – byl ekonomický vývoj v ČR v tomto období podprůměrný, a stejně tak v porovnání s největší unijní ekonomikou Německem (+10,1 %), proti jihoevropským zemím na tom byla tuzemská ekonomika nesrovnatelně lépe. Ani jedna z nich – z pásu zemí sahajícího od Portugalska a Španělska, přes Itálii, Chorvatsko, Řecko až po Kypr –</w:t>
            </w:r>
            <w:r>
              <w:t xml:space="preserve"> úrovně HDP roku </w:t>
            </w:r>
            <w:r w:rsidRPr="00A557BF">
              <w:t>2009 ještě nedosáhla.</w:t>
            </w:r>
          </w:p>
          <w:p w:rsidR="00D34225" w:rsidRPr="00A557BF" w:rsidRDefault="00D34225" w:rsidP="008C41F7">
            <w:pPr>
              <w:pStyle w:val="Textpoznpodarou"/>
              <w:jc w:val="both"/>
              <w:rPr>
                <w:sz w:val="18"/>
                <w:szCs w:val="18"/>
              </w:rPr>
            </w:pPr>
          </w:p>
        </w:tc>
      </w:tr>
      <w:tr w:rsidR="00D34225" w:rsidRPr="0000051B" w:rsidTr="00DB5104">
        <w:tblPrEx>
          <w:tblLook w:val="00A0"/>
        </w:tblPrEx>
        <w:tc>
          <w:tcPr>
            <w:tcW w:w="1055" w:type="pct"/>
            <w:gridSpan w:val="2"/>
          </w:tcPr>
          <w:p w:rsidR="00D34225" w:rsidRPr="00A557BF" w:rsidRDefault="00D34225" w:rsidP="008C41F7">
            <w:pPr>
              <w:spacing w:line="240" w:lineRule="auto"/>
              <w:rPr>
                <w:sz w:val="16"/>
                <w:szCs w:val="16"/>
              </w:rPr>
            </w:pPr>
            <w:r w:rsidRPr="00A557BF">
              <w:rPr>
                <w:sz w:val="16"/>
                <w:szCs w:val="16"/>
              </w:rPr>
              <w:t>Od roku 2004 se HDP ČR navýšil o 23,0 %. Z nových členských zemí rostlo pomaleji jen Slovinsko, Maďarsko, Kypr a Chorvatsko</w:t>
            </w:r>
          </w:p>
        </w:tc>
        <w:tc>
          <w:tcPr>
            <w:tcW w:w="145" w:type="pct"/>
          </w:tcPr>
          <w:p w:rsidR="00D34225" w:rsidRPr="00A557BF" w:rsidRDefault="00D34225" w:rsidP="008C41F7">
            <w:pPr>
              <w:pStyle w:val="Textpoznpodarou"/>
              <w:jc w:val="both"/>
            </w:pPr>
          </w:p>
        </w:tc>
        <w:tc>
          <w:tcPr>
            <w:tcW w:w="3800" w:type="pct"/>
            <w:gridSpan w:val="3"/>
          </w:tcPr>
          <w:p w:rsidR="00D34225" w:rsidRPr="00A557BF" w:rsidRDefault="00D34225" w:rsidP="008C41F7">
            <w:pPr>
              <w:pStyle w:val="Textpoznpodarou"/>
              <w:jc w:val="both"/>
            </w:pPr>
            <w:r w:rsidRPr="00A557BF">
              <w:t>Z nových zemí Evropské unie – tedy těch, které do EU vstoupily v roce 2004 a později – se za posledních deset let HDP nejdynamičtěji navýšil v Polsku (+46,3 %) a na Slovensku (+44,9 %). Více než v ČR (+23,0 %) HDP stoupl také v nejméně vyspělých ekonomikách EU, tj. v Bulharsku a v Rumunsku, dále pak v pobaltských republikách a na Maltě. Co do růstu česká ekonomika překonala pouze Slovinsko, Maďarsko, Kypr a Chorvatsko.</w:t>
            </w:r>
          </w:p>
          <w:p w:rsidR="00D34225" w:rsidRPr="00A557BF" w:rsidRDefault="00D34225" w:rsidP="008C41F7">
            <w:pPr>
              <w:pStyle w:val="Textpoznpodarou"/>
              <w:jc w:val="both"/>
              <w:rPr>
                <w:sz w:val="18"/>
                <w:szCs w:val="18"/>
              </w:rPr>
            </w:pPr>
          </w:p>
        </w:tc>
      </w:tr>
      <w:tr w:rsidR="00D34225" w:rsidRPr="00A557BF" w:rsidTr="00DB5104">
        <w:tblPrEx>
          <w:tblLook w:val="00A0"/>
        </w:tblPrEx>
        <w:trPr>
          <w:trHeight w:val="1080"/>
        </w:trPr>
        <w:tc>
          <w:tcPr>
            <w:tcW w:w="1055" w:type="pct"/>
            <w:gridSpan w:val="2"/>
          </w:tcPr>
          <w:p w:rsidR="00D34225" w:rsidRPr="00A557BF" w:rsidRDefault="00D34225" w:rsidP="008C41F7">
            <w:pPr>
              <w:spacing w:line="240" w:lineRule="auto"/>
              <w:rPr>
                <w:sz w:val="16"/>
                <w:szCs w:val="16"/>
              </w:rPr>
            </w:pPr>
            <w:r>
              <w:rPr>
                <w:sz w:val="16"/>
                <w:szCs w:val="16"/>
              </w:rPr>
              <w:t>V posledních šesti letech se poklesu HDP ze zemí EU vyhnulo jen Polsko</w:t>
            </w:r>
            <w:r w:rsidRPr="00A557BF">
              <w:rPr>
                <w:sz w:val="16"/>
                <w:szCs w:val="16"/>
              </w:rPr>
              <w:t xml:space="preserve">, … </w:t>
            </w:r>
          </w:p>
        </w:tc>
        <w:tc>
          <w:tcPr>
            <w:tcW w:w="145" w:type="pct"/>
          </w:tcPr>
          <w:p w:rsidR="00D34225" w:rsidRPr="00A557BF" w:rsidRDefault="00D34225" w:rsidP="008C41F7">
            <w:pPr>
              <w:pStyle w:val="Textpoznpodarou"/>
              <w:jc w:val="both"/>
            </w:pPr>
          </w:p>
        </w:tc>
        <w:tc>
          <w:tcPr>
            <w:tcW w:w="3800" w:type="pct"/>
            <w:gridSpan w:val="3"/>
          </w:tcPr>
          <w:p w:rsidR="00D34225" w:rsidRPr="00A557BF" w:rsidRDefault="00D34225" w:rsidP="008C41F7">
            <w:pPr>
              <w:pStyle w:val="Textpoznpodarou"/>
              <w:jc w:val="both"/>
              <w:rPr>
                <w:spacing w:val="-2"/>
              </w:rPr>
            </w:pPr>
            <w:r w:rsidRPr="00A557BF">
              <w:rPr>
                <w:spacing w:val="-2"/>
              </w:rPr>
              <w:t>Jedinou zemí Evropské unie, která si v roce 2009 neprošla recesí, bylo Polsko. Zatímco v pobaltských zemích se HDP propadal dvoucifernými tempy a ostatní ekonomiky EU si připisovaly poklesy HDP v rozmezí od -8,3 % (Finsko) po -2,0 % (Kypr), polská ekonomika o 2,6 % narostla. Obdobné platilo i pro roky násle</w:t>
            </w:r>
            <w:r w:rsidR="001214CE">
              <w:rPr>
                <w:spacing w:val="-2"/>
              </w:rPr>
              <w:t>dující. Jestliže v roce 2010</w:t>
            </w:r>
            <w:r w:rsidRPr="00A557BF">
              <w:rPr>
                <w:spacing w:val="-2"/>
              </w:rPr>
              <w:t xml:space="preserve"> klesl</w:t>
            </w:r>
            <w:r w:rsidR="001214CE">
              <w:rPr>
                <w:spacing w:val="-2"/>
              </w:rPr>
              <w:t xml:space="preserve"> HDP</w:t>
            </w:r>
            <w:r w:rsidRPr="00A557BF">
              <w:rPr>
                <w:spacing w:val="-2"/>
              </w:rPr>
              <w:t xml:space="preserve"> v pěti zemích, v roce 2011 ve čtyřech a v letech 2012 a 2013 v patnácti, respektive v jedenácti, Polsko svoji výkonnost vždy posílilo.</w:t>
            </w:r>
          </w:p>
          <w:p w:rsidR="00D34225" w:rsidRPr="00A557BF" w:rsidRDefault="00D34225" w:rsidP="008C41F7">
            <w:pPr>
              <w:pStyle w:val="Textpoznpodarou"/>
              <w:jc w:val="both"/>
              <w:rPr>
                <w:sz w:val="18"/>
                <w:szCs w:val="18"/>
              </w:rPr>
            </w:pPr>
          </w:p>
        </w:tc>
      </w:tr>
      <w:tr w:rsidR="00D34225" w:rsidRPr="00A557BF" w:rsidTr="00DB5104">
        <w:tblPrEx>
          <w:tblLook w:val="00A0"/>
        </w:tblPrEx>
        <w:tc>
          <w:tcPr>
            <w:tcW w:w="1055" w:type="pct"/>
            <w:gridSpan w:val="2"/>
          </w:tcPr>
          <w:p w:rsidR="00D34225" w:rsidRPr="00A557BF" w:rsidRDefault="00D34225" w:rsidP="008C41F7">
            <w:pPr>
              <w:spacing w:line="240" w:lineRule="auto"/>
              <w:rPr>
                <w:sz w:val="16"/>
                <w:szCs w:val="16"/>
              </w:rPr>
            </w:pPr>
            <w:r w:rsidRPr="00A557BF">
              <w:rPr>
                <w:sz w:val="16"/>
                <w:szCs w:val="16"/>
              </w:rPr>
              <w:t>…HDP v této zemi posiluje nepřetržitě už devatenáct let (mezinárodně srovnatelné údaje dostupné od roku 1996 včetně)</w:t>
            </w:r>
          </w:p>
        </w:tc>
        <w:tc>
          <w:tcPr>
            <w:tcW w:w="145" w:type="pct"/>
          </w:tcPr>
          <w:p w:rsidR="00D34225" w:rsidRPr="00A557BF" w:rsidRDefault="00D34225" w:rsidP="008C41F7">
            <w:pPr>
              <w:pStyle w:val="Textpoznpodarou"/>
              <w:jc w:val="both"/>
            </w:pPr>
          </w:p>
        </w:tc>
        <w:tc>
          <w:tcPr>
            <w:tcW w:w="3800" w:type="pct"/>
            <w:gridSpan w:val="3"/>
          </w:tcPr>
          <w:p w:rsidR="00D34225" w:rsidRPr="00A557BF" w:rsidRDefault="00D34225" w:rsidP="008C41F7">
            <w:pPr>
              <w:pStyle w:val="Textpoznpodarou"/>
              <w:jc w:val="both"/>
              <w:rPr>
                <w:spacing w:val="-6"/>
              </w:rPr>
            </w:pPr>
            <w:r w:rsidRPr="00A557BF">
              <w:rPr>
                <w:spacing w:val="-6"/>
              </w:rPr>
              <w:t xml:space="preserve">HDP v Polsku se zvyšuje už devatenáct let, tedy od roku 1996 včetně, od kdy jsou mezinárodně srovnatelné údaje za země EU dostupné. V kumulaci narostl o 112,6 %, zhruba o dvojnásobek toho, co si v tomto období připsala česká ekonomika (+53,1 %). To se projevilo i ve větší síle konvergence. Zatímco v roce 1995 dosahoval HDP </w:t>
            </w:r>
            <w:r w:rsidRPr="00AF5F15">
              <w:rPr>
                <w:spacing w:val="-2"/>
              </w:rPr>
              <w:t>na obyvatele v</w:t>
            </w:r>
            <w:r w:rsidR="00AF5F15" w:rsidRPr="00AF5F15">
              <w:rPr>
                <w:spacing w:val="-2"/>
              </w:rPr>
              <w:t> paritě kupní síly v Polsku 42</w:t>
            </w:r>
            <w:r w:rsidRPr="00AF5F15">
              <w:rPr>
                <w:spacing w:val="-2"/>
              </w:rPr>
              <w:t xml:space="preserve"> % </w:t>
            </w:r>
            <w:r w:rsidR="00AF5F15" w:rsidRPr="00AF5F15">
              <w:rPr>
                <w:spacing w:val="-2"/>
              </w:rPr>
              <w:t>průměru EU, v roce 2014 již 68</w:t>
            </w:r>
            <w:r w:rsidRPr="00AF5F15">
              <w:rPr>
                <w:spacing w:val="-2"/>
              </w:rPr>
              <w:t xml:space="preserve"> %. Pro srovnání, více rozvinutá </w:t>
            </w:r>
            <w:r w:rsidR="00AF5F15" w:rsidRPr="00AF5F15">
              <w:rPr>
                <w:spacing w:val="-2"/>
              </w:rPr>
              <w:t>ekonomika ČR se posunula ze 77 % průměru EU na 84</w:t>
            </w:r>
            <w:r w:rsidRPr="00AF5F15">
              <w:rPr>
                <w:spacing w:val="-2"/>
              </w:rPr>
              <w:t xml:space="preserve"> %. Její konvergence nedosahovala ani třetinového tempa.</w:t>
            </w:r>
          </w:p>
        </w:tc>
      </w:tr>
    </w:tbl>
    <w:p w:rsidR="00DB5104" w:rsidRPr="00A557BF" w:rsidRDefault="00DB5104" w:rsidP="00D34225">
      <w:pPr>
        <w:rPr>
          <w:sz w:val="18"/>
          <w:szCs w:val="18"/>
        </w:rPr>
      </w:pPr>
    </w:p>
    <w:tbl>
      <w:tblPr>
        <w:tblW w:w="5000" w:type="pct"/>
        <w:tblLook w:val="04A0"/>
      </w:tblPr>
      <w:tblGrid>
        <w:gridCol w:w="1063"/>
        <w:gridCol w:w="3863"/>
        <w:gridCol w:w="712"/>
        <w:gridCol w:w="2267"/>
        <w:gridCol w:w="1949"/>
      </w:tblGrid>
      <w:tr w:rsidR="00D34225" w:rsidRPr="00A557BF" w:rsidTr="00DB5104">
        <w:tc>
          <w:tcPr>
            <w:tcW w:w="539" w:type="pct"/>
          </w:tcPr>
          <w:p w:rsidR="00D34225" w:rsidRPr="00A557BF" w:rsidRDefault="00D34225" w:rsidP="008C41F7">
            <w:pPr>
              <w:pStyle w:val="Textpoznpodarou"/>
            </w:pPr>
            <w:r w:rsidRPr="00A557BF">
              <w:t>Graf č. 5</w:t>
            </w:r>
          </w:p>
        </w:tc>
        <w:tc>
          <w:tcPr>
            <w:tcW w:w="1960" w:type="pct"/>
          </w:tcPr>
          <w:p w:rsidR="00D34225" w:rsidRPr="00A557BF" w:rsidRDefault="00D34225" w:rsidP="008C41F7">
            <w:pPr>
              <w:pStyle w:val="Textpoznpodarou"/>
            </w:pPr>
            <w:r w:rsidRPr="00A557BF">
              <w:rPr>
                <w:b/>
              </w:rPr>
              <w:t>HDP v jednotlivých zemích EU a v USA v roce 2014</w:t>
            </w:r>
            <w:r w:rsidRPr="00A557BF">
              <w:t xml:space="preserve"> (y/y v %, reálně)</w:t>
            </w:r>
          </w:p>
        </w:tc>
        <w:tc>
          <w:tcPr>
            <w:tcW w:w="361" w:type="pct"/>
          </w:tcPr>
          <w:p w:rsidR="00D34225" w:rsidRPr="00A557BF" w:rsidRDefault="00D34225" w:rsidP="008C41F7">
            <w:pPr>
              <w:pStyle w:val="Textpoznpodarou"/>
            </w:pPr>
            <w:r w:rsidRPr="00A557BF">
              <w:t>Graf č. 6</w:t>
            </w:r>
          </w:p>
        </w:tc>
        <w:tc>
          <w:tcPr>
            <w:tcW w:w="2140" w:type="pct"/>
            <w:gridSpan w:val="2"/>
          </w:tcPr>
          <w:p w:rsidR="00D34225" w:rsidRPr="00A557BF" w:rsidRDefault="00D34225" w:rsidP="008C41F7">
            <w:pPr>
              <w:pStyle w:val="Textpoznpodarou"/>
            </w:pPr>
            <w:r w:rsidRPr="00A557BF">
              <w:rPr>
                <w:b/>
              </w:rPr>
              <w:t>Kumulativní změna HDP v </w:t>
            </w:r>
            <w:r w:rsidR="00DB5104">
              <w:rPr>
                <w:b/>
              </w:rPr>
              <w:t>jednotlivých zemích EU a v USA*</w:t>
            </w:r>
            <w:r w:rsidRPr="00A557BF">
              <w:rPr>
                <w:b/>
              </w:rPr>
              <w:t xml:space="preserve"> </w:t>
            </w:r>
            <w:r w:rsidRPr="00A557BF">
              <w:t>(v %, reálně)</w:t>
            </w:r>
          </w:p>
        </w:tc>
      </w:tr>
      <w:tr w:rsidR="00D34225" w:rsidRPr="00A557BF" w:rsidTr="00DB5104">
        <w:tc>
          <w:tcPr>
            <w:tcW w:w="2499" w:type="pct"/>
            <w:gridSpan w:val="2"/>
          </w:tcPr>
          <w:p w:rsidR="00D34225" w:rsidRPr="00A557BF" w:rsidRDefault="00513C6F" w:rsidP="008C41F7">
            <w:pPr>
              <w:pStyle w:val="Textpoznpodarou"/>
              <w:jc w:val="both"/>
            </w:pPr>
            <w:r w:rsidRPr="00513C6F">
              <w:rPr>
                <w:noProof/>
                <w:sz w:val="18"/>
                <w:szCs w:val="18"/>
              </w:rPr>
              <w:pict>
                <v:shape id="_x0000_i1029" type="#_x0000_t75" style="width:237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">
                  <v:imagedata r:id="rId17" o:title=""/>
                  <o:lock v:ext="edit" aspectratio="f"/>
                </v:shape>
              </w:pict>
            </w:r>
          </w:p>
        </w:tc>
        <w:tc>
          <w:tcPr>
            <w:tcW w:w="2501" w:type="pct"/>
            <w:gridSpan w:val="3"/>
          </w:tcPr>
          <w:p w:rsidR="00D34225" w:rsidRPr="00A557BF" w:rsidRDefault="00513C6F" w:rsidP="008C41F7">
            <w:pPr>
              <w:pStyle w:val="Textpoznpodarou"/>
              <w:jc w:val="both"/>
            </w:pPr>
            <w:r w:rsidRPr="00513C6F">
              <w:rPr>
                <w:noProof/>
                <w:sz w:val="18"/>
                <w:szCs w:val="18"/>
              </w:rPr>
              <w:pict>
                <v:shape id="_x0000_i1030" type="#_x0000_t75" style="width:237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">
                  <v:imagedata r:id="rId18" o:title=""/>
                  <o:lock v:ext="edit" aspectratio="f"/>
                </v:shape>
              </w:pict>
            </w:r>
          </w:p>
        </w:tc>
      </w:tr>
      <w:tr w:rsidR="00D34225" w:rsidRPr="00A557BF" w:rsidTr="00DB5104">
        <w:tc>
          <w:tcPr>
            <w:tcW w:w="4011" w:type="pct"/>
            <w:gridSpan w:val="4"/>
          </w:tcPr>
          <w:p w:rsidR="00D34225" w:rsidRPr="00A557BF" w:rsidRDefault="00CA4232" w:rsidP="00DB5104">
            <w:pPr>
              <w:pStyle w:val="Textpoznpodarou"/>
              <w:rPr>
                <w:noProof/>
                <w:sz w:val="18"/>
                <w:szCs w:val="18"/>
              </w:rPr>
            </w:pPr>
            <w:r>
              <w:rPr>
                <w:noProof/>
                <w:sz w:val="18"/>
                <w:szCs w:val="18"/>
              </w:rPr>
              <w:t>*Pozn.: Za roky 2005</w:t>
            </w:r>
            <w:r w:rsidR="00B65845">
              <w:rPr>
                <w:noProof/>
                <w:sz w:val="18"/>
                <w:szCs w:val="18"/>
              </w:rPr>
              <w:t>-</w:t>
            </w:r>
            <w:r w:rsidR="00D34225" w:rsidRPr="00A557BF">
              <w:rPr>
                <w:noProof/>
                <w:sz w:val="18"/>
                <w:szCs w:val="18"/>
              </w:rPr>
              <w:t>2014 nedostupný údaj za Litvu.</w:t>
            </w:r>
          </w:p>
        </w:tc>
        <w:tc>
          <w:tcPr>
            <w:tcW w:w="989" w:type="pct"/>
          </w:tcPr>
          <w:p w:rsidR="00D34225" w:rsidRPr="00A557BF" w:rsidRDefault="00D34225" w:rsidP="008C41F7">
            <w:pPr>
              <w:pStyle w:val="Textpoznpodarou"/>
              <w:jc w:val="right"/>
              <w:rPr>
                <w:noProof/>
              </w:rPr>
            </w:pPr>
            <w:r w:rsidRPr="00A557BF">
              <w:rPr>
                <w:sz w:val="18"/>
                <w:szCs w:val="18"/>
              </w:rPr>
              <w:t xml:space="preserve">Zdroj: </w:t>
            </w:r>
            <w:proofErr w:type="spellStart"/>
            <w:r w:rsidRPr="00A557BF">
              <w:rPr>
                <w:sz w:val="18"/>
                <w:szCs w:val="18"/>
              </w:rPr>
              <w:t>Eurostat</w:t>
            </w:r>
            <w:proofErr w:type="spellEnd"/>
            <w:r w:rsidRPr="00A557BF">
              <w:rPr>
                <w:sz w:val="18"/>
                <w:szCs w:val="18"/>
              </w:rPr>
              <w:t>, vlastní výpočty</w:t>
            </w:r>
          </w:p>
        </w:tc>
      </w:tr>
    </w:tbl>
    <w:p w:rsidR="00D34225" w:rsidRDefault="00D34225" w:rsidP="00D34225"/>
    <w:p w:rsidR="00D34225" w:rsidRPr="00AD306C" w:rsidRDefault="00D34225" w:rsidP="00435D30">
      <w:pPr>
        <w:pStyle w:val="Nadpis2"/>
        <w:numPr>
          <w:ilvl w:val="1"/>
          <w:numId w:val="3"/>
        </w:numPr>
      </w:pPr>
      <w:bookmarkStart w:id="8" w:name="_Toc426017651"/>
      <w:r>
        <w:t>Výdajová strana hrubého domácího produktu</w:t>
      </w:r>
      <w:bookmarkEnd w:id="8"/>
    </w:p>
    <w:p w:rsidR="00D34225" w:rsidRDefault="00D34225" w:rsidP="00435D30">
      <w:pPr>
        <w:pStyle w:val="Nadpis3"/>
        <w:numPr>
          <w:ilvl w:val="2"/>
          <w:numId w:val="3"/>
        </w:numPr>
        <w:rPr>
          <w:szCs w:val="20"/>
        </w:rPr>
      </w:pPr>
      <w:bookmarkStart w:id="9" w:name="_Toc426017652"/>
      <w:r>
        <w:t>Výdaje na konečnou spotřebu domácností</w:t>
      </w:r>
      <w:bookmarkEnd w:id="9"/>
    </w:p>
    <w:tbl>
      <w:tblPr>
        <w:tblW w:w="5000" w:type="pct"/>
        <w:tblLook w:val="00A0"/>
      </w:tblPr>
      <w:tblGrid>
        <w:gridCol w:w="2079"/>
        <w:gridCol w:w="286"/>
        <w:gridCol w:w="7489"/>
      </w:tblGrid>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Po pěti letech nevalného vývoje stoupla spotřeba domácností o 1,5 %, …</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3078E0">
            <w:pPr>
              <w:pStyle w:val="Textpoznpodarou"/>
              <w:jc w:val="both"/>
              <w:rPr>
                <w:sz w:val="18"/>
                <w:szCs w:val="18"/>
              </w:rPr>
            </w:pPr>
            <w:r w:rsidRPr="00A557BF">
              <w:t xml:space="preserve">Výdaje na konečnou spotřebu domácností, které určují tuzemský HDP téměř z poloviny, stouply v roce 2014 o 1,5 %. Spotřeba tak po pěti letech nevalného vývoje – který byl dán poklesem v </w:t>
            </w:r>
            <w:r w:rsidR="003078E0">
              <w:t>letech</w:t>
            </w:r>
            <w:r w:rsidRPr="00A557BF">
              <w:t xml:space="preserve"> 2009 a 2012 a nízkým nárůstem v letech 2011 a 2013 – sice posílila relativně hodně, v porovnání s roky k</w:t>
            </w:r>
            <w:r w:rsidR="007977D7">
              <w:t>onjunktury české ekonomiky 2004</w:t>
            </w:r>
            <w:r w:rsidR="0041187E">
              <w:t xml:space="preserve"> až </w:t>
            </w:r>
            <w:r w:rsidRPr="00A557BF">
              <w:t>2008, kdy narůstala v průměru o 3,4 % za rok, byl</w:t>
            </w:r>
            <w:r w:rsidR="005B310D">
              <w:t xml:space="preserve"> ale její přírůstek</w:t>
            </w:r>
            <w:r w:rsidRPr="00A557BF">
              <w:t xml:space="preserve"> ani ne poloviční.</w:t>
            </w:r>
          </w:p>
        </w:tc>
      </w:tr>
      <w:tr w:rsidR="00D34225" w:rsidRPr="00A557BF" w:rsidTr="008C41F7">
        <w:trPr>
          <w:trHeight w:val="1080"/>
        </w:trPr>
        <w:tc>
          <w:tcPr>
            <w:tcW w:w="1055" w:type="pct"/>
          </w:tcPr>
          <w:p w:rsidR="00D34225" w:rsidRPr="00A557BF" w:rsidRDefault="00D34225" w:rsidP="008C41F7">
            <w:pPr>
              <w:spacing w:line="240" w:lineRule="auto"/>
              <w:rPr>
                <w:sz w:val="16"/>
                <w:szCs w:val="16"/>
              </w:rPr>
            </w:pPr>
            <w:r w:rsidRPr="00A557BF">
              <w:rPr>
                <w:sz w:val="16"/>
                <w:szCs w:val="16"/>
              </w:rPr>
              <w:lastRenderedPageBreak/>
              <w:t>… a to jak vlivem nárůstu celkových příjmů domácností, tak lepších spotřebitelských nálad</w:t>
            </w:r>
          </w:p>
        </w:tc>
        <w:tc>
          <w:tcPr>
            <w:tcW w:w="145" w:type="pct"/>
          </w:tcPr>
          <w:p w:rsidR="00D34225" w:rsidRPr="00A557BF" w:rsidRDefault="00D34225" w:rsidP="008C41F7">
            <w:pPr>
              <w:pStyle w:val="Textpoznpodarou"/>
              <w:jc w:val="both"/>
            </w:pPr>
          </w:p>
        </w:tc>
        <w:tc>
          <w:tcPr>
            <w:tcW w:w="3800" w:type="pct"/>
          </w:tcPr>
          <w:p w:rsidR="00D34225" w:rsidRPr="00A557BF" w:rsidRDefault="00AD6D14" w:rsidP="008C41F7">
            <w:pPr>
              <w:pStyle w:val="Textpoznpodarou"/>
              <w:jc w:val="both"/>
            </w:pPr>
            <w:r>
              <w:t>Nakolik</w:t>
            </w:r>
            <w:r w:rsidR="00D34225" w:rsidRPr="00A557BF">
              <w:t xml:space="preserve"> jsou domácnosti schopné a ochotné vydávat finanční prostředky na běžné nákupy, tedy jak utrácí za zboží a služby neinvestičního charakteru, je ovlivňováno především jejich celkovými příjmy, ale také aktuálními náladami. V roce 2014 se na rostoucí spotřebě podílely oba faktory. Celkové příjmy domácností narostly, nálady spotřebitelů se zlepšily. </w:t>
            </w:r>
          </w:p>
          <w:p w:rsidR="00D34225" w:rsidRPr="00A557BF" w:rsidRDefault="00D34225" w:rsidP="008C41F7">
            <w:pPr>
              <w:pStyle w:val="Textpoznpodarou"/>
              <w:jc w:val="both"/>
              <w:rPr>
                <w:sz w:val="12"/>
                <w:szCs w:val="12"/>
              </w:rPr>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Hrubý disponibilní důchod domácností narostl v reálném vyjádření v roce 2014 poprvé po třech letech, …</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rPr>
                <w:spacing w:val="-2"/>
              </w:rPr>
            </w:pPr>
            <w:r w:rsidRPr="00A557BF">
              <w:rPr>
                <w:spacing w:val="-2"/>
              </w:rPr>
              <w:t>Hrubý disponibilní důchod domácností, charakterizující celkové příjmy domácností, klesal v letech 2011, 2012 a 2013 – tedy v rocích bezprostředně poznamenaných vleklou recesí – postupně o 1,4 %, 1,1 % a 0,8 % reálně</w:t>
            </w:r>
            <w:r w:rsidRPr="00A557BF">
              <w:rPr>
                <w:rStyle w:val="Znakapoznpodarou"/>
                <w:spacing w:val="-2"/>
              </w:rPr>
              <w:footnoteReference w:id="4"/>
            </w:r>
            <w:r w:rsidRPr="00A557BF">
              <w:rPr>
                <w:spacing w:val="-2"/>
              </w:rPr>
              <w:t xml:space="preserve">. V úhrnu za tyto tři roky se propadl o 3,4 %. </w:t>
            </w:r>
            <w:r w:rsidRPr="00A557BF">
              <w:rPr>
                <w:spacing w:val="-4"/>
              </w:rPr>
              <w:t xml:space="preserve">Rok 2014, kdy se nepříznivý vývoj obrátil a hrubý disponibilní důchod v reálném vyjádření již o 1,7 % narostl, tak </w:t>
            </w:r>
            <w:r w:rsidRPr="00A557BF">
              <w:rPr>
                <w:spacing w:val="-2"/>
              </w:rPr>
              <w:t>domácnosti</w:t>
            </w:r>
            <w:r w:rsidR="00157931">
              <w:rPr>
                <w:spacing w:val="-2"/>
              </w:rPr>
              <w:t xml:space="preserve"> jistě</w:t>
            </w:r>
            <w:r w:rsidRPr="00A557BF">
              <w:rPr>
                <w:spacing w:val="-2"/>
              </w:rPr>
              <w:t xml:space="preserve"> přivítaly.</w:t>
            </w:r>
          </w:p>
          <w:p w:rsidR="00D34225" w:rsidRPr="00A557BF" w:rsidRDefault="00D34225" w:rsidP="008C41F7">
            <w:pPr>
              <w:pStyle w:val="Textpoznpodarou"/>
              <w:jc w:val="both"/>
              <w:rPr>
                <w:sz w:val="14"/>
                <w:szCs w:val="14"/>
              </w:rPr>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…nálady spotřebitelů vystoupaly na úroveň srovnatelnou s počátkem roku 2007</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pPr>
            <w:r w:rsidRPr="00A557BF">
              <w:t>Nálady spotřebitelů, které mají na dynamiku spotřeby taktéž značný vliv, se postupně začaly zlepšovat už v polovině roku 2012. Plyne to z indikátoru důvěry spotřebitelů. Zlepšovaly se dále i v průběhu celého roku 2014, do prosince nálady vystoupaly až na úroveň srovnatelnou s počátkem roku 2007.</w:t>
            </w:r>
          </w:p>
          <w:p w:rsidR="00D34225" w:rsidRPr="00A557BF" w:rsidRDefault="00D34225" w:rsidP="008C41F7">
            <w:pPr>
              <w:pStyle w:val="Textpoznpodarou"/>
              <w:jc w:val="both"/>
              <w:rPr>
                <w:sz w:val="12"/>
                <w:szCs w:val="12"/>
              </w:rPr>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V peněžním vyjádření se hrubý disponibilní důchod domácností zvýšil v roce 2014 o 49,2 mld. korun nominálně. Více domácnosti zinkasovaly na mzdách a platech, …</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rPr>
                <w:spacing w:val="-6"/>
              </w:rPr>
            </w:pPr>
            <w:r w:rsidRPr="00A557BF">
              <w:rPr>
                <w:spacing w:val="-6"/>
              </w:rPr>
              <w:t>V peněžním vyjádření narostl hrubý disponibilní důchod domácností v roce 2014 na 2 259,8 mld. korun nominálně, proti roku předchozímu stoupl o 49,2 mld. korun. Samotné mzdy a platy, hlavní složka hrubého disponibilního důchodu, posílily díky oživení trhu práce o 32,4 mld. korun. Projevila se v nich vyšší zaměstnanost, ale také nárůst průměrných mezd prolínající se téměř všemi odvětvími ekonomiky. Plošné navýšení platů státních zaměstnanců, vzhledem k tomu, že k němu došlo až v listopadu, mělo na růst mezd a platů za rok 2014 vliv spíše jen marginální.</w:t>
            </w:r>
          </w:p>
          <w:p w:rsidR="00D34225" w:rsidRPr="00A557BF" w:rsidRDefault="00D34225" w:rsidP="008C41F7">
            <w:pPr>
              <w:pStyle w:val="Textpoznpodarou"/>
              <w:jc w:val="both"/>
              <w:rPr>
                <w:sz w:val="14"/>
                <w:szCs w:val="14"/>
              </w:rPr>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 zvýšily se ale i zisky malých podnikatelů</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pPr>
            <w:r w:rsidRPr="00A557BF">
              <w:t>Na zvýšení hrubého disponibilního důchodu se pozitivně podílel i nárůst tzv. hrubého provozního přebytku a smíšeného důchodu (+29,6 mld. korun), do kterého spadají především zisky malých podnikatelů. Zbývající dvě složky hrubého disponibilního důchodu se ovšem zhoršily. Saldo přerozdělení s ostatními institucionálními sektory (bez zahrnutí sociálních příspěvků zaměstnavatelů) se zmenšilo o 2,8 mld. korun, saldo příjmů a výdajů z vlastnictví – především v důsledku poklesu rozdělovaných důchodů společností a úrokových příjmů – bylo nižší dokonce o 10,0 mld. korun.</w:t>
            </w:r>
          </w:p>
          <w:p w:rsidR="00D34225" w:rsidRPr="00A557BF" w:rsidRDefault="00D34225" w:rsidP="008C41F7">
            <w:pPr>
              <w:pStyle w:val="Textpoznpodarou"/>
              <w:jc w:val="both"/>
              <w:rPr>
                <w:sz w:val="14"/>
                <w:szCs w:val="14"/>
              </w:rPr>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Vyšší výdaje zejména za předměty dlouhodobé spotřeby</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rPr>
                <w:spacing w:val="-2"/>
              </w:rPr>
            </w:pPr>
            <w:r w:rsidRPr="00A557BF">
              <w:rPr>
                <w:spacing w:val="-2"/>
              </w:rPr>
              <w:t>Ze struktury spotřeby plyne, že domácnosti v roce 2014 využily vyšších příjmů v reálném vyjádření zejména na posílení nákupů předmětů dlouhodobé spotřeby (+11,5 %), tedy například automobilů (jejich nákupy stouply o 13,8 %). Výdaje na předměty střednědobé a krátkodobé spotřeby narostly o 3,4 %, respektive o 1,1 %, výdaje za služby se mírně snížily (-0,3 %</w:t>
            </w:r>
            <w:r w:rsidRPr="00A557BF">
              <w:rPr>
                <w:spacing w:val="-2"/>
                <w:lang w:val="en-US"/>
              </w:rPr>
              <w:t>).</w:t>
            </w:r>
          </w:p>
        </w:tc>
      </w:tr>
    </w:tbl>
    <w:p w:rsidR="00D34225" w:rsidRPr="00A557BF" w:rsidRDefault="00D34225" w:rsidP="00D34225">
      <w:pPr>
        <w:rPr>
          <w:sz w:val="14"/>
          <w:szCs w:val="14"/>
        </w:rPr>
      </w:pPr>
    </w:p>
    <w:tbl>
      <w:tblPr>
        <w:tblW w:w="5000" w:type="pct"/>
        <w:tblLook w:val="04A0"/>
      </w:tblPr>
      <w:tblGrid>
        <w:gridCol w:w="703"/>
        <w:gridCol w:w="4231"/>
        <w:gridCol w:w="612"/>
        <w:gridCol w:w="522"/>
        <w:gridCol w:w="1278"/>
        <w:gridCol w:w="994"/>
        <w:gridCol w:w="1514"/>
      </w:tblGrid>
      <w:tr w:rsidR="00D34225" w:rsidRPr="00A557BF" w:rsidTr="008C41F7">
        <w:tc>
          <w:tcPr>
            <w:tcW w:w="355" w:type="pct"/>
          </w:tcPr>
          <w:p w:rsidR="00D34225" w:rsidRPr="00A557BF" w:rsidRDefault="00D34225" w:rsidP="008C41F7">
            <w:pPr>
              <w:pStyle w:val="Textpoznpodarou"/>
            </w:pPr>
            <w:r w:rsidRPr="00A557BF">
              <w:t>Graf č. 7</w:t>
            </w:r>
          </w:p>
        </w:tc>
        <w:tc>
          <w:tcPr>
            <w:tcW w:w="2144" w:type="pct"/>
          </w:tcPr>
          <w:p w:rsidR="00D34225" w:rsidRPr="00A557BF" w:rsidRDefault="00D34225" w:rsidP="008C41F7">
            <w:pPr>
              <w:pStyle w:val="Textpoznpodarou"/>
            </w:pPr>
            <w:r w:rsidRPr="00A557BF">
              <w:rPr>
                <w:b/>
              </w:rPr>
              <w:t>Hrubý disponibilní důchod domácností, výdaje na konečnou spotřebu domácností</w:t>
            </w:r>
            <w:r w:rsidRPr="00A557BF">
              <w:t xml:space="preserve"> (y/y v %, nominálně, levá osa)</w:t>
            </w:r>
            <w:r w:rsidRPr="00A557BF">
              <w:rPr>
                <w:b/>
              </w:rPr>
              <w:t>, indikátor důvěry spotřebitelů</w:t>
            </w:r>
            <w:r w:rsidRPr="00A557BF">
              <w:t xml:space="preserve"> (2005=100, pravá osa)</w:t>
            </w:r>
          </w:p>
        </w:tc>
        <w:tc>
          <w:tcPr>
            <w:tcW w:w="311" w:type="pct"/>
          </w:tcPr>
          <w:p w:rsidR="00D34225" w:rsidRPr="00A557BF" w:rsidRDefault="00D34225" w:rsidP="008C41F7">
            <w:pPr>
              <w:pStyle w:val="Textpoznpodarou"/>
            </w:pPr>
            <w:r w:rsidRPr="00A557BF">
              <w:t>Graf č. 8</w:t>
            </w:r>
          </w:p>
        </w:tc>
        <w:tc>
          <w:tcPr>
            <w:tcW w:w="2189" w:type="pct"/>
            <w:gridSpan w:val="4"/>
          </w:tcPr>
          <w:p w:rsidR="00D34225" w:rsidRPr="00A557BF" w:rsidRDefault="00D34225" w:rsidP="008C41F7">
            <w:pPr>
              <w:pStyle w:val="Textpoznpodarou"/>
            </w:pPr>
            <w:r w:rsidRPr="00A557BF">
              <w:rPr>
                <w:b/>
              </w:rPr>
              <w:t>Hrubý disponibilní důchod domácností, výdaje na konečnou spotřebu domácností</w:t>
            </w:r>
            <w:r w:rsidRPr="00A557BF">
              <w:t xml:space="preserve"> (y/y v %, reálně*, levá osa)</w:t>
            </w:r>
            <w:r w:rsidRPr="00A557BF">
              <w:rPr>
                <w:b/>
              </w:rPr>
              <w:t>, indikátor důvěry spotřebitelů</w:t>
            </w:r>
            <w:r w:rsidRPr="00A557BF">
              <w:t xml:space="preserve"> (2005=100, pravá osa)</w:t>
            </w:r>
          </w:p>
        </w:tc>
      </w:tr>
      <w:tr w:rsidR="00D34225" w:rsidRPr="001F1756" w:rsidTr="008C41F7">
        <w:tc>
          <w:tcPr>
            <w:tcW w:w="2499" w:type="pct"/>
            <w:gridSpan w:val="2"/>
          </w:tcPr>
          <w:p w:rsidR="00D34225" w:rsidRPr="001F1756" w:rsidRDefault="002A2083" w:rsidP="008C41F7">
            <w:pPr>
              <w:pStyle w:val="Textpoznpodarou"/>
              <w:jc w:val="both"/>
              <w:rPr>
                <w:color w:val="000000" w:themeColor="text1"/>
              </w:rPr>
            </w:pPr>
            <w:r w:rsidRPr="00513C6F">
              <w:rPr>
                <w:noProof/>
                <w:color w:val="000000" w:themeColor="text1"/>
              </w:rPr>
              <w:pict>
                <v:shape id="_x0000_i1031" type="#_x0000_t75" style="width:237pt;height:186pt;visibility:visible;mso-wrap-style:square">
                  <v:imagedata r:id="rId19" o:title=""/>
                </v:shape>
              </w:pict>
            </w:r>
          </w:p>
        </w:tc>
        <w:tc>
          <w:tcPr>
            <w:tcW w:w="2501" w:type="pct"/>
            <w:gridSpan w:val="5"/>
          </w:tcPr>
          <w:p w:rsidR="00D34225" w:rsidRPr="001F1756" w:rsidRDefault="002A2083" w:rsidP="008C41F7">
            <w:pPr>
              <w:pStyle w:val="Textpoznpodarou"/>
              <w:jc w:val="both"/>
              <w:rPr>
                <w:color w:val="000000" w:themeColor="text1"/>
              </w:rPr>
            </w:pPr>
            <w:r w:rsidRPr="00513C6F">
              <w:rPr>
                <w:noProof/>
                <w:color w:val="000000" w:themeColor="text1"/>
              </w:rPr>
              <w:pict>
                <v:shape id="_x0000_i1032" type="#_x0000_t75" style="width:237pt;height:186pt;visibility:visible;mso-wrap-style:square">
                  <v:imagedata r:id="rId20" o:title=""/>
                </v:shape>
              </w:pict>
            </w:r>
          </w:p>
        </w:tc>
      </w:tr>
      <w:tr w:rsidR="00D34225" w:rsidRPr="001F1756" w:rsidTr="008C41F7">
        <w:tc>
          <w:tcPr>
            <w:tcW w:w="4230" w:type="pct"/>
            <w:gridSpan w:val="6"/>
          </w:tcPr>
          <w:p w:rsidR="00D34225" w:rsidRPr="00A557BF" w:rsidRDefault="00D34225" w:rsidP="008C41F7">
            <w:pPr>
              <w:pStyle w:val="Textpoznpodarou"/>
              <w:rPr>
                <w:noProof/>
                <w:sz w:val="18"/>
                <w:szCs w:val="18"/>
              </w:rPr>
            </w:pPr>
            <w:r w:rsidRPr="00A557BF">
              <w:rPr>
                <w:noProof/>
                <w:sz w:val="18"/>
                <w:szCs w:val="18"/>
              </w:rPr>
              <w:t>*Pozn.: Hrubý disponibilní důchod domácností do reálného vyjádření převeden s využitím deflátoru výdajů na konečnou spotřebu domácností.</w:t>
            </w:r>
          </w:p>
        </w:tc>
        <w:tc>
          <w:tcPr>
            <w:tcW w:w="770" w:type="pct"/>
          </w:tcPr>
          <w:p w:rsidR="00D34225" w:rsidRPr="00A557BF" w:rsidRDefault="00D34225" w:rsidP="008C41F7">
            <w:pPr>
              <w:pStyle w:val="Textpoznpodarou"/>
              <w:jc w:val="right"/>
              <w:rPr>
                <w:noProof/>
              </w:rPr>
            </w:pPr>
            <w:r w:rsidRPr="00A557BF">
              <w:rPr>
                <w:sz w:val="18"/>
                <w:szCs w:val="18"/>
              </w:rPr>
              <w:t>Zdroj: ČSÚ, vlastní výpočty</w:t>
            </w:r>
          </w:p>
        </w:tc>
      </w:tr>
      <w:tr w:rsidR="00D34225" w:rsidRPr="001F1756" w:rsidTr="008C41F7">
        <w:tc>
          <w:tcPr>
            <w:tcW w:w="355" w:type="pct"/>
          </w:tcPr>
          <w:p w:rsidR="00D34225" w:rsidRPr="00A557BF" w:rsidRDefault="00D34225" w:rsidP="008C41F7">
            <w:pPr>
              <w:pStyle w:val="Textpoznpodarou"/>
            </w:pPr>
            <w:r w:rsidRPr="00A557BF">
              <w:lastRenderedPageBreak/>
              <w:t>Graf č. 9</w:t>
            </w:r>
          </w:p>
        </w:tc>
        <w:tc>
          <w:tcPr>
            <w:tcW w:w="2144" w:type="pct"/>
          </w:tcPr>
          <w:p w:rsidR="00F73C9E" w:rsidRDefault="00D34225" w:rsidP="008C41F7">
            <w:pPr>
              <w:pStyle w:val="Textpoznpodarou"/>
            </w:pPr>
            <w:r w:rsidRPr="00A557BF">
              <w:rPr>
                <w:b/>
              </w:rPr>
              <w:t>Struktura hrubého disponibilního důchodu domácností</w:t>
            </w:r>
          </w:p>
          <w:p w:rsidR="00D34225" w:rsidRPr="00A557BF" w:rsidRDefault="00D34225" w:rsidP="008C41F7">
            <w:pPr>
              <w:pStyle w:val="Textpoznpodarou"/>
            </w:pPr>
            <w:r w:rsidRPr="00A557BF">
              <w:t>(v mld. korun, nominálně)</w:t>
            </w:r>
          </w:p>
        </w:tc>
        <w:tc>
          <w:tcPr>
            <w:tcW w:w="576" w:type="pct"/>
            <w:gridSpan w:val="2"/>
          </w:tcPr>
          <w:p w:rsidR="00D34225" w:rsidRPr="00A557BF" w:rsidRDefault="00D34225" w:rsidP="008C41F7">
            <w:pPr>
              <w:pStyle w:val="Textpoznpodarou"/>
            </w:pPr>
            <w:r w:rsidRPr="00A557BF">
              <w:t>Graf č. 10</w:t>
            </w:r>
          </w:p>
        </w:tc>
        <w:tc>
          <w:tcPr>
            <w:tcW w:w="1924" w:type="pct"/>
            <w:gridSpan w:val="3"/>
          </w:tcPr>
          <w:p w:rsidR="00D34225" w:rsidRPr="00A557BF" w:rsidRDefault="00D34225" w:rsidP="008C41F7">
            <w:pPr>
              <w:pStyle w:val="Textpoznpodarou"/>
            </w:pPr>
            <w:r w:rsidRPr="00A557BF">
              <w:rPr>
                <w:b/>
              </w:rPr>
              <w:t>Příspěvky ke změně hrubého disponibilního důchodu domácností</w:t>
            </w:r>
            <w:r w:rsidRPr="00A557BF">
              <w:t xml:space="preserve"> (y/y v </w:t>
            </w:r>
            <w:proofErr w:type="spellStart"/>
            <w:r w:rsidRPr="00A557BF">
              <w:t>pb</w:t>
            </w:r>
            <w:proofErr w:type="spellEnd"/>
            <w:r w:rsidRPr="00A557BF">
              <w:t>., nominálně)</w:t>
            </w:r>
          </w:p>
        </w:tc>
      </w:tr>
      <w:tr w:rsidR="00D34225" w:rsidRPr="001F1756" w:rsidTr="008C41F7">
        <w:tc>
          <w:tcPr>
            <w:tcW w:w="2499" w:type="pct"/>
            <w:gridSpan w:val="2"/>
          </w:tcPr>
          <w:p w:rsidR="00D34225" w:rsidRPr="001F1756" w:rsidRDefault="002A2083" w:rsidP="008C41F7">
            <w:pPr>
              <w:pStyle w:val="Textpoznpodarou"/>
              <w:jc w:val="both"/>
              <w:rPr>
                <w:color w:val="000000" w:themeColor="text1"/>
              </w:rPr>
            </w:pPr>
            <w:r w:rsidRPr="00513C6F">
              <w:rPr>
                <w:noProof/>
                <w:color w:val="000000" w:themeColor="text1"/>
              </w:rPr>
              <w:pict>
                <v:shape id="_x0000_i1033" type="#_x0000_t75" style="width:237.75pt;height:186pt;visibility:visible;mso-wrap-style:square">
                  <v:imagedata r:id="rId21" o:title=""/>
                </v:shape>
              </w:pict>
            </w:r>
          </w:p>
        </w:tc>
        <w:tc>
          <w:tcPr>
            <w:tcW w:w="2501" w:type="pct"/>
            <w:gridSpan w:val="5"/>
          </w:tcPr>
          <w:p w:rsidR="00D34225" w:rsidRPr="001F1756" w:rsidRDefault="002A2083" w:rsidP="008C41F7">
            <w:pPr>
              <w:pStyle w:val="Textpoznpodarou"/>
              <w:jc w:val="both"/>
              <w:rPr>
                <w:color w:val="000000" w:themeColor="text1"/>
              </w:rPr>
            </w:pPr>
            <w:r w:rsidRPr="00513C6F">
              <w:rPr>
                <w:noProof/>
                <w:color w:val="000000" w:themeColor="text1"/>
              </w:rPr>
              <w:pict>
                <v:shape id="obrázek 7" o:spid="_x0000_i1034" type="#_x0000_t75" style="width:237pt;height:186pt;visibility:visible;mso-wrap-style:square">
                  <v:imagedata r:id="rId22" o:title=""/>
                </v:shape>
              </w:pict>
            </w:r>
          </w:p>
        </w:tc>
      </w:tr>
      <w:tr w:rsidR="00D34225" w:rsidRPr="00A557BF" w:rsidTr="008C41F7">
        <w:tc>
          <w:tcPr>
            <w:tcW w:w="3725" w:type="pct"/>
            <w:gridSpan w:val="5"/>
          </w:tcPr>
          <w:p w:rsidR="00D34225" w:rsidRPr="00A557BF" w:rsidRDefault="00D34225" w:rsidP="008C41F7">
            <w:pPr>
              <w:pStyle w:val="Textpoznpodarou"/>
              <w:rPr>
                <w:noProof/>
                <w:sz w:val="18"/>
                <w:szCs w:val="18"/>
              </w:rPr>
            </w:pPr>
          </w:p>
        </w:tc>
        <w:tc>
          <w:tcPr>
            <w:tcW w:w="1275" w:type="pct"/>
            <w:gridSpan w:val="2"/>
          </w:tcPr>
          <w:p w:rsidR="00D34225" w:rsidRPr="00A557BF" w:rsidRDefault="00D34225" w:rsidP="008C41F7">
            <w:pPr>
              <w:pStyle w:val="Textpoznpodarou"/>
              <w:jc w:val="right"/>
              <w:rPr>
                <w:noProof/>
              </w:rPr>
            </w:pPr>
            <w:r w:rsidRPr="00A557BF">
              <w:rPr>
                <w:sz w:val="18"/>
                <w:szCs w:val="18"/>
              </w:rPr>
              <w:t>Zdroj: ČSÚ, vlastní výpočty</w:t>
            </w:r>
          </w:p>
        </w:tc>
      </w:tr>
    </w:tbl>
    <w:p w:rsidR="00D34225" w:rsidRPr="00A557BF" w:rsidRDefault="00D34225" w:rsidP="00D34225">
      <w:pPr>
        <w:rPr>
          <w:szCs w:val="20"/>
        </w:rPr>
      </w:pPr>
    </w:p>
    <w:tbl>
      <w:tblPr>
        <w:tblW w:w="5000" w:type="pct"/>
        <w:tblLook w:val="00A0"/>
      </w:tblPr>
      <w:tblGrid>
        <w:gridCol w:w="2079"/>
        <w:gridCol w:w="286"/>
        <w:gridCol w:w="7489"/>
      </w:tblGrid>
      <w:tr w:rsidR="00D34225" w:rsidRPr="00A557BF" w:rsidTr="008C41F7">
        <w:tc>
          <w:tcPr>
            <w:tcW w:w="1055" w:type="pct"/>
          </w:tcPr>
          <w:p w:rsidR="00D34225" w:rsidRPr="00A557BF" w:rsidRDefault="00D34225" w:rsidP="00FE694F">
            <w:pPr>
              <w:spacing w:line="240" w:lineRule="auto"/>
              <w:rPr>
                <w:sz w:val="16"/>
                <w:szCs w:val="16"/>
              </w:rPr>
            </w:pPr>
            <w:r w:rsidRPr="00A557BF">
              <w:rPr>
                <w:sz w:val="16"/>
                <w:szCs w:val="16"/>
              </w:rPr>
              <w:t>Jestliže v roce 2012 výdaje na konečnou spotřebu domácností klesly hned ve třinácti zemích EU</w:t>
            </w:r>
            <w:r w:rsidR="00FE694F">
              <w:rPr>
                <w:sz w:val="16"/>
                <w:szCs w:val="16"/>
              </w:rPr>
              <w:t xml:space="preserve"> a v roce 2013 ve dvanácti</w:t>
            </w:r>
            <w:r w:rsidRPr="00A557BF">
              <w:rPr>
                <w:sz w:val="16"/>
                <w:szCs w:val="16"/>
              </w:rPr>
              <w:t xml:space="preserve">, v roce 2014 už pouze </w:t>
            </w:r>
            <w:r w:rsidR="00FE694F">
              <w:rPr>
                <w:sz w:val="16"/>
                <w:szCs w:val="16"/>
              </w:rPr>
              <w:t>v jedné</w:t>
            </w:r>
            <w:r w:rsidRPr="00A557BF">
              <w:rPr>
                <w:sz w:val="16"/>
                <w:szCs w:val="16"/>
              </w:rPr>
              <w:t>, …</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pPr>
            <w:r w:rsidRPr="00A557BF">
              <w:t xml:space="preserve">Nárůst výdajů na konečnou spotřebu domácností v ČR v roce 2014 o 1,5 %, který byl umožněn opětovně rostoucími finančními zdroji a zlepšenými náladami, v rámci ostatních zemí Evropské unie nijak nevybočoval. Větší nárůst spotřeby si </w:t>
            </w:r>
            <w:r w:rsidR="00FE694F">
              <w:t>připsaly domácnosti ve čtrnácti</w:t>
            </w:r>
            <w:r w:rsidRPr="00A557BF">
              <w:t xml:space="preserve"> zemích, menší v deseti. Fakt, že</w:t>
            </w:r>
            <w:r w:rsidR="00660206">
              <w:t xml:space="preserve"> se v roce 2014 </w:t>
            </w:r>
            <w:r w:rsidRPr="00A557BF">
              <w:t>snížila</w:t>
            </w:r>
            <w:r w:rsidR="00660206">
              <w:t xml:space="preserve"> spotřeba</w:t>
            </w:r>
            <w:r w:rsidRPr="00A557BF">
              <w:t xml:space="preserve"> již jen </w:t>
            </w:r>
            <w:r w:rsidR="00FE694F">
              <w:t>v jedné unijní ekonomice</w:t>
            </w:r>
            <w:r w:rsidRPr="00A557BF">
              <w:t xml:space="preserve"> (Chorvatsko -0,7 %), když</w:t>
            </w:r>
            <w:r w:rsidR="00FE694F">
              <w:t> </w:t>
            </w:r>
            <w:r w:rsidRPr="00A557BF">
              <w:t>v roce 2012 klesala ve třinácti</w:t>
            </w:r>
            <w:r w:rsidR="003C383F">
              <w:t xml:space="preserve"> a v roce 2013</w:t>
            </w:r>
            <w:r w:rsidR="00FE694F">
              <w:t xml:space="preserve"> ve dvanácti</w:t>
            </w:r>
            <w:r w:rsidRPr="00A557BF">
              <w:t>, lze označit za zlepšení rapidní. Indikuje nejen to, že příjmová situace domácností napříč Evropskou unií se zlepšila, ale také to, že jejich očekávání – co se týče budoucího ekonomického vývoje a s ním spjaté situace na trhu práce –</w:t>
            </w:r>
            <w:r>
              <w:t xml:space="preserve"> měla</w:t>
            </w:r>
            <w:r w:rsidRPr="00A557BF">
              <w:t xml:space="preserve"> spíše pozitivní charakter.</w:t>
            </w:r>
          </w:p>
          <w:p w:rsidR="00D34225" w:rsidRPr="00A557BF" w:rsidRDefault="00D34225" w:rsidP="008C41F7">
            <w:pPr>
              <w:pStyle w:val="Textpoznpodarou"/>
              <w:jc w:val="both"/>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…ve čtyřech největších ekonomikách EU se dynamika spotřeby domácností zlepšila</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rPr>
                <w:spacing w:val="-4"/>
              </w:rPr>
            </w:pPr>
            <w:r w:rsidRPr="00A557BF">
              <w:rPr>
                <w:spacing w:val="-4"/>
              </w:rPr>
              <w:t>Ze čtyř největších ekonomik EU podle HDP narostla spotřeba domácností v roce 2014 více než v tuzemsku jen ve Velké Británii (+2,6 %). Německé (+1,1 %), francouzské (+0,6 %) a italské domácnosti (+0,3 %) byly sice opatrnější, na druhou stranu v porovnání s rokem 2013 – kdy se spotřeba v těchto zemích zvýšila jen o 0,8 % a 0,4 % a v Itálii se druhým rokem výrazně propadala (-3,9 % v roce 2012, -2,9 % v roce 2013) – byla dynam</w:t>
            </w:r>
            <w:r w:rsidR="00BF6C56">
              <w:rPr>
                <w:spacing w:val="-4"/>
              </w:rPr>
              <w:t>ika jejich spotřebních vydání</w:t>
            </w:r>
            <w:r w:rsidR="001A250D">
              <w:rPr>
                <w:spacing w:val="-4"/>
              </w:rPr>
              <w:t xml:space="preserve"> u</w:t>
            </w:r>
            <w:r w:rsidR="001E0533">
              <w:rPr>
                <w:spacing w:val="-4"/>
              </w:rPr>
              <w:t>ž</w:t>
            </w:r>
            <w:r w:rsidRPr="00A557BF">
              <w:rPr>
                <w:spacing w:val="-4"/>
              </w:rPr>
              <w:t xml:space="preserve"> příznivější.</w:t>
            </w:r>
          </w:p>
          <w:p w:rsidR="00D34225" w:rsidRPr="00A557BF" w:rsidRDefault="00D34225" w:rsidP="008C41F7">
            <w:pPr>
              <w:pStyle w:val="Textpoznpodarou"/>
              <w:jc w:val="both"/>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Ekonomika ČR je na spotřebě domácností závislá méně, než je běžné v jiných unijních zemích</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rPr>
                <w:sz w:val="16"/>
                <w:szCs w:val="16"/>
              </w:rPr>
            </w:pPr>
            <w:r w:rsidRPr="00A557BF">
              <w:t>Podíl výdajů na konečnou spotřebu domácností na HDP v běžných cenách se v ČR dlouhodobě pohybuje mírně pod hranicí 50 %. V roce 2014 dosáhl 47,9 %, v rámci unijních ekonomik jednoznačně podprůměrné relace. Ukazuje to na fakt, že přestože tuzemská ekonomika je na spotřebě domácností značně závislá, v porovnání s většinou zemí EU mnohem méně. Více spoléhá na investice, což se jí může vracet v budoucnu v podobě vyšší produkční kapacity a konkurenceschopnosti produkce, ale i na zahraniční obchod.</w:t>
            </w:r>
          </w:p>
        </w:tc>
      </w:tr>
    </w:tbl>
    <w:p w:rsidR="00D34225" w:rsidRPr="00A47B64" w:rsidRDefault="00D34225" w:rsidP="00D34225"/>
    <w:p w:rsidR="00D34225" w:rsidRDefault="00D34225" w:rsidP="00435D30">
      <w:pPr>
        <w:pStyle w:val="Nadpis3"/>
        <w:numPr>
          <w:ilvl w:val="2"/>
          <w:numId w:val="3"/>
        </w:numPr>
        <w:rPr>
          <w:szCs w:val="20"/>
        </w:rPr>
      </w:pPr>
      <w:bookmarkStart w:id="10" w:name="_Toc426017653"/>
      <w:r>
        <w:t>Výdaje na konečnou spotřebu vládních institucí</w:t>
      </w:r>
      <w:bookmarkEnd w:id="10"/>
    </w:p>
    <w:tbl>
      <w:tblPr>
        <w:tblW w:w="5000" w:type="pct"/>
        <w:tblLook w:val="00A0"/>
      </w:tblPr>
      <w:tblGrid>
        <w:gridCol w:w="2079"/>
        <w:gridCol w:w="286"/>
        <w:gridCol w:w="7489"/>
      </w:tblGrid>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Odklon od snahy rychle zkonsolidovat veřejné finance se projevoval v pokračujícím růstu výdajů na konečnou spotřebu vládních institucí</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rPr>
                <w:spacing w:val="-4"/>
              </w:rPr>
            </w:pPr>
            <w:r w:rsidRPr="00A557BF">
              <w:rPr>
                <w:spacing w:val="-4"/>
              </w:rPr>
              <w:t>Přírůstek výdajů na konečnou spotřebu vládních institucí, který se zmenšil v souvislosti se započatou konsolidací veřejných financí z +3,0 % v roce 2009 na pouhá +0,4 % v roce 2010, se v letech 2011 a 2012 transformoval dokonce do poklesů. Zatímco v roce 2011 se výdaje vládních institucí snížily o 3,0 %, v roce 2012 o další 1,8 %. Teprve až ústup od prováděných restrikcí, jehož kořeny sahají do 1. čtvrtletí 2013, se projevil v příznivější dynamice výdajů. V úhrnu za celý rok 2013 spotřební vydání vládních institu</w:t>
            </w:r>
            <w:r w:rsidR="002E1C6A">
              <w:rPr>
                <w:spacing w:val="-4"/>
              </w:rPr>
              <w:t>cí poprvé po dvou letech stoupla, zvýšila</w:t>
            </w:r>
            <w:r w:rsidRPr="00A557BF">
              <w:rPr>
                <w:spacing w:val="-4"/>
              </w:rPr>
              <w:t xml:space="preserve"> se o 2,3 %, nastolený trend přitom nebyl př</w:t>
            </w:r>
            <w:r w:rsidR="002E1C6A">
              <w:rPr>
                <w:spacing w:val="-4"/>
              </w:rPr>
              <w:t>erušen ani v roce 2014. Navýšila</w:t>
            </w:r>
            <w:r w:rsidRPr="00A557BF">
              <w:rPr>
                <w:spacing w:val="-4"/>
              </w:rPr>
              <w:t xml:space="preserve"> se o 1,8 %.</w:t>
            </w:r>
          </w:p>
          <w:p w:rsidR="00D34225" w:rsidRPr="00A557BF" w:rsidRDefault="00D34225" w:rsidP="008C41F7">
            <w:pPr>
              <w:pStyle w:val="Textpoznpodarou"/>
              <w:jc w:val="both"/>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Výše přírůstku spotřeby vládních institucí v posledních dvou letech v kontextu dekády vysoce nadprůměrná</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pPr>
            <w:r w:rsidRPr="00A557BF">
              <w:t xml:space="preserve">Nárůst výdajů na konečnou spotřebu vládních institucí v letech 2013 a 2014 byl v kontextu celé dekády, tj. let 2005-2014 (v průměru +0,5 % za rok), vysoce nadprůměrný. Vyšší přírůstek spotřeby vládních institucí než v posledních dvou letech byl patrný jen v jednom jediném roce, a to v roce hluboké recese 2009 </w:t>
            </w:r>
            <w:r w:rsidRPr="00A557BF">
              <w:lastRenderedPageBreak/>
              <w:t>(+3,0 %). Tehdy se vládní instituce snažily skrze uvolněnou fiskální politiku, tedy i skrze nárůst výdajů na konečnou spotřebu, tlumit dopady negativních vlivů přicházejících do ČR ze zahraničí.</w:t>
            </w:r>
          </w:p>
          <w:p w:rsidR="00D34225" w:rsidRPr="00A557BF" w:rsidRDefault="00D34225" w:rsidP="008C41F7">
            <w:pPr>
              <w:pStyle w:val="Textpoznpodarou"/>
              <w:jc w:val="both"/>
              <w:rPr>
                <w:sz w:val="16"/>
                <w:szCs w:val="16"/>
              </w:rPr>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lastRenderedPageBreak/>
              <w:t>Nárůst výdajů na konečnou spotřebu vládních institucí byl v letech 2013 a 2014 umožněn vyššími finančními zdroji</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pPr>
            <w:r w:rsidRPr="00A557BF">
              <w:t>Zatímco v roce 2009 docházelo k nárůstu výdajů na konečnou spotřebu vládních institucí v podmínkách ojedinělého a především velmi výrazného propadu finančních zdrojů (hrubý disponibilní důchod vládních institucí se nominálně snížil o 11,8 %) a tedy i za cenu značného nárůstu potřeby financování sektoru vládních institucí (deficit se prohloubil z 84,6 mld. korun v roce 2008 na 216,2 mld. korun v roce 2009), v letech 2013-2014 byl nárůst spotřeby umožněn vyššími finančními zdroji. Hrubý disponibilní důchod vládních institucí narostl o 3,4 %, respektive 1,2 % nominálně, přitom deficit se zmenšil z 157,9 mld. korun v roce 2012 na 47,2 mld. a 84,6 mld. korun v letech následujících.</w:t>
            </w:r>
          </w:p>
          <w:p w:rsidR="00D34225" w:rsidRPr="00A557BF" w:rsidRDefault="00D34225" w:rsidP="008C41F7">
            <w:pPr>
              <w:pStyle w:val="Textpoznpodarou"/>
              <w:jc w:val="both"/>
              <w:rPr>
                <w:sz w:val="14"/>
                <w:szCs w:val="14"/>
              </w:rPr>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 xml:space="preserve">Jak ukazují údaje v nominálním vyjádření, v úhrnu za roky 2013 a 2014 „povyskočily“ jak výdaje vládních institucí na kolektivní spotřebu, tak výdaje na spotřebu individuální </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pPr>
            <w:r w:rsidRPr="00A557BF">
              <w:t>V období konsolidace veřejných financí, tedy v letech 2010 až 2012, byly redukovány jen výdaje na kolektivní spotřebu (v úhrnu -8,1 % nominálně), tj. prostředky, které vládní instituce vynakládají na správu, obranu nebo například na bezpečnost. Výdajů na individuální spotřebu – které souvisejí například se zdravotnictvím nebo školstvím (užitek z nich mají konkrétní domácnosti) – se „škrty“ nedotkly (v úhrnu +0,9 %). Tyto trendy v letech 2013 a 2014 již dále nepokračovaly, neboť stouply jak výdaje vládních institucí na kolektivní spotřebu (v úhrnu +5,7 %), tak na spotřebu individuální (celkem +5,9 %).</w:t>
            </w:r>
          </w:p>
          <w:p w:rsidR="00D34225" w:rsidRPr="00A557BF" w:rsidRDefault="00D34225" w:rsidP="008C41F7">
            <w:pPr>
              <w:pStyle w:val="Textpoznpodarou"/>
              <w:jc w:val="both"/>
              <w:rPr>
                <w:sz w:val="16"/>
                <w:szCs w:val="16"/>
              </w:rPr>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Zdá se, že prioritou fiskálních autorit v EU přestávala být snaha o stabilizaci nebo zmírnění zadlužení. Zaměřily se na ekonomický růst</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pPr>
            <w:r w:rsidRPr="00A557BF">
              <w:t>Restriktivní opatření na výdajové straně, jejichž cílem bylo stabilizovat (nebo dokonce zredukovat) výši dluhu vládních institucí ve vztahu k HDP a které byly v zemích EU prováděny zejména v letech 2010-2012, se postupně odbourávaly. Lze o tom usuzovat z meziročních změn výdajů na konečnou spotřebu. Zatímco v letech 2010, 2011 a 2012 počty zemí – ve kterých spotřeba vládních institucí klesala – postupně narůstaly (ze šesti v roce 2009 až na čtrnáct v roce 2012), v letech následujících docházelo k opaku. V roce 2013 se výdaje na konečnou spotřebu vládních institucí snížily už jen v deseti unijních zemích, v</w:t>
            </w:r>
            <w:r w:rsidR="00DD1A36">
              <w:t> roce 2014 dokonce pouze v sedmi</w:t>
            </w:r>
            <w:r w:rsidRPr="00A557BF">
              <w:t>. Ukazovalo se, že prioritou vládních institucí přestávala být snaha o stabilizaci nebo zmírnění zadlužení, nahrazovaly ji tendence podporovat ekonomický růst.</w:t>
            </w:r>
          </w:p>
          <w:p w:rsidR="00D34225" w:rsidRPr="00A557BF" w:rsidRDefault="00D34225" w:rsidP="008C41F7">
            <w:pPr>
              <w:pStyle w:val="Textpoznpodarou"/>
              <w:jc w:val="both"/>
              <w:rPr>
                <w:sz w:val="16"/>
                <w:szCs w:val="16"/>
              </w:rPr>
            </w:pPr>
          </w:p>
        </w:tc>
      </w:tr>
      <w:tr w:rsidR="00D34225" w:rsidRPr="00A557BF" w:rsidTr="008C41F7">
        <w:tc>
          <w:tcPr>
            <w:tcW w:w="1055" w:type="pct"/>
          </w:tcPr>
          <w:p w:rsidR="00D34225" w:rsidRPr="00A557BF" w:rsidRDefault="00D34225" w:rsidP="008C41F7">
            <w:pPr>
              <w:spacing w:line="240" w:lineRule="auto"/>
              <w:rPr>
                <w:sz w:val="16"/>
                <w:szCs w:val="16"/>
              </w:rPr>
            </w:pPr>
            <w:r w:rsidRPr="00A557BF">
              <w:rPr>
                <w:sz w:val="16"/>
                <w:szCs w:val="16"/>
              </w:rPr>
              <w:t>Tři nejzadluženější země EU, co se týče poměru hrubého konsolidovaného dluhu vládních institucí k HDP, od restrikcí v roce 2014 neustoupily</w:t>
            </w:r>
          </w:p>
        </w:tc>
        <w:tc>
          <w:tcPr>
            <w:tcW w:w="145" w:type="pct"/>
          </w:tcPr>
          <w:p w:rsidR="00D34225" w:rsidRPr="00A557BF" w:rsidRDefault="00D34225" w:rsidP="008C41F7">
            <w:pPr>
              <w:pStyle w:val="Textpoznpodarou"/>
              <w:jc w:val="both"/>
            </w:pPr>
          </w:p>
        </w:tc>
        <w:tc>
          <w:tcPr>
            <w:tcW w:w="3800" w:type="pct"/>
          </w:tcPr>
          <w:p w:rsidR="00D34225" w:rsidRPr="00A557BF" w:rsidRDefault="00D34225" w:rsidP="008C41F7">
            <w:pPr>
              <w:pStyle w:val="Textpoznpodarou"/>
              <w:jc w:val="both"/>
              <w:rPr>
                <w:spacing w:val="-2"/>
              </w:rPr>
            </w:pPr>
            <w:r w:rsidRPr="00A557BF">
              <w:rPr>
                <w:spacing w:val="-2"/>
              </w:rPr>
              <w:t xml:space="preserve">Odklon od restriktivních opatření, co se týče výdajů na konečnou spotřebu vládních institucí, se v roce 2014 netýkal Řecka, Itálie a Portugalska, tedy třech nejvíce zadlužených zemí EU. Výdaje klesly ale i na Kypru, který taktéž eviduje vysoký poměr </w:t>
            </w:r>
            <w:r w:rsidR="004F7D36">
              <w:rPr>
                <w:spacing w:val="-2"/>
              </w:rPr>
              <w:t>dluhu k HDP, nebo v Chorvatsku,</w:t>
            </w:r>
            <w:r w:rsidRPr="00A557BF">
              <w:rPr>
                <w:spacing w:val="-2"/>
              </w:rPr>
              <w:t xml:space="preserve"> Slovinsku</w:t>
            </w:r>
            <w:r w:rsidR="004F7D36">
              <w:rPr>
                <w:spacing w:val="-2"/>
              </w:rPr>
              <w:t xml:space="preserve"> a Finsku</w:t>
            </w:r>
            <w:r w:rsidRPr="00A557BF">
              <w:rPr>
                <w:spacing w:val="-2"/>
              </w:rPr>
              <w:t>, jejichž míra zadlužení je co do průměru za celý hospodářský prostor EU spíše nižší.</w:t>
            </w:r>
          </w:p>
        </w:tc>
      </w:tr>
    </w:tbl>
    <w:p w:rsidR="007E770F" w:rsidRPr="00A557BF" w:rsidRDefault="007E770F" w:rsidP="00D34225">
      <w:pPr>
        <w:rPr>
          <w:sz w:val="14"/>
          <w:szCs w:val="14"/>
        </w:rPr>
      </w:pPr>
    </w:p>
    <w:tbl>
      <w:tblPr>
        <w:tblW w:w="5000" w:type="pct"/>
        <w:tblLook w:val="04A0"/>
      </w:tblPr>
      <w:tblGrid>
        <w:gridCol w:w="699"/>
        <w:gridCol w:w="4227"/>
        <w:gridCol w:w="728"/>
        <w:gridCol w:w="985"/>
        <w:gridCol w:w="3215"/>
      </w:tblGrid>
      <w:tr w:rsidR="00D34225" w:rsidRPr="00A557BF" w:rsidTr="007E770F">
        <w:trPr>
          <w:trHeight w:val="373"/>
        </w:trPr>
        <w:tc>
          <w:tcPr>
            <w:tcW w:w="354" w:type="pct"/>
          </w:tcPr>
          <w:p w:rsidR="00D34225" w:rsidRPr="00A557BF" w:rsidRDefault="00D34225" w:rsidP="008C41F7">
            <w:pPr>
              <w:pStyle w:val="Textpoznpodarou"/>
            </w:pPr>
            <w:r w:rsidRPr="00A557BF">
              <w:t>Graf č. 11</w:t>
            </w:r>
          </w:p>
        </w:tc>
        <w:tc>
          <w:tcPr>
            <w:tcW w:w="2145" w:type="pct"/>
          </w:tcPr>
          <w:p w:rsidR="00D34225" w:rsidRPr="00A557BF" w:rsidRDefault="00D34225" w:rsidP="008C41F7">
            <w:pPr>
              <w:pStyle w:val="Textpoznpodarou"/>
            </w:pPr>
            <w:r w:rsidRPr="00A557BF">
              <w:rPr>
                <w:b/>
              </w:rPr>
              <w:t>Výdaje na konečnou spotřebu vládních institucí</w:t>
            </w:r>
            <w:r w:rsidRPr="00A557BF">
              <w:t xml:space="preserve"> (y/y v %)</w:t>
            </w:r>
          </w:p>
        </w:tc>
        <w:tc>
          <w:tcPr>
            <w:tcW w:w="369" w:type="pct"/>
          </w:tcPr>
          <w:p w:rsidR="00D34225" w:rsidRPr="00A557BF" w:rsidRDefault="00D34225" w:rsidP="008C41F7">
            <w:pPr>
              <w:pStyle w:val="Textpoznpodarou"/>
            </w:pPr>
            <w:r w:rsidRPr="00A557BF">
              <w:t>Graf č. 12</w:t>
            </w:r>
          </w:p>
        </w:tc>
        <w:tc>
          <w:tcPr>
            <w:tcW w:w="2132" w:type="pct"/>
            <w:gridSpan w:val="2"/>
          </w:tcPr>
          <w:p w:rsidR="00D34225" w:rsidRPr="00A557BF" w:rsidRDefault="00D34225" w:rsidP="008C41F7">
            <w:pPr>
              <w:pStyle w:val="Textpoznpodarou"/>
              <w:rPr>
                <w:spacing w:val="-6"/>
              </w:rPr>
            </w:pPr>
            <w:r w:rsidRPr="00A557BF">
              <w:rPr>
                <w:b/>
                <w:spacing w:val="-6"/>
              </w:rPr>
              <w:t>Výdaje na konečnou spotřebu vládních institucí v roce 2014</w:t>
            </w:r>
            <w:r w:rsidRPr="00A557BF">
              <w:rPr>
                <w:spacing w:val="-6"/>
              </w:rPr>
              <w:t xml:space="preserve"> (y/y v %, reálně)</w:t>
            </w:r>
            <w:r w:rsidRPr="00A557BF">
              <w:rPr>
                <w:b/>
                <w:spacing w:val="-6"/>
              </w:rPr>
              <w:t>,</w:t>
            </w:r>
            <w:r w:rsidRPr="00A557BF">
              <w:rPr>
                <w:spacing w:val="-6"/>
              </w:rPr>
              <w:t xml:space="preserve"> </w:t>
            </w:r>
            <w:r w:rsidRPr="00A557BF">
              <w:rPr>
                <w:b/>
                <w:spacing w:val="-6"/>
              </w:rPr>
              <w:t>poměr hrubého konsolidovaného dluhu vládních institucí k HDP v roce 2014</w:t>
            </w:r>
            <w:r w:rsidRPr="00A557BF">
              <w:rPr>
                <w:spacing w:val="-6"/>
              </w:rPr>
              <w:t xml:space="preserve"> (v %, nominálně)</w:t>
            </w:r>
          </w:p>
        </w:tc>
      </w:tr>
      <w:tr w:rsidR="00D34225" w:rsidRPr="0056182E" w:rsidTr="007E770F">
        <w:tc>
          <w:tcPr>
            <w:tcW w:w="2498" w:type="pct"/>
            <w:gridSpan w:val="2"/>
          </w:tcPr>
          <w:p w:rsidR="00D34225" w:rsidRPr="0056182E" w:rsidRDefault="00513C6F" w:rsidP="008C41F7">
            <w:pPr>
              <w:pStyle w:val="Textpoznpodarou"/>
              <w:jc w:val="both"/>
            </w:pPr>
            <w:r>
              <w:rPr>
                <w:noProof/>
              </w:rPr>
              <w:pict>
                <v:shape id="_x0000_i1035" type="#_x0000_t75" style="width:237pt;height:186pt;visibility:visible;mso-wrap-style:square">
                  <v:imagedata r:id="rId23" o:title=""/>
                </v:shape>
              </w:pict>
            </w:r>
          </w:p>
        </w:tc>
        <w:tc>
          <w:tcPr>
            <w:tcW w:w="2502" w:type="pct"/>
            <w:gridSpan w:val="3"/>
          </w:tcPr>
          <w:p w:rsidR="00D34225" w:rsidRPr="0056182E" w:rsidRDefault="00513C6F" w:rsidP="008C41F7">
            <w:pPr>
              <w:pStyle w:val="Textpoznpodarou"/>
              <w:jc w:val="both"/>
            </w:pPr>
            <w:r w:rsidRPr="00513C6F">
              <w:rPr>
                <w:noProof/>
                <w:sz w:val="14"/>
                <w:szCs w:val="14"/>
              </w:rPr>
              <w:pict>
                <v:shape id="_x0000_i1036" type="#_x0000_t75" style="width:237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">
                  <v:imagedata r:id="rId24" o:title=""/>
                  <o:lock v:ext="edit" aspectratio="f"/>
                </v:shape>
              </w:pict>
            </w:r>
          </w:p>
        </w:tc>
      </w:tr>
      <w:tr w:rsidR="00D34225" w:rsidRPr="0002083E" w:rsidTr="007E770F">
        <w:tc>
          <w:tcPr>
            <w:tcW w:w="3368" w:type="pct"/>
            <w:gridSpan w:val="4"/>
          </w:tcPr>
          <w:p w:rsidR="00D34225" w:rsidRPr="00A557BF" w:rsidRDefault="00D34225" w:rsidP="008C41F7">
            <w:pPr>
              <w:pStyle w:val="Textpoznpodarou"/>
              <w:rPr>
                <w:noProof/>
                <w:sz w:val="18"/>
                <w:szCs w:val="18"/>
              </w:rPr>
            </w:pPr>
          </w:p>
        </w:tc>
        <w:tc>
          <w:tcPr>
            <w:tcW w:w="1632" w:type="pct"/>
          </w:tcPr>
          <w:p w:rsidR="00D34225" w:rsidRPr="00A557BF" w:rsidRDefault="00D34225" w:rsidP="008C41F7">
            <w:pPr>
              <w:pStyle w:val="Textpoznpodarou"/>
              <w:jc w:val="right"/>
              <w:rPr>
                <w:noProof/>
              </w:rPr>
            </w:pPr>
            <w:r w:rsidRPr="00A557BF">
              <w:rPr>
                <w:sz w:val="18"/>
                <w:szCs w:val="18"/>
              </w:rPr>
              <w:t xml:space="preserve">Zdroj: ČSÚ, </w:t>
            </w:r>
            <w:proofErr w:type="spellStart"/>
            <w:r w:rsidRPr="00A557BF">
              <w:rPr>
                <w:sz w:val="18"/>
                <w:szCs w:val="18"/>
              </w:rPr>
              <w:t>Eurostat</w:t>
            </w:r>
            <w:proofErr w:type="spellEnd"/>
            <w:r w:rsidRPr="00A557BF">
              <w:rPr>
                <w:sz w:val="18"/>
                <w:szCs w:val="18"/>
              </w:rPr>
              <w:t>, vlastní výpočty</w:t>
            </w:r>
          </w:p>
        </w:tc>
      </w:tr>
    </w:tbl>
    <w:p w:rsidR="00D34225" w:rsidRDefault="00D34225" w:rsidP="00435D30">
      <w:pPr>
        <w:pStyle w:val="Nadpis3"/>
        <w:numPr>
          <w:ilvl w:val="2"/>
          <w:numId w:val="3"/>
        </w:numPr>
        <w:rPr>
          <w:szCs w:val="20"/>
        </w:rPr>
      </w:pPr>
      <w:bookmarkStart w:id="11" w:name="_Toc426017654"/>
      <w:r>
        <w:lastRenderedPageBreak/>
        <w:t>Tvorba hrubého fixního kapitálu</w:t>
      </w:r>
      <w:bookmarkEnd w:id="11"/>
    </w:p>
    <w:tbl>
      <w:tblPr>
        <w:tblW w:w="5000" w:type="pct"/>
        <w:tblLook w:val="00A0"/>
      </w:tblPr>
      <w:tblGrid>
        <w:gridCol w:w="2081"/>
        <w:gridCol w:w="288"/>
        <w:gridCol w:w="7485"/>
      </w:tblGrid>
      <w:tr w:rsidR="00D34225" w:rsidRPr="00A557BF" w:rsidTr="008C41F7">
        <w:tc>
          <w:tcPr>
            <w:tcW w:w="1056" w:type="pct"/>
          </w:tcPr>
          <w:p w:rsidR="00D34225" w:rsidRPr="00A557BF" w:rsidRDefault="00D34225" w:rsidP="008C41F7">
            <w:pPr>
              <w:spacing w:line="240" w:lineRule="auto"/>
              <w:rPr>
                <w:sz w:val="16"/>
                <w:szCs w:val="16"/>
              </w:rPr>
            </w:pPr>
            <w:r w:rsidRPr="00A557BF">
              <w:rPr>
                <w:sz w:val="16"/>
                <w:szCs w:val="16"/>
              </w:rPr>
              <w:t>Nárůst investic v ČR v roce 2014 byl nejvyšší za posledních šest let, …</w:t>
            </w:r>
          </w:p>
        </w:tc>
        <w:tc>
          <w:tcPr>
            <w:tcW w:w="146" w:type="pct"/>
          </w:tcPr>
          <w:p w:rsidR="00D34225" w:rsidRPr="00A557BF" w:rsidRDefault="00D34225" w:rsidP="008C41F7">
            <w:pPr>
              <w:pStyle w:val="Textpoznpodarou"/>
              <w:jc w:val="both"/>
            </w:pPr>
          </w:p>
        </w:tc>
        <w:tc>
          <w:tcPr>
            <w:tcW w:w="3797" w:type="pct"/>
          </w:tcPr>
          <w:p w:rsidR="00D34225" w:rsidRPr="00A557BF" w:rsidRDefault="00D34225" w:rsidP="008C41F7">
            <w:pPr>
              <w:pStyle w:val="Textpoznpodarou"/>
              <w:jc w:val="both"/>
              <w:rPr>
                <w:spacing w:val="-6"/>
              </w:rPr>
            </w:pPr>
            <w:r w:rsidRPr="00A557BF">
              <w:rPr>
                <w:spacing w:val="-6"/>
              </w:rPr>
              <w:t>Tvorba hrubého fixního kapitálu, tedy investice, narostly v tuzemsku v roce 2014 o 2,0 %. Navýšily se nejvíce od roku 2008 (+2,5 %), v porovnání se silným rokem 2007 (+13,5 %) byl jejich přírůstek ale ani ne šestinový. Dodejme však, že rok 2007 byl specifický, a to jak s ohledem na po</w:t>
            </w:r>
            <w:r w:rsidR="00ED0504">
              <w:rPr>
                <w:spacing w:val="-6"/>
              </w:rPr>
              <w:t>zitivní očekávání podniků, která</w:t>
            </w:r>
            <w:r w:rsidRPr="00A557BF">
              <w:rPr>
                <w:spacing w:val="-6"/>
              </w:rPr>
              <w:t xml:space="preserve"> se přel</w:t>
            </w:r>
            <w:r w:rsidR="00ED0504">
              <w:rPr>
                <w:spacing w:val="-6"/>
              </w:rPr>
              <w:t>évala</w:t>
            </w:r>
            <w:r w:rsidRPr="00A557BF">
              <w:rPr>
                <w:spacing w:val="-6"/>
              </w:rPr>
              <w:t xml:space="preserve"> do značného nárůstu jejich investic, tak vzhledem k vysokému růstu mezd a platů domácností, jenž se přenášel do silně dynamizující poptávky po stavbách pro bydlení, tj. po domech a bytech (zatímco v roce 2004 investice do staveb pro bydlení narostly o 4,7 % a v letech 2005 a 2006 o 6,4 %, respektive o 8,0 %, v roce 2007 o 26,2 %!).</w:t>
            </w:r>
          </w:p>
          <w:p w:rsidR="00D34225" w:rsidRPr="00A557BF" w:rsidRDefault="00D34225" w:rsidP="008C41F7">
            <w:pPr>
              <w:pStyle w:val="Textpoznpodarou"/>
              <w:jc w:val="both"/>
              <w:rPr>
                <w:sz w:val="12"/>
                <w:szCs w:val="12"/>
              </w:rPr>
            </w:pPr>
          </w:p>
        </w:tc>
      </w:tr>
      <w:tr w:rsidR="00D34225" w:rsidRPr="00A557BF" w:rsidTr="008C41F7">
        <w:tc>
          <w:tcPr>
            <w:tcW w:w="1056" w:type="pct"/>
          </w:tcPr>
          <w:p w:rsidR="00D34225" w:rsidRPr="00A557BF" w:rsidRDefault="00D34225" w:rsidP="008C41F7">
            <w:pPr>
              <w:spacing w:line="240" w:lineRule="auto"/>
              <w:rPr>
                <w:sz w:val="16"/>
                <w:szCs w:val="16"/>
              </w:rPr>
            </w:pPr>
            <w:r w:rsidRPr="00A557BF">
              <w:rPr>
                <w:sz w:val="16"/>
                <w:szCs w:val="16"/>
              </w:rPr>
              <w:t>…proti roku 2008 se ale v tuzemsku investovalo stále výrazně méně. Nižší byly všechny typy investic</w:t>
            </w:r>
          </w:p>
        </w:tc>
        <w:tc>
          <w:tcPr>
            <w:tcW w:w="146" w:type="pct"/>
          </w:tcPr>
          <w:p w:rsidR="00D34225" w:rsidRPr="00A557BF" w:rsidRDefault="00D34225" w:rsidP="008C41F7">
            <w:pPr>
              <w:pStyle w:val="Textpoznpodarou"/>
              <w:jc w:val="both"/>
            </w:pPr>
          </w:p>
        </w:tc>
        <w:tc>
          <w:tcPr>
            <w:tcW w:w="3797" w:type="pct"/>
          </w:tcPr>
          <w:p w:rsidR="00D34225" w:rsidRPr="003D74B1" w:rsidRDefault="00D34225" w:rsidP="008C41F7">
            <w:pPr>
              <w:pStyle w:val="Textpoznpodarou"/>
              <w:jc w:val="both"/>
              <w:rPr>
                <w:spacing w:val="-4"/>
              </w:rPr>
            </w:pPr>
            <w:r w:rsidRPr="003D74B1">
              <w:rPr>
                <w:spacing w:val="-4"/>
              </w:rPr>
              <w:t>Přestože se investice v ČR – po mimořádně hlubokém propadu v roce 2009, dvou letech slabého oživení, které následoval stejně tak dlouhý pokles v letech 2012 a 2013 – v roce 2014 už zvýšily relativně výrazně, proti roku 2008 zaostávaly stále více než o desetinu (-11,6 %). Nižší než v tomto roce byly všechny typy investic, co se týče věcného členění tvorby hrubého fixního kapitálu, a to bez výjimky. Objem investic do ICT, st</w:t>
            </w:r>
            <w:r w:rsidR="003078E0">
              <w:rPr>
                <w:spacing w:val="-4"/>
              </w:rPr>
              <w:t>r</w:t>
            </w:r>
            <w:r w:rsidRPr="003D74B1">
              <w:rPr>
                <w:spacing w:val="-4"/>
              </w:rPr>
              <w:t>ojů a zařízení (jsou v nich zahrnuty i zbraňové systémy) byl nižší o</w:t>
            </w:r>
            <w:r>
              <w:rPr>
                <w:spacing w:val="-4"/>
              </w:rPr>
              <w:t> </w:t>
            </w:r>
            <w:r w:rsidRPr="003D74B1">
              <w:rPr>
                <w:spacing w:val="-4"/>
              </w:rPr>
              <w:t>5,2 %, dopravních prostředků a zařízení se kupovalo méně o čtvrtinu (-24,2 %). Vázla také výstavba budov a staveb (-19,3 %), obdobné platilo i pro stavby pro bydlení (-2,9 %). Pokles investic se nevyhnul ani produktům duševního vlastnictví (-5,1 %), ale ani málo významným pěstovaným biologickým zdrojům (-33,9 %).</w:t>
            </w:r>
          </w:p>
          <w:p w:rsidR="00D34225" w:rsidRPr="00A557BF" w:rsidRDefault="00D34225" w:rsidP="008C41F7">
            <w:pPr>
              <w:pStyle w:val="Textpoznpodarou"/>
              <w:jc w:val="both"/>
              <w:rPr>
                <w:sz w:val="14"/>
                <w:szCs w:val="14"/>
              </w:rPr>
            </w:pPr>
          </w:p>
        </w:tc>
      </w:tr>
      <w:tr w:rsidR="00D34225" w:rsidRPr="00A557BF" w:rsidTr="008C41F7">
        <w:tc>
          <w:tcPr>
            <w:tcW w:w="1056" w:type="pct"/>
          </w:tcPr>
          <w:p w:rsidR="00D34225" w:rsidRPr="00A557BF" w:rsidRDefault="00D34225" w:rsidP="008C41F7">
            <w:pPr>
              <w:spacing w:line="240" w:lineRule="auto"/>
              <w:rPr>
                <w:sz w:val="16"/>
                <w:szCs w:val="16"/>
              </w:rPr>
            </w:pPr>
            <w:r w:rsidRPr="00A557BF">
              <w:rPr>
                <w:sz w:val="16"/>
                <w:szCs w:val="16"/>
              </w:rPr>
              <w:t>V porovnání s rokem 2013 se navýšily především investice do ICT, strojů a zařízení. Stouply ale i stavební investice a investice do dopravních prostředků a zařízení</w:t>
            </w:r>
          </w:p>
        </w:tc>
        <w:tc>
          <w:tcPr>
            <w:tcW w:w="146" w:type="pct"/>
          </w:tcPr>
          <w:p w:rsidR="00D34225" w:rsidRPr="00A557BF" w:rsidRDefault="00D34225" w:rsidP="008C41F7">
            <w:pPr>
              <w:pStyle w:val="Textpoznpodarou"/>
              <w:jc w:val="both"/>
            </w:pPr>
          </w:p>
        </w:tc>
        <w:tc>
          <w:tcPr>
            <w:tcW w:w="3797" w:type="pct"/>
          </w:tcPr>
          <w:p w:rsidR="00D34225" w:rsidRPr="00A557BF" w:rsidRDefault="00D34225" w:rsidP="008C41F7">
            <w:pPr>
              <w:pStyle w:val="Textpoznpodarou"/>
              <w:jc w:val="both"/>
            </w:pPr>
            <w:r w:rsidRPr="00A557BF">
              <w:t xml:space="preserve">Na růstu tvorby hrubého fixního kapitálu v roce 2014 o 2,0 % se podílel především opětovný optimismus podniků a expanzivní fiskální politika promítající se v intenzivnějším uvolňování prostředků na financování dříve pozastavených infrastrukturních staveb. Investice do ICT, strojů a zařízení přispěly k růstu tvorby hrubého fixního kapitálu jako celku +1,4 </w:t>
            </w:r>
            <w:proofErr w:type="spellStart"/>
            <w:r w:rsidRPr="00A557BF">
              <w:t>pb</w:t>
            </w:r>
            <w:proofErr w:type="spellEnd"/>
            <w:r w:rsidRPr="00A557BF">
              <w:t>., investice do budov a staveb +0,5 </w:t>
            </w:r>
            <w:proofErr w:type="spellStart"/>
            <w:r w:rsidRPr="00A557BF">
              <w:t>pb</w:t>
            </w:r>
            <w:proofErr w:type="spellEnd"/>
            <w:r w:rsidRPr="00A557BF">
              <w:t xml:space="preserve">. Stejně přidaly i investice do staveb pro bydlení (+0,5 </w:t>
            </w:r>
            <w:proofErr w:type="spellStart"/>
            <w:r w:rsidRPr="00A557BF">
              <w:t>pb</w:t>
            </w:r>
            <w:proofErr w:type="spellEnd"/>
            <w:r w:rsidRPr="00A557BF">
              <w:t>.). Investice do dopravních prostředků a zařízení stouply již podruhé, jejich příspěvek se ale zmenšil na +0,2 </w:t>
            </w:r>
            <w:proofErr w:type="spellStart"/>
            <w:r w:rsidRPr="00A557BF">
              <w:t>pb</w:t>
            </w:r>
            <w:proofErr w:type="spellEnd"/>
            <w:r w:rsidRPr="00A557BF">
              <w:t>. Proti roku 2013 se snížily jen investice do pěstovaných biologických zdrojů (vzhledem k jejich malému významu</w:t>
            </w:r>
            <w:r w:rsidR="00A72671">
              <w:t xml:space="preserve"> ale</w:t>
            </w:r>
            <w:r w:rsidRPr="00A557BF">
              <w:t xml:space="preserve"> růst tvo</w:t>
            </w:r>
            <w:r w:rsidR="00A72671">
              <w:t>rby hrubého fixního kapitálu</w:t>
            </w:r>
            <w:r w:rsidR="005A08BD">
              <w:t xml:space="preserve"> nijak</w:t>
            </w:r>
            <w:r w:rsidRPr="00A557BF">
              <w:t xml:space="preserve"> nebrzdily) a investice</w:t>
            </w:r>
            <w:r>
              <w:t xml:space="preserve"> do</w:t>
            </w:r>
            <w:r w:rsidRPr="00A557BF">
              <w:t xml:space="preserve"> produktů duševního vlastnictví (-0,6 </w:t>
            </w:r>
            <w:proofErr w:type="spellStart"/>
            <w:r w:rsidRPr="00A557BF">
              <w:t>pb</w:t>
            </w:r>
            <w:proofErr w:type="spellEnd"/>
            <w:r w:rsidRPr="00A557BF">
              <w:t>.).</w:t>
            </w:r>
          </w:p>
          <w:p w:rsidR="00D34225" w:rsidRPr="00A557BF" w:rsidRDefault="00D34225" w:rsidP="008C41F7">
            <w:pPr>
              <w:pStyle w:val="Textpoznpodarou"/>
              <w:jc w:val="both"/>
              <w:rPr>
                <w:sz w:val="14"/>
                <w:szCs w:val="14"/>
              </w:rPr>
            </w:pPr>
          </w:p>
        </w:tc>
      </w:tr>
      <w:tr w:rsidR="00D34225" w:rsidRPr="00A557BF" w:rsidTr="008C41F7">
        <w:tc>
          <w:tcPr>
            <w:tcW w:w="1056" w:type="pct"/>
          </w:tcPr>
          <w:p w:rsidR="00D34225" w:rsidRPr="00A557BF" w:rsidRDefault="00D34225" w:rsidP="008C41F7">
            <w:pPr>
              <w:spacing w:line="240" w:lineRule="auto"/>
              <w:rPr>
                <w:sz w:val="16"/>
                <w:szCs w:val="16"/>
              </w:rPr>
            </w:pPr>
            <w:r w:rsidRPr="00A557BF">
              <w:rPr>
                <w:sz w:val="16"/>
                <w:szCs w:val="16"/>
              </w:rPr>
              <w:t xml:space="preserve">Více investovaly – jak plyne z nominálních údajů – jen nefinanční podniky a vládní instituce </w:t>
            </w:r>
          </w:p>
        </w:tc>
        <w:tc>
          <w:tcPr>
            <w:tcW w:w="146" w:type="pct"/>
          </w:tcPr>
          <w:p w:rsidR="00D34225" w:rsidRPr="00A557BF" w:rsidRDefault="00D34225" w:rsidP="008C41F7">
            <w:pPr>
              <w:pStyle w:val="Textpoznpodarou"/>
              <w:jc w:val="both"/>
            </w:pPr>
          </w:p>
        </w:tc>
        <w:tc>
          <w:tcPr>
            <w:tcW w:w="3797" w:type="pct"/>
          </w:tcPr>
          <w:p w:rsidR="00D34225" w:rsidRPr="00A557BF" w:rsidRDefault="00D34225" w:rsidP="008C41F7">
            <w:pPr>
              <w:pStyle w:val="Textpoznpodarou"/>
              <w:jc w:val="both"/>
              <w:rPr>
                <w:spacing w:val="-4"/>
              </w:rPr>
            </w:pPr>
            <w:r w:rsidRPr="00A557BF">
              <w:rPr>
                <w:spacing w:val="-4"/>
              </w:rPr>
              <w:t>V nominálním vyjádření byla v ČR v roce 2014 proinvestována částka ve výši 1 065,5</w:t>
            </w:r>
            <w:r w:rsidR="0024261F">
              <w:rPr>
                <w:spacing w:val="-4"/>
              </w:rPr>
              <w:t> </w:t>
            </w:r>
            <w:r w:rsidRPr="00A557BF">
              <w:rPr>
                <w:spacing w:val="-4"/>
              </w:rPr>
              <w:t>mld. korun. Proti roku předchozímu se investice zvýšily o 40,7 mld. korun, a to jen díky nárůstu investic v sektoru nefinančních podniků (+19,7 mld. korun) a vládních institucí (+24,6 mld. korun). Zbývající sektory své investice zredukovaly.</w:t>
            </w:r>
          </w:p>
          <w:p w:rsidR="00D34225" w:rsidRPr="00A557BF" w:rsidRDefault="00D34225" w:rsidP="008C41F7">
            <w:pPr>
              <w:pStyle w:val="Textpoznpodarou"/>
              <w:jc w:val="both"/>
              <w:rPr>
                <w:sz w:val="12"/>
                <w:szCs w:val="12"/>
              </w:rPr>
            </w:pPr>
          </w:p>
        </w:tc>
      </w:tr>
      <w:tr w:rsidR="00D34225" w:rsidRPr="00A557BF" w:rsidTr="008C41F7">
        <w:tc>
          <w:tcPr>
            <w:tcW w:w="1056" w:type="pct"/>
          </w:tcPr>
          <w:p w:rsidR="00D34225" w:rsidRPr="00A557BF" w:rsidRDefault="00D34225" w:rsidP="008C41F7">
            <w:pPr>
              <w:spacing w:line="240" w:lineRule="auto"/>
              <w:rPr>
                <w:sz w:val="16"/>
                <w:szCs w:val="16"/>
              </w:rPr>
            </w:pPr>
            <w:r w:rsidRPr="00A557BF">
              <w:rPr>
                <w:sz w:val="16"/>
                <w:szCs w:val="16"/>
              </w:rPr>
              <w:t>Přestože se investice domácností v nominálním vyjádření o 1,4 % snížily, je možné soudit, že jejich poptávka po stavbách pro bydlení narostla</w:t>
            </w:r>
          </w:p>
        </w:tc>
        <w:tc>
          <w:tcPr>
            <w:tcW w:w="146" w:type="pct"/>
          </w:tcPr>
          <w:p w:rsidR="00D34225" w:rsidRPr="00A557BF" w:rsidRDefault="00D34225" w:rsidP="008C41F7">
            <w:pPr>
              <w:pStyle w:val="Textpoznpodarou"/>
              <w:jc w:val="both"/>
            </w:pPr>
          </w:p>
        </w:tc>
        <w:tc>
          <w:tcPr>
            <w:tcW w:w="3797" w:type="pct"/>
          </w:tcPr>
          <w:p w:rsidR="00D34225" w:rsidRPr="00A557BF" w:rsidRDefault="00D34225" w:rsidP="00EC1F4E">
            <w:pPr>
              <w:pStyle w:val="Textpoznpodarou"/>
              <w:jc w:val="both"/>
              <w:rPr>
                <w:spacing w:val="-6"/>
              </w:rPr>
            </w:pPr>
            <w:r w:rsidRPr="00A557BF">
              <w:rPr>
                <w:spacing w:val="-6"/>
              </w:rPr>
              <w:t xml:space="preserve">Je zde patrný rozpor mezi reálným růstem investic do staveb pro bydlení (+3,6 %) a nominálním poklesem investic sektoru domácností (-1,4 %). Lze jej vysvětlit jednak tím, že investice malých podnikatelů – které také patří mezi investice sektoru domácností – se nominálně snížily o 5,3 %, </w:t>
            </w:r>
            <w:r w:rsidR="00EC1F4E">
              <w:rPr>
                <w:spacing w:val="-6"/>
              </w:rPr>
              <w:t>jednak</w:t>
            </w:r>
            <w:r w:rsidRPr="00A557BF">
              <w:rPr>
                <w:spacing w:val="-6"/>
              </w:rPr>
              <w:t xml:space="preserve"> poklesem cen investic do staveb pro bydlení. Celkově lze tedy soudit, že investice do staveb pro bydlení ze strany domácností reálně stouply. To by korespondovalo i s nízkými sazbami z úvěrů na bydlení.</w:t>
            </w:r>
          </w:p>
        </w:tc>
      </w:tr>
    </w:tbl>
    <w:p w:rsidR="00D34225" w:rsidRPr="00A557BF" w:rsidRDefault="00D34225" w:rsidP="00D34225">
      <w:pPr>
        <w:rPr>
          <w:sz w:val="10"/>
          <w:szCs w:val="10"/>
        </w:rPr>
      </w:pPr>
    </w:p>
    <w:tbl>
      <w:tblPr>
        <w:tblW w:w="5000" w:type="pct"/>
        <w:tblLook w:val="04A0"/>
      </w:tblPr>
      <w:tblGrid>
        <w:gridCol w:w="706"/>
        <w:gridCol w:w="1375"/>
        <w:gridCol w:w="298"/>
        <w:gridCol w:w="2548"/>
        <w:gridCol w:w="737"/>
        <w:gridCol w:w="990"/>
        <w:gridCol w:w="3200"/>
      </w:tblGrid>
      <w:tr w:rsidR="00D34225" w:rsidRPr="00A557BF" w:rsidTr="008C41F7">
        <w:trPr>
          <w:trHeight w:val="373"/>
        </w:trPr>
        <w:tc>
          <w:tcPr>
            <w:tcW w:w="358" w:type="pct"/>
          </w:tcPr>
          <w:p w:rsidR="00D34225" w:rsidRPr="00A557BF" w:rsidRDefault="00D34225" w:rsidP="008C41F7">
            <w:pPr>
              <w:pStyle w:val="Textpoznpodarou"/>
            </w:pPr>
            <w:r w:rsidRPr="00A557BF">
              <w:t>Graf č. 13</w:t>
            </w:r>
          </w:p>
        </w:tc>
        <w:tc>
          <w:tcPr>
            <w:tcW w:w="2143" w:type="pct"/>
            <w:gridSpan w:val="3"/>
          </w:tcPr>
          <w:p w:rsidR="00D34225" w:rsidRPr="00A557BF" w:rsidRDefault="00D34225" w:rsidP="008C41F7">
            <w:pPr>
              <w:pStyle w:val="Textpoznpodarou"/>
            </w:pPr>
            <w:r w:rsidRPr="00A557BF">
              <w:rPr>
                <w:b/>
              </w:rPr>
              <w:t>Tvorba hrubého fixního kapitálu podle věcného členění</w:t>
            </w:r>
            <w:r w:rsidRPr="00A557BF">
              <w:t xml:space="preserve"> (y/y v %, reálně)</w:t>
            </w:r>
          </w:p>
        </w:tc>
        <w:tc>
          <w:tcPr>
            <w:tcW w:w="373" w:type="pct"/>
          </w:tcPr>
          <w:p w:rsidR="00D34225" w:rsidRPr="00A557BF" w:rsidRDefault="00D34225" w:rsidP="008C41F7">
            <w:pPr>
              <w:pStyle w:val="Textpoznpodarou"/>
            </w:pPr>
            <w:r w:rsidRPr="00A557BF">
              <w:t>Graf č. 14</w:t>
            </w:r>
          </w:p>
        </w:tc>
        <w:tc>
          <w:tcPr>
            <w:tcW w:w="2126" w:type="pct"/>
            <w:gridSpan w:val="2"/>
          </w:tcPr>
          <w:p w:rsidR="00D34225" w:rsidRPr="00A557BF" w:rsidRDefault="00D34225" w:rsidP="008C41F7">
            <w:pPr>
              <w:pStyle w:val="Textpoznpodarou"/>
              <w:rPr>
                <w:spacing w:val="-6"/>
              </w:rPr>
            </w:pPr>
            <w:r w:rsidRPr="00A557BF">
              <w:rPr>
                <w:b/>
                <w:spacing w:val="-6"/>
              </w:rPr>
              <w:t xml:space="preserve">Tvorba hrubého fixního kapitálu podle sektorového členění </w:t>
            </w:r>
            <w:r w:rsidRPr="00A557BF">
              <w:rPr>
                <w:spacing w:val="-6"/>
              </w:rPr>
              <w:t>(y/y v %, nominálně)</w:t>
            </w:r>
          </w:p>
        </w:tc>
      </w:tr>
      <w:tr w:rsidR="00D34225" w:rsidRPr="0056182E" w:rsidTr="008C41F7">
        <w:tc>
          <w:tcPr>
            <w:tcW w:w="2501" w:type="pct"/>
            <w:gridSpan w:val="4"/>
          </w:tcPr>
          <w:p w:rsidR="00D34225" w:rsidRPr="0056182E" w:rsidRDefault="002A2083" w:rsidP="008C41F7">
            <w:pPr>
              <w:pStyle w:val="Textpoznpodarou"/>
              <w:jc w:val="both"/>
            </w:pPr>
            <w:r>
              <w:rPr>
                <w:noProof/>
              </w:rPr>
              <w:pict>
                <v:shape id="obrázek 11" o:spid="_x0000_i1037" type="#_x0000_t75" style="width:237pt;height:187.5pt;visibility:visible;mso-wrap-style:square">
                  <v:imagedata r:id="rId25" o:title=""/>
                </v:shape>
              </w:pict>
            </w:r>
          </w:p>
        </w:tc>
        <w:tc>
          <w:tcPr>
            <w:tcW w:w="2499" w:type="pct"/>
            <w:gridSpan w:val="3"/>
          </w:tcPr>
          <w:p w:rsidR="00D34225" w:rsidRPr="0056182E" w:rsidRDefault="002A2083" w:rsidP="008C41F7">
            <w:pPr>
              <w:pStyle w:val="Textpoznpodarou"/>
              <w:jc w:val="both"/>
            </w:pPr>
            <w:r>
              <w:rPr>
                <w:noProof/>
              </w:rPr>
              <w:pict>
                <v:shape id="obrázek 12" o:spid="_x0000_i1038" type="#_x0000_t75" style="width:237pt;height:189.75pt;visibility:visible;mso-wrap-style:square">
                  <v:imagedata r:id="rId26" o:title=""/>
                </v:shape>
              </w:pict>
            </w:r>
          </w:p>
        </w:tc>
      </w:tr>
      <w:tr w:rsidR="00D34225" w:rsidRPr="0002083E" w:rsidTr="008C41F7">
        <w:tc>
          <w:tcPr>
            <w:tcW w:w="3376" w:type="pct"/>
            <w:gridSpan w:val="6"/>
          </w:tcPr>
          <w:p w:rsidR="00D34225" w:rsidRPr="00EF3A5F" w:rsidRDefault="00D34225" w:rsidP="008C41F7">
            <w:pPr>
              <w:pStyle w:val="Textpoznpodarou"/>
              <w:rPr>
                <w:noProof/>
                <w:sz w:val="18"/>
                <w:szCs w:val="18"/>
              </w:rPr>
            </w:pPr>
          </w:p>
        </w:tc>
        <w:tc>
          <w:tcPr>
            <w:tcW w:w="1624" w:type="pct"/>
          </w:tcPr>
          <w:p w:rsidR="00D34225" w:rsidRPr="00A557BF" w:rsidRDefault="00D34225" w:rsidP="008C41F7">
            <w:pPr>
              <w:pStyle w:val="Textpoznpodarou"/>
              <w:jc w:val="right"/>
              <w:rPr>
                <w:noProof/>
              </w:rPr>
            </w:pPr>
            <w:r w:rsidRPr="00A557BF">
              <w:rPr>
                <w:sz w:val="18"/>
                <w:szCs w:val="18"/>
              </w:rPr>
              <w:t>Zdroj: ČSÚ</w:t>
            </w:r>
          </w:p>
        </w:tc>
      </w:tr>
      <w:tr w:rsidR="00D34225" w:rsidRPr="00A557BF" w:rsidTr="008C41F7">
        <w:tblPrEx>
          <w:tblLook w:val="00A0"/>
        </w:tblPrEx>
        <w:tc>
          <w:tcPr>
            <w:tcW w:w="1056" w:type="pct"/>
            <w:gridSpan w:val="2"/>
          </w:tcPr>
          <w:p w:rsidR="00D34225" w:rsidRPr="00A557BF" w:rsidRDefault="00D34225" w:rsidP="008C41F7">
            <w:pPr>
              <w:spacing w:line="240" w:lineRule="auto"/>
              <w:rPr>
                <w:sz w:val="16"/>
                <w:szCs w:val="16"/>
              </w:rPr>
            </w:pPr>
            <w:r w:rsidRPr="00A557BF">
              <w:rPr>
                <w:sz w:val="16"/>
                <w:szCs w:val="16"/>
              </w:rPr>
              <w:lastRenderedPageBreak/>
              <w:t>Investice vládních institucí, které se za roky 2010 až 2013 v úhrnu propadly o 35,2 % nominálně, v roce 2014 již o 17,4 % narostly</w:t>
            </w:r>
          </w:p>
        </w:tc>
        <w:tc>
          <w:tcPr>
            <w:tcW w:w="151" w:type="pct"/>
          </w:tcPr>
          <w:p w:rsidR="00D34225" w:rsidRPr="00A557BF" w:rsidRDefault="00D34225" w:rsidP="008C41F7">
            <w:pPr>
              <w:pStyle w:val="Textpoznpodarou"/>
              <w:jc w:val="both"/>
            </w:pPr>
          </w:p>
        </w:tc>
        <w:tc>
          <w:tcPr>
            <w:tcW w:w="3793" w:type="pct"/>
            <w:gridSpan w:val="4"/>
          </w:tcPr>
          <w:p w:rsidR="00D34225" w:rsidRPr="00A557BF" w:rsidRDefault="00D34225" w:rsidP="008C41F7">
            <w:pPr>
              <w:pStyle w:val="Textpoznpodarou"/>
              <w:jc w:val="both"/>
              <w:rPr>
                <w:spacing w:val="-4"/>
              </w:rPr>
            </w:pPr>
            <w:r w:rsidRPr="00A557BF">
              <w:rPr>
                <w:spacing w:val="-4"/>
              </w:rPr>
              <w:t>Konsolidace veřejných financí, k</w:t>
            </w:r>
            <w:r w:rsidR="002A6841">
              <w:rPr>
                <w:spacing w:val="-4"/>
              </w:rPr>
              <w:t xml:space="preserve">e které docházelo v letech 2010 až </w:t>
            </w:r>
            <w:r w:rsidRPr="00A557BF">
              <w:rPr>
                <w:spacing w:val="-4"/>
              </w:rPr>
              <w:t>2012, se nedotýkala jen spotřebních výdajů, ale také výdajů investičních. V úhrnu se za tyto tři roky investice sektoru vládních institucí propadly o 28,2 % nominálně. Že se snížily i v roce 2013 (-9,7 %), lze zřejmě do jisté míry vysvětlit tím, že velké stavby – tj. například dálnice, silnice, železnice – jeji</w:t>
            </w:r>
            <w:r w:rsidR="002A6841">
              <w:rPr>
                <w:spacing w:val="-4"/>
              </w:rPr>
              <w:t>chž výstavba byla v letech 2010</w:t>
            </w:r>
            <w:r w:rsidR="00701F7D">
              <w:rPr>
                <w:spacing w:val="-4"/>
              </w:rPr>
              <w:t>-</w:t>
            </w:r>
            <w:r w:rsidRPr="00A557BF">
              <w:rPr>
                <w:spacing w:val="-4"/>
              </w:rPr>
              <w:t>2012 utlumena</w:t>
            </w:r>
            <w:r w:rsidR="002A6841">
              <w:rPr>
                <w:spacing w:val="-4"/>
              </w:rPr>
              <w:t>,</w:t>
            </w:r>
            <w:r w:rsidRPr="00A557BF">
              <w:rPr>
                <w:spacing w:val="-4"/>
              </w:rPr>
              <w:t xml:space="preserve"> nebo dokonce zastavena, nebylo možné obnovit ihned. I z toho důvodu tak investice vládních institucí narostly až v roce 2014, a to velmi výrazně (+17,4 %).</w:t>
            </w:r>
          </w:p>
          <w:p w:rsidR="00D34225" w:rsidRPr="00A557BF" w:rsidRDefault="00D34225" w:rsidP="008C41F7">
            <w:pPr>
              <w:pStyle w:val="Textpoznpodarou"/>
              <w:jc w:val="both"/>
              <w:rPr>
                <w:sz w:val="16"/>
                <w:szCs w:val="16"/>
              </w:rPr>
            </w:pPr>
          </w:p>
        </w:tc>
      </w:tr>
      <w:tr w:rsidR="00D34225" w:rsidRPr="00A557BF" w:rsidTr="008C41F7">
        <w:tblPrEx>
          <w:tblLook w:val="00A0"/>
        </w:tblPrEx>
        <w:tc>
          <w:tcPr>
            <w:tcW w:w="1056" w:type="pct"/>
            <w:gridSpan w:val="2"/>
          </w:tcPr>
          <w:p w:rsidR="00D34225" w:rsidRPr="00A557BF" w:rsidRDefault="00D34225" w:rsidP="008C41F7">
            <w:pPr>
              <w:spacing w:line="240" w:lineRule="auto"/>
              <w:rPr>
                <w:sz w:val="16"/>
                <w:szCs w:val="16"/>
              </w:rPr>
            </w:pPr>
            <w:r w:rsidRPr="00A557BF">
              <w:rPr>
                <w:sz w:val="16"/>
                <w:szCs w:val="16"/>
              </w:rPr>
              <w:t xml:space="preserve">V roce 2013 pokles investic evidovalo dvacet unijních zemí, v roce 2014 už jen </w:t>
            </w:r>
            <w:r w:rsidR="00D2282B">
              <w:rPr>
                <w:sz w:val="16"/>
                <w:szCs w:val="16"/>
              </w:rPr>
              <w:t>osm</w:t>
            </w:r>
          </w:p>
        </w:tc>
        <w:tc>
          <w:tcPr>
            <w:tcW w:w="151" w:type="pct"/>
          </w:tcPr>
          <w:p w:rsidR="00D34225" w:rsidRPr="00A557BF" w:rsidRDefault="00D34225" w:rsidP="008C41F7">
            <w:pPr>
              <w:pStyle w:val="Textpoznpodarou"/>
              <w:jc w:val="both"/>
            </w:pPr>
          </w:p>
        </w:tc>
        <w:tc>
          <w:tcPr>
            <w:tcW w:w="3793" w:type="pct"/>
            <w:gridSpan w:val="4"/>
          </w:tcPr>
          <w:p w:rsidR="00D34225" w:rsidRPr="003D74B1" w:rsidRDefault="00D34225" w:rsidP="008C41F7">
            <w:pPr>
              <w:pStyle w:val="Textpoznpodarou"/>
              <w:jc w:val="both"/>
              <w:rPr>
                <w:spacing w:val="-2"/>
              </w:rPr>
            </w:pPr>
            <w:r w:rsidRPr="003D74B1">
              <w:rPr>
                <w:spacing w:val="-2"/>
              </w:rPr>
              <w:t>Jestliže</w:t>
            </w:r>
            <w:r w:rsidR="002200D8">
              <w:rPr>
                <w:spacing w:val="-2"/>
              </w:rPr>
              <w:t xml:space="preserve"> se v roce 2013</w:t>
            </w:r>
            <w:r w:rsidRPr="003D74B1">
              <w:rPr>
                <w:spacing w:val="-2"/>
              </w:rPr>
              <w:t xml:space="preserve"> investice snížily ve dvaceti zemích EU, v roce 2014 klesly </w:t>
            </w:r>
            <w:r w:rsidR="00D2282B">
              <w:rPr>
                <w:spacing w:val="-2"/>
              </w:rPr>
              <w:t>už jen v osmi</w:t>
            </w:r>
            <w:r w:rsidRPr="003D74B1">
              <w:rPr>
                <w:spacing w:val="-2"/>
              </w:rPr>
              <w:t>. Prvním rokem se snižovaly v Estonsku, druhým ve Francii</w:t>
            </w:r>
            <w:r w:rsidR="00D2282B">
              <w:rPr>
                <w:spacing w:val="-2"/>
              </w:rPr>
              <w:t>, Rakousku</w:t>
            </w:r>
            <w:r w:rsidRPr="003D74B1">
              <w:rPr>
                <w:spacing w:val="-2"/>
              </w:rPr>
              <w:t xml:space="preserve"> a v Rumunsku, třetím ve Finsku. Šest let v řadě investiční aktivita ochabuje v Chorvatsku (v úhrnu -35,0 %), stejnou dobu a přitom velmi výrazně na</w:t>
            </w:r>
            <w:r>
              <w:rPr>
                <w:spacing w:val="-2"/>
              </w:rPr>
              <w:t> </w:t>
            </w:r>
            <w:r w:rsidRPr="003D74B1">
              <w:rPr>
                <w:spacing w:val="-2"/>
              </w:rPr>
              <w:t>Kypru (v úhrnu -60,5 %). Posedmé se investice snížily v Itálii (v úhrnu -29,7 %).</w:t>
            </w:r>
          </w:p>
          <w:p w:rsidR="00D34225" w:rsidRPr="00A557BF" w:rsidRDefault="00D34225" w:rsidP="008C41F7">
            <w:pPr>
              <w:pStyle w:val="Textpoznpodarou"/>
              <w:jc w:val="both"/>
              <w:rPr>
                <w:sz w:val="16"/>
                <w:szCs w:val="16"/>
              </w:rPr>
            </w:pPr>
          </w:p>
        </w:tc>
      </w:tr>
      <w:tr w:rsidR="00D34225" w:rsidRPr="00A557BF" w:rsidTr="008C41F7">
        <w:tblPrEx>
          <w:tblLook w:val="00A0"/>
        </w:tblPrEx>
        <w:tc>
          <w:tcPr>
            <w:tcW w:w="1056" w:type="pct"/>
            <w:gridSpan w:val="2"/>
          </w:tcPr>
          <w:p w:rsidR="00D34225" w:rsidRPr="00A557BF" w:rsidRDefault="00D34225" w:rsidP="008C41F7">
            <w:pPr>
              <w:spacing w:line="240" w:lineRule="auto"/>
              <w:rPr>
                <w:sz w:val="16"/>
                <w:szCs w:val="16"/>
              </w:rPr>
            </w:pPr>
            <w:r w:rsidRPr="00A557BF">
              <w:rPr>
                <w:sz w:val="16"/>
                <w:szCs w:val="16"/>
              </w:rPr>
              <w:t>Zatímco Řecku a</w:t>
            </w:r>
            <w:r>
              <w:rPr>
                <w:sz w:val="16"/>
                <w:szCs w:val="16"/>
              </w:rPr>
              <w:t> </w:t>
            </w:r>
            <w:r w:rsidRPr="00A557BF">
              <w:rPr>
                <w:sz w:val="16"/>
                <w:szCs w:val="16"/>
              </w:rPr>
              <w:t>Kypru chyběly z investic roku 2008 více než tři pětiny, v Polsku o 16,2 % narostly</w:t>
            </w:r>
          </w:p>
        </w:tc>
        <w:tc>
          <w:tcPr>
            <w:tcW w:w="151" w:type="pct"/>
          </w:tcPr>
          <w:p w:rsidR="00D34225" w:rsidRPr="00A557BF" w:rsidRDefault="00D34225" w:rsidP="008C41F7">
            <w:pPr>
              <w:pStyle w:val="Textpoznpodarou"/>
              <w:jc w:val="both"/>
            </w:pPr>
          </w:p>
        </w:tc>
        <w:tc>
          <w:tcPr>
            <w:tcW w:w="3793" w:type="pct"/>
            <w:gridSpan w:val="4"/>
          </w:tcPr>
          <w:p w:rsidR="00D34225" w:rsidRPr="00A557BF" w:rsidRDefault="00D34225" w:rsidP="008C41F7">
            <w:pPr>
              <w:pStyle w:val="Textpoznpodarou"/>
              <w:jc w:val="both"/>
              <w:rPr>
                <w:spacing w:val="-2"/>
              </w:rPr>
            </w:pPr>
            <w:r w:rsidRPr="00A557BF">
              <w:rPr>
                <w:spacing w:val="-2"/>
              </w:rPr>
              <w:t>Úrovně investic z roku 2008 se tuzemsku prozatím dosáhnout nepodařilo (-11,6 %), stejně na tom ale bylo i dvacet jedna dalších zemí EU. Mezi světlé výjimky se řadilo jen</w:t>
            </w:r>
            <w:r w:rsidR="00D2282B">
              <w:rPr>
                <w:spacing w:val="-2"/>
              </w:rPr>
              <w:t xml:space="preserve"> Lucembursko (+1,3 %),</w:t>
            </w:r>
            <w:r w:rsidRPr="00A557BF">
              <w:rPr>
                <w:spacing w:val="-2"/>
              </w:rPr>
              <w:t xml:space="preserve"> Německo (+3,5 %), Švédsko (+3,6 %), Velká Británie (+4,9 %), Malta (+5,3 %), především ale Polsko (+16,2 %). Nejvýrazněji za úrovní investic roku 2008 zaostávaly jihoevropské země (Řecko a Kypr více než o tři pětiny)</w:t>
            </w:r>
            <w:r>
              <w:rPr>
                <w:spacing w:val="-2"/>
              </w:rPr>
              <w:t>, ale také Rumunsko spolu s Bulharskem</w:t>
            </w:r>
            <w:r w:rsidRPr="00A557BF">
              <w:rPr>
                <w:spacing w:val="-2"/>
              </w:rPr>
              <w:t xml:space="preserve"> </w:t>
            </w:r>
            <w:r>
              <w:rPr>
                <w:spacing w:val="-2"/>
              </w:rPr>
              <w:t>nebo Irsko či</w:t>
            </w:r>
            <w:r w:rsidRPr="00A557BF">
              <w:rPr>
                <w:spacing w:val="-2"/>
              </w:rPr>
              <w:t xml:space="preserve"> Lotyšsko.</w:t>
            </w:r>
          </w:p>
          <w:p w:rsidR="00D34225" w:rsidRPr="00A557BF" w:rsidRDefault="00D34225" w:rsidP="008C41F7">
            <w:pPr>
              <w:pStyle w:val="Textpoznpodarou"/>
              <w:jc w:val="both"/>
              <w:rPr>
                <w:sz w:val="16"/>
                <w:szCs w:val="16"/>
              </w:rPr>
            </w:pPr>
          </w:p>
        </w:tc>
      </w:tr>
      <w:tr w:rsidR="00D34225" w:rsidRPr="00A557BF" w:rsidTr="008C41F7">
        <w:tblPrEx>
          <w:tblLook w:val="00A0"/>
        </w:tblPrEx>
        <w:tc>
          <w:tcPr>
            <w:tcW w:w="1056" w:type="pct"/>
            <w:gridSpan w:val="2"/>
          </w:tcPr>
          <w:p w:rsidR="00D34225" w:rsidRPr="00A557BF" w:rsidRDefault="00D34225" w:rsidP="008C41F7">
            <w:pPr>
              <w:spacing w:line="240" w:lineRule="auto"/>
              <w:rPr>
                <w:sz w:val="16"/>
                <w:szCs w:val="16"/>
              </w:rPr>
            </w:pPr>
            <w:r w:rsidRPr="00A557BF">
              <w:rPr>
                <w:sz w:val="16"/>
                <w:szCs w:val="16"/>
              </w:rPr>
              <w:t>Míra investic v ČR opět klesla, …</w:t>
            </w:r>
          </w:p>
        </w:tc>
        <w:tc>
          <w:tcPr>
            <w:tcW w:w="151" w:type="pct"/>
          </w:tcPr>
          <w:p w:rsidR="00D34225" w:rsidRPr="00A557BF" w:rsidRDefault="00D34225" w:rsidP="008C41F7">
            <w:pPr>
              <w:pStyle w:val="Textpoznpodarou"/>
              <w:jc w:val="both"/>
            </w:pPr>
          </w:p>
        </w:tc>
        <w:tc>
          <w:tcPr>
            <w:tcW w:w="3793" w:type="pct"/>
            <w:gridSpan w:val="4"/>
          </w:tcPr>
          <w:p w:rsidR="00D34225" w:rsidRPr="00A557BF" w:rsidRDefault="00D34225" w:rsidP="008C41F7">
            <w:pPr>
              <w:pStyle w:val="Textpoznpodarou"/>
              <w:jc w:val="both"/>
              <w:rPr>
                <w:spacing w:val="-2"/>
              </w:rPr>
            </w:pPr>
            <w:r w:rsidRPr="00A557BF">
              <w:rPr>
                <w:spacing w:val="-2"/>
              </w:rPr>
              <w:t>Míra investic – tedy podíl tvorby hrubého fixního kapitálu na HDP v běžných cenách – v ČR dlouhodobě klesá. Jestliže ještě v roce 2007 dosahovala 29,6 %, v roce 2013 už pouze 25,1 %. Během roku 2014 klesla vlivem vyššího nominálního růstu HDP (+4,5 %) oproti investicím (+4,0 %) na rovných 25 %.</w:t>
            </w:r>
          </w:p>
          <w:p w:rsidR="00D34225" w:rsidRPr="00A557BF" w:rsidRDefault="00D34225" w:rsidP="008C41F7">
            <w:pPr>
              <w:pStyle w:val="Textpoznpodarou"/>
              <w:jc w:val="both"/>
              <w:rPr>
                <w:spacing w:val="-2"/>
                <w:sz w:val="16"/>
                <w:szCs w:val="16"/>
              </w:rPr>
            </w:pPr>
          </w:p>
        </w:tc>
      </w:tr>
      <w:tr w:rsidR="00D34225" w:rsidRPr="00A557BF" w:rsidTr="008C41F7">
        <w:tblPrEx>
          <w:tblLook w:val="00A0"/>
        </w:tblPrEx>
        <w:tc>
          <w:tcPr>
            <w:tcW w:w="1056" w:type="pct"/>
            <w:gridSpan w:val="2"/>
          </w:tcPr>
          <w:p w:rsidR="00D34225" w:rsidRPr="00A557BF" w:rsidRDefault="00D34225" w:rsidP="008C41F7">
            <w:pPr>
              <w:spacing w:line="240" w:lineRule="auto"/>
              <w:rPr>
                <w:sz w:val="16"/>
                <w:szCs w:val="16"/>
              </w:rPr>
            </w:pPr>
            <w:r w:rsidRPr="00A557BF">
              <w:rPr>
                <w:sz w:val="16"/>
                <w:szCs w:val="16"/>
              </w:rPr>
              <w:t>… v kontextu zemí EU je však stále vysoká. Navíc, struktura investic v ČR je v porovnání s celou EU spíše příznivější, …</w:t>
            </w:r>
          </w:p>
        </w:tc>
        <w:tc>
          <w:tcPr>
            <w:tcW w:w="151" w:type="pct"/>
          </w:tcPr>
          <w:p w:rsidR="00D34225" w:rsidRPr="00A557BF" w:rsidRDefault="00D34225" w:rsidP="008C41F7">
            <w:pPr>
              <w:pStyle w:val="Textpoznpodarou"/>
              <w:jc w:val="both"/>
            </w:pPr>
          </w:p>
        </w:tc>
        <w:tc>
          <w:tcPr>
            <w:tcW w:w="3793" w:type="pct"/>
            <w:gridSpan w:val="4"/>
          </w:tcPr>
          <w:p w:rsidR="00D34225" w:rsidRPr="00A557BF" w:rsidRDefault="00D34225" w:rsidP="008C41F7">
            <w:pPr>
              <w:pStyle w:val="Textpoznpodarou"/>
              <w:jc w:val="both"/>
            </w:pPr>
            <w:r w:rsidRPr="00A557BF">
              <w:t>Česká ekonomika si i přes dlouhodobý pokl</w:t>
            </w:r>
            <w:r w:rsidR="00E459D3">
              <w:t>es míry investic během let 2008</w:t>
            </w:r>
            <w:r w:rsidR="00614460">
              <w:t>-</w:t>
            </w:r>
            <w:r w:rsidRPr="00A557BF">
              <w:t>2014 nevedla v kontextu zemí EU – co do pořadí z hlediska tohoto ukazatele – nijak špatně. Jestliže v l</w:t>
            </w:r>
            <w:r w:rsidR="00E459D3">
              <w:t>etech 2005</w:t>
            </w:r>
            <w:r w:rsidR="0019731C">
              <w:t>-</w:t>
            </w:r>
            <w:r w:rsidRPr="00A557BF">
              <w:t>2007 byla míra investic v tuzemsku pátá nejvyšší a v roce 2008 sedmá, v letech následujících přinejhorším třetí nejvyšší. V </w:t>
            </w:r>
            <w:r w:rsidR="003078E0">
              <w:t>letech</w:t>
            </w:r>
            <w:r w:rsidRPr="00A557BF">
              <w:t xml:space="preserve"> 2013 i 2014 ČR co do míry investic předehnalo jen Estonsko.</w:t>
            </w:r>
          </w:p>
          <w:p w:rsidR="00D34225" w:rsidRPr="00A557BF" w:rsidRDefault="00D34225" w:rsidP="008C41F7">
            <w:pPr>
              <w:pStyle w:val="Textpoznpodarou"/>
              <w:jc w:val="both"/>
              <w:rPr>
                <w:spacing w:val="-2"/>
                <w:sz w:val="16"/>
                <w:szCs w:val="16"/>
              </w:rPr>
            </w:pPr>
          </w:p>
        </w:tc>
      </w:tr>
      <w:tr w:rsidR="00D34225" w:rsidRPr="00A557BF" w:rsidTr="008C41F7">
        <w:tblPrEx>
          <w:tblLook w:val="00A0"/>
        </w:tblPrEx>
        <w:tc>
          <w:tcPr>
            <w:tcW w:w="1056" w:type="pct"/>
            <w:gridSpan w:val="2"/>
          </w:tcPr>
          <w:p w:rsidR="00D34225" w:rsidRPr="00A557BF" w:rsidRDefault="00D34225" w:rsidP="008C41F7">
            <w:pPr>
              <w:spacing w:line="240" w:lineRule="auto"/>
              <w:rPr>
                <w:sz w:val="16"/>
                <w:szCs w:val="16"/>
              </w:rPr>
            </w:pPr>
            <w:r w:rsidRPr="00A557BF">
              <w:rPr>
                <w:sz w:val="16"/>
                <w:szCs w:val="16"/>
              </w:rPr>
              <w:t>…převažují v nich totiž investice do ICT, strojů a zařízení. Problémem ovšem může být nižší váha investic do produktů duševního vlastnictví, kam jsou řazeny mimo jiné i výdaje na výzkum a vývoj. V ČR se do nich totiž investuje méně nejen z hlediska podílu na celkových investicích, ale také podle podílu na HDP</w:t>
            </w:r>
          </w:p>
        </w:tc>
        <w:tc>
          <w:tcPr>
            <w:tcW w:w="151" w:type="pct"/>
          </w:tcPr>
          <w:p w:rsidR="00D34225" w:rsidRPr="00A557BF" w:rsidRDefault="00D34225" w:rsidP="008C41F7">
            <w:pPr>
              <w:pStyle w:val="Textpoznpodarou"/>
              <w:jc w:val="both"/>
            </w:pPr>
          </w:p>
        </w:tc>
        <w:tc>
          <w:tcPr>
            <w:tcW w:w="3793" w:type="pct"/>
            <w:gridSpan w:val="4"/>
          </w:tcPr>
          <w:p w:rsidR="00D34225" w:rsidRPr="00A557BF" w:rsidRDefault="00D34225" w:rsidP="008C41F7">
            <w:pPr>
              <w:pStyle w:val="Textpoznpodarou"/>
              <w:jc w:val="both"/>
            </w:pPr>
            <w:r w:rsidRPr="00A557BF">
              <w:t>Struktura investic v ČR je proti průměru za celou EU značně odlišná. Zatímco investice do staveb pro bydl</w:t>
            </w:r>
            <w:r w:rsidR="00E459D3">
              <w:t>ení se v tuzemsku v letech 2010</w:t>
            </w:r>
            <w:r w:rsidR="0019731C">
              <w:t>-</w:t>
            </w:r>
            <w:r w:rsidRPr="00A557BF">
              <w:t>2014 podílely na celkových investicích v průměru 13,7 % (v běžných cenách), v EU téměř čtvrtinou (24,1 %). Méně významné byly v ČR i investice do produktů duševního vlastnictví (13,1 % vs. 18,4 %). Opačná relace byla naproti tomu patrná u budov a staveb (v ČR v průměru 29,5 %, v EU 27,6 %), dopravních prostředků a zařízení (10,1 % vs. 7,3 %), zejména ale pak u ICT, strojů a zařízení (33,3 % vs. 22,4 %). Vzhledem k tomu, že investice do staveb pr</w:t>
            </w:r>
            <w:r>
              <w:t>o bydlení lze považovat</w:t>
            </w:r>
            <w:r w:rsidRPr="00A557BF">
              <w:t xml:space="preserve"> za</w:t>
            </w:r>
            <w:r>
              <w:t xml:space="preserve"> málo </w:t>
            </w:r>
            <w:r w:rsidRPr="00A557BF">
              <w:t>produktivní a například investice do ICT, strojů a zařízení naopak za vysoce produktivní, byla struktura investic v ČR v posledních pěti letech oproti průměru za celou EU – co se týče jejich budoucího přínosu – spíše příznivější.</w:t>
            </w:r>
          </w:p>
        </w:tc>
      </w:tr>
    </w:tbl>
    <w:p w:rsidR="002C69FA" w:rsidRPr="00A557BF" w:rsidRDefault="002C69FA" w:rsidP="00D34225">
      <w:pPr>
        <w:rPr>
          <w:sz w:val="16"/>
          <w:szCs w:val="16"/>
        </w:rPr>
      </w:pPr>
    </w:p>
    <w:tbl>
      <w:tblPr>
        <w:tblW w:w="5000" w:type="pct"/>
        <w:tblLook w:val="04A0"/>
      </w:tblPr>
      <w:tblGrid>
        <w:gridCol w:w="705"/>
        <w:gridCol w:w="4221"/>
        <w:gridCol w:w="734"/>
        <w:gridCol w:w="987"/>
        <w:gridCol w:w="3207"/>
      </w:tblGrid>
      <w:tr w:rsidR="00D34225" w:rsidRPr="00A557BF" w:rsidTr="000353D4">
        <w:trPr>
          <w:trHeight w:val="373"/>
        </w:trPr>
        <w:tc>
          <w:tcPr>
            <w:tcW w:w="357" w:type="pct"/>
          </w:tcPr>
          <w:p w:rsidR="00D34225" w:rsidRPr="00A557BF" w:rsidRDefault="00D34225" w:rsidP="008C41F7">
            <w:pPr>
              <w:pStyle w:val="Textpoznpodarou"/>
            </w:pPr>
            <w:r w:rsidRPr="00A557BF">
              <w:t>Graf č. 15</w:t>
            </w:r>
          </w:p>
        </w:tc>
        <w:tc>
          <w:tcPr>
            <w:tcW w:w="2142" w:type="pct"/>
          </w:tcPr>
          <w:p w:rsidR="00D34225" w:rsidRPr="00A557BF" w:rsidRDefault="00D34225" w:rsidP="008C41F7">
            <w:pPr>
              <w:pStyle w:val="Textpoznpodarou"/>
            </w:pPr>
            <w:r w:rsidRPr="00A557BF">
              <w:rPr>
                <w:b/>
              </w:rPr>
              <w:t>Míra investic</w:t>
            </w:r>
            <w:r w:rsidRPr="00A557BF">
              <w:t xml:space="preserve"> (tvorba hrubého fixního kapitálu/HDP, v %, nominálně)</w:t>
            </w:r>
          </w:p>
        </w:tc>
        <w:tc>
          <w:tcPr>
            <w:tcW w:w="372" w:type="pct"/>
          </w:tcPr>
          <w:p w:rsidR="00D34225" w:rsidRPr="00A557BF" w:rsidRDefault="00D34225" w:rsidP="008C41F7">
            <w:pPr>
              <w:pStyle w:val="Textpoznpodarou"/>
            </w:pPr>
            <w:r w:rsidRPr="00A557BF">
              <w:t>Graf č. 16</w:t>
            </w:r>
          </w:p>
        </w:tc>
        <w:tc>
          <w:tcPr>
            <w:tcW w:w="2129" w:type="pct"/>
            <w:gridSpan w:val="2"/>
          </w:tcPr>
          <w:p w:rsidR="00D34225" w:rsidRPr="00A557BF" w:rsidRDefault="00D34225" w:rsidP="008C41F7">
            <w:pPr>
              <w:pStyle w:val="Textpoznpodarou"/>
              <w:rPr>
                <w:spacing w:val="-6"/>
              </w:rPr>
            </w:pPr>
            <w:r w:rsidRPr="00A557BF">
              <w:rPr>
                <w:b/>
                <w:spacing w:val="-6"/>
              </w:rPr>
              <w:t>Tvorba hrubé</w:t>
            </w:r>
            <w:r w:rsidR="002C69FA">
              <w:rPr>
                <w:b/>
                <w:spacing w:val="-6"/>
              </w:rPr>
              <w:t>ho fixního kapitálu v roce 2014</w:t>
            </w:r>
            <w:r w:rsidRPr="00A557BF">
              <w:rPr>
                <w:b/>
                <w:spacing w:val="-6"/>
              </w:rPr>
              <w:t xml:space="preserve"> </w:t>
            </w:r>
            <w:r w:rsidRPr="00A557BF">
              <w:rPr>
                <w:spacing w:val="-6"/>
              </w:rPr>
              <w:t>(y/y v %, reálně)</w:t>
            </w:r>
          </w:p>
        </w:tc>
      </w:tr>
      <w:tr w:rsidR="00D34225" w:rsidRPr="0056182E" w:rsidTr="000353D4">
        <w:tc>
          <w:tcPr>
            <w:tcW w:w="2499" w:type="pct"/>
            <w:gridSpan w:val="2"/>
          </w:tcPr>
          <w:p w:rsidR="00D34225" w:rsidRPr="0056182E" w:rsidRDefault="002A2083" w:rsidP="008C41F7">
            <w:pPr>
              <w:pStyle w:val="Textpoznpodarou"/>
              <w:jc w:val="both"/>
            </w:pPr>
            <w:r w:rsidRPr="00513C6F">
              <w:rPr>
                <w:noProof/>
                <w:sz w:val="16"/>
                <w:szCs w:val="16"/>
              </w:rPr>
              <w:pict>
                <v:shape id="_x0000_i1039" type="#_x0000_t75" style="width:237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">
                  <v:imagedata r:id="rId27" o:title=""/>
                  <o:lock v:ext="edit" aspectratio="f"/>
                </v:shape>
              </w:pict>
            </w:r>
          </w:p>
        </w:tc>
        <w:tc>
          <w:tcPr>
            <w:tcW w:w="2501" w:type="pct"/>
            <w:gridSpan w:val="3"/>
          </w:tcPr>
          <w:p w:rsidR="00D34225" w:rsidRPr="0056182E" w:rsidRDefault="002A2083" w:rsidP="008C41F7">
            <w:pPr>
              <w:pStyle w:val="Textpoznpodarou"/>
              <w:jc w:val="both"/>
            </w:pPr>
            <w:r w:rsidRPr="00513C6F">
              <w:rPr>
                <w:noProof/>
                <w:sz w:val="16"/>
                <w:szCs w:val="16"/>
              </w:rPr>
              <w:pict>
                <v:shape id="_x0000_i1040" type="#_x0000_t75" style="width:237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">
                  <v:imagedata r:id="rId28" o:title=""/>
                  <o:lock v:ext="edit" aspectratio="f"/>
                </v:shape>
              </w:pict>
            </w:r>
          </w:p>
        </w:tc>
      </w:tr>
      <w:tr w:rsidR="00D34225" w:rsidRPr="0002083E" w:rsidTr="000353D4">
        <w:tc>
          <w:tcPr>
            <w:tcW w:w="3372" w:type="pct"/>
            <w:gridSpan w:val="4"/>
          </w:tcPr>
          <w:p w:rsidR="00D34225" w:rsidRPr="00A557BF" w:rsidRDefault="00D34225" w:rsidP="008C41F7">
            <w:pPr>
              <w:pStyle w:val="Textpoznpodarou"/>
              <w:rPr>
                <w:noProof/>
                <w:sz w:val="18"/>
                <w:szCs w:val="18"/>
              </w:rPr>
            </w:pPr>
          </w:p>
        </w:tc>
        <w:tc>
          <w:tcPr>
            <w:tcW w:w="1628" w:type="pct"/>
          </w:tcPr>
          <w:p w:rsidR="00D34225" w:rsidRPr="00A557BF" w:rsidRDefault="00D34225" w:rsidP="008C41F7">
            <w:pPr>
              <w:pStyle w:val="Textpoznpodarou"/>
              <w:jc w:val="right"/>
              <w:rPr>
                <w:noProof/>
              </w:rPr>
            </w:pPr>
            <w:r w:rsidRPr="00A557BF">
              <w:rPr>
                <w:sz w:val="18"/>
                <w:szCs w:val="18"/>
              </w:rPr>
              <w:t xml:space="preserve">Zdroj: </w:t>
            </w:r>
            <w:proofErr w:type="spellStart"/>
            <w:r w:rsidRPr="00A557BF">
              <w:rPr>
                <w:sz w:val="18"/>
                <w:szCs w:val="18"/>
              </w:rPr>
              <w:t>Eurostat</w:t>
            </w:r>
            <w:proofErr w:type="spellEnd"/>
            <w:r w:rsidRPr="00A557BF">
              <w:rPr>
                <w:sz w:val="18"/>
                <w:szCs w:val="18"/>
              </w:rPr>
              <w:t>, vlastní výpočty</w:t>
            </w:r>
          </w:p>
        </w:tc>
      </w:tr>
    </w:tbl>
    <w:p w:rsidR="00D34225" w:rsidRDefault="00D2282B" w:rsidP="00435D30">
      <w:pPr>
        <w:pStyle w:val="Nadpis3"/>
        <w:numPr>
          <w:ilvl w:val="2"/>
          <w:numId w:val="3"/>
        </w:numPr>
        <w:rPr>
          <w:szCs w:val="20"/>
        </w:rPr>
      </w:pPr>
      <w:bookmarkStart w:id="12" w:name="_Toc426017655"/>
      <w:r>
        <w:lastRenderedPageBreak/>
        <w:t>Změna</w:t>
      </w:r>
      <w:r w:rsidR="00D34225">
        <w:t xml:space="preserve"> zásob</w:t>
      </w:r>
      <w:bookmarkEnd w:id="12"/>
    </w:p>
    <w:tbl>
      <w:tblPr>
        <w:tblW w:w="5000" w:type="pct"/>
        <w:tblLook w:val="00A0"/>
      </w:tblPr>
      <w:tblGrid>
        <w:gridCol w:w="2081"/>
        <w:gridCol w:w="290"/>
        <w:gridCol w:w="7483"/>
      </w:tblGrid>
      <w:tr w:rsidR="00D34225" w:rsidRPr="00A92209" w:rsidTr="008C41F7">
        <w:tc>
          <w:tcPr>
            <w:tcW w:w="1056" w:type="pct"/>
          </w:tcPr>
          <w:p w:rsidR="00D34225" w:rsidRPr="00A557BF" w:rsidRDefault="00D34225" w:rsidP="008C41F7">
            <w:pPr>
              <w:spacing w:line="240" w:lineRule="auto"/>
              <w:rPr>
                <w:sz w:val="16"/>
                <w:szCs w:val="16"/>
              </w:rPr>
            </w:pPr>
            <w:r w:rsidRPr="00A557BF">
              <w:rPr>
                <w:sz w:val="16"/>
                <w:szCs w:val="16"/>
              </w:rPr>
              <w:t>Hodnota „uskladněných“ zásob narostla v roce 20</w:t>
            </w:r>
            <w:r w:rsidR="00D2282B">
              <w:rPr>
                <w:sz w:val="16"/>
                <w:szCs w:val="16"/>
              </w:rPr>
              <w:t>14, jak je patrné ze změny</w:t>
            </w:r>
            <w:r w:rsidRPr="00A557BF">
              <w:rPr>
                <w:sz w:val="16"/>
                <w:szCs w:val="16"/>
              </w:rPr>
              <w:t xml:space="preserve"> zásob,</w:t>
            </w:r>
          </w:p>
          <w:p w:rsidR="00D34225" w:rsidRPr="00A557BF" w:rsidRDefault="00D34225" w:rsidP="008C41F7">
            <w:pPr>
              <w:spacing w:line="240" w:lineRule="auto"/>
              <w:rPr>
                <w:sz w:val="16"/>
                <w:szCs w:val="16"/>
              </w:rPr>
            </w:pPr>
            <w:r w:rsidRPr="00A557BF">
              <w:rPr>
                <w:sz w:val="16"/>
                <w:szCs w:val="16"/>
              </w:rPr>
              <w:t>o 5,8 mld. korun nominálně. Z pohledu příspěvků ke změně HDP se jednalo o jev pozitivní, …</w:t>
            </w:r>
          </w:p>
        </w:tc>
        <w:tc>
          <w:tcPr>
            <w:tcW w:w="147" w:type="pct"/>
          </w:tcPr>
          <w:p w:rsidR="00D34225" w:rsidRPr="00A557BF" w:rsidRDefault="00D34225" w:rsidP="008C41F7">
            <w:pPr>
              <w:pStyle w:val="Textpoznpodarou"/>
              <w:jc w:val="both"/>
            </w:pPr>
          </w:p>
        </w:tc>
        <w:tc>
          <w:tcPr>
            <w:tcW w:w="3797" w:type="pct"/>
          </w:tcPr>
          <w:p w:rsidR="00D34225" w:rsidRDefault="00D34225" w:rsidP="003078E0">
            <w:pPr>
              <w:pStyle w:val="Textpoznpodarou"/>
              <w:jc w:val="both"/>
              <w:rPr>
                <w:spacing w:val="-2"/>
              </w:rPr>
            </w:pPr>
            <w:r w:rsidRPr="00303312">
              <w:rPr>
                <w:spacing w:val="-2"/>
              </w:rPr>
              <w:t>Po razantním propadu v roce 2013 (-20,9 mld. korun) se hodnota „uskladněných“ zásob v loňském roce již zvýšila (+5,8 mld.</w:t>
            </w:r>
            <w:r w:rsidR="00D2282B">
              <w:rPr>
                <w:spacing w:val="-2"/>
              </w:rPr>
              <w:t xml:space="preserve"> korun). Plyne to ze změny</w:t>
            </w:r>
            <w:r w:rsidRPr="00303312">
              <w:rPr>
                <w:spacing w:val="-2"/>
              </w:rPr>
              <w:t xml:space="preserve"> zásob v běžných cenách. Z její struktury je také patrné, že došlo především k</w:t>
            </w:r>
            <w:r>
              <w:rPr>
                <w:spacing w:val="-2"/>
              </w:rPr>
              <w:t> </w:t>
            </w:r>
            <w:r w:rsidRPr="00303312">
              <w:rPr>
                <w:spacing w:val="-2"/>
              </w:rPr>
              <w:t xml:space="preserve">navýšení zásob materiálu (+9,3 mld. korun) a nedokončené produkce (+7,9 mld. korun), méně již pak zásob hotových produktů (+4,5 mld. </w:t>
            </w:r>
            <w:r w:rsidR="003078E0">
              <w:rPr>
                <w:spacing w:val="-2"/>
              </w:rPr>
              <w:t>k</w:t>
            </w:r>
            <w:r w:rsidRPr="00303312">
              <w:rPr>
                <w:spacing w:val="-2"/>
              </w:rPr>
              <w:t>orun</w:t>
            </w:r>
            <w:r w:rsidR="003078E0">
              <w:rPr>
                <w:spacing w:val="-2"/>
              </w:rPr>
              <w:t>).</w:t>
            </w:r>
            <w:r w:rsidRPr="00303312">
              <w:rPr>
                <w:spacing w:val="-2"/>
              </w:rPr>
              <w:t xml:space="preserve"> Protisměrně, tedy ve směru snižování hodnoty zásob, působil prakticky jen pokles zásob obchodního zboží (-15,7 mld. korun). </w:t>
            </w:r>
          </w:p>
          <w:p w:rsidR="003078E0" w:rsidRPr="003078E0" w:rsidRDefault="003078E0" w:rsidP="003078E0">
            <w:pPr>
              <w:pStyle w:val="Textpoznpodarou"/>
              <w:jc w:val="both"/>
            </w:pPr>
          </w:p>
        </w:tc>
      </w:tr>
      <w:tr w:rsidR="00D34225" w:rsidRPr="00A92209" w:rsidTr="008C41F7">
        <w:tc>
          <w:tcPr>
            <w:tcW w:w="1056" w:type="pct"/>
          </w:tcPr>
          <w:p w:rsidR="00D34225" w:rsidRPr="00A557BF" w:rsidRDefault="00D34225" w:rsidP="008C41F7">
            <w:pPr>
              <w:spacing w:line="240" w:lineRule="auto"/>
              <w:rPr>
                <w:sz w:val="16"/>
                <w:szCs w:val="16"/>
              </w:rPr>
            </w:pPr>
            <w:r w:rsidRPr="00A557BF">
              <w:rPr>
                <w:sz w:val="16"/>
                <w:szCs w:val="16"/>
              </w:rPr>
              <w:t>…příznivě se je</w:t>
            </w:r>
            <w:r w:rsidR="00D2282B">
              <w:rPr>
                <w:sz w:val="16"/>
                <w:szCs w:val="16"/>
              </w:rPr>
              <w:t>vila ale i struktura změny</w:t>
            </w:r>
            <w:r w:rsidRPr="00A557BF">
              <w:rPr>
                <w:sz w:val="16"/>
                <w:szCs w:val="16"/>
              </w:rPr>
              <w:t xml:space="preserve"> zásob</w:t>
            </w:r>
          </w:p>
        </w:tc>
        <w:tc>
          <w:tcPr>
            <w:tcW w:w="147" w:type="pct"/>
          </w:tcPr>
          <w:p w:rsidR="00D34225" w:rsidRPr="00A557BF" w:rsidRDefault="00D34225" w:rsidP="008C41F7">
            <w:pPr>
              <w:pStyle w:val="Textpoznpodarou"/>
              <w:jc w:val="both"/>
            </w:pPr>
          </w:p>
        </w:tc>
        <w:tc>
          <w:tcPr>
            <w:tcW w:w="3797" w:type="pct"/>
          </w:tcPr>
          <w:p w:rsidR="00D34225" w:rsidRPr="00A557BF" w:rsidRDefault="00D34225" w:rsidP="008C41F7">
            <w:pPr>
              <w:pStyle w:val="Textpoznpodarou"/>
              <w:jc w:val="both"/>
            </w:pPr>
            <w:r w:rsidRPr="00A557BF">
              <w:t>Celkově lze „naskladňování“ v roce 2014, pokud je na něj nahlíženo v kontextech, vnímat spíše pozitivně. Posílení hodnoty materiálu, ke kterému došlo poprvé po pěti letech, totiž indikuje, že očekávání výrobních podniků – co se týče budoucí poptávky – byla veskrze pozitivní. Navíc, poměrně razantní pokles hodnoty zásob v obchodním zboží, k němuž došlo prakticky poprvé od roku 2009, naznačoval, že oživení poptávky v roce 2014 bylo ze strany obchodníků neočekávané, a tedy poměrně silné.</w:t>
            </w:r>
          </w:p>
        </w:tc>
      </w:tr>
    </w:tbl>
    <w:p w:rsidR="00D34225" w:rsidRPr="003078E0" w:rsidRDefault="00D34225" w:rsidP="00D34225">
      <w:pPr>
        <w:rPr>
          <w:szCs w:val="20"/>
        </w:rPr>
      </w:pPr>
    </w:p>
    <w:p w:rsidR="00D34225" w:rsidRDefault="00D34225" w:rsidP="00435D30">
      <w:pPr>
        <w:pStyle w:val="Nadpis3"/>
        <w:numPr>
          <w:ilvl w:val="2"/>
          <w:numId w:val="3"/>
        </w:numPr>
        <w:rPr>
          <w:szCs w:val="20"/>
        </w:rPr>
      </w:pPr>
      <w:bookmarkStart w:id="13" w:name="_Toc426017656"/>
      <w:r>
        <w:t>Bilance zahraničního obchodu</w:t>
      </w:r>
      <w:bookmarkEnd w:id="13"/>
    </w:p>
    <w:tbl>
      <w:tblPr>
        <w:tblW w:w="5000" w:type="pct"/>
        <w:tblLook w:val="00A0"/>
      </w:tblPr>
      <w:tblGrid>
        <w:gridCol w:w="2081"/>
        <w:gridCol w:w="290"/>
        <w:gridCol w:w="7483"/>
      </w:tblGrid>
      <w:tr w:rsidR="00D34225" w:rsidRPr="00A557BF" w:rsidTr="008C41F7">
        <w:tc>
          <w:tcPr>
            <w:tcW w:w="1056" w:type="pct"/>
          </w:tcPr>
          <w:p w:rsidR="00D34225" w:rsidRPr="00A557BF" w:rsidRDefault="00D34225" w:rsidP="008C41F7">
            <w:pPr>
              <w:spacing w:line="240" w:lineRule="auto"/>
              <w:rPr>
                <w:sz w:val="16"/>
                <w:szCs w:val="16"/>
              </w:rPr>
            </w:pPr>
            <w:r w:rsidRPr="00A557BF">
              <w:rPr>
                <w:sz w:val="16"/>
                <w:szCs w:val="16"/>
              </w:rPr>
              <w:t>Přebytek zahraničního obchodu se zbožím a službami se v roce 2014 přiblížil hranici 300 mld. korun v běžných cenách, …</w:t>
            </w:r>
          </w:p>
        </w:tc>
        <w:tc>
          <w:tcPr>
            <w:tcW w:w="147" w:type="pct"/>
          </w:tcPr>
          <w:p w:rsidR="00D34225" w:rsidRPr="00A557BF" w:rsidRDefault="00D34225" w:rsidP="008C41F7">
            <w:pPr>
              <w:pStyle w:val="Textpoznpodarou"/>
              <w:jc w:val="both"/>
            </w:pPr>
          </w:p>
        </w:tc>
        <w:tc>
          <w:tcPr>
            <w:tcW w:w="3797" w:type="pct"/>
          </w:tcPr>
          <w:p w:rsidR="00D34225" w:rsidRPr="00A557BF" w:rsidRDefault="00D34225" w:rsidP="008C41F7">
            <w:pPr>
              <w:pStyle w:val="Textpoznpodarou"/>
              <w:jc w:val="both"/>
              <w:rPr>
                <w:spacing w:val="-2"/>
              </w:rPr>
            </w:pPr>
            <w:r w:rsidRPr="00A557BF">
              <w:rPr>
                <w:spacing w:val="-2"/>
              </w:rPr>
              <w:t>Bilance zahraničního obchodu se zbožím a službami v běžných cenách rostla v posledních čtyřech letech kontinuálně</w:t>
            </w:r>
            <w:r w:rsidR="00AE721E">
              <w:rPr>
                <w:spacing w:val="-2"/>
              </w:rPr>
              <w:t>.</w:t>
            </w:r>
            <w:r w:rsidRPr="00A557BF">
              <w:rPr>
                <w:rStyle w:val="Znakapoznpodarou"/>
                <w:spacing w:val="-2"/>
              </w:rPr>
              <w:footnoteReference w:id="5"/>
            </w:r>
            <w:r w:rsidRPr="00A557BF">
              <w:rPr>
                <w:spacing w:val="-2"/>
              </w:rPr>
              <w:t xml:space="preserve"> V průměru se zvyšovala o 40,9 mld. korun za rok, z toho ovšem v letech 2011, 2012 a 2013 spíše podprůměrně, v roce 2014 naopak vysoce nadprůměrně. Jestliže ještě v roce 2013 převyšoval vývoz zboží a služeb jejich dovoz o 236,2 mld. korun, v roce 2014 již o 286,3 mld. korun.</w:t>
            </w:r>
          </w:p>
          <w:p w:rsidR="00D34225" w:rsidRPr="003078E0" w:rsidRDefault="00D34225" w:rsidP="008C41F7">
            <w:pPr>
              <w:pStyle w:val="Textpoznpodarou"/>
              <w:jc w:val="both"/>
            </w:pPr>
          </w:p>
        </w:tc>
      </w:tr>
      <w:tr w:rsidR="00D34225" w:rsidRPr="00A557BF" w:rsidTr="008C41F7">
        <w:tc>
          <w:tcPr>
            <w:tcW w:w="1056" w:type="pct"/>
          </w:tcPr>
          <w:p w:rsidR="00D34225" w:rsidRPr="00A557BF" w:rsidRDefault="00D34225" w:rsidP="008C41F7">
            <w:pPr>
              <w:spacing w:line="240" w:lineRule="auto"/>
              <w:rPr>
                <w:sz w:val="16"/>
                <w:szCs w:val="16"/>
              </w:rPr>
            </w:pPr>
            <w:r w:rsidRPr="00A557BF">
              <w:rPr>
                <w:sz w:val="16"/>
                <w:szCs w:val="16"/>
              </w:rPr>
              <w:t>… a to výhradně díky zlepšení bilance ve zboží</w:t>
            </w:r>
          </w:p>
        </w:tc>
        <w:tc>
          <w:tcPr>
            <w:tcW w:w="147" w:type="pct"/>
          </w:tcPr>
          <w:p w:rsidR="00D34225" w:rsidRPr="00A557BF" w:rsidRDefault="00D34225" w:rsidP="008C41F7">
            <w:pPr>
              <w:pStyle w:val="Textpoznpodarou"/>
              <w:jc w:val="both"/>
            </w:pPr>
          </w:p>
        </w:tc>
        <w:tc>
          <w:tcPr>
            <w:tcW w:w="3797" w:type="pct"/>
          </w:tcPr>
          <w:p w:rsidR="00D34225" w:rsidRPr="00A557BF" w:rsidRDefault="00D34225" w:rsidP="008C41F7">
            <w:pPr>
              <w:pStyle w:val="Textpoznpodarou"/>
              <w:jc w:val="both"/>
              <w:rPr>
                <w:sz w:val="16"/>
                <w:szCs w:val="16"/>
              </w:rPr>
            </w:pPr>
            <w:r w:rsidRPr="00A557BF">
              <w:t>Přebytek zahraničního obchodu se zbožím a službami se v roce 2014 přiblí</w:t>
            </w:r>
            <w:r w:rsidR="00C417ED">
              <w:t>žil hranici 300 mld. korun</w:t>
            </w:r>
            <w:r w:rsidRPr="00A557BF">
              <w:t xml:space="preserve"> pouze díky nárůstu přebytku v obchodě se zbožím, který se proti roku 2013 rozrostl o 64,8 mld. korun. Bilance zahraničního obchodu se službami se naproti tomu o 14,7 mld. korun zmenšila, a to zejména – jak ukazují údaje platební bilance – v důsledku vyššího nárůstu výdajů na cestovní ruch oproti příjmům z cestovního ruchu, ale také vlivem razantnějšího růstu výdajů na tzv. ostatní podnikatelské služby v porovnání s jejich příjmy (pa</w:t>
            </w:r>
            <w:r w:rsidR="003078E0">
              <w:t>t</w:t>
            </w:r>
            <w:r w:rsidRPr="00A557BF">
              <w:t>ří do nich např. odborné a manažer</w:t>
            </w:r>
            <w:r w:rsidR="00E94BE9">
              <w:t>ské poradenství, výzkum a vývoj</w:t>
            </w:r>
            <w:r w:rsidRPr="00A557BF">
              <w:t xml:space="preserve"> atd.).</w:t>
            </w:r>
          </w:p>
        </w:tc>
      </w:tr>
    </w:tbl>
    <w:p w:rsidR="00D34225" w:rsidRPr="003078E0" w:rsidRDefault="00D34225" w:rsidP="00D34225">
      <w:pPr>
        <w:rPr>
          <w:szCs w:val="20"/>
        </w:rPr>
      </w:pPr>
    </w:p>
    <w:tbl>
      <w:tblPr>
        <w:tblW w:w="5000" w:type="pct"/>
        <w:tblLook w:val="04A0"/>
      </w:tblPr>
      <w:tblGrid>
        <w:gridCol w:w="1113"/>
        <w:gridCol w:w="3814"/>
        <w:gridCol w:w="1136"/>
        <w:gridCol w:w="610"/>
        <w:gridCol w:w="3181"/>
      </w:tblGrid>
      <w:tr w:rsidR="00D34225" w:rsidRPr="00A557BF" w:rsidTr="008C41F7">
        <w:tc>
          <w:tcPr>
            <w:tcW w:w="564" w:type="pct"/>
          </w:tcPr>
          <w:p w:rsidR="00D34225" w:rsidRPr="00A557BF" w:rsidRDefault="00D34225" w:rsidP="008C41F7">
            <w:pPr>
              <w:pStyle w:val="Textpoznpodarou"/>
            </w:pPr>
            <w:r w:rsidRPr="00A557BF">
              <w:t>Graf č. 17</w:t>
            </w:r>
          </w:p>
        </w:tc>
        <w:tc>
          <w:tcPr>
            <w:tcW w:w="1937" w:type="pct"/>
          </w:tcPr>
          <w:p w:rsidR="00D34225" w:rsidRPr="00A557BF" w:rsidRDefault="00D34225" w:rsidP="008C41F7">
            <w:pPr>
              <w:pStyle w:val="Textpoznpodarou"/>
            </w:pPr>
            <w:r w:rsidRPr="00A557BF">
              <w:rPr>
                <w:b/>
              </w:rPr>
              <w:t>Bilance zahraničního obchodu</w:t>
            </w:r>
            <w:r w:rsidRPr="00A557BF">
              <w:t xml:space="preserve"> (v mld. korun, nominálně)</w:t>
            </w:r>
          </w:p>
        </w:tc>
        <w:tc>
          <w:tcPr>
            <w:tcW w:w="576" w:type="pct"/>
          </w:tcPr>
          <w:p w:rsidR="00D34225" w:rsidRPr="00A557BF" w:rsidRDefault="00D34225" w:rsidP="008C41F7">
            <w:pPr>
              <w:pStyle w:val="Textpoznpodarou"/>
            </w:pPr>
            <w:r w:rsidRPr="00A557BF">
              <w:t>Graf č. 18</w:t>
            </w:r>
          </w:p>
        </w:tc>
        <w:tc>
          <w:tcPr>
            <w:tcW w:w="1923" w:type="pct"/>
            <w:gridSpan w:val="2"/>
          </w:tcPr>
          <w:p w:rsidR="00D34225" w:rsidRPr="00A557BF" w:rsidRDefault="00D81703" w:rsidP="008C41F7">
            <w:pPr>
              <w:pStyle w:val="Textpoznpodarou"/>
            </w:pPr>
            <w:r>
              <w:rPr>
                <w:b/>
              </w:rPr>
              <w:t>Zahraniční obchod se zbožím</w:t>
            </w:r>
            <w:r w:rsidR="00D34225" w:rsidRPr="00A557BF">
              <w:rPr>
                <w:b/>
              </w:rPr>
              <w:t xml:space="preserve"> </w:t>
            </w:r>
            <w:r w:rsidR="00D34225" w:rsidRPr="00A557BF">
              <w:t>(y/y v %, reálně)</w:t>
            </w:r>
          </w:p>
        </w:tc>
      </w:tr>
      <w:tr w:rsidR="00D34225" w:rsidRPr="00167AC1" w:rsidTr="008C41F7">
        <w:tc>
          <w:tcPr>
            <w:tcW w:w="2501" w:type="pct"/>
            <w:gridSpan w:val="2"/>
          </w:tcPr>
          <w:p w:rsidR="00D34225" w:rsidRPr="00167AC1" w:rsidRDefault="00513C6F" w:rsidP="008C41F7">
            <w:pPr>
              <w:pStyle w:val="Textpoznpodarou"/>
              <w:jc w:val="both"/>
            </w:pPr>
            <w:r>
              <w:rPr>
                <w:noProof/>
              </w:rPr>
              <w:pict>
                <v:shape id="_x0000_i1041" type="#_x0000_t75" style="width:237pt;height:186pt;visibility:visible;mso-wrap-style:square">
                  <v:imagedata r:id="rId29" o:title=""/>
                </v:shape>
              </w:pict>
            </w:r>
          </w:p>
        </w:tc>
        <w:tc>
          <w:tcPr>
            <w:tcW w:w="2499" w:type="pct"/>
            <w:gridSpan w:val="3"/>
          </w:tcPr>
          <w:p w:rsidR="00D34225" w:rsidRPr="00167AC1" w:rsidRDefault="00513C6F" w:rsidP="008C41F7">
            <w:pPr>
              <w:pStyle w:val="Textpoznpodarou"/>
              <w:jc w:val="both"/>
            </w:pPr>
            <w:r>
              <w:rPr>
                <w:noProof/>
              </w:rPr>
              <w:pict>
                <v:shape id="_x0000_i1042" type="#_x0000_t75" style="width:237pt;height:186pt;visibility:visible;mso-wrap-style:square">
                  <v:imagedata r:id="rId30" o:title=""/>
                </v:shape>
              </w:pict>
            </w:r>
          </w:p>
        </w:tc>
      </w:tr>
      <w:tr w:rsidR="00D34225" w:rsidRPr="00167AC1" w:rsidTr="008C41F7">
        <w:tc>
          <w:tcPr>
            <w:tcW w:w="3386" w:type="pct"/>
            <w:gridSpan w:val="4"/>
          </w:tcPr>
          <w:p w:rsidR="00D34225" w:rsidRPr="00A557BF" w:rsidRDefault="00D34225" w:rsidP="008C41F7">
            <w:pPr>
              <w:pStyle w:val="Textpoznpodarou"/>
              <w:rPr>
                <w:noProof/>
                <w:sz w:val="18"/>
                <w:szCs w:val="18"/>
              </w:rPr>
            </w:pPr>
          </w:p>
        </w:tc>
        <w:tc>
          <w:tcPr>
            <w:tcW w:w="1614" w:type="pct"/>
          </w:tcPr>
          <w:p w:rsidR="00D34225" w:rsidRPr="00A557BF" w:rsidRDefault="00D34225" w:rsidP="008C41F7">
            <w:pPr>
              <w:pStyle w:val="Textpoznpodarou"/>
              <w:jc w:val="right"/>
              <w:rPr>
                <w:noProof/>
              </w:rPr>
            </w:pPr>
            <w:r w:rsidRPr="00A557BF">
              <w:rPr>
                <w:sz w:val="18"/>
                <w:szCs w:val="18"/>
              </w:rPr>
              <w:t>Zdroj: ČSÚ</w:t>
            </w:r>
            <w:r w:rsidR="00D81703">
              <w:rPr>
                <w:sz w:val="18"/>
                <w:szCs w:val="18"/>
              </w:rPr>
              <w:t xml:space="preserve"> (národní účty) </w:t>
            </w:r>
          </w:p>
        </w:tc>
      </w:tr>
    </w:tbl>
    <w:p w:rsidR="00D34225" w:rsidRPr="003078E0" w:rsidRDefault="00D34225" w:rsidP="00D34225">
      <w:pPr>
        <w:rPr>
          <w:szCs w:val="20"/>
        </w:rPr>
      </w:pPr>
    </w:p>
    <w:tbl>
      <w:tblPr>
        <w:tblW w:w="5000" w:type="pct"/>
        <w:tblLook w:val="00A0"/>
      </w:tblPr>
      <w:tblGrid>
        <w:gridCol w:w="2089"/>
        <w:gridCol w:w="300"/>
        <w:gridCol w:w="7465"/>
      </w:tblGrid>
      <w:tr w:rsidR="00D34225" w:rsidRPr="00A557BF" w:rsidTr="008C41F7">
        <w:tc>
          <w:tcPr>
            <w:tcW w:w="1060" w:type="pct"/>
          </w:tcPr>
          <w:p w:rsidR="00D34225" w:rsidRPr="00A557BF" w:rsidRDefault="00D34225" w:rsidP="008C41F7">
            <w:pPr>
              <w:spacing w:line="240" w:lineRule="auto"/>
              <w:rPr>
                <w:sz w:val="16"/>
                <w:szCs w:val="16"/>
              </w:rPr>
            </w:pPr>
            <w:r w:rsidRPr="00A557BF">
              <w:rPr>
                <w:sz w:val="16"/>
                <w:szCs w:val="16"/>
              </w:rPr>
              <w:t>Nárůst přebytku zahraničního obchodu se zbožím pod taktovkou kladných směnných relací</w:t>
            </w:r>
          </w:p>
          <w:p w:rsidR="00D34225" w:rsidRPr="00A557BF" w:rsidRDefault="00D34225" w:rsidP="008C41F7">
            <w:pPr>
              <w:spacing w:line="240" w:lineRule="auto"/>
              <w:rPr>
                <w:sz w:val="16"/>
                <w:szCs w:val="16"/>
              </w:rPr>
            </w:pPr>
          </w:p>
          <w:p w:rsidR="00D34225" w:rsidRPr="00A557BF" w:rsidRDefault="00D34225" w:rsidP="008C41F7">
            <w:pPr>
              <w:spacing w:line="240" w:lineRule="auto"/>
              <w:rPr>
                <w:sz w:val="16"/>
                <w:szCs w:val="16"/>
              </w:rPr>
            </w:pPr>
          </w:p>
          <w:p w:rsidR="00D34225" w:rsidRPr="00A557BF" w:rsidRDefault="00D34225" w:rsidP="008C41F7">
            <w:pPr>
              <w:spacing w:line="240" w:lineRule="auto"/>
              <w:rPr>
                <w:sz w:val="16"/>
                <w:szCs w:val="16"/>
              </w:rPr>
            </w:pPr>
          </w:p>
        </w:tc>
        <w:tc>
          <w:tcPr>
            <w:tcW w:w="152" w:type="pct"/>
          </w:tcPr>
          <w:p w:rsidR="00D34225" w:rsidRPr="00A557BF" w:rsidRDefault="00D34225" w:rsidP="008C41F7">
            <w:pPr>
              <w:pStyle w:val="Textpoznpodarou"/>
              <w:jc w:val="both"/>
            </w:pPr>
          </w:p>
        </w:tc>
        <w:tc>
          <w:tcPr>
            <w:tcW w:w="3788" w:type="pct"/>
          </w:tcPr>
          <w:p w:rsidR="00D34225" w:rsidRPr="00A557BF" w:rsidRDefault="00D34225" w:rsidP="008C41F7">
            <w:pPr>
              <w:pStyle w:val="Textpoznpodarou"/>
              <w:jc w:val="both"/>
            </w:pPr>
            <w:r w:rsidRPr="00A557BF">
              <w:t xml:space="preserve">Jestliže se vývoz zboží z ČR v roce 2014 díky oživení poptávky v zahraničí a slabší koruně zvýšil o 9,3 % reálně, tedy výrazně dynamičtěji než v roce předchozím (+0,6 %), potom nárůst dovozu zrychlil – vlivem sílící domácí poptávky a rychle rostoucího zpracovatelského průmyslu náročného na vstupy – z +0,5 % v roce </w:t>
            </w:r>
            <w:r w:rsidR="00A66976">
              <w:t>2013 dokonce na +9,9 %. Z toho logicky</w:t>
            </w:r>
            <w:r w:rsidRPr="00A557BF">
              <w:t xml:space="preserve"> plyne, že toky zboží </w:t>
            </w:r>
            <w:r w:rsidRPr="00A557BF">
              <w:lastRenderedPageBreak/>
              <w:t xml:space="preserve">v reálném vyjádření se na tak významném nárůstu přebytku, ke kterému v roce 2014 došlo, podílet nemohly. Rozdíl mezi vývozem a dovozem zboží posílil především díky příznivému vývoji cen, tedy kladným směnným relacím. Jejich efekt byl nejsilnější v obchodě se stroji a dopravními prostředky, dále pak v obchodě s polotovary a také v obchodě </w:t>
            </w:r>
            <w:r w:rsidR="003078E0">
              <w:t xml:space="preserve">s </w:t>
            </w:r>
            <w:r w:rsidRPr="00A557BF">
              <w:t>minerálními palivy</w:t>
            </w:r>
            <w:r w:rsidR="003078E0">
              <w:t xml:space="preserve"> (</w:t>
            </w:r>
            <w:r w:rsidR="006D6AF7">
              <w:t>k příznivému vývoji cen v zahraničním obchodě s minerálními palivy došlo především vlivem poklesu ceny ropy na světových komoditních trzích</w:t>
            </w:r>
            <w:r w:rsidR="003078E0">
              <w:t>)</w:t>
            </w:r>
            <w:r w:rsidRPr="00A557BF">
              <w:t>.</w:t>
            </w:r>
          </w:p>
          <w:p w:rsidR="00D34225" w:rsidRPr="003078E0" w:rsidRDefault="00D34225" w:rsidP="008C41F7">
            <w:pPr>
              <w:pStyle w:val="Textpoznpodarou"/>
              <w:jc w:val="both"/>
            </w:pPr>
          </w:p>
        </w:tc>
      </w:tr>
      <w:tr w:rsidR="00D34225" w:rsidRPr="00A557BF" w:rsidTr="008C41F7">
        <w:tc>
          <w:tcPr>
            <w:tcW w:w="1060" w:type="pct"/>
          </w:tcPr>
          <w:p w:rsidR="00D34225" w:rsidRPr="00A557BF" w:rsidRDefault="00D34225" w:rsidP="008C41F7">
            <w:pPr>
              <w:spacing w:line="240" w:lineRule="auto"/>
              <w:rPr>
                <w:sz w:val="16"/>
                <w:szCs w:val="16"/>
              </w:rPr>
            </w:pPr>
            <w:r w:rsidRPr="00A557BF">
              <w:rPr>
                <w:sz w:val="16"/>
                <w:szCs w:val="16"/>
              </w:rPr>
              <w:lastRenderedPageBreak/>
              <w:t>Zatímco podle HDP se výkon české ekonomiky v roce 2014 zvýšil o 2,0 %, podle reálného hrubého domácího důchodu o 3,2 %</w:t>
            </w:r>
          </w:p>
        </w:tc>
        <w:tc>
          <w:tcPr>
            <w:tcW w:w="152" w:type="pct"/>
          </w:tcPr>
          <w:p w:rsidR="00D34225" w:rsidRPr="00A557BF" w:rsidRDefault="00D34225" w:rsidP="008C41F7">
            <w:pPr>
              <w:pStyle w:val="Textpoznpodarou"/>
              <w:jc w:val="both"/>
            </w:pPr>
          </w:p>
        </w:tc>
        <w:tc>
          <w:tcPr>
            <w:tcW w:w="3788" w:type="pct"/>
          </w:tcPr>
          <w:p w:rsidR="00D34225" w:rsidRPr="00A557BF" w:rsidRDefault="00D34225" w:rsidP="008C41F7">
            <w:pPr>
              <w:pStyle w:val="Textpoznpodarou"/>
              <w:jc w:val="both"/>
            </w:pPr>
            <w:r w:rsidRPr="00A557BF">
              <w:t>Příznivý vývoj cen v zahraničním obchodě se zbožím, který se promítal do dynamického nárůstu přebytku zahraničního obchodu se zbožím a potažmo do přebytku zahraničního obchodu jako celku, výrazně zlepšoval výkonnost tuzemské ekonomiky. Přestože v dynamice HDP tyto dodatečné nominální zisky, kterých ekonomika v roce 2014 dosáhla, zohledněny nebyly (HDP se vždy očišťuje od všech cenových vlivů, tedy i od vývoje cen v zahraničním obchodě), v tzv. reálném hrubém domácím důchodu již ano. Jestliže se tak výkonnost české ekonomiky v roce 2014 zvýšila podle HDP o rovná 2 %, podle reálného hrubého domácího důchodu o mnohem vyšší 3,2 %. Disproporce mezi těmito ukazateli, ve smyslu podhodnocení vývoje ekonomiky podle HDP, byla největší za posledních dvanáct let (v roce 2002 HDP +1,6 %, reálný hrubý domácí důchod +3,5 %).</w:t>
            </w:r>
          </w:p>
          <w:p w:rsidR="00D34225" w:rsidRPr="003078E0" w:rsidRDefault="00D34225" w:rsidP="008C41F7">
            <w:pPr>
              <w:pStyle w:val="Textpoznpodarou"/>
              <w:jc w:val="both"/>
            </w:pPr>
          </w:p>
        </w:tc>
      </w:tr>
      <w:tr w:rsidR="00D34225" w:rsidRPr="00A557BF" w:rsidTr="008C41F7">
        <w:tc>
          <w:tcPr>
            <w:tcW w:w="1060" w:type="pct"/>
          </w:tcPr>
          <w:p w:rsidR="00D34225" w:rsidRPr="00A557BF" w:rsidRDefault="00D34225" w:rsidP="008C41F7">
            <w:pPr>
              <w:spacing w:line="240" w:lineRule="auto"/>
              <w:rPr>
                <w:sz w:val="16"/>
                <w:szCs w:val="16"/>
              </w:rPr>
            </w:pPr>
            <w:r w:rsidRPr="00A557BF">
              <w:rPr>
                <w:sz w:val="16"/>
                <w:szCs w:val="16"/>
              </w:rPr>
              <w:t>Co do meziroční změny vývozu zboží a služeb v roce 2013 česká ekonomika</w:t>
            </w:r>
            <w:r w:rsidR="006D6AF7">
              <w:rPr>
                <w:sz w:val="16"/>
                <w:szCs w:val="16"/>
              </w:rPr>
              <w:t xml:space="preserve"> mezi zeměmi EU až dvacátá čtvrtá</w:t>
            </w:r>
            <w:r w:rsidRPr="00A557BF">
              <w:rPr>
                <w:sz w:val="16"/>
                <w:szCs w:val="16"/>
              </w:rPr>
              <w:t>, v roce 2014 ale už třetí, …</w:t>
            </w:r>
          </w:p>
        </w:tc>
        <w:tc>
          <w:tcPr>
            <w:tcW w:w="152" w:type="pct"/>
          </w:tcPr>
          <w:p w:rsidR="00D34225" w:rsidRPr="00A557BF" w:rsidRDefault="00D34225" w:rsidP="008C41F7">
            <w:pPr>
              <w:pStyle w:val="Textpoznpodarou"/>
              <w:jc w:val="both"/>
            </w:pPr>
          </w:p>
        </w:tc>
        <w:tc>
          <w:tcPr>
            <w:tcW w:w="3788" w:type="pct"/>
          </w:tcPr>
          <w:p w:rsidR="00D34225" w:rsidRPr="00A557BF" w:rsidRDefault="00D34225" w:rsidP="008C41F7">
            <w:pPr>
              <w:pStyle w:val="Textpoznpodarou"/>
              <w:jc w:val="both"/>
            </w:pPr>
            <w:r w:rsidRPr="00A557BF">
              <w:t xml:space="preserve">Po útlumu tempa růstu vývozu zboží a služeb z ČR v letech 2011 až 2013 (z +14,8 % v roce 2010 přes +9,3 %, +4,3 % až na nulu v roce 2013) už v roce 2014 vývoz narostl rapidně. Navýšil se o 8,9 %, po Irsku (+12,6 %) a Řecku (+9,0 %) nejdynamičtěji ze všech zemí EU. To byl výrazný rozdíl proti roku předchozímu, kdy se tuzemská ekonomika s nulovým nárůstem vývozu zboží a služeb řadila mezi unijními zeměmi </w:t>
            </w:r>
            <w:r w:rsidR="003078E0">
              <w:t xml:space="preserve">až ke konci žebříčku. </w:t>
            </w:r>
          </w:p>
          <w:p w:rsidR="00D34225" w:rsidRPr="003078E0" w:rsidRDefault="00D34225" w:rsidP="008C41F7">
            <w:pPr>
              <w:pStyle w:val="Textpoznpodarou"/>
              <w:jc w:val="both"/>
            </w:pPr>
          </w:p>
        </w:tc>
      </w:tr>
      <w:tr w:rsidR="00D34225" w:rsidRPr="00A557BF" w:rsidTr="008C41F7">
        <w:tc>
          <w:tcPr>
            <w:tcW w:w="1060" w:type="pct"/>
          </w:tcPr>
          <w:p w:rsidR="00D34225" w:rsidRPr="00A557BF" w:rsidRDefault="00D34225" w:rsidP="008C41F7">
            <w:pPr>
              <w:spacing w:line="240" w:lineRule="auto"/>
              <w:rPr>
                <w:sz w:val="16"/>
                <w:szCs w:val="16"/>
              </w:rPr>
            </w:pPr>
            <w:r w:rsidRPr="00A557BF">
              <w:rPr>
                <w:sz w:val="16"/>
                <w:szCs w:val="16"/>
              </w:rPr>
              <w:t>…přitom k markantnímu posunu v žebříčku směrem vzhůru přispěla pozitivně i slabší koruna</w:t>
            </w:r>
          </w:p>
        </w:tc>
        <w:tc>
          <w:tcPr>
            <w:tcW w:w="152" w:type="pct"/>
          </w:tcPr>
          <w:p w:rsidR="00D34225" w:rsidRPr="00A557BF" w:rsidRDefault="00D34225" w:rsidP="008C41F7">
            <w:pPr>
              <w:pStyle w:val="Textpoznpodarou"/>
              <w:jc w:val="both"/>
            </w:pPr>
          </w:p>
        </w:tc>
        <w:tc>
          <w:tcPr>
            <w:tcW w:w="3788" w:type="pct"/>
          </w:tcPr>
          <w:p w:rsidR="00D34225" w:rsidRPr="00A557BF" w:rsidRDefault="00D34225" w:rsidP="008C41F7">
            <w:pPr>
              <w:pStyle w:val="Textpoznpodarou"/>
              <w:jc w:val="both"/>
            </w:pPr>
            <w:r w:rsidRPr="00A557BF">
              <w:t>V porovnání s Německem (+3,8 %), vysoce výkonnou a poměrně exportně orientovanou ekonomikou, ale i v porovnání s úhrnem za země platící eurem (+3,8 %) nebo s celou Evropskou unií (+3,7 %) byl výsledek o tempu růstu vývozu zboží a služeb z ČR za rok 20</w:t>
            </w:r>
            <w:r w:rsidR="00796187">
              <w:t>14 velmi příznivý. Bylo více než</w:t>
            </w:r>
            <w:r w:rsidRPr="00A557BF">
              <w:t xml:space="preserve"> dvojnásobné, což ukazovalo, že schopnost tuzemských exportérů uplatnit se na zahraničních trzích byla v</w:t>
            </w:r>
            <w:r w:rsidR="00863374">
              <w:t> evropském kontextu nadprůměrná. J</w:t>
            </w:r>
            <w:r w:rsidRPr="00A557BF">
              <w:t>e ovšem nutno poznamenat, že na rozdí</w:t>
            </w:r>
            <w:r w:rsidR="00854865">
              <w:t>l od ostatních exportérů měli</w:t>
            </w:r>
            <w:r w:rsidRPr="00A557BF">
              <w:t xml:space="preserve"> tuzemští specifickou konkurenční výhodu. Tou byla slabší koruna.</w:t>
            </w:r>
          </w:p>
          <w:p w:rsidR="00D34225" w:rsidRPr="003078E0" w:rsidRDefault="00D34225" w:rsidP="008C41F7">
            <w:pPr>
              <w:pStyle w:val="Textpoznpodarou"/>
              <w:jc w:val="both"/>
            </w:pPr>
          </w:p>
        </w:tc>
      </w:tr>
      <w:tr w:rsidR="00D34225" w:rsidRPr="00A557BF" w:rsidTr="008C41F7">
        <w:trPr>
          <w:trHeight w:val="1052"/>
        </w:trPr>
        <w:tc>
          <w:tcPr>
            <w:tcW w:w="1060" w:type="pct"/>
          </w:tcPr>
          <w:p w:rsidR="00D34225" w:rsidRPr="00A557BF" w:rsidRDefault="00D34225" w:rsidP="008C41F7">
            <w:pPr>
              <w:spacing w:line="240" w:lineRule="auto"/>
              <w:rPr>
                <w:sz w:val="16"/>
                <w:szCs w:val="16"/>
              </w:rPr>
            </w:pPr>
            <w:r w:rsidRPr="00A557BF">
              <w:rPr>
                <w:sz w:val="16"/>
                <w:szCs w:val="16"/>
              </w:rPr>
              <w:t>Silná domácí poptávka a rychle rostoucí zpracovatelský průmysl se výrazně promítly do objemu dovozu zboží a služeb. Narostl o 9,8 %</w:t>
            </w:r>
          </w:p>
        </w:tc>
        <w:tc>
          <w:tcPr>
            <w:tcW w:w="152" w:type="pct"/>
          </w:tcPr>
          <w:p w:rsidR="00D34225" w:rsidRPr="00A557BF" w:rsidRDefault="00D34225" w:rsidP="008C41F7">
            <w:pPr>
              <w:pStyle w:val="Textpoznpodarou"/>
              <w:jc w:val="both"/>
            </w:pPr>
          </w:p>
        </w:tc>
        <w:tc>
          <w:tcPr>
            <w:tcW w:w="3788" w:type="pct"/>
          </w:tcPr>
          <w:p w:rsidR="00D34225" w:rsidRPr="00A557BF" w:rsidRDefault="00D34225" w:rsidP="008C41F7">
            <w:pPr>
              <w:pStyle w:val="Textpoznpodarou"/>
              <w:jc w:val="both"/>
            </w:pPr>
            <w:r w:rsidRPr="00A557BF">
              <w:t>Zvyšující se domácí poptávka</w:t>
            </w:r>
            <w:r>
              <w:t>,</w:t>
            </w:r>
            <w:r w:rsidRPr="00A557BF">
              <w:t xml:space="preserve"> ale také dynamicky rostoucí produkce zpracovatelského průmyslu, se společně promítaly do vyšších nároků na dovozy zboží a služeb</w:t>
            </w:r>
            <w:r>
              <w:t xml:space="preserve"> do české ekonomiky</w:t>
            </w:r>
            <w:r w:rsidRPr="00A557BF">
              <w:t xml:space="preserve">. Po faktické stagnaci z roku 2013 (+0,1 %) posílily o 9,8 %. Jejich přírůstek byl třetí nejvyšší </w:t>
            </w:r>
            <w:r>
              <w:t>ze všech osmadvaceti zemí Evropské unie</w:t>
            </w:r>
            <w:r w:rsidRPr="00A557BF">
              <w:t>, více narostly dovozy zboží a služeb už jen do Irska (+13,2 %) a do Maďarska (+10,0 %).</w:t>
            </w:r>
          </w:p>
        </w:tc>
      </w:tr>
    </w:tbl>
    <w:p w:rsidR="003048B8" w:rsidRPr="00A557BF" w:rsidRDefault="003048B8" w:rsidP="00D34225">
      <w:pPr>
        <w:rPr>
          <w:sz w:val="16"/>
          <w:szCs w:val="16"/>
        </w:rPr>
      </w:pPr>
    </w:p>
    <w:tbl>
      <w:tblPr>
        <w:tblW w:w="5000" w:type="pct"/>
        <w:tblLook w:val="04A0"/>
      </w:tblPr>
      <w:tblGrid>
        <w:gridCol w:w="1112"/>
        <w:gridCol w:w="2824"/>
        <w:gridCol w:w="992"/>
        <w:gridCol w:w="1139"/>
        <w:gridCol w:w="3787"/>
      </w:tblGrid>
      <w:tr w:rsidR="00D34225" w:rsidRPr="00A557BF" w:rsidTr="00D81703">
        <w:tc>
          <w:tcPr>
            <w:tcW w:w="564" w:type="pct"/>
          </w:tcPr>
          <w:p w:rsidR="00D34225" w:rsidRPr="00A557BF" w:rsidRDefault="00D34225" w:rsidP="008C41F7">
            <w:pPr>
              <w:pStyle w:val="Textpoznpodarou"/>
            </w:pPr>
            <w:r w:rsidRPr="00A557BF">
              <w:t>Graf č. 19</w:t>
            </w:r>
          </w:p>
        </w:tc>
        <w:tc>
          <w:tcPr>
            <w:tcW w:w="1936" w:type="pct"/>
            <w:gridSpan w:val="2"/>
          </w:tcPr>
          <w:p w:rsidR="00D34225" w:rsidRPr="00A557BF" w:rsidRDefault="00D34225" w:rsidP="008C41F7">
            <w:pPr>
              <w:pStyle w:val="Textpoznpodarou"/>
            </w:pPr>
            <w:r w:rsidRPr="00A557BF">
              <w:rPr>
                <w:b/>
              </w:rPr>
              <w:t>HDP a reálný hrubý domácí důchod</w:t>
            </w:r>
            <w:r w:rsidRPr="00A557BF">
              <w:t xml:space="preserve"> (y/y v %, reálně)</w:t>
            </w:r>
          </w:p>
        </w:tc>
        <w:tc>
          <w:tcPr>
            <w:tcW w:w="578" w:type="pct"/>
          </w:tcPr>
          <w:p w:rsidR="00D34225" w:rsidRPr="00A557BF" w:rsidRDefault="00D34225" w:rsidP="008C41F7">
            <w:pPr>
              <w:pStyle w:val="Textpoznpodarou"/>
            </w:pPr>
            <w:r w:rsidRPr="00A557BF">
              <w:t>Graf č. 20</w:t>
            </w:r>
          </w:p>
        </w:tc>
        <w:tc>
          <w:tcPr>
            <w:tcW w:w="1922" w:type="pct"/>
          </w:tcPr>
          <w:p w:rsidR="00675120" w:rsidRDefault="00D34225" w:rsidP="008C41F7">
            <w:pPr>
              <w:pStyle w:val="Textpoznpodarou"/>
            </w:pPr>
            <w:r w:rsidRPr="00A557BF">
              <w:rPr>
                <w:b/>
              </w:rPr>
              <w:t>Vývoz zboží a služeb</w:t>
            </w:r>
          </w:p>
          <w:p w:rsidR="00D34225" w:rsidRPr="00A557BF" w:rsidRDefault="00D34225" w:rsidP="008C41F7">
            <w:pPr>
              <w:pStyle w:val="Textpoznpodarou"/>
            </w:pPr>
            <w:r w:rsidRPr="00A557BF">
              <w:t>(y/y v %, reálně)</w:t>
            </w:r>
          </w:p>
        </w:tc>
      </w:tr>
      <w:tr w:rsidR="00D34225" w:rsidRPr="00167AC1" w:rsidTr="00D81703">
        <w:tc>
          <w:tcPr>
            <w:tcW w:w="2500" w:type="pct"/>
            <w:gridSpan w:val="3"/>
          </w:tcPr>
          <w:p w:rsidR="00D34225" w:rsidRPr="00167AC1" w:rsidRDefault="002A2083" w:rsidP="008C41F7">
            <w:pPr>
              <w:pStyle w:val="Textpoznpodarou"/>
              <w:jc w:val="both"/>
            </w:pPr>
            <w:r>
              <w:rPr>
                <w:noProof/>
              </w:rPr>
              <w:pict>
                <v:shape id="obrázek 4" o:spid="_x0000_i1043" type="#_x0000_t75" style="width:237pt;height:186pt;visibility:visible;mso-wrap-style:square">
                  <v:imagedata r:id="rId31" o:title=""/>
                </v:shape>
              </w:pict>
            </w:r>
          </w:p>
        </w:tc>
        <w:tc>
          <w:tcPr>
            <w:tcW w:w="2500" w:type="pct"/>
            <w:gridSpan w:val="2"/>
          </w:tcPr>
          <w:p w:rsidR="00D34225" w:rsidRPr="00167AC1" w:rsidRDefault="002A2083" w:rsidP="008C41F7">
            <w:pPr>
              <w:pStyle w:val="Textpoznpodarou"/>
              <w:jc w:val="both"/>
            </w:pPr>
            <w:r w:rsidRPr="00513C6F">
              <w:rPr>
                <w:noProof/>
                <w:sz w:val="16"/>
                <w:szCs w:val="16"/>
              </w:rPr>
              <w:pict>
                <v:shape id="_x0000_i1044" type="#_x0000_t75" style="width:237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">
                  <v:imagedata r:id="rId32" o:title=""/>
                  <o:lock v:ext="edit" aspectratio="f"/>
                </v:shape>
              </w:pict>
            </w:r>
          </w:p>
        </w:tc>
      </w:tr>
      <w:tr w:rsidR="00D34225" w:rsidRPr="00812C6D" w:rsidTr="00D81703">
        <w:tc>
          <w:tcPr>
            <w:tcW w:w="1997" w:type="pct"/>
            <w:gridSpan w:val="2"/>
          </w:tcPr>
          <w:p w:rsidR="00D34225" w:rsidRPr="00A557BF" w:rsidRDefault="00D34225" w:rsidP="008C41F7">
            <w:pPr>
              <w:pStyle w:val="Textpoznpodarou"/>
              <w:rPr>
                <w:noProof/>
                <w:sz w:val="18"/>
                <w:szCs w:val="18"/>
              </w:rPr>
            </w:pPr>
          </w:p>
        </w:tc>
        <w:tc>
          <w:tcPr>
            <w:tcW w:w="3003" w:type="pct"/>
            <w:gridSpan w:val="3"/>
          </w:tcPr>
          <w:p w:rsidR="00D34225" w:rsidRPr="00A557BF" w:rsidRDefault="00D34225" w:rsidP="008C41F7">
            <w:pPr>
              <w:pStyle w:val="Textpoznpodarou"/>
              <w:jc w:val="right"/>
              <w:rPr>
                <w:noProof/>
              </w:rPr>
            </w:pPr>
            <w:r w:rsidRPr="00A557BF">
              <w:rPr>
                <w:sz w:val="18"/>
                <w:szCs w:val="18"/>
              </w:rPr>
              <w:t>Zdroj: ČSÚ</w:t>
            </w:r>
            <w:r w:rsidR="00D81703">
              <w:rPr>
                <w:sz w:val="18"/>
                <w:szCs w:val="18"/>
              </w:rPr>
              <w:t xml:space="preserve"> (národní účty)</w:t>
            </w:r>
            <w:r w:rsidRPr="00A557BF">
              <w:rPr>
                <w:sz w:val="18"/>
                <w:szCs w:val="18"/>
              </w:rPr>
              <w:t xml:space="preserve">, </w:t>
            </w:r>
            <w:proofErr w:type="spellStart"/>
            <w:r w:rsidRPr="00A557BF">
              <w:rPr>
                <w:sz w:val="18"/>
                <w:szCs w:val="18"/>
              </w:rPr>
              <w:t>Eurostat</w:t>
            </w:r>
            <w:proofErr w:type="spellEnd"/>
            <w:r w:rsidR="00D81703">
              <w:rPr>
                <w:sz w:val="18"/>
                <w:szCs w:val="18"/>
              </w:rPr>
              <w:t xml:space="preserve"> (národní účty)</w:t>
            </w:r>
          </w:p>
        </w:tc>
      </w:tr>
    </w:tbl>
    <w:p w:rsidR="00D34225" w:rsidRPr="00AD306C" w:rsidRDefault="00D34225" w:rsidP="00435D30">
      <w:pPr>
        <w:pStyle w:val="Nadpis2"/>
        <w:numPr>
          <w:ilvl w:val="1"/>
          <w:numId w:val="3"/>
        </w:numPr>
      </w:pPr>
      <w:bookmarkStart w:id="14" w:name="_Toc426017657"/>
      <w:r>
        <w:lastRenderedPageBreak/>
        <w:t>Nabídková strana hrubého domácího produktu</w:t>
      </w:r>
      <w:bookmarkEnd w:id="14"/>
    </w:p>
    <w:tbl>
      <w:tblPr>
        <w:tblW w:w="5000" w:type="pct"/>
        <w:tblLook w:val="00A0"/>
      </w:tblPr>
      <w:tblGrid>
        <w:gridCol w:w="2089"/>
        <w:gridCol w:w="300"/>
        <w:gridCol w:w="7465"/>
      </w:tblGrid>
      <w:tr w:rsidR="00D34225" w:rsidRPr="00A557BF" w:rsidTr="008C41F7">
        <w:tc>
          <w:tcPr>
            <w:tcW w:w="1060" w:type="pct"/>
          </w:tcPr>
          <w:p w:rsidR="00D34225" w:rsidRPr="00A557BF" w:rsidRDefault="00D34225" w:rsidP="008C41F7">
            <w:pPr>
              <w:spacing w:line="240" w:lineRule="auto"/>
              <w:rPr>
                <w:sz w:val="16"/>
                <w:szCs w:val="16"/>
              </w:rPr>
            </w:pPr>
            <w:r w:rsidRPr="00A557BF">
              <w:rPr>
                <w:sz w:val="16"/>
                <w:szCs w:val="16"/>
              </w:rPr>
              <w:t>Růst výkonu ekonomiky ČR v roce 2014, měřeno hrubou přidanou hodnotou, byl výrazně vyšší než v pojetí HDP, …</w:t>
            </w:r>
          </w:p>
        </w:tc>
        <w:tc>
          <w:tcPr>
            <w:tcW w:w="152" w:type="pct"/>
          </w:tcPr>
          <w:p w:rsidR="00D34225" w:rsidRPr="00A557BF" w:rsidRDefault="00D34225" w:rsidP="008C41F7">
            <w:pPr>
              <w:pStyle w:val="Textpoznpodarou"/>
              <w:jc w:val="both"/>
            </w:pPr>
          </w:p>
        </w:tc>
        <w:tc>
          <w:tcPr>
            <w:tcW w:w="3788" w:type="pct"/>
          </w:tcPr>
          <w:p w:rsidR="00D34225" w:rsidRPr="00A117C1" w:rsidRDefault="00D34225" w:rsidP="008C41F7">
            <w:pPr>
              <w:pStyle w:val="Textpoznpodarou"/>
              <w:jc w:val="both"/>
              <w:rPr>
                <w:spacing w:val="-6"/>
              </w:rPr>
            </w:pPr>
            <w:r w:rsidRPr="00A117C1">
              <w:rPr>
                <w:spacing w:val="-6"/>
              </w:rPr>
              <w:t>Výkon ekonomiky České republiky – měřený hrubou přidanou hodnotou – narostl v roce 2014 o 2,7 %, tedy více než podle HDP (+2,0 %). Příčinou disproporce mezi dynamikou hrubé přidané hodnoty a HDP byl mimořádný vliv související s daňovou optimalizací obchodníků s tabákovými výrobky. V poslední</w:t>
            </w:r>
            <w:r w:rsidR="00E874D3">
              <w:rPr>
                <w:spacing w:val="-6"/>
              </w:rPr>
              <w:t>m čtvrtletí 2013, vlivem</w:t>
            </w:r>
            <w:r w:rsidRPr="00A117C1">
              <w:rPr>
                <w:spacing w:val="-6"/>
              </w:rPr>
              <w:t xml:space="preserve"> avizovaného nárůstu spotřební daně z tabákových výrobků platného od počátku roku 2014, se obchodníci těmito výrobky předzásobili. To vedlo k nárůstu vybraných spotřebních daní (</w:t>
            </w:r>
            <w:proofErr w:type="spellStart"/>
            <w:r w:rsidRPr="00A117C1">
              <w:rPr>
                <w:spacing w:val="-6"/>
              </w:rPr>
              <w:t>akruálně</w:t>
            </w:r>
            <w:proofErr w:type="spellEnd"/>
            <w:r w:rsidRPr="00A117C1">
              <w:rPr>
                <w:spacing w:val="-6"/>
              </w:rPr>
              <w:t>) a promítlo se do zlepšení salda daní z produktů a dotací na</w:t>
            </w:r>
            <w:r w:rsidR="00E874D3">
              <w:rPr>
                <w:spacing w:val="-6"/>
              </w:rPr>
              <w:t> </w:t>
            </w:r>
            <w:r w:rsidRPr="00A117C1">
              <w:rPr>
                <w:spacing w:val="-6"/>
              </w:rPr>
              <w:t xml:space="preserve">produkty. Naproti tomu v roce 2014, kdy obchodníci </w:t>
            </w:r>
            <w:r w:rsidR="00A117C1" w:rsidRPr="00A117C1">
              <w:rPr>
                <w:spacing w:val="-6"/>
              </w:rPr>
              <w:t>čerpali z předzásobení</w:t>
            </w:r>
            <w:r w:rsidRPr="00A117C1">
              <w:rPr>
                <w:spacing w:val="-6"/>
              </w:rPr>
              <w:t>, výběr spotřebních daní logicky klesl a saldo daní z produktů a dotací na produkty se zhoršilo. Jelikož do HDP je toto saldo započítáváno a do hrubé přidané hodnoty nikoliv, ve</w:t>
            </w:r>
            <w:r w:rsidR="00E874D3">
              <w:rPr>
                <w:spacing w:val="-6"/>
              </w:rPr>
              <w:t> </w:t>
            </w:r>
            <w:r w:rsidRPr="00A117C1">
              <w:rPr>
                <w:spacing w:val="-6"/>
              </w:rPr>
              <w:t>4. čtvrtletí 2013 výkon české ekonomiky měřený HDP stoupnul více než podle hrubé přidané hodnoty, avšak v úhrnu za celý rok 2014 došlo k opaku.</w:t>
            </w:r>
          </w:p>
          <w:p w:rsidR="00D34225" w:rsidRPr="00A557BF" w:rsidRDefault="00D34225" w:rsidP="008C41F7">
            <w:pPr>
              <w:pStyle w:val="Textpoznpodarou"/>
              <w:jc w:val="both"/>
              <w:rPr>
                <w:sz w:val="16"/>
                <w:szCs w:val="16"/>
              </w:rPr>
            </w:pPr>
          </w:p>
        </w:tc>
      </w:tr>
      <w:tr w:rsidR="00D34225" w:rsidRPr="00A557BF" w:rsidTr="008C41F7">
        <w:tc>
          <w:tcPr>
            <w:tcW w:w="1060" w:type="pct"/>
          </w:tcPr>
          <w:p w:rsidR="00D34225" w:rsidRPr="00A557BF" w:rsidRDefault="00D34225" w:rsidP="008C41F7">
            <w:pPr>
              <w:spacing w:line="240" w:lineRule="auto"/>
              <w:rPr>
                <w:sz w:val="16"/>
                <w:szCs w:val="16"/>
              </w:rPr>
            </w:pPr>
            <w:r w:rsidRPr="00A557BF">
              <w:rPr>
                <w:sz w:val="16"/>
                <w:szCs w:val="16"/>
              </w:rPr>
              <w:t>…což se projevilo i v tom, že zatímco podle HPH již ekonomika předkrizový rok 2008 překonala, dle HDP nikoliv</w:t>
            </w:r>
          </w:p>
        </w:tc>
        <w:tc>
          <w:tcPr>
            <w:tcW w:w="152" w:type="pct"/>
          </w:tcPr>
          <w:p w:rsidR="00D34225" w:rsidRPr="00A557BF" w:rsidRDefault="00D34225" w:rsidP="008C41F7">
            <w:pPr>
              <w:pStyle w:val="Textpoznpodarou"/>
              <w:jc w:val="both"/>
            </w:pPr>
          </w:p>
        </w:tc>
        <w:tc>
          <w:tcPr>
            <w:tcW w:w="3788" w:type="pct"/>
          </w:tcPr>
          <w:p w:rsidR="00D34225" w:rsidRPr="00A557BF" w:rsidRDefault="00D34225" w:rsidP="008C41F7">
            <w:pPr>
              <w:pStyle w:val="Textpoznpodarou"/>
              <w:jc w:val="both"/>
            </w:pPr>
            <w:r w:rsidRPr="00A557BF">
              <w:t>Vyšší nárůst hrubé přidané hodnoty v porovnání s HDP v roce 2014 se podílel na tom, že zatímco výkon české ekonomiky měřený hrubou přidanou hodnotou úroveň předkrizového roku 2008 již překonal (byl vyšší o 0,4 %), podle HDP nikoliv (v porovnání s rokem 2008 byl nižší 0,2 %).</w:t>
            </w:r>
          </w:p>
          <w:p w:rsidR="00D34225" w:rsidRPr="00A557BF" w:rsidRDefault="00D34225" w:rsidP="008C41F7">
            <w:pPr>
              <w:pStyle w:val="Textpoznpodarou"/>
              <w:jc w:val="both"/>
              <w:rPr>
                <w:sz w:val="16"/>
                <w:szCs w:val="16"/>
              </w:rPr>
            </w:pPr>
          </w:p>
        </w:tc>
      </w:tr>
      <w:tr w:rsidR="00D34225" w:rsidRPr="00A557BF" w:rsidTr="008C41F7">
        <w:trPr>
          <w:trHeight w:val="1305"/>
        </w:trPr>
        <w:tc>
          <w:tcPr>
            <w:tcW w:w="1060" w:type="pct"/>
          </w:tcPr>
          <w:p w:rsidR="00D34225" w:rsidRPr="00A557BF" w:rsidRDefault="00D34225" w:rsidP="008C41F7">
            <w:pPr>
              <w:spacing w:line="240" w:lineRule="auto"/>
              <w:rPr>
                <w:sz w:val="16"/>
                <w:szCs w:val="16"/>
              </w:rPr>
            </w:pPr>
            <w:r w:rsidRPr="00A557BF">
              <w:rPr>
                <w:sz w:val="16"/>
                <w:szCs w:val="16"/>
              </w:rPr>
              <w:t>Přírůstek hrubé přidané hodnoty v ČR v roce 2014 mezi zeměmi EU nadprůměrný, …</w:t>
            </w:r>
          </w:p>
        </w:tc>
        <w:tc>
          <w:tcPr>
            <w:tcW w:w="152" w:type="pct"/>
          </w:tcPr>
          <w:p w:rsidR="00D34225" w:rsidRPr="00A557BF" w:rsidRDefault="00D34225" w:rsidP="008C41F7">
            <w:pPr>
              <w:pStyle w:val="Textpoznpodarou"/>
              <w:jc w:val="both"/>
            </w:pPr>
          </w:p>
        </w:tc>
        <w:tc>
          <w:tcPr>
            <w:tcW w:w="3788" w:type="pct"/>
          </w:tcPr>
          <w:p w:rsidR="00D34225" w:rsidRPr="00A117C1" w:rsidRDefault="00D34225" w:rsidP="008C41F7">
            <w:pPr>
              <w:pStyle w:val="Textpoznpodarou"/>
              <w:jc w:val="both"/>
            </w:pPr>
            <w:r w:rsidRPr="00A117C1">
              <w:t>Jestliže dle HDP posílil výkon ekonomiky ČR v roce 2014 mezi z</w:t>
            </w:r>
            <w:r w:rsidR="00A117C1" w:rsidRPr="00A117C1">
              <w:t>eměmi EU jen průměrně (14</w:t>
            </w:r>
            <w:r w:rsidRPr="00A117C1">
              <w:t>. místo), podle více vypovídající hrubé přidané hodnoty – nezkreslené nerovnoměrným výběr</w:t>
            </w:r>
            <w:r w:rsidR="00A117C1" w:rsidRPr="00A117C1">
              <w:t>em daní – narostl nadprůměrně (8</w:t>
            </w:r>
            <w:r w:rsidRPr="00A117C1">
              <w:t>. místo). Rychleji než v ČR stoupla hrubá přidaná hodnota jen v</w:t>
            </w:r>
            <w:r w:rsidR="00A117C1" w:rsidRPr="00A117C1">
              <w:t> Lucembursku (+5,5 %),</w:t>
            </w:r>
            <w:r w:rsidRPr="00A117C1">
              <w:t xml:space="preserve"> </w:t>
            </w:r>
            <w:r w:rsidR="00173485">
              <w:t>v </w:t>
            </w:r>
            <w:r w:rsidRPr="00A117C1">
              <w:t>Irsku (+4,4 %), v Maďarsku (+3,7 %), v Polsku</w:t>
            </w:r>
            <w:r w:rsidR="008D39A6">
              <w:t xml:space="preserve"> a ve Slovinsku (shodně +3,2 %)</w:t>
            </w:r>
            <w:r w:rsidRPr="00A117C1">
              <w:t xml:space="preserve"> a také ve Velké Británii (+3,0 %) a v Litvě (+2,9 %).</w:t>
            </w:r>
          </w:p>
          <w:p w:rsidR="00D34225" w:rsidRPr="00A557BF" w:rsidRDefault="00D34225" w:rsidP="008C41F7">
            <w:pPr>
              <w:pStyle w:val="Textpoznpodarou"/>
              <w:jc w:val="both"/>
              <w:rPr>
                <w:sz w:val="16"/>
                <w:szCs w:val="16"/>
              </w:rPr>
            </w:pPr>
          </w:p>
        </w:tc>
      </w:tr>
      <w:tr w:rsidR="00D34225" w:rsidRPr="00A557BF" w:rsidTr="008C41F7">
        <w:trPr>
          <w:trHeight w:val="900"/>
        </w:trPr>
        <w:tc>
          <w:tcPr>
            <w:tcW w:w="1060" w:type="pct"/>
          </w:tcPr>
          <w:p w:rsidR="00D34225" w:rsidRPr="00A557BF" w:rsidRDefault="00D34225" w:rsidP="008C41F7">
            <w:pPr>
              <w:spacing w:line="240" w:lineRule="auto"/>
              <w:rPr>
                <w:sz w:val="16"/>
                <w:szCs w:val="16"/>
              </w:rPr>
            </w:pPr>
            <w:r w:rsidRPr="00A557BF">
              <w:rPr>
                <w:sz w:val="16"/>
                <w:szCs w:val="16"/>
              </w:rPr>
              <w:t>…a proti EU jako celku více než dvojnásobný</w:t>
            </w:r>
          </w:p>
        </w:tc>
        <w:tc>
          <w:tcPr>
            <w:tcW w:w="152" w:type="pct"/>
          </w:tcPr>
          <w:p w:rsidR="00D34225" w:rsidRPr="00A557BF" w:rsidRDefault="00D34225" w:rsidP="008C41F7">
            <w:pPr>
              <w:pStyle w:val="Textpoznpodarou"/>
              <w:jc w:val="both"/>
            </w:pPr>
          </w:p>
        </w:tc>
        <w:tc>
          <w:tcPr>
            <w:tcW w:w="3788" w:type="pct"/>
          </w:tcPr>
          <w:p w:rsidR="00D34225" w:rsidRPr="00A557BF" w:rsidRDefault="00D34225" w:rsidP="008C41F7">
            <w:pPr>
              <w:pStyle w:val="Textpoznpodarou"/>
              <w:jc w:val="both"/>
            </w:pPr>
            <w:r w:rsidRPr="00A557BF">
              <w:t>V porovnání s úhrnem za celou EU (+1,3 %) byl růst česk</w:t>
            </w:r>
            <w:r w:rsidR="000E2A8A">
              <w:t>é ekonomiky v roce 2014 více než</w:t>
            </w:r>
            <w:r w:rsidRPr="00A557BF">
              <w:t xml:space="preserve"> dvojnásobný, proti zemím platícím eurem – kde hrubá přidaná hodnota posílila jen o 0,9 % – dokonce trojnásobný.</w:t>
            </w:r>
          </w:p>
          <w:p w:rsidR="00D34225" w:rsidRPr="00A557BF" w:rsidRDefault="00D34225" w:rsidP="008C41F7">
            <w:pPr>
              <w:pStyle w:val="Textpoznpodarou"/>
              <w:jc w:val="both"/>
              <w:rPr>
                <w:spacing w:val="-6"/>
                <w:sz w:val="16"/>
                <w:szCs w:val="16"/>
              </w:rPr>
            </w:pPr>
          </w:p>
        </w:tc>
      </w:tr>
      <w:tr w:rsidR="00D34225" w:rsidRPr="00A557BF" w:rsidTr="008C41F7">
        <w:tc>
          <w:tcPr>
            <w:tcW w:w="1060" w:type="pct"/>
          </w:tcPr>
          <w:p w:rsidR="00D34225" w:rsidRPr="00A557BF" w:rsidRDefault="00D34225" w:rsidP="008C41F7">
            <w:pPr>
              <w:spacing w:line="240" w:lineRule="auto"/>
              <w:rPr>
                <w:sz w:val="16"/>
                <w:szCs w:val="16"/>
              </w:rPr>
            </w:pPr>
            <w:r w:rsidRPr="00A557BF">
              <w:rPr>
                <w:sz w:val="16"/>
                <w:szCs w:val="16"/>
              </w:rPr>
              <w:t>Efektivita přeměny vstupů na produkt, která se zlepšuje v obdobích, kdy se ekonomice nedaří, se v letech příznivých naopak zhoršuje. Potvrdil to i rok 2014</w:t>
            </w:r>
          </w:p>
        </w:tc>
        <w:tc>
          <w:tcPr>
            <w:tcW w:w="152" w:type="pct"/>
          </w:tcPr>
          <w:p w:rsidR="00D34225" w:rsidRPr="00A557BF" w:rsidRDefault="00D34225" w:rsidP="008C41F7">
            <w:pPr>
              <w:pStyle w:val="Textpoznpodarou"/>
              <w:jc w:val="both"/>
            </w:pPr>
          </w:p>
        </w:tc>
        <w:tc>
          <w:tcPr>
            <w:tcW w:w="3788" w:type="pct"/>
          </w:tcPr>
          <w:p w:rsidR="00D34225" w:rsidRPr="00A557BF" w:rsidRDefault="00D34225" w:rsidP="00A117C1">
            <w:pPr>
              <w:pStyle w:val="Textpoznpodarou"/>
              <w:jc w:val="both"/>
              <w:rPr>
                <w:spacing w:val="-2"/>
              </w:rPr>
            </w:pPr>
            <w:r w:rsidRPr="00A557BF">
              <w:rPr>
                <w:spacing w:val="-2"/>
              </w:rPr>
              <w:t xml:space="preserve">Efektivita přeměny vstupů na produkt se v roce 2014 </w:t>
            </w:r>
            <w:r w:rsidR="00A117C1">
              <w:rPr>
                <w:spacing w:val="-2"/>
              </w:rPr>
              <w:t xml:space="preserve">velmi </w:t>
            </w:r>
            <w:r w:rsidRPr="00A557BF">
              <w:rPr>
                <w:spacing w:val="-2"/>
              </w:rPr>
              <w:t xml:space="preserve">mírně zhoršila. Plyne to z podílu </w:t>
            </w:r>
            <w:proofErr w:type="spellStart"/>
            <w:r w:rsidRPr="00A557BF">
              <w:rPr>
                <w:spacing w:val="-2"/>
              </w:rPr>
              <w:t>mezispotřeby</w:t>
            </w:r>
            <w:proofErr w:type="spellEnd"/>
            <w:r w:rsidRPr="00A557BF">
              <w:rPr>
                <w:spacing w:val="-2"/>
              </w:rPr>
              <w:t xml:space="preserve"> na produkci v běžných cenách. Zatímco v roce 2013 potřebovala tuzemská ekonomika na vytvoření jedné stokoruny produkce vstupy v hodnotě 62,1 korun (například materiály, polotovary, energie, využité služby, atd.), v</w:t>
            </w:r>
            <w:r>
              <w:rPr>
                <w:spacing w:val="-2"/>
              </w:rPr>
              <w:t xml:space="preserve"> loňském</w:t>
            </w:r>
            <w:r w:rsidRPr="00A557BF">
              <w:rPr>
                <w:spacing w:val="-2"/>
              </w:rPr>
              <w:t xml:space="preserve"> roce 62,2 korun. </w:t>
            </w:r>
            <w:r w:rsidR="00A117C1">
              <w:rPr>
                <w:spacing w:val="-2"/>
              </w:rPr>
              <w:t>V zásadě se tak potvrdil</w:t>
            </w:r>
            <w:r w:rsidRPr="00A557BF">
              <w:rPr>
                <w:spacing w:val="-2"/>
              </w:rPr>
              <w:t xml:space="preserve"> obecný jev, že tlak na efektivitu přeměny vstupů na produkt – tedy tlak na úspory ve výrobním řetězci – stoupá spíše v letech, kdy se ekonomice nedaří. </w:t>
            </w:r>
            <w:r w:rsidRPr="00A557BF">
              <w:rPr>
                <w:spacing w:val="-4"/>
              </w:rPr>
              <w:t>To bylo typické již v roce 2008, kdy se česká ekonomika začala</w:t>
            </w:r>
            <w:r w:rsidR="008B0683">
              <w:rPr>
                <w:spacing w:val="-4"/>
              </w:rPr>
              <w:t xml:space="preserve"> potýkat s problémy, zejména</w:t>
            </w:r>
            <w:r w:rsidRPr="00A557BF">
              <w:rPr>
                <w:spacing w:val="-4"/>
              </w:rPr>
              <w:t xml:space="preserve"> pak</w:t>
            </w:r>
            <w:r w:rsidR="008B0683">
              <w:rPr>
                <w:spacing w:val="-4"/>
              </w:rPr>
              <w:t xml:space="preserve"> ale</w:t>
            </w:r>
            <w:r w:rsidRPr="00A557BF">
              <w:rPr>
                <w:spacing w:val="-4"/>
              </w:rPr>
              <w:t xml:space="preserve"> v roce 2009 a také v obou letech dlouhé recese 2012-2013.</w:t>
            </w:r>
            <w:r w:rsidRPr="00A557BF">
              <w:rPr>
                <w:spacing w:val="-2"/>
              </w:rPr>
              <w:t xml:space="preserve"> </w:t>
            </w:r>
            <w:r w:rsidRPr="00A557BF">
              <w:rPr>
                <w:spacing w:val="-4"/>
              </w:rPr>
              <w:t>Naopak v letech, kdy se ekonomice daří, má efektivita přeměny vstupů na produkt tendenci se zhoršovat. Projevovalo se to v období konjunktury, v l</w:t>
            </w:r>
            <w:r w:rsidR="008B0683">
              <w:rPr>
                <w:spacing w:val="-4"/>
              </w:rPr>
              <w:t>etech mírného oživení 2010-2011</w:t>
            </w:r>
            <w:r w:rsidRPr="00A557BF">
              <w:rPr>
                <w:spacing w:val="-4"/>
              </w:rPr>
              <w:t xml:space="preserve"> a také právě v roce 2014.</w:t>
            </w:r>
          </w:p>
        </w:tc>
      </w:tr>
    </w:tbl>
    <w:p w:rsidR="006038F7" w:rsidRPr="00A557BF" w:rsidRDefault="006038F7" w:rsidP="00D34225">
      <w:pPr>
        <w:rPr>
          <w:sz w:val="16"/>
          <w:szCs w:val="16"/>
        </w:rPr>
      </w:pPr>
    </w:p>
    <w:tbl>
      <w:tblPr>
        <w:tblW w:w="5000" w:type="pct"/>
        <w:tblLook w:val="04A0"/>
      </w:tblPr>
      <w:tblGrid>
        <w:gridCol w:w="1115"/>
        <w:gridCol w:w="976"/>
        <w:gridCol w:w="304"/>
        <w:gridCol w:w="2533"/>
        <w:gridCol w:w="1138"/>
        <w:gridCol w:w="619"/>
        <w:gridCol w:w="3169"/>
      </w:tblGrid>
      <w:tr w:rsidR="00D34225" w:rsidRPr="00A557BF" w:rsidTr="008C41F7">
        <w:tc>
          <w:tcPr>
            <w:tcW w:w="566" w:type="pct"/>
          </w:tcPr>
          <w:p w:rsidR="00D34225" w:rsidRPr="00A557BF" w:rsidRDefault="00D34225" w:rsidP="008C41F7">
            <w:pPr>
              <w:pStyle w:val="Textpoznpodarou"/>
            </w:pPr>
            <w:r w:rsidRPr="00A557BF">
              <w:t>Graf č. 21</w:t>
            </w:r>
          </w:p>
        </w:tc>
        <w:tc>
          <w:tcPr>
            <w:tcW w:w="1935" w:type="pct"/>
            <w:gridSpan w:val="3"/>
          </w:tcPr>
          <w:p w:rsidR="00D34225" w:rsidRPr="00A557BF" w:rsidRDefault="00D34225" w:rsidP="008C41F7">
            <w:pPr>
              <w:pStyle w:val="Textpoznpodarou"/>
            </w:pPr>
            <w:r w:rsidRPr="00A557BF">
              <w:rPr>
                <w:b/>
              </w:rPr>
              <w:t>Dlouhodobý vývoj hrubé přidané hodnoty v ČR</w:t>
            </w:r>
            <w:r w:rsidRPr="00A557BF">
              <w:t xml:space="preserve"> (y/y v %, reálně)</w:t>
            </w:r>
          </w:p>
        </w:tc>
        <w:tc>
          <w:tcPr>
            <w:tcW w:w="577" w:type="pct"/>
          </w:tcPr>
          <w:p w:rsidR="00D34225" w:rsidRPr="00A557BF" w:rsidRDefault="00D34225" w:rsidP="008C41F7">
            <w:pPr>
              <w:pStyle w:val="Textpoznpodarou"/>
            </w:pPr>
            <w:r w:rsidRPr="00A557BF">
              <w:t>Graf č. 22</w:t>
            </w:r>
          </w:p>
        </w:tc>
        <w:tc>
          <w:tcPr>
            <w:tcW w:w="1922" w:type="pct"/>
            <w:gridSpan w:val="2"/>
          </w:tcPr>
          <w:p w:rsidR="00D34225" w:rsidRPr="00A557BF" w:rsidRDefault="00D34225" w:rsidP="008C41F7">
            <w:pPr>
              <w:pStyle w:val="Textpoznpodarou"/>
            </w:pPr>
            <w:r w:rsidRPr="00A557BF">
              <w:rPr>
                <w:b/>
              </w:rPr>
              <w:t>Hrubá přidaná hodnota v jednotlivých zemích EU v roce 2014*</w:t>
            </w:r>
            <w:r w:rsidRPr="00A557BF">
              <w:t xml:space="preserve"> (y/y v %, reálně)</w:t>
            </w:r>
          </w:p>
        </w:tc>
      </w:tr>
      <w:tr w:rsidR="00D34225" w:rsidRPr="00167AC1" w:rsidTr="008C41F7">
        <w:tc>
          <w:tcPr>
            <w:tcW w:w="2501" w:type="pct"/>
            <w:gridSpan w:val="4"/>
          </w:tcPr>
          <w:p w:rsidR="00D34225" w:rsidRPr="00167AC1" w:rsidRDefault="002A2083" w:rsidP="008C41F7">
            <w:pPr>
              <w:pStyle w:val="Textpoznpodarou"/>
              <w:jc w:val="both"/>
            </w:pPr>
            <w:r>
              <w:rPr>
                <w:noProof/>
              </w:rPr>
              <w:pict>
                <v:shape id="_x0000_i1045" type="#_x0000_t75" style="width:237pt;height:186pt;visibility:visible;mso-wrap-style:square">
                  <v:imagedata r:id="rId33" o:title=""/>
                </v:shape>
              </w:pict>
            </w:r>
          </w:p>
        </w:tc>
        <w:tc>
          <w:tcPr>
            <w:tcW w:w="2499" w:type="pct"/>
            <w:gridSpan w:val="3"/>
          </w:tcPr>
          <w:p w:rsidR="00D34225" w:rsidRPr="00167AC1" w:rsidRDefault="002A2083" w:rsidP="008C41F7">
            <w:pPr>
              <w:pStyle w:val="Textpoznpodarou"/>
              <w:jc w:val="both"/>
            </w:pPr>
            <w:r w:rsidRPr="00513C6F">
              <w:rPr>
                <w:noProof/>
                <w:sz w:val="16"/>
                <w:szCs w:val="16"/>
              </w:rPr>
              <w:pict>
                <v:shape id="_x0000_i1046" type="#_x0000_t75" style="width:237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">
                  <v:imagedata r:id="rId34" o:title=""/>
                  <o:lock v:ext="edit" aspectratio="f"/>
                </v:shape>
              </w:pict>
            </w:r>
          </w:p>
        </w:tc>
      </w:tr>
      <w:tr w:rsidR="00D34225" w:rsidRPr="00167AC1" w:rsidTr="008C41F7">
        <w:tc>
          <w:tcPr>
            <w:tcW w:w="3392" w:type="pct"/>
            <w:gridSpan w:val="6"/>
          </w:tcPr>
          <w:p w:rsidR="00D34225" w:rsidRPr="00A557BF" w:rsidRDefault="00D34225" w:rsidP="008C41F7">
            <w:pPr>
              <w:pStyle w:val="Textpoznpodarou"/>
              <w:rPr>
                <w:noProof/>
                <w:sz w:val="18"/>
                <w:szCs w:val="18"/>
              </w:rPr>
            </w:pPr>
            <w:r w:rsidRPr="00A557BF">
              <w:rPr>
                <w:noProof/>
                <w:sz w:val="18"/>
                <w:szCs w:val="18"/>
              </w:rPr>
              <w:t>*Pozn.</w:t>
            </w:r>
            <w:r w:rsidR="007054B9">
              <w:rPr>
                <w:noProof/>
                <w:sz w:val="18"/>
                <w:szCs w:val="18"/>
              </w:rPr>
              <w:t>: Nedostupný údaj za</w:t>
            </w:r>
            <w:r w:rsidRPr="00A557BF">
              <w:rPr>
                <w:noProof/>
                <w:sz w:val="18"/>
                <w:szCs w:val="18"/>
              </w:rPr>
              <w:t xml:space="preserve"> Maltu.</w:t>
            </w:r>
          </w:p>
        </w:tc>
        <w:tc>
          <w:tcPr>
            <w:tcW w:w="1608" w:type="pct"/>
          </w:tcPr>
          <w:p w:rsidR="00D34225" w:rsidRPr="00A557BF" w:rsidRDefault="00D34225" w:rsidP="008C41F7">
            <w:pPr>
              <w:pStyle w:val="Textpoznpodarou"/>
              <w:jc w:val="right"/>
              <w:rPr>
                <w:noProof/>
              </w:rPr>
            </w:pPr>
            <w:r w:rsidRPr="00A557BF">
              <w:rPr>
                <w:sz w:val="18"/>
                <w:szCs w:val="18"/>
              </w:rPr>
              <w:t xml:space="preserve">Zdroj: ČSÚ, </w:t>
            </w:r>
            <w:proofErr w:type="spellStart"/>
            <w:r w:rsidRPr="00A557BF">
              <w:rPr>
                <w:sz w:val="18"/>
                <w:szCs w:val="18"/>
              </w:rPr>
              <w:t>Eurostat</w:t>
            </w:r>
            <w:proofErr w:type="spellEnd"/>
          </w:p>
        </w:tc>
      </w:tr>
      <w:tr w:rsidR="00D34225" w:rsidRPr="00A557BF" w:rsidTr="008C41F7">
        <w:tblPrEx>
          <w:tblLook w:val="00A0"/>
        </w:tblPrEx>
        <w:tc>
          <w:tcPr>
            <w:tcW w:w="1061" w:type="pct"/>
            <w:gridSpan w:val="2"/>
          </w:tcPr>
          <w:p w:rsidR="00D34225" w:rsidRPr="00A557BF" w:rsidRDefault="00D34225" w:rsidP="008C41F7">
            <w:pPr>
              <w:spacing w:line="240" w:lineRule="auto"/>
              <w:rPr>
                <w:sz w:val="16"/>
                <w:szCs w:val="16"/>
              </w:rPr>
            </w:pPr>
            <w:r w:rsidRPr="00A557BF">
              <w:rPr>
                <w:sz w:val="16"/>
                <w:szCs w:val="16"/>
              </w:rPr>
              <w:lastRenderedPageBreak/>
              <w:t>Ze tří největších odvětví ekonomiky ČR se hrubá přidaná hodnota v roce 2014 snížila jen v jednom, a to v činnostech v oblasti nemovitostí</w:t>
            </w:r>
          </w:p>
        </w:tc>
        <w:tc>
          <w:tcPr>
            <w:tcW w:w="154" w:type="pct"/>
          </w:tcPr>
          <w:p w:rsidR="00D34225" w:rsidRPr="00A557BF" w:rsidRDefault="00D34225" w:rsidP="008C41F7">
            <w:pPr>
              <w:pStyle w:val="Textpoznpodarou"/>
              <w:jc w:val="both"/>
            </w:pPr>
          </w:p>
        </w:tc>
        <w:tc>
          <w:tcPr>
            <w:tcW w:w="3785" w:type="pct"/>
            <w:gridSpan w:val="4"/>
          </w:tcPr>
          <w:p w:rsidR="00D34225" w:rsidRPr="00A557BF" w:rsidRDefault="00D34225" w:rsidP="008C41F7">
            <w:pPr>
              <w:pStyle w:val="Textpoznpodarou"/>
              <w:jc w:val="both"/>
              <w:rPr>
                <w:spacing w:val="-6"/>
              </w:rPr>
            </w:pPr>
            <w:r w:rsidRPr="00A557BF">
              <w:rPr>
                <w:spacing w:val="-6"/>
              </w:rPr>
              <w:t>Jak je patrné z členění na sekce CZ-NACE, v roce 2014 se hrubá přidaná hodnota snížila pouze v šesti odvětvích. To byl pozitivní posun proti roku 2013, kdy klesla v deseti, ale i v porovnání s rokem 2012, ve kterém se snížila v</w:t>
            </w:r>
            <w:r w:rsidR="004E7AF6">
              <w:rPr>
                <w:spacing w:val="-6"/>
              </w:rPr>
              <w:t> </w:t>
            </w:r>
            <w:r w:rsidRPr="00A557BF">
              <w:rPr>
                <w:spacing w:val="-6"/>
              </w:rPr>
              <w:t>jedenácti. Pozitivním aspektem bylo i to, že ze třech největších odvětví české ekonomiky – zpracovatelského průmyslu, velkoobchodu a maloobchodu, činností v oblasti nemovitostí – se hrubá přidaná hodnota v roce 2014 snížila jen v posledně jmenovaném, a to přitom pouze mírně (-0,3 %) a bez negativního dopadu na celkovou zaměstnanost.</w:t>
            </w:r>
          </w:p>
          <w:p w:rsidR="00D34225" w:rsidRPr="00A557BF" w:rsidRDefault="00D34225" w:rsidP="008C41F7">
            <w:pPr>
              <w:pStyle w:val="Textpoznpodarou"/>
              <w:jc w:val="both"/>
              <w:rPr>
                <w:spacing w:val="-2"/>
                <w:sz w:val="16"/>
                <w:szCs w:val="16"/>
              </w:rPr>
            </w:pPr>
          </w:p>
        </w:tc>
      </w:tr>
      <w:tr w:rsidR="00D34225" w:rsidRPr="00A557BF" w:rsidTr="008C41F7">
        <w:tblPrEx>
          <w:tblLook w:val="00A0"/>
        </w:tblPrEx>
        <w:tc>
          <w:tcPr>
            <w:tcW w:w="1061" w:type="pct"/>
            <w:gridSpan w:val="2"/>
          </w:tcPr>
          <w:p w:rsidR="00D34225" w:rsidRPr="00A557BF" w:rsidRDefault="00D34225" w:rsidP="008C41F7">
            <w:pPr>
              <w:spacing w:line="240" w:lineRule="auto"/>
              <w:rPr>
                <w:sz w:val="16"/>
                <w:szCs w:val="16"/>
              </w:rPr>
            </w:pPr>
            <w:r w:rsidRPr="00A557BF">
              <w:rPr>
                <w:sz w:val="16"/>
                <w:szCs w:val="16"/>
              </w:rPr>
              <w:t>Vyšší zakázky ze zahraničí i z tuzemska zvedly hrubou přidanou hodnotu zpracovatelského průmyslu, …</w:t>
            </w:r>
          </w:p>
        </w:tc>
        <w:tc>
          <w:tcPr>
            <w:tcW w:w="154" w:type="pct"/>
          </w:tcPr>
          <w:p w:rsidR="00D34225" w:rsidRPr="00A557BF" w:rsidRDefault="00D34225" w:rsidP="008C41F7">
            <w:pPr>
              <w:pStyle w:val="Textpoznpodarou"/>
              <w:jc w:val="both"/>
            </w:pPr>
          </w:p>
        </w:tc>
        <w:tc>
          <w:tcPr>
            <w:tcW w:w="3785" w:type="pct"/>
            <w:gridSpan w:val="4"/>
          </w:tcPr>
          <w:p w:rsidR="00D34225" w:rsidRPr="00AB33B5" w:rsidRDefault="00D34225" w:rsidP="008C41F7">
            <w:pPr>
              <w:pStyle w:val="Textpoznpodarou"/>
              <w:jc w:val="both"/>
              <w:rPr>
                <w:spacing w:val="-2"/>
              </w:rPr>
            </w:pPr>
            <w:r w:rsidRPr="00AB33B5">
              <w:rPr>
                <w:spacing w:val="-2"/>
              </w:rPr>
              <w:t xml:space="preserve">Zpracovatelský průmysl, jehož výkon v letech 2012-2013 klesl o v úhrnu o 5,8 %, v roce 2014 již ožil (+5,5 %), a to jak vlivem rostoucích zakázek v zahraničí, tak díky zvyšujícím se zakázkám v tuzemsku. Jak ukazují podrobnější údaje, z významnějších segmentů se dařilo především chemickému průmyslu (CZ-NACE 20), výrobě počítačů, elektronických a optických přístrojů a zařízení (CZ-NACE 26), hutnímu průmyslu (CZ-NACE 24), ale také například výrobě elektrických zařízení (CZ-NACE 27). Výkon automobilového průmyslu (CZ-NACE 29) se vlivem rychlejšího růstu </w:t>
            </w:r>
            <w:proofErr w:type="spellStart"/>
            <w:r w:rsidRPr="00AB33B5">
              <w:rPr>
                <w:spacing w:val="-2"/>
              </w:rPr>
              <w:t>mezispotřeby</w:t>
            </w:r>
            <w:proofErr w:type="spellEnd"/>
            <w:r w:rsidRPr="00AB33B5">
              <w:rPr>
                <w:spacing w:val="-2"/>
              </w:rPr>
              <w:t xml:space="preserve"> než produkce o 0,7 % zmen</w:t>
            </w:r>
            <w:r w:rsidR="00223667">
              <w:rPr>
                <w:spacing w:val="-2"/>
              </w:rPr>
              <w:t>šil, avšak nominálně – kde svoji</w:t>
            </w:r>
            <w:r w:rsidRPr="00AB33B5">
              <w:rPr>
                <w:spacing w:val="-2"/>
              </w:rPr>
              <w:t xml:space="preserve"> roli sehrály i efekty slabší koruny – o 18,5 % stoupnul.</w:t>
            </w:r>
          </w:p>
          <w:p w:rsidR="00D34225" w:rsidRPr="00A557BF" w:rsidRDefault="00D34225" w:rsidP="008C41F7">
            <w:pPr>
              <w:pStyle w:val="Textpoznpodarou"/>
              <w:jc w:val="both"/>
              <w:rPr>
                <w:spacing w:val="-2"/>
                <w:sz w:val="16"/>
                <w:szCs w:val="16"/>
              </w:rPr>
            </w:pPr>
          </w:p>
        </w:tc>
      </w:tr>
      <w:tr w:rsidR="00D34225" w:rsidRPr="00A557BF" w:rsidTr="008C41F7">
        <w:tblPrEx>
          <w:tblLook w:val="00A0"/>
        </w:tblPrEx>
        <w:tc>
          <w:tcPr>
            <w:tcW w:w="1061" w:type="pct"/>
            <w:gridSpan w:val="2"/>
          </w:tcPr>
          <w:p w:rsidR="00D34225" w:rsidRPr="00A557BF" w:rsidRDefault="00D34225" w:rsidP="008C41F7">
            <w:pPr>
              <w:spacing w:line="240" w:lineRule="auto"/>
              <w:rPr>
                <w:sz w:val="16"/>
                <w:szCs w:val="16"/>
              </w:rPr>
            </w:pPr>
            <w:r w:rsidRPr="00A557BF">
              <w:rPr>
                <w:sz w:val="16"/>
                <w:szCs w:val="16"/>
              </w:rPr>
              <w:t>… silněji rostoucí spotřeba domácností ovlivnila pozitivně výkony velkoobchodu a maloobchodu</w:t>
            </w:r>
          </w:p>
        </w:tc>
        <w:tc>
          <w:tcPr>
            <w:tcW w:w="154" w:type="pct"/>
          </w:tcPr>
          <w:p w:rsidR="00D34225" w:rsidRPr="00A557BF" w:rsidRDefault="00D34225" w:rsidP="008C41F7">
            <w:pPr>
              <w:pStyle w:val="Textpoznpodarou"/>
              <w:jc w:val="both"/>
            </w:pPr>
          </w:p>
        </w:tc>
        <w:tc>
          <w:tcPr>
            <w:tcW w:w="3785" w:type="pct"/>
            <w:gridSpan w:val="4"/>
          </w:tcPr>
          <w:p w:rsidR="00D34225" w:rsidRPr="00A557BF" w:rsidRDefault="00D34225" w:rsidP="008C41F7">
            <w:pPr>
              <w:pStyle w:val="Textpoznpodarou"/>
              <w:jc w:val="both"/>
              <w:rPr>
                <w:spacing w:val="-6"/>
              </w:rPr>
            </w:pPr>
            <w:r w:rsidRPr="00A557BF">
              <w:rPr>
                <w:spacing w:val="-6"/>
              </w:rPr>
              <w:t>Po zpracovatelském průmyslu druhé největší odvětví v ekonomice ČR, tedy odvětví velkoobchodu a maloobchodu, si připsalo nárůst hrubé přidané hodnoty o 3,2 %. Pozitivně se na jeho výkonu podepsala zvyšující se spotřeba domácností, ale také dynamicky narůstající tuzemská poptávka po strojních investicích. Exportně zaměřeným obchodníkům napomohlo oživení v </w:t>
            </w:r>
            <w:proofErr w:type="spellStart"/>
            <w:r w:rsidRPr="00A557BF">
              <w:rPr>
                <w:spacing w:val="-6"/>
              </w:rPr>
              <w:t>eurozóně</w:t>
            </w:r>
            <w:proofErr w:type="spellEnd"/>
            <w:r w:rsidRPr="00A557BF">
              <w:rPr>
                <w:spacing w:val="-6"/>
              </w:rPr>
              <w:t>.</w:t>
            </w:r>
          </w:p>
          <w:p w:rsidR="00D34225" w:rsidRPr="00A557BF" w:rsidRDefault="00D34225" w:rsidP="008C41F7">
            <w:pPr>
              <w:pStyle w:val="Textpoznpodarou"/>
              <w:jc w:val="both"/>
              <w:rPr>
                <w:spacing w:val="-2"/>
                <w:sz w:val="16"/>
                <w:szCs w:val="16"/>
              </w:rPr>
            </w:pPr>
          </w:p>
        </w:tc>
      </w:tr>
      <w:tr w:rsidR="00D34225" w:rsidRPr="00A557BF" w:rsidTr="008C41F7">
        <w:tblPrEx>
          <w:tblLook w:val="00A0"/>
        </w:tblPrEx>
        <w:tc>
          <w:tcPr>
            <w:tcW w:w="1061" w:type="pct"/>
            <w:gridSpan w:val="2"/>
          </w:tcPr>
          <w:p w:rsidR="00D34225" w:rsidRPr="00A557BF" w:rsidRDefault="00D34225" w:rsidP="008C41F7">
            <w:pPr>
              <w:spacing w:line="240" w:lineRule="auto"/>
              <w:rPr>
                <w:sz w:val="16"/>
                <w:szCs w:val="16"/>
              </w:rPr>
            </w:pPr>
            <w:r w:rsidRPr="00A557BF">
              <w:rPr>
                <w:sz w:val="16"/>
                <w:szCs w:val="16"/>
              </w:rPr>
              <w:t>Stavebnictví vystoupilo z recese, …</w:t>
            </w:r>
          </w:p>
        </w:tc>
        <w:tc>
          <w:tcPr>
            <w:tcW w:w="154" w:type="pct"/>
          </w:tcPr>
          <w:p w:rsidR="00D34225" w:rsidRPr="00A557BF" w:rsidRDefault="00D34225" w:rsidP="008C41F7">
            <w:pPr>
              <w:pStyle w:val="Textpoznpodarou"/>
              <w:jc w:val="both"/>
            </w:pPr>
          </w:p>
        </w:tc>
        <w:tc>
          <w:tcPr>
            <w:tcW w:w="3785" w:type="pct"/>
            <w:gridSpan w:val="4"/>
          </w:tcPr>
          <w:p w:rsidR="00D34225" w:rsidRPr="00A557BF" w:rsidRDefault="00D34225" w:rsidP="008C41F7">
            <w:pPr>
              <w:pStyle w:val="Textpoznpodarou"/>
              <w:jc w:val="both"/>
              <w:rPr>
                <w:spacing w:val="-4"/>
              </w:rPr>
            </w:pPr>
            <w:r w:rsidRPr="00A557BF">
              <w:rPr>
                <w:spacing w:val="-4"/>
              </w:rPr>
              <w:t xml:space="preserve">Po propadu hrubé přidané hodnoty stavebnictví v roce 2011 (-6,7 %) se pokles výkonnosti tohoto odvětví v roce následujícím zmírnil (-3,1 %), a přestože v roce 2013 už jeho výkon stoupnul (+1,2 %), za potvrzení „výstupu z recese“ se dal považovat až rok 2014 (+3,4 %). Začaly se obnovovat dříve pozastavené velké stavby financované z veřejných </w:t>
            </w:r>
            <w:r w:rsidR="00B60C8D">
              <w:rPr>
                <w:spacing w:val="-4"/>
              </w:rPr>
              <w:t>zdrojů</w:t>
            </w:r>
            <w:r w:rsidRPr="00A557BF">
              <w:rPr>
                <w:spacing w:val="-4"/>
              </w:rPr>
              <w:t>, přitom narůstající celkové příjmy domácností se spolu s jejich optimismem přenášely do vyšší poptávky po stavbách pro bydlení.</w:t>
            </w:r>
          </w:p>
          <w:p w:rsidR="00D34225" w:rsidRPr="00A557BF" w:rsidRDefault="00D34225" w:rsidP="008C41F7">
            <w:pPr>
              <w:pStyle w:val="Textpoznpodarou"/>
              <w:jc w:val="both"/>
              <w:rPr>
                <w:spacing w:val="-2"/>
                <w:sz w:val="16"/>
                <w:szCs w:val="16"/>
              </w:rPr>
            </w:pPr>
          </w:p>
        </w:tc>
      </w:tr>
      <w:tr w:rsidR="00D34225" w:rsidRPr="00A557BF" w:rsidTr="008C41F7">
        <w:tblPrEx>
          <w:tblLook w:val="00A0"/>
        </w:tblPrEx>
        <w:tc>
          <w:tcPr>
            <w:tcW w:w="1061" w:type="pct"/>
            <w:gridSpan w:val="2"/>
          </w:tcPr>
          <w:p w:rsidR="00D34225" w:rsidRPr="00A557BF" w:rsidRDefault="00D34225" w:rsidP="008C41F7">
            <w:pPr>
              <w:spacing w:line="240" w:lineRule="auto"/>
              <w:rPr>
                <w:sz w:val="16"/>
                <w:szCs w:val="16"/>
              </w:rPr>
            </w:pPr>
            <w:r w:rsidRPr="00A557BF">
              <w:rPr>
                <w:sz w:val="16"/>
                <w:szCs w:val="16"/>
              </w:rPr>
              <w:t>… navýšila se i hrubá přidaná hodnota primárního sektoru</w:t>
            </w:r>
          </w:p>
        </w:tc>
        <w:tc>
          <w:tcPr>
            <w:tcW w:w="154" w:type="pct"/>
          </w:tcPr>
          <w:p w:rsidR="00D34225" w:rsidRPr="00A557BF" w:rsidRDefault="00D34225" w:rsidP="008C41F7">
            <w:pPr>
              <w:pStyle w:val="Textpoznpodarou"/>
              <w:jc w:val="both"/>
            </w:pPr>
          </w:p>
        </w:tc>
        <w:tc>
          <w:tcPr>
            <w:tcW w:w="3785" w:type="pct"/>
            <w:gridSpan w:val="4"/>
          </w:tcPr>
          <w:p w:rsidR="00D34225" w:rsidRPr="00A557BF" w:rsidRDefault="00D34225" w:rsidP="008C41F7">
            <w:pPr>
              <w:pStyle w:val="Textpoznpodarou"/>
              <w:jc w:val="both"/>
              <w:rPr>
                <w:spacing w:val="-6"/>
              </w:rPr>
            </w:pPr>
            <w:r w:rsidRPr="00A557BF">
              <w:rPr>
                <w:spacing w:val="-6"/>
              </w:rPr>
              <w:t>Vývoj v primárním sektoru byl v roce 2014 z pohledu hrubé přid</w:t>
            </w:r>
            <w:r w:rsidR="005C53CB">
              <w:rPr>
                <w:spacing w:val="-6"/>
              </w:rPr>
              <w:t>ané hodnoty poměrně příznivý. V</w:t>
            </w:r>
            <w:r w:rsidRPr="00A557BF">
              <w:rPr>
                <w:spacing w:val="-6"/>
              </w:rPr>
              <w:t xml:space="preserve"> </w:t>
            </w:r>
            <w:r w:rsidR="00B60C8D">
              <w:rPr>
                <w:spacing w:val="-6"/>
              </w:rPr>
              <w:t xml:space="preserve">odvětví zahrnujícím </w:t>
            </w:r>
            <w:r w:rsidRPr="00A557BF">
              <w:rPr>
                <w:spacing w:val="-6"/>
              </w:rPr>
              <w:t xml:space="preserve">zemědělství, lesnictví a rybářství vzrostl výkon díky dobré úrodě zemědělských plodin a potažmo i sklizni o 5,9 %, v těžbě a dobývání se navýšil o 7,4 %. Výkon těžby a dobývání stoupl poprvé za posledních osm let, důvodem přitom byl mírný nárůst produkce (díky nízké srovnávací základně +1,4 %), jenž byl doprovázen poklesem </w:t>
            </w:r>
            <w:proofErr w:type="spellStart"/>
            <w:r w:rsidRPr="00A557BF">
              <w:rPr>
                <w:spacing w:val="-6"/>
              </w:rPr>
              <w:t>mezispotřeby</w:t>
            </w:r>
            <w:proofErr w:type="spellEnd"/>
            <w:r w:rsidRPr="00A557BF">
              <w:rPr>
                <w:spacing w:val="-6"/>
              </w:rPr>
              <w:t xml:space="preserve"> (-2,9 %). V nominálním vyjádření, které je pro „těžaře“ z hlediska přerozdělení hrubé přidané hodnoty na zisky a náhrady zaměstnancům podstatnější, se výkon v této části ekonomiky nicméně o 1,5 % snížil.</w:t>
            </w:r>
          </w:p>
          <w:p w:rsidR="00D34225" w:rsidRPr="00A557BF" w:rsidRDefault="00D34225" w:rsidP="008C41F7">
            <w:pPr>
              <w:pStyle w:val="Textpoznpodarou"/>
              <w:jc w:val="both"/>
              <w:rPr>
                <w:sz w:val="16"/>
                <w:szCs w:val="16"/>
              </w:rPr>
            </w:pPr>
          </w:p>
        </w:tc>
      </w:tr>
      <w:tr w:rsidR="00D34225" w:rsidRPr="00A557BF" w:rsidTr="008C41F7">
        <w:tblPrEx>
          <w:tblLook w:val="00A0"/>
        </w:tblPrEx>
        <w:tc>
          <w:tcPr>
            <w:tcW w:w="1061" w:type="pct"/>
            <w:gridSpan w:val="2"/>
          </w:tcPr>
          <w:p w:rsidR="00D34225" w:rsidRPr="00A557BF" w:rsidRDefault="00D34225" w:rsidP="008C41F7">
            <w:pPr>
              <w:spacing w:line="240" w:lineRule="auto"/>
              <w:rPr>
                <w:sz w:val="16"/>
                <w:szCs w:val="16"/>
              </w:rPr>
            </w:pPr>
            <w:r w:rsidRPr="00A557BF">
              <w:rPr>
                <w:sz w:val="16"/>
                <w:szCs w:val="16"/>
              </w:rPr>
              <w:t>K růstu ekonomiky ČR přispěl pozitivně i soubor tří odvětví s převahou veřejného sektoru</w:t>
            </w:r>
          </w:p>
        </w:tc>
        <w:tc>
          <w:tcPr>
            <w:tcW w:w="154" w:type="pct"/>
          </w:tcPr>
          <w:p w:rsidR="00D34225" w:rsidRPr="00A557BF" w:rsidRDefault="00D34225" w:rsidP="008C41F7">
            <w:pPr>
              <w:pStyle w:val="Textpoznpodarou"/>
              <w:jc w:val="both"/>
            </w:pPr>
          </w:p>
        </w:tc>
        <w:tc>
          <w:tcPr>
            <w:tcW w:w="3785" w:type="pct"/>
            <w:gridSpan w:val="4"/>
          </w:tcPr>
          <w:p w:rsidR="00D34225" w:rsidRPr="00A557BF" w:rsidRDefault="00D34225" w:rsidP="008C41F7">
            <w:pPr>
              <w:pStyle w:val="Textpoznpodarou"/>
              <w:jc w:val="both"/>
              <w:rPr>
                <w:spacing w:val="-6"/>
              </w:rPr>
            </w:pPr>
            <w:r w:rsidRPr="00A557BF">
              <w:rPr>
                <w:spacing w:val="-6"/>
              </w:rPr>
              <w:t>Na růstu české ekonomiky v roce 2014 se velmi mírně podílel i soubor tří odvětví s převahou veřejného sektoru, tedy veřejná správa a obrana (vč. povinného sociálního zabezpečení), vzdělávání a odvětví zdravotní a sociální péče. V úhrnu narostla hrubá přidaná hodnota v těchto třech odvětvích o 0,3 %, tedy stejně jako v předešlém roce.</w:t>
            </w:r>
          </w:p>
        </w:tc>
      </w:tr>
    </w:tbl>
    <w:p w:rsidR="00D34225" w:rsidRPr="00A557BF" w:rsidRDefault="00D34225" w:rsidP="00D34225">
      <w:pPr>
        <w:rPr>
          <w:sz w:val="16"/>
          <w:szCs w:val="16"/>
        </w:rPr>
      </w:pPr>
    </w:p>
    <w:tbl>
      <w:tblPr>
        <w:tblW w:w="5000" w:type="pct"/>
        <w:tblLook w:val="04A0"/>
      </w:tblPr>
      <w:tblGrid>
        <w:gridCol w:w="1124"/>
        <w:gridCol w:w="8730"/>
      </w:tblGrid>
      <w:tr w:rsidR="00D34225" w:rsidRPr="00A557BF" w:rsidTr="008C41F7">
        <w:tc>
          <w:tcPr>
            <w:tcW w:w="570" w:type="pct"/>
          </w:tcPr>
          <w:p w:rsidR="00D34225" w:rsidRPr="00A557BF" w:rsidRDefault="00D34225" w:rsidP="008C41F7">
            <w:pPr>
              <w:pStyle w:val="Textpoznpodarou"/>
            </w:pPr>
            <w:r w:rsidRPr="00A557BF">
              <w:t>Graf č. 23</w:t>
            </w:r>
          </w:p>
        </w:tc>
        <w:tc>
          <w:tcPr>
            <w:tcW w:w="4430" w:type="pct"/>
          </w:tcPr>
          <w:p w:rsidR="00D34225" w:rsidRPr="00A557BF" w:rsidRDefault="00D34225" w:rsidP="008C41F7">
            <w:pPr>
              <w:pStyle w:val="Textpoznpodarou"/>
            </w:pPr>
            <w:r w:rsidRPr="00A557BF">
              <w:rPr>
                <w:b/>
              </w:rPr>
              <w:t>Hrubá přidaná hodnota v jednotlivých odvětvích v roce 2013 a 2014</w:t>
            </w:r>
            <w:r w:rsidRPr="00A557BF">
              <w:t xml:space="preserve"> (y/y v %, reálně)</w:t>
            </w:r>
          </w:p>
        </w:tc>
      </w:tr>
      <w:tr w:rsidR="00D34225" w:rsidRPr="00167AC1" w:rsidTr="008C41F7">
        <w:tc>
          <w:tcPr>
            <w:tcW w:w="5000" w:type="pct"/>
            <w:gridSpan w:val="2"/>
          </w:tcPr>
          <w:p w:rsidR="00D34225" w:rsidRPr="00167AC1" w:rsidRDefault="002A2083" w:rsidP="008C41F7">
            <w:pPr>
              <w:pStyle w:val="Textpoznpodarou"/>
              <w:jc w:val="both"/>
            </w:pPr>
            <w:r>
              <w:rPr>
                <w:noProof/>
              </w:rPr>
              <w:pict>
                <v:shape id="_x0000_i1047" type="#_x0000_t75" style="width:483.75pt;height:186pt;visibility:visible;mso-wrap-style:square">
                  <v:imagedata r:id="rId35" o:title=""/>
                </v:shape>
              </w:pict>
            </w:r>
          </w:p>
        </w:tc>
      </w:tr>
      <w:tr w:rsidR="00D34225" w:rsidRPr="00167AC1" w:rsidTr="008C41F7">
        <w:tc>
          <w:tcPr>
            <w:tcW w:w="5000" w:type="pct"/>
            <w:gridSpan w:val="2"/>
          </w:tcPr>
          <w:p w:rsidR="00D34225" w:rsidRPr="00853B1C" w:rsidRDefault="00D34225" w:rsidP="008C41F7">
            <w:pPr>
              <w:pStyle w:val="Textpoznpodarou"/>
              <w:jc w:val="right"/>
              <w:rPr>
                <w:noProof/>
              </w:rPr>
            </w:pPr>
            <w:r w:rsidRPr="00853B1C">
              <w:rPr>
                <w:sz w:val="18"/>
                <w:szCs w:val="18"/>
              </w:rPr>
              <w:t>Zdroj: ČSÚ</w:t>
            </w:r>
          </w:p>
        </w:tc>
      </w:tr>
    </w:tbl>
    <w:p w:rsidR="00D34225" w:rsidRPr="00AD306C" w:rsidRDefault="00D34225" w:rsidP="00435D30">
      <w:pPr>
        <w:pStyle w:val="Nadpis2"/>
        <w:numPr>
          <w:ilvl w:val="1"/>
          <w:numId w:val="3"/>
        </w:numPr>
      </w:pPr>
      <w:bookmarkStart w:id="15" w:name="_Toc426017658"/>
      <w:r>
        <w:lastRenderedPageBreak/>
        <w:t>Příspěvky ke změně hrubého domácího produktu a hrubé přidané hodnoty</w:t>
      </w:r>
      <w:bookmarkEnd w:id="15"/>
    </w:p>
    <w:tbl>
      <w:tblPr>
        <w:tblW w:w="5000" w:type="pct"/>
        <w:tblLook w:val="00A0"/>
      </w:tblPr>
      <w:tblGrid>
        <w:gridCol w:w="2091"/>
        <w:gridCol w:w="304"/>
        <w:gridCol w:w="7459"/>
      </w:tblGrid>
      <w:tr w:rsidR="00D34225" w:rsidRPr="00A557BF" w:rsidTr="008C41F7">
        <w:tc>
          <w:tcPr>
            <w:tcW w:w="1061" w:type="pct"/>
          </w:tcPr>
          <w:p w:rsidR="00D34225" w:rsidRPr="00A557BF" w:rsidRDefault="00D34225" w:rsidP="008C41F7">
            <w:pPr>
              <w:spacing w:line="240" w:lineRule="auto"/>
              <w:rPr>
                <w:sz w:val="16"/>
                <w:szCs w:val="16"/>
              </w:rPr>
            </w:pPr>
            <w:r>
              <w:rPr>
                <w:sz w:val="16"/>
                <w:szCs w:val="16"/>
              </w:rPr>
              <w:t>Růst ekonomiky byl</w:t>
            </w:r>
            <w:r w:rsidRPr="00A557BF">
              <w:rPr>
                <w:sz w:val="16"/>
                <w:szCs w:val="16"/>
              </w:rPr>
              <w:t xml:space="preserve"> v roce 2014 </w:t>
            </w:r>
            <w:r>
              <w:rPr>
                <w:sz w:val="16"/>
                <w:szCs w:val="16"/>
              </w:rPr>
              <w:t>tažen všemi hlavními složkami domácí poptávky</w:t>
            </w:r>
            <w:r w:rsidRPr="00A557BF">
              <w:rPr>
                <w:sz w:val="16"/>
                <w:szCs w:val="16"/>
              </w:rPr>
              <w:t>, …</w:t>
            </w:r>
          </w:p>
        </w:tc>
        <w:tc>
          <w:tcPr>
            <w:tcW w:w="154" w:type="pct"/>
          </w:tcPr>
          <w:p w:rsidR="00D34225" w:rsidRPr="00A557BF" w:rsidRDefault="00D34225" w:rsidP="008C41F7">
            <w:pPr>
              <w:pStyle w:val="Textpoznpodarou"/>
              <w:jc w:val="both"/>
            </w:pPr>
          </w:p>
        </w:tc>
        <w:tc>
          <w:tcPr>
            <w:tcW w:w="3785" w:type="pct"/>
          </w:tcPr>
          <w:p w:rsidR="00D34225" w:rsidRPr="00A557BF" w:rsidRDefault="00D34225" w:rsidP="008C41F7">
            <w:pPr>
              <w:pStyle w:val="Textpoznpodarou"/>
              <w:jc w:val="both"/>
            </w:pPr>
            <w:r w:rsidRPr="00A557BF">
              <w:t xml:space="preserve">Podle rozkladu meziroční změny HDP – bez vyloučení dovozu určeného pro konečné užití – k růstu výkonu české ekonomiky v roce 2014 o rovná 2 % přispěly pozitivně všechny hlavní složky domácí poptávky, a to navíc v celku rovnoměrně. Růst měl tedy solidní základy. Výdaje na konečnou spotřebu domácností (vč. výdajů na konečnou spotřebu neziskových institucí sloužících domácnostem) se na něm podílely +0,7 </w:t>
            </w:r>
            <w:proofErr w:type="spellStart"/>
            <w:r w:rsidRPr="00A557BF">
              <w:t>pb</w:t>
            </w:r>
            <w:proofErr w:type="spellEnd"/>
            <w:r w:rsidRPr="00A557BF">
              <w:t xml:space="preserve">., výdaje na konečnou spotřebu vládních institucí k němu přispěly zhruba poloviční silou (+0,4 </w:t>
            </w:r>
            <w:proofErr w:type="spellStart"/>
            <w:r w:rsidRPr="00A557BF">
              <w:t>pb</w:t>
            </w:r>
            <w:proofErr w:type="spellEnd"/>
            <w:r w:rsidRPr="00A557BF">
              <w:t xml:space="preserve">.). </w:t>
            </w:r>
            <w:r>
              <w:t>Investice (tvorba</w:t>
            </w:r>
            <w:r w:rsidRPr="00A557BF">
              <w:t xml:space="preserve"> hrubého fixního kapitálu) přidal</w:t>
            </w:r>
            <w:r>
              <w:t>y</w:t>
            </w:r>
            <w:r w:rsidRPr="00A557BF">
              <w:t xml:space="preserve"> slušných +0,5 </w:t>
            </w:r>
            <w:proofErr w:type="spellStart"/>
            <w:r w:rsidRPr="00A557BF">
              <w:t>pb</w:t>
            </w:r>
            <w:proofErr w:type="spellEnd"/>
            <w:r w:rsidRPr="00A557BF">
              <w:t xml:space="preserve">., změna zásob (se zahrnutím čistého pořízení cenností) dokonce +0,6 </w:t>
            </w:r>
            <w:proofErr w:type="spellStart"/>
            <w:r w:rsidRPr="00A557BF">
              <w:t>pb</w:t>
            </w:r>
            <w:proofErr w:type="spellEnd"/>
            <w:r w:rsidRPr="00A557BF">
              <w:t xml:space="preserve">. Zatímco výsledek zahraničního obchodu se zbožím v reálném vyjádření se proti roku 2013 téměř nezměnil – což znamená, že růst hospodářství nezrychloval, ale ani nezpomaloval – bilance zahraničního obchodu se službami se zhoršila. Byla tak jedinou složkou HDP, co se týče strany poptávky, která působila proti jeho růstu (-0,2 </w:t>
            </w:r>
            <w:proofErr w:type="spellStart"/>
            <w:r w:rsidRPr="00A557BF">
              <w:t>pb</w:t>
            </w:r>
            <w:proofErr w:type="spellEnd"/>
            <w:r w:rsidRPr="00A557BF">
              <w:t>.).</w:t>
            </w:r>
          </w:p>
          <w:p w:rsidR="00D34225" w:rsidRPr="00A557BF" w:rsidRDefault="00D34225" w:rsidP="008C41F7">
            <w:pPr>
              <w:pStyle w:val="Textpoznpodarou"/>
              <w:jc w:val="both"/>
            </w:pPr>
          </w:p>
        </w:tc>
      </w:tr>
      <w:tr w:rsidR="00D34225" w:rsidRPr="00A557BF" w:rsidTr="008C41F7">
        <w:tc>
          <w:tcPr>
            <w:tcW w:w="1061" w:type="pct"/>
          </w:tcPr>
          <w:p w:rsidR="00D34225" w:rsidRPr="00A557BF" w:rsidRDefault="00D34225" w:rsidP="008C41F7">
            <w:pPr>
              <w:spacing w:line="240" w:lineRule="auto"/>
              <w:rPr>
                <w:sz w:val="16"/>
                <w:szCs w:val="16"/>
              </w:rPr>
            </w:pPr>
            <w:r w:rsidRPr="00A557BF">
              <w:rPr>
                <w:sz w:val="16"/>
                <w:szCs w:val="16"/>
              </w:rPr>
              <w:t>… z hlediska strany nabídky se na něm podílel především zpracovatelský průmysl společně se službami</w:t>
            </w:r>
          </w:p>
        </w:tc>
        <w:tc>
          <w:tcPr>
            <w:tcW w:w="154" w:type="pct"/>
          </w:tcPr>
          <w:p w:rsidR="00D34225" w:rsidRPr="00A557BF" w:rsidRDefault="00D34225" w:rsidP="008C41F7">
            <w:pPr>
              <w:pStyle w:val="Textpoznpodarou"/>
              <w:jc w:val="both"/>
            </w:pPr>
          </w:p>
        </w:tc>
        <w:tc>
          <w:tcPr>
            <w:tcW w:w="3785" w:type="pct"/>
          </w:tcPr>
          <w:p w:rsidR="00D34225" w:rsidRPr="00934A64" w:rsidRDefault="00D34225" w:rsidP="00B60C8D">
            <w:pPr>
              <w:pStyle w:val="Textpoznpodarou"/>
              <w:jc w:val="both"/>
            </w:pPr>
            <w:r w:rsidRPr="00934A64">
              <w:t xml:space="preserve">Optikou strany nabídky k růstu ekonomiky v roce 2014, tedy k navýšení celkové hrubé přidané hodnoty o 2,7 %, nejvýrazněji přispělo oživení zpracovatelského průmyslu (+1,4 </w:t>
            </w:r>
            <w:proofErr w:type="spellStart"/>
            <w:r w:rsidRPr="00934A64">
              <w:t>pb</w:t>
            </w:r>
            <w:proofErr w:type="spellEnd"/>
            <w:r w:rsidRPr="00934A64">
              <w:t>.). Silně se na jejím růstu podílel také objemově významný terciární sektor, tedy segment sdružující odvětví tržních i netržních služeb (+0,9 </w:t>
            </w:r>
            <w:proofErr w:type="spellStart"/>
            <w:r w:rsidRPr="00934A64">
              <w:t>pb</w:t>
            </w:r>
            <w:proofErr w:type="spellEnd"/>
            <w:r w:rsidRPr="00934A64">
              <w:t xml:space="preserve">.). Příspěvek ze strany stavebnictví se zvětšil z +0,1 </w:t>
            </w:r>
            <w:proofErr w:type="spellStart"/>
            <w:r w:rsidRPr="00934A64">
              <w:t>pb</w:t>
            </w:r>
            <w:proofErr w:type="spellEnd"/>
            <w:r w:rsidRPr="00934A64">
              <w:t xml:space="preserve">. v roce 2013 na +0,2 </w:t>
            </w:r>
            <w:proofErr w:type="spellStart"/>
            <w:r w:rsidRPr="00934A64">
              <w:t>pb</w:t>
            </w:r>
            <w:proofErr w:type="spellEnd"/>
            <w:r w:rsidRPr="00934A64">
              <w:t>., stejnou silou se na růstu celkové</w:t>
            </w:r>
            <w:r w:rsidR="00B60C8D">
              <w:t xml:space="preserve"> hrubé přidané hodnoty podílelo</w:t>
            </w:r>
            <w:r w:rsidRPr="00934A64">
              <w:t xml:space="preserve"> </w:t>
            </w:r>
            <w:r w:rsidR="005C53CB">
              <w:t xml:space="preserve">i </w:t>
            </w:r>
            <w:r w:rsidRPr="00934A64">
              <w:t xml:space="preserve">odvětví zahrnující zemědělství, lesnictví a rybářství. Průmyslová odvětví mimo zpracovatelský průmysl (CZ-NACE B, D, E) přidala společně +0,1 </w:t>
            </w:r>
            <w:proofErr w:type="spellStart"/>
            <w:r w:rsidRPr="00934A64">
              <w:t>pb</w:t>
            </w:r>
            <w:proofErr w:type="spellEnd"/>
            <w:r w:rsidRPr="00934A64">
              <w:t xml:space="preserve">. Na první pohled se tento příspěvek může zdát slabý, avšak s ohledem na výsledek za rok 2013 – kdy tato odvětví propadla (těžba a dobývání -19,2 %, energetika -7,4 %, zásobování vodou a činnosti související s odpady -13,8 %) a růst ekonomiky brzdila stejnou měrou jako celý zpracovatelský průmysl (-0,7 </w:t>
            </w:r>
            <w:proofErr w:type="spellStart"/>
            <w:r w:rsidRPr="00934A64">
              <w:t>pb</w:t>
            </w:r>
            <w:proofErr w:type="spellEnd"/>
            <w:r w:rsidRPr="00934A64">
              <w:t>.) – je třeba jej hodnotit spíše pozitivně.</w:t>
            </w:r>
          </w:p>
        </w:tc>
      </w:tr>
    </w:tbl>
    <w:p w:rsidR="00D34225" w:rsidRPr="00A557BF" w:rsidRDefault="00D34225" w:rsidP="00D34225"/>
    <w:tbl>
      <w:tblPr>
        <w:tblW w:w="5000" w:type="pct"/>
        <w:tblLook w:val="04A0"/>
      </w:tblPr>
      <w:tblGrid>
        <w:gridCol w:w="676"/>
        <w:gridCol w:w="4241"/>
        <w:gridCol w:w="719"/>
        <w:gridCol w:w="1052"/>
        <w:gridCol w:w="3166"/>
      </w:tblGrid>
      <w:tr w:rsidR="00D34225" w:rsidRPr="00A557BF" w:rsidTr="008C41F7">
        <w:tc>
          <w:tcPr>
            <w:tcW w:w="343" w:type="pct"/>
          </w:tcPr>
          <w:p w:rsidR="00D34225" w:rsidRPr="00A557BF" w:rsidRDefault="00D34225" w:rsidP="008C41F7">
            <w:pPr>
              <w:pStyle w:val="Textpoznpodarou"/>
            </w:pPr>
            <w:r w:rsidRPr="00A557BF">
              <w:t>Graf č. 24</w:t>
            </w:r>
          </w:p>
        </w:tc>
        <w:tc>
          <w:tcPr>
            <w:tcW w:w="2155" w:type="pct"/>
          </w:tcPr>
          <w:p w:rsidR="00D34225" w:rsidRPr="00A557BF" w:rsidRDefault="00D34225" w:rsidP="008C41F7">
            <w:pPr>
              <w:pStyle w:val="Textpoznpodarou"/>
            </w:pPr>
            <w:r w:rsidRPr="00A557BF">
              <w:rPr>
                <w:b/>
              </w:rPr>
              <w:t>Příspěvky výdajových složek ke změně HDP*</w:t>
            </w:r>
            <w:r w:rsidRPr="00A557BF">
              <w:t xml:space="preserve"> (y/y, reálně, příspěvky v </w:t>
            </w:r>
            <w:proofErr w:type="spellStart"/>
            <w:r w:rsidRPr="00A557BF">
              <w:t>pb</w:t>
            </w:r>
            <w:proofErr w:type="spellEnd"/>
            <w:r w:rsidRPr="00A557BF">
              <w:t>., HDP v %)</w:t>
            </w:r>
          </w:p>
        </w:tc>
        <w:tc>
          <w:tcPr>
            <w:tcW w:w="364" w:type="pct"/>
          </w:tcPr>
          <w:p w:rsidR="00D34225" w:rsidRPr="00A557BF" w:rsidRDefault="00D34225" w:rsidP="008C41F7">
            <w:pPr>
              <w:pStyle w:val="Textpoznpodarou"/>
            </w:pPr>
            <w:r w:rsidRPr="00A557BF">
              <w:t>Graf č. 25</w:t>
            </w:r>
          </w:p>
        </w:tc>
        <w:tc>
          <w:tcPr>
            <w:tcW w:w="2139" w:type="pct"/>
            <w:gridSpan w:val="2"/>
          </w:tcPr>
          <w:p w:rsidR="00D34225" w:rsidRPr="00A557BF" w:rsidRDefault="00D34225" w:rsidP="008C41F7">
            <w:pPr>
              <w:pStyle w:val="Textpoznpodarou"/>
            </w:pPr>
            <w:r w:rsidRPr="00A557BF">
              <w:rPr>
                <w:b/>
              </w:rPr>
              <w:t>Příspěvky odvětví ke změně hrubé přidané hodnoty</w:t>
            </w:r>
            <w:r w:rsidRPr="00A557BF">
              <w:t xml:space="preserve"> (y/y, reálně, příspěvky v </w:t>
            </w:r>
            <w:proofErr w:type="spellStart"/>
            <w:r w:rsidRPr="00A557BF">
              <w:t>pb</w:t>
            </w:r>
            <w:proofErr w:type="spellEnd"/>
            <w:r w:rsidRPr="00A557BF">
              <w:t>., hrubá přidaná hodnota v %)</w:t>
            </w:r>
          </w:p>
        </w:tc>
      </w:tr>
      <w:tr w:rsidR="00D34225" w:rsidRPr="00A557BF" w:rsidTr="008C41F7">
        <w:tc>
          <w:tcPr>
            <w:tcW w:w="2497" w:type="pct"/>
            <w:gridSpan w:val="2"/>
          </w:tcPr>
          <w:p w:rsidR="00D34225" w:rsidRPr="00A557BF" w:rsidRDefault="002A2083" w:rsidP="008C41F7">
            <w:pPr>
              <w:pStyle w:val="Textpoznpodarou"/>
              <w:jc w:val="both"/>
            </w:pPr>
            <w:r>
              <w:rPr>
                <w:noProof/>
              </w:rPr>
              <w:pict>
                <v:shape id="obrázek 5" o:spid="_x0000_i1048" type="#_x0000_t75" style="width:237pt;height:186pt;visibility:visible;mso-wrap-style:square">
                  <v:imagedata r:id="rId36" o:title=""/>
                </v:shape>
              </w:pict>
            </w:r>
          </w:p>
        </w:tc>
        <w:tc>
          <w:tcPr>
            <w:tcW w:w="2503" w:type="pct"/>
            <w:gridSpan w:val="3"/>
          </w:tcPr>
          <w:p w:rsidR="00D34225" w:rsidRPr="00A557BF" w:rsidRDefault="002A2083" w:rsidP="008C41F7">
            <w:pPr>
              <w:pStyle w:val="Textpoznpodarou"/>
              <w:jc w:val="both"/>
            </w:pPr>
            <w:r>
              <w:rPr>
                <w:noProof/>
              </w:rPr>
              <w:pict>
                <v:shape id="obrázek 6" o:spid="_x0000_i1049" type="#_x0000_t75" style="width:237.75pt;height:186pt;visibility:visible;mso-wrap-style:square">
                  <v:imagedata r:id="rId37" o:title=""/>
                </v:shape>
              </w:pict>
            </w:r>
          </w:p>
        </w:tc>
      </w:tr>
      <w:tr w:rsidR="00D34225" w:rsidRPr="00A557BF" w:rsidTr="008C41F7">
        <w:tc>
          <w:tcPr>
            <w:tcW w:w="3395" w:type="pct"/>
            <w:gridSpan w:val="4"/>
          </w:tcPr>
          <w:p w:rsidR="00D34225" w:rsidRPr="00A557BF" w:rsidRDefault="00D34225" w:rsidP="008C41F7">
            <w:pPr>
              <w:pStyle w:val="Textpoznpodarou"/>
              <w:rPr>
                <w:noProof/>
                <w:sz w:val="18"/>
                <w:szCs w:val="18"/>
              </w:rPr>
            </w:pPr>
            <w:r w:rsidRPr="00A557BF">
              <w:rPr>
                <w:noProof/>
                <w:sz w:val="18"/>
                <w:szCs w:val="18"/>
              </w:rPr>
              <w:t>*Pozn.: Příspěvky ke změně HDP bez vyloučení dovozu pro konečné užití.</w:t>
            </w:r>
          </w:p>
        </w:tc>
        <w:tc>
          <w:tcPr>
            <w:tcW w:w="1605" w:type="pct"/>
          </w:tcPr>
          <w:p w:rsidR="00D34225" w:rsidRPr="00A557BF" w:rsidRDefault="00D34225" w:rsidP="008C41F7">
            <w:pPr>
              <w:pStyle w:val="Textpoznpodarou"/>
              <w:jc w:val="right"/>
              <w:rPr>
                <w:noProof/>
              </w:rPr>
            </w:pPr>
            <w:r w:rsidRPr="00A557BF">
              <w:rPr>
                <w:sz w:val="18"/>
                <w:szCs w:val="18"/>
              </w:rPr>
              <w:t>Zdroj: ČSÚ, vlastní výpočty</w:t>
            </w:r>
          </w:p>
        </w:tc>
      </w:tr>
    </w:tbl>
    <w:p w:rsidR="00D34225" w:rsidRPr="00A557BF" w:rsidRDefault="00D34225" w:rsidP="00D34225"/>
    <w:p w:rsidR="00D34225" w:rsidRDefault="00D34225" w:rsidP="00D34225"/>
    <w:p w:rsidR="00D34225" w:rsidRDefault="00D34225" w:rsidP="00D34225"/>
    <w:p w:rsidR="00D34225" w:rsidRDefault="00D34225" w:rsidP="00D34225"/>
    <w:p w:rsidR="00D34225" w:rsidRDefault="00D34225" w:rsidP="00D34225"/>
    <w:p w:rsidR="00D34225" w:rsidRDefault="00D34225" w:rsidP="00D34225"/>
    <w:p w:rsidR="00D34225" w:rsidRDefault="00D34225" w:rsidP="00D34225"/>
    <w:p w:rsidR="003E68BC" w:rsidRDefault="003E68BC" w:rsidP="00D34225"/>
    <w:p w:rsidR="008B0C8B" w:rsidRDefault="001E4A25" w:rsidP="008B0C8B">
      <w:pPr>
        <w:pStyle w:val="Nadpis1"/>
        <w:numPr>
          <w:ilvl w:val="0"/>
          <w:numId w:val="1"/>
        </w:numPr>
        <w:jc w:val="both"/>
      </w:pPr>
      <w:bookmarkStart w:id="16" w:name="_Toc426017659"/>
      <w:r>
        <w:lastRenderedPageBreak/>
        <w:t>Výkonnost n</w:t>
      </w:r>
      <w:r w:rsidR="008B0C8B">
        <w:t>efinanční</w:t>
      </w:r>
      <w:r>
        <w:t>ch</w:t>
      </w:r>
      <w:r w:rsidR="008B0C8B">
        <w:t xml:space="preserve"> podnik</w:t>
      </w:r>
      <w:r>
        <w:t>ů</w:t>
      </w:r>
      <w:bookmarkEnd w:id="16"/>
    </w:p>
    <w:tbl>
      <w:tblPr>
        <w:tblW w:w="5000" w:type="pct"/>
        <w:tblCellMar>
          <w:left w:w="28" w:type="dxa"/>
          <w:right w:w="28" w:type="dxa"/>
        </w:tblCellMar>
        <w:tblLook w:val="04A0"/>
      </w:tblPr>
      <w:tblGrid>
        <w:gridCol w:w="2115"/>
        <w:gridCol w:w="283"/>
        <w:gridCol w:w="7296"/>
      </w:tblGrid>
      <w:tr w:rsidR="00A872CE" w:rsidTr="00A872CE">
        <w:tc>
          <w:tcPr>
            <w:tcW w:w="1091" w:type="pct"/>
          </w:tcPr>
          <w:p w:rsidR="00A872CE" w:rsidRDefault="00A872CE" w:rsidP="00A872CE">
            <w:pPr>
              <w:spacing w:line="240" w:lineRule="auto"/>
              <w:rPr>
                <w:color w:val="000000"/>
                <w:sz w:val="16"/>
                <w:szCs w:val="16"/>
              </w:rPr>
            </w:pPr>
            <w:r>
              <w:rPr>
                <w:color w:val="000000"/>
                <w:sz w:val="16"/>
                <w:szCs w:val="16"/>
              </w:rPr>
              <w:t>Detailnější rozbor ekonomického chování nefinančních podniků v ČR umožňují časové řady sektorových účtů</w:t>
            </w:r>
          </w:p>
          <w:p w:rsidR="00A872CE" w:rsidRDefault="00A872CE" w:rsidP="00A872CE">
            <w:pPr>
              <w:spacing w:line="240" w:lineRule="auto"/>
              <w:rPr>
                <w:color w:val="000000"/>
                <w:sz w:val="16"/>
                <w:szCs w:val="16"/>
              </w:rPr>
            </w:pPr>
          </w:p>
        </w:tc>
        <w:tc>
          <w:tcPr>
            <w:tcW w:w="146" w:type="pct"/>
          </w:tcPr>
          <w:p w:rsidR="00A872CE" w:rsidRDefault="00A872CE" w:rsidP="00A872CE">
            <w:pPr>
              <w:pStyle w:val="Textpoznpodarou"/>
              <w:jc w:val="both"/>
              <w:rPr>
                <w:color w:val="000000"/>
              </w:rPr>
            </w:pPr>
          </w:p>
        </w:tc>
        <w:tc>
          <w:tcPr>
            <w:tcW w:w="3763" w:type="pct"/>
          </w:tcPr>
          <w:p w:rsidR="00A872CE" w:rsidRDefault="00A872CE" w:rsidP="00A872CE">
            <w:pPr>
              <w:pStyle w:val="Textpoznpodarou"/>
              <w:jc w:val="both"/>
              <w:rPr>
                <w:color w:val="000000"/>
              </w:rPr>
            </w:pPr>
            <w:r>
              <w:rPr>
                <w:color w:val="000000"/>
              </w:rPr>
              <w:t>Změny ekonomického chování sektoru nefinančních podniků je možno vcelku komplexně charakterizovat sadou základních relativních ukazatelů odvozených ze sestavy tabulek národních účtů. Jejich výhodou je vedle časové srovnatelnosti i mož</w:t>
            </w:r>
            <w:r w:rsidR="00E910FB">
              <w:rPr>
                <w:color w:val="000000"/>
              </w:rPr>
              <w:t>nost porovnání se zeměmi EU, byť</w:t>
            </w:r>
            <w:r>
              <w:rPr>
                <w:color w:val="000000"/>
              </w:rPr>
              <w:t xml:space="preserve"> obvykle</w:t>
            </w:r>
            <w:r w:rsidR="00E910FB">
              <w:rPr>
                <w:color w:val="000000"/>
              </w:rPr>
              <w:t xml:space="preserve"> s</w:t>
            </w:r>
            <w:r>
              <w:rPr>
                <w:color w:val="000000"/>
              </w:rPr>
              <w:t xml:space="preserve"> jistým časovým zpožděním (v detailnějším pohledu proto ne</w:t>
            </w:r>
            <w:r w:rsidR="00E910FB">
              <w:rPr>
                <w:color w:val="000000"/>
              </w:rPr>
              <w:t>bylo</w:t>
            </w:r>
            <w:r>
              <w:rPr>
                <w:color w:val="000000"/>
              </w:rPr>
              <w:t xml:space="preserve"> zatím možné srovnání v roce 2014).</w:t>
            </w:r>
          </w:p>
        </w:tc>
      </w:tr>
    </w:tbl>
    <w:p w:rsidR="00A872CE" w:rsidRPr="00A872CE" w:rsidRDefault="00A872CE" w:rsidP="00A872CE">
      <w:pPr>
        <w:rPr>
          <w:sz w:val="12"/>
          <w:szCs w:val="12"/>
        </w:rPr>
      </w:pPr>
    </w:p>
    <w:tbl>
      <w:tblPr>
        <w:tblW w:w="5007" w:type="pct"/>
        <w:tblLayout w:type="fixed"/>
        <w:tblCellMar>
          <w:left w:w="28" w:type="dxa"/>
          <w:right w:w="28" w:type="dxa"/>
        </w:tblCellMar>
        <w:tblLook w:val="04A0"/>
      </w:tblPr>
      <w:tblGrid>
        <w:gridCol w:w="594"/>
        <w:gridCol w:w="4963"/>
        <w:gridCol w:w="567"/>
        <w:gridCol w:w="3584"/>
      </w:tblGrid>
      <w:tr w:rsidR="00A872CE" w:rsidTr="00A872CE">
        <w:tc>
          <w:tcPr>
            <w:tcW w:w="306" w:type="pct"/>
          </w:tcPr>
          <w:p w:rsidR="00A872CE" w:rsidRPr="0002540B" w:rsidRDefault="00A872CE" w:rsidP="00A872CE">
            <w:pPr>
              <w:pStyle w:val="Textpoznpodarou"/>
              <w:rPr>
                <w:lang w:eastAsia="en-US"/>
              </w:rPr>
            </w:pPr>
            <w:r>
              <w:rPr>
                <w:lang w:eastAsia="en-US"/>
              </w:rPr>
              <w:t>Graf</w:t>
            </w:r>
            <w:r w:rsidR="001E561F">
              <w:rPr>
                <w:lang w:eastAsia="en-US"/>
              </w:rPr>
              <w:t xml:space="preserve"> č. 1</w:t>
            </w:r>
          </w:p>
        </w:tc>
        <w:tc>
          <w:tcPr>
            <w:tcW w:w="2556" w:type="pct"/>
          </w:tcPr>
          <w:p w:rsidR="00A872CE" w:rsidRDefault="00A872CE" w:rsidP="00A872CE">
            <w:pPr>
              <w:spacing w:line="240" w:lineRule="auto"/>
              <w:rPr>
                <w:b/>
                <w:bCs/>
                <w:color w:val="000000"/>
              </w:rPr>
            </w:pPr>
            <w:r>
              <w:rPr>
                <w:b/>
                <w:bCs/>
                <w:color w:val="000000"/>
              </w:rPr>
              <w:t xml:space="preserve">Struktura hrubé přidané hodnoty podle </w:t>
            </w:r>
          </w:p>
          <w:p w:rsidR="00A872CE" w:rsidRDefault="00B60C8D" w:rsidP="00A872CE">
            <w:pPr>
              <w:spacing w:line="240" w:lineRule="auto"/>
              <w:rPr>
                <w:b/>
                <w:bCs/>
                <w:color w:val="000000"/>
              </w:rPr>
            </w:pPr>
            <w:proofErr w:type="spellStart"/>
            <w:r>
              <w:rPr>
                <w:b/>
                <w:bCs/>
                <w:color w:val="000000"/>
              </w:rPr>
              <w:t>sub</w:t>
            </w:r>
            <w:r w:rsidR="00A872CE">
              <w:rPr>
                <w:b/>
                <w:bCs/>
                <w:color w:val="000000"/>
              </w:rPr>
              <w:t>sektorů</w:t>
            </w:r>
            <w:proofErr w:type="spellEnd"/>
            <w:r w:rsidR="00A872CE">
              <w:rPr>
                <w:b/>
                <w:bCs/>
                <w:color w:val="000000"/>
              </w:rPr>
              <w:t xml:space="preserve"> nefinančních podniků v</w:t>
            </w:r>
            <w:r>
              <w:rPr>
                <w:b/>
                <w:bCs/>
                <w:color w:val="000000"/>
              </w:rPr>
              <w:t> </w:t>
            </w:r>
            <w:r w:rsidR="00A872CE">
              <w:rPr>
                <w:b/>
                <w:bCs/>
                <w:color w:val="000000"/>
              </w:rPr>
              <w:t>ČR</w:t>
            </w:r>
            <w:r>
              <w:rPr>
                <w:b/>
                <w:bCs/>
                <w:color w:val="000000"/>
              </w:rPr>
              <w:t xml:space="preserve"> </w:t>
            </w:r>
            <w:r w:rsidRPr="00B60C8D">
              <w:rPr>
                <w:bCs/>
                <w:color w:val="000000"/>
              </w:rPr>
              <w:t>(v %)</w:t>
            </w:r>
          </w:p>
        </w:tc>
        <w:tc>
          <w:tcPr>
            <w:tcW w:w="292" w:type="pct"/>
          </w:tcPr>
          <w:p w:rsidR="00A872CE" w:rsidRDefault="00A872CE" w:rsidP="00A872CE">
            <w:pPr>
              <w:spacing w:line="240" w:lineRule="auto"/>
            </w:pPr>
            <w:r>
              <w:rPr>
                <w:lang w:eastAsia="en-US"/>
              </w:rPr>
              <w:t>Graf</w:t>
            </w:r>
            <w:r w:rsidR="001E561F">
              <w:rPr>
                <w:lang w:eastAsia="en-US"/>
              </w:rPr>
              <w:t xml:space="preserve"> č. 2</w:t>
            </w:r>
          </w:p>
        </w:tc>
        <w:tc>
          <w:tcPr>
            <w:tcW w:w="1846" w:type="pct"/>
          </w:tcPr>
          <w:p w:rsidR="00A872CE" w:rsidRPr="0008082E" w:rsidRDefault="00A872CE" w:rsidP="00A872CE">
            <w:pPr>
              <w:spacing w:line="240" w:lineRule="auto"/>
              <w:rPr>
                <w:b/>
                <w:bCs/>
                <w:color w:val="000000"/>
              </w:rPr>
            </w:pPr>
            <w:r>
              <w:rPr>
                <w:b/>
                <w:bCs/>
                <w:color w:val="000000"/>
              </w:rPr>
              <w:t>Struktura hrubé přidané hodnoty podle všech institucionálních sektorů ekonomiky ČR</w:t>
            </w:r>
            <w:r w:rsidR="00B60C8D">
              <w:rPr>
                <w:b/>
                <w:bCs/>
                <w:color w:val="000000"/>
              </w:rPr>
              <w:t xml:space="preserve"> </w:t>
            </w:r>
            <w:r w:rsidR="00B60C8D" w:rsidRPr="00B60C8D">
              <w:rPr>
                <w:bCs/>
                <w:color w:val="000000"/>
              </w:rPr>
              <w:t>(v %)</w:t>
            </w:r>
          </w:p>
        </w:tc>
      </w:tr>
      <w:tr w:rsidR="00A872CE" w:rsidTr="00A872CE">
        <w:tc>
          <w:tcPr>
            <w:tcW w:w="2862" w:type="pct"/>
            <w:gridSpan w:val="2"/>
          </w:tcPr>
          <w:p w:rsidR="00A872CE" w:rsidRDefault="00513C6F" w:rsidP="00A872CE">
            <w:pPr>
              <w:pStyle w:val="Textpoznpodarou"/>
              <w:jc w:val="both"/>
            </w:pPr>
            <w:r>
              <w:pict>
                <v:shape id="_x0000_i1050" type="#_x0000_t75" style="width:273.75pt;height:181.5pt">
                  <v:imagedata r:id="rId38" o:title=""/>
                </v:shape>
              </w:pict>
            </w:r>
          </w:p>
        </w:tc>
        <w:tc>
          <w:tcPr>
            <w:tcW w:w="2138" w:type="pct"/>
            <w:gridSpan w:val="2"/>
          </w:tcPr>
          <w:p w:rsidR="00A872CE" w:rsidRDefault="00513C6F" w:rsidP="00A872CE">
            <w:pPr>
              <w:pStyle w:val="Textpoznpodarou"/>
              <w:jc w:val="both"/>
            </w:pPr>
            <w:r>
              <w:pict>
                <v:shape id="_x0000_i1051" type="#_x0000_t75" style="width:204.75pt;height:181.5pt">
                  <v:imagedata r:id="rId39" o:title=""/>
                </v:shape>
              </w:pict>
            </w:r>
          </w:p>
        </w:tc>
      </w:tr>
      <w:tr w:rsidR="00A872CE" w:rsidTr="00A872CE">
        <w:tc>
          <w:tcPr>
            <w:tcW w:w="2862" w:type="pct"/>
            <w:gridSpan w:val="2"/>
          </w:tcPr>
          <w:p w:rsidR="00A872CE" w:rsidRPr="0020709F" w:rsidRDefault="00A872CE" w:rsidP="00A872CE">
            <w:pPr>
              <w:pStyle w:val="Textpoznpodarou"/>
              <w:jc w:val="right"/>
              <w:rPr>
                <w:sz w:val="16"/>
                <w:szCs w:val="16"/>
              </w:rPr>
            </w:pPr>
            <w:r>
              <w:rPr>
                <w:sz w:val="18"/>
                <w:szCs w:val="18"/>
                <w:lang w:eastAsia="en-US"/>
              </w:rPr>
              <w:t xml:space="preserve">                                 Zdroj: ČSÚ (národní účty)</w:t>
            </w:r>
          </w:p>
        </w:tc>
        <w:tc>
          <w:tcPr>
            <w:tcW w:w="2138" w:type="pct"/>
            <w:gridSpan w:val="2"/>
          </w:tcPr>
          <w:p w:rsidR="00A872CE" w:rsidRPr="00A10AFE" w:rsidRDefault="00A872CE" w:rsidP="00A872CE">
            <w:pPr>
              <w:pStyle w:val="Textpoznpodarou"/>
              <w:jc w:val="right"/>
              <w:rPr>
                <w:rFonts w:cs="Arial"/>
                <w:sz w:val="18"/>
                <w:szCs w:val="18"/>
              </w:rPr>
            </w:pPr>
            <w:r>
              <w:rPr>
                <w:sz w:val="18"/>
                <w:szCs w:val="18"/>
                <w:lang w:eastAsia="en-US"/>
              </w:rPr>
              <w:t>Zdroj: ČSÚ (národní účty)</w:t>
            </w:r>
          </w:p>
        </w:tc>
      </w:tr>
    </w:tbl>
    <w:p w:rsidR="00A872CE" w:rsidRPr="00A872CE" w:rsidRDefault="00A872CE" w:rsidP="00A872CE">
      <w:pPr>
        <w:rPr>
          <w:sz w:val="12"/>
          <w:szCs w:val="12"/>
        </w:rPr>
      </w:pPr>
    </w:p>
    <w:tbl>
      <w:tblPr>
        <w:tblW w:w="5000" w:type="pct"/>
        <w:tblCellMar>
          <w:left w:w="28" w:type="dxa"/>
          <w:right w:w="28" w:type="dxa"/>
        </w:tblCellMar>
        <w:tblLook w:val="04A0"/>
      </w:tblPr>
      <w:tblGrid>
        <w:gridCol w:w="2115"/>
        <w:gridCol w:w="283"/>
        <w:gridCol w:w="7296"/>
      </w:tblGrid>
      <w:tr w:rsidR="00A872CE" w:rsidTr="00A872CE">
        <w:trPr>
          <w:cantSplit/>
          <w:trHeight w:val="295"/>
        </w:trPr>
        <w:tc>
          <w:tcPr>
            <w:tcW w:w="1091" w:type="pct"/>
          </w:tcPr>
          <w:p w:rsidR="00A872CE" w:rsidRDefault="00A872CE" w:rsidP="00A872CE">
            <w:pPr>
              <w:spacing w:line="240" w:lineRule="auto"/>
              <w:rPr>
                <w:color w:val="000000"/>
                <w:sz w:val="16"/>
                <w:szCs w:val="16"/>
              </w:rPr>
            </w:pPr>
            <w:r>
              <w:rPr>
                <w:color w:val="000000"/>
                <w:sz w:val="16"/>
                <w:szCs w:val="16"/>
              </w:rPr>
              <w:t>Saldo hospodaření nefinančních podniků v ČR tradičně dlouhodobě záporné, výjimkou byl rok 2009</w:t>
            </w:r>
          </w:p>
        </w:tc>
        <w:tc>
          <w:tcPr>
            <w:tcW w:w="146" w:type="pct"/>
          </w:tcPr>
          <w:p w:rsidR="00A872CE" w:rsidRDefault="00A872CE" w:rsidP="00A872CE">
            <w:pPr>
              <w:pStyle w:val="Textpoznpodarou"/>
              <w:jc w:val="both"/>
              <w:rPr>
                <w:color w:val="000000"/>
              </w:rPr>
            </w:pPr>
          </w:p>
        </w:tc>
        <w:tc>
          <w:tcPr>
            <w:tcW w:w="3763" w:type="pct"/>
          </w:tcPr>
          <w:p w:rsidR="00A872CE" w:rsidRPr="00A872CE" w:rsidRDefault="00A872CE" w:rsidP="00A872CE">
            <w:pPr>
              <w:pStyle w:val="Textpoznpodarou"/>
              <w:jc w:val="both"/>
              <w:rPr>
                <w:color w:val="000000"/>
                <w:spacing w:val="-6"/>
              </w:rPr>
            </w:pPr>
            <w:r w:rsidRPr="00A872CE">
              <w:rPr>
                <w:color w:val="000000"/>
                <w:spacing w:val="-6"/>
              </w:rPr>
              <w:t xml:space="preserve">Z dlouhodobého pohledu není překvapivé, že nefinanční podniky v ČR podobně jako ve většině vyspělých zemí končí své hospodaření potřebou financování (jejich věřitelem bývá zpravidla finanční sektor). To platilo v tuzemské podnikové sféře především v 90. letech, kdy </w:t>
            </w:r>
            <w:r w:rsidR="00C4549D" w:rsidRPr="00A872CE">
              <w:rPr>
                <w:color w:val="000000"/>
                <w:spacing w:val="-6"/>
              </w:rPr>
              <w:t xml:space="preserve">byly </w:t>
            </w:r>
            <w:r w:rsidRPr="00A872CE">
              <w:rPr>
                <w:color w:val="000000"/>
                <w:spacing w:val="-6"/>
              </w:rPr>
              <w:t>podniky v důsledku potřeby obnovy výrobních zařízení donuceny masivně investovat. Ještě v období 1998-2002 se jejich míra investic pohybovala mezi 36 až 39 % a byla nejvyšší ze všech institucionálních sektorů české ekonomiky (v dřívějším období 90. let ji převyšoval pouze finanční sektor).</w:t>
            </w:r>
          </w:p>
          <w:p w:rsidR="00A872CE" w:rsidRPr="00A872CE" w:rsidRDefault="00A872CE" w:rsidP="00A872CE">
            <w:pPr>
              <w:pStyle w:val="Textpoznpodarou"/>
              <w:jc w:val="both"/>
              <w:rPr>
                <w:color w:val="000000"/>
                <w:sz w:val="12"/>
                <w:szCs w:val="12"/>
              </w:rPr>
            </w:pPr>
          </w:p>
        </w:tc>
      </w:tr>
      <w:tr w:rsidR="00A872CE" w:rsidTr="00A872CE">
        <w:trPr>
          <w:cantSplit/>
          <w:trHeight w:val="272"/>
        </w:trPr>
        <w:tc>
          <w:tcPr>
            <w:tcW w:w="1091" w:type="pct"/>
          </w:tcPr>
          <w:p w:rsidR="00A872CE" w:rsidRDefault="00A872CE" w:rsidP="00A872CE">
            <w:pPr>
              <w:spacing w:line="240" w:lineRule="auto"/>
              <w:rPr>
                <w:color w:val="000000"/>
                <w:sz w:val="16"/>
                <w:szCs w:val="16"/>
              </w:rPr>
            </w:pPr>
            <w:r>
              <w:rPr>
                <w:color w:val="000000"/>
                <w:sz w:val="16"/>
                <w:szCs w:val="16"/>
              </w:rPr>
              <w:t>V druhé polovině 90. let nevytvářely silně zadlužené nefinanční podniky dostatek vlastní zdrojů pro svoji silnou investiční potřebu a musely se dále zadlužovat</w:t>
            </w:r>
            <w:r w:rsidR="00334C45">
              <w:rPr>
                <w:color w:val="000000"/>
                <w:sz w:val="16"/>
                <w:szCs w:val="16"/>
              </w:rPr>
              <w:t>,</w:t>
            </w:r>
            <w:r>
              <w:rPr>
                <w:color w:val="000000"/>
                <w:sz w:val="16"/>
                <w:szCs w:val="16"/>
              </w:rPr>
              <w:t xml:space="preserve"> především formou půjček</w:t>
            </w:r>
          </w:p>
        </w:tc>
        <w:tc>
          <w:tcPr>
            <w:tcW w:w="146" w:type="pct"/>
          </w:tcPr>
          <w:p w:rsidR="00A872CE" w:rsidRDefault="00A872CE" w:rsidP="00A872CE">
            <w:pPr>
              <w:pStyle w:val="Textpoznpodarou"/>
              <w:jc w:val="both"/>
              <w:rPr>
                <w:color w:val="000000"/>
              </w:rPr>
            </w:pPr>
          </w:p>
        </w:tc>
        <w:tc>
          <w:tcPr>
            <w:tcW w:w="3763" w:type="pct"/>
          </w:tcPr>
          <w:p w:rsidR="00A872CE" w:rsidRPr="00A872CE" w:rsidRDefault="00A872CE" w:rsidP="00A872CE">
            <w:pPr>
              <w:pStyle w:val="Textpoznpodarou"/>
              <w:jc w:val="both"/>
              <w:rPr>
                <w:color w:val="000000"/>
                <w:spacing w:val="-6"/>
              </w:rPr>
            </w:pPr>
            <w:r w:rsidRPr="00A872CE">
              <w:rPr>
                <w:color w:val="000000"/>
                <w:spacing w:val="-6"/>
              </w:rPr>
              <w:t>Hluboké deficity hospodaření podniků v počátku druhé poloviny 90. let spočívaly mimo jiné v relativně nižších mírách hrubé marže (mj. v důsledku mělké recese ekonomiky), vysoké zadluženosti (a zní plynoucí vyšší potřeby splátek) a postupném prohlubování salda vlastnických důchodů vlivem většího odtoku dividend zahraničním vlastníkům podniků. Podniky nemohly vytvářet dostatečné zdroje, resp. úspory (míra hrubých úspor klesla v roce 1997 k 23 %) na krytí svých vysokých investičních potřeb (v období 1995-97 tak dokázaly z vlastních zdrojů pokrýt méně než dvě třetin</w:t>
            </w:r>
            <w:r w:rsidR="00C4549D">
              <w:rPr>
                <w:color w:val="000000"/>
                <w:spacing w:val="-6"/>
              </w:rPr>
              <w:t>y</w:t>
            </w:r>
            <w:r w:rsidRPr="00A872CE">
              <w:rPr>
                <w:color w:val="000000"/>
                <w:spacing w:val="-6"/>
              </w:rPr>
              <w:t xml:space="preserve"> investic). </w:t>
            </w:r>
          </w:p>
          <w:p w:rsidR="00A872CE" w:rsidRPr="00A872CE" w:rsidRDefault="00A872CE" w:rsidP="00A872CE">
            <w:pPr>
              <w:pStyle w:val="Textpoznpodarou"/>
              <w:jc w:val="both"/>
              <w:rPr>
                <w:color w:val="000000"/>
                <w:sz w:val="12"/>
                <w:szCs w:val="12"/>
              </w:rPr>
            </w:pPr>
          </w:p>
        </w:tc>
      </w:tr>
      <w:tr w:rsidR="00A872CE" w:rsidTr="00A872CE">
        <w:tc>
          <w:tcPr>
            <w:tcW w:w="1091" w:type="pct"/>
          </w:tcPr>
          <w:p w:rsidR="00A872CE" w:rsidRDefault="00A872CE" w:rsidP="00A872CE">
            <w:pPr>
              <w:spacing w:line="240" w:lineRule="auto"/>
              <w:rPr>
                <w:color w:val="000000"/>
                <w:sz w:val="16"/>
                <w:szCs w:val="16"/>
              </w:rPr>
            </w:pPr>
            <w:r>
              <w:rPr>
                <w:color w:val="000000"/>
                <w:sz w:val="16"/>
                <w:szCs w:val="16"/>
              </w:rPr>
              <w:t>Po měnové krizi se výsledky hospodaření nefinančních podniků na konci 90. let zlepšily, byly ovlivněny i pokračující restrukturalizací podniků</w:t>
            </w:r>
          </w:p>
          <w:p w:rsidR="00A872CE" w:rsidRDefault="00A872CE" w:rsidP="00A872CE">
            <w:pPr>
              <w:spacing w:line="240" w:lineRule="auto"/>
              <w:rPr>
                <w:color w:val="000000"/>
                <w:sz w:val="16"/>
                <w:szCs w:val="16"/>
              </w:rPr>
            </w:pPr>
          </w:p>
          <w:p w:rsidR="00A872CE" w:rsidRDefault="00A872CE" w:rsidP="00A872CE">
            <w:pPr>
              <w:spacing w:line="240" w:lineRule="auto"/>
              <w:rPr>
                <w:color w:val="000000"/>
                <w:sz w:val="16"/>
                <w:szCs w:val="16"/>
              </w:rPr>
            </w:pPr>
            <w:r>
              <w:rPr>
                <w:color w:val="000000"/>
                <w:sz w:val="16"/>
                <w:szCs w:val="16"/>
              </w:rPr>
              <w:t xml:space="preserve"> </w:t>
            </w:r>
          </w:p>
        </w:tc>
        <w:tc>
          <w:tcPr>
            <w:tcW w:w="146" w:type="pct"/>
          </w:tcPr>
          <w:p w:rsidR="00A872CE" w:rsidRDefault="00A872CE" w:rsidP="00A872CE">
            <w:pPr>
              <w:pStyle w:val="Textpoznpodarou"/>
              <w:jc w:val="both"/>
              <w:rPr>
                <w:color w:val="000000"/>
              </w:rPr>
            </w:pPr>
          </w:p>
        </w:tc>
        <w:tc>
          <w:tcPr>
            <w:tcW w:w="3763" w:type="pct"/>
          </w:tcPr>
          <w:p w:rsidR="00A872CE" w:rsidRDefault="00A872CE" w:rsidP="00A872CE">
            <w:pPr>
              <w:pStyle w:val="Textpoznpodarou"/>
              <w:jc w:val="both"/>
              <w:rPr>
                <w:color w:val="000000"/>
                <w:spacing w:val="-6"/>
              </w:rPr>
            </w:pPr>
            <w:r w:rsidRPr="00A872CE">
              <w:rPr>
                <w:color w:val="000000"/>
                <w:spacing w:val="-6"/>
              </w:rPr>
              <w:t>Na sklonku 90. let se saldo hospodaření i míra samofinancování podniků výrazně zlepšily. Obnovení ekonomického růstu, ale i vnitřní strukturální změny v rámci nefinančních podniků se odrazily ve významném růstu míry marže i úspor. Při souběžně vysoké (ale stabilizované) míře investic následně vedly podstatnému snížení deficitu hospodaření podniků (čisté výpůjčky v roce 2000 klesly na 81 mld. korun, proti roku 1996 byly o téměř polovinu nižší). Zároveň probíhaly významné posuny v zaměstnanosti – a to jak v rámci sektoru nefinančních podniků (posilování vlivu podniků pod zahraniční kontrolou), tak i mimo něj (přesun pracovníků ze sektoru nefinančních podniků do finanční sféry a především do oblasti drobného podnikání). Pokračující restrukturalizace podniků udržovala vysokou míru investic. Ta dosáhla svého lokálního maxima (39 %) v roce 2001, kdy byla společně s nefinančními podniky na Slovensku zdaleka nejvyšší ze všech zemí současné EU. Přestože v tomto roce dosahovaly podniky i maximálních měr hrubých marží (nejvyšších v hodnoceném dvacetiletém období) byly to právě zesílené investice do fixního kapitálu, které opětovně zhoršily saldo hospodaření podniků (na úroveň blízkou polovině 90. let).</w:t>
            </w:r>
          </w:p>
          <w:p w:rsidR="00A872CE" w:rsidRPr="00A872CE" w:rsidRDefault="00A872CE" w:rsidP="00A872CE">
            <w:pPr>
              <w:pStyle w:val="Textpoznpodarou"/>
              <w:jc w:val="both"/>
              <w:rPr>
                <w:color w:val="000000"/>
                <w:spacing w:val="-6"/>
                <w:sz w:val="12"/>
                <w:szCs w:val="12"/>
              </w:rPr>
            </w:pPr>
          </w:p>
        </w:tc>
      </w:tr>
      <w:tr w:rsidR="00A872CE" w:rsidTr="00A872CE">
        <w:tc>
          <w:tcPr>
            <w:tcW w:w="1091" w:type="pct"/>
          </w:tcPr>
          <w:p w:rsidR="00A872CE" w:rsidRPr="00B66C89" w:rsidRDefault="00A872CE" w:rsidP="00A872CE">
            <w:pPr>
              <w:spacing w:line="240" w:lineRule="auto"/>
              <w:rPr>
                <w:color w:val="000000"/>
                <w:spacing w:val="-2"/>
                <w:sz w:val="16"/>
                <w:szCs w:val="16"/>
              </w:rPr>
            </w:pPr>
            <w:r w:rsidRPr="00B66C89">
              <w:rPr>
                <w:color w:val="000000"/>
                <w:spacing w:val="-2"/>
                <w:sz w:val="16"/>
                <w:szCs w:val="16"/>
              </w:rPr>
              <w:t>V době konjunktury (po vstupu ČR od EU) rostla míra marží i ziskovosti podniků…</w:t>
            </w:r>
          </w:p>
          <w:p w:rsidR="00A872CE" w:rsidRDefault="00A872CE" w:rsidP="00A872CE">
            <w:pPr>
              <w:rPr>
                <w:color w:val="000000"/>
                <w:sz w:val="16"/>
                <w:szCs w:val="16"/>
              </w:rPr>
            </w:pPr>
          </w:p>
          <w:p w:rsidR="00B66C89" w:rsidRDefault="00B66C89" w:rsidP="00A872CE">
            <w:pPr>
              <w:rPr>
                <w:color w:val="000000"/>
                <w:sz w:val="16"/>
                <w:szCs w:val="16"/>
              </w:rPr>
            </w:pPr>
          </w:p>
          <w:p w:rsidR="00A872CE" w:rsidRPr="000711D7" w:rsidRDefault="00A872CE" w:rsidP="00A872CE">
            <w:pPr>
              <w:spacing w:line="240" w:lineRule="auto"/>
              <w:rPr>
                <w:sz w:val="16"/>
                <w:szCs w:val="16"/>
              </w:rPr>
            </w:pPr>
            <w:r>
              <w:rPr>
                <w:color w:val="000000"/>
                <w:sz w:val="16"/>
                <w:szCs w:val="16"/>
              </w:rPr>
              <w:t>…podniky si ale nadále udržovaly významnou potřebu financování vlivem rostoucího odlivu dividend zahraničním akcionářům a také přispěním rostoucích stavů zásob</w:t>
            </w:r>
          </w:p>
        </w:tc>
        <w:tc>
          <w:tcPr>
            <w:tcW w:w="146" w:type="pct"/>
          </w:tcPr>
          <w:p w:rsidR="00A872CE" w:rsidRDefault="00A872CE" w:rsidP="00A872CE">
            <w:pPr>
              <w:rPr>
                <w:sz w:val="16"/>
                <w:szCs w:val="16"/>
              </w:rPr>
            </w:pPr>
          </w:p>
        </w:tc>
        <w:tc>
          <w:tcPr>
            <w:tcW w:w="3763" w:type="pct"/>
          </w:tcPr>
          <w:p w:rsidR="00A872CE" w:rsidRPr="00A872CE" w:rsidRDefault="00A872CE" w:rsidP="00A872CE">
            <w:pPr>
              <w:pStyle w:val="Textpoznpodarou"/>
              <w:jc w:val="both"/>
              <w:rPr>
                <w:color w:val="000000"/>
                <w:spacing w:val="-4"/>
              </w:rPr>
            </w:pPr>
            <w:r w:rsidRPr="00A872CE">
              <w:rPr>
                <w:color w:val="000000"/>
                <w:spacing w:val="-4"/>
              </w:rPr>
              <w:t xml:space="preserve">Vstup ČR do EU dále rozšířil exportní možnosti v té době již silně otevřené české ekonomiky. Následné konjunkturní období přineslo růst míry hrubých marží i </w:t>
            </w:r>
            <w:r w:rsidRPr="00A872CE">
              <w:rPr>
                <w:color w:val="000000"/>
                <w:spacing w:val="-4"/>
              </w:rPr>
              <w:lastRenderedPageBreak/>
              <w:t>ziskovosti (podíl čistého provozního přebytku na celkové produkci nefinančních podniků se mezi ro</w:t>
            </w:r>
            <w:r w:rsidR="00A74C7F">
              <w:rPr>
                <w:color w:val="000000"/>
                <w:spacing w:val="-4"/>
              </w:rPr>
              <w:t xml:space="preserve">ky 2003 a 2006 navýšil o 1 </w:t>
            </w:r>
            <w:proofErr w:type="spellStart"/>
            <w:proofErr w:type="gramStart"/>
            <w:r w:rsidR="00A74C7F">
              <w:rPr>
                <w:color w:val="000000"/>
                <w:spacing w:val="-4"/>
              </w:rPr>
              <w:t>p.b</w:t>
            </w:r>
            <w:proofErr w:type="spellEnd"/>
            <w:r w:rsidR="00A74C7F">
              <w:rPr>
                <w:color w:val="000000"/>
                <w:spacing w:val="-4"/>
              </w:rPr>
              <w:t>.,</w:t>
            </w:r>
            <w:r w:rsidRPr="00A872CE">
              <w:rPr>
                <w:color w:val="000000"/>
                <w:spacing w:val="-4"/>
              </w:rPr>
              <w:t xml:space="preserve"> tj</w:t>
            </w:r>
            <w:r w:rsidR="00A74C7F">
              <w:rPr>
                <w:color w:val="000000"/>
                <w:spacing w:val="-4"/>
              </w:rPr>
              <w:t>.</w:t>
            </w:r>
            <w:proofErr w:type="gramEnd"/>
            <w:r w:rsidRPr="00A872CE">
              <w:rPr>
                <w:color w:val="000000"/>
                <w:spacing w:val="-4"/>
              </w:rPr>
              <w:t xml:space="preserve"> na 9,3 %). Projevilo se také posílením zaměstnanosti, které bylo patrné ve všech </w:t>
            </w:r>
            <w:proofErr w:type="spellStart"/>
            <w:r w:rsidR="00B60C8D">
              <w:rPr>
                <w:color w:val="000000"/>
                <w:spacing w:val="-4"/>
              </w:rPr>
              <w:t>sub</w:t>
            </w:r>
            <w:r w:rsidRPr="00A872CE">
              <w:rPr>
                <w:color w:val="000000"/>
                <w:spacing w:val="-4"/>
              </w:rPr>
              <w:t>sektorech</w:t>
            </w:r>
            <w:proofErr w:type="spellEnd"/>
            <w:r w:rsidRPr="00A872CE">
              <w:rPr>
                <w:color w:val="000000"/>
                <w:spacing w:val="-4"/>
              </w:rPr>
              <w:t xml:space="preserve"> nefinančních podniků – vyjma veřejných podniků. Podíl podniků pod zahraniční kontrolou na celkové hrubé přidané hodnotě nefinančních podniků se přiblížil </w:t>
            </w:r>
            <w:r w:rsidR="00334C45">
              <w:rPr>
                <w:color w:val="000000"/>
                <w:spacing w:val="-4"/>
              </w:rPr>
              <w:t xml:space="preserve">k </w:t>
            </w:r>
            <w:r w:rsidRPr="00A872CE">
              <w:rPr>
                <w:color w:val="000000"/>
                <w:spacing w:val="-4"/>
              </w:rPr>
              <w:t>46 % a na této úrovni fakticky setrvává až do současnosti. Ukončení hlavní vlny restrukturalizace podniků zčásti snížilo dříve silnou investiční potřebu, míra hrubých investic nefinančních podniků však byla stále druhá nejvyšší ze všech sektorů ekonomiky ČR (po sektoru vládních institucí) a také vyšší oproti všem patnácti starším členům EU.</w:t>
            </w:r>
          </w:p>
          <w:p w:rsidR="00A872CE" w:rsidRPr="00A872CE" w:rsidRDefault="00A872CE" w:rsidP="00A872CE">
            <w:pPr>
              <w:pStyle w:val="Textpoznpodarou"/>
              <w:jc w:val="both"/>
              <w:rPr>
                <w:color w:val="000000"/>
                <w:sz w:val="12"/>
                <w:szCs w:val="12"/>
              </w:rPr>
            </w:pPr>
          </w:p>
        </w:tc>
      </w:tr>
      <w:tr w:rsidR="00A872CE" w:rsidTr="00A872CE">
        <w:trPr>
          <w:trHeight w:val="269"/>
        </w:trPr>
        <w:tc>
          <w:tcPr>
            <w:tcW w:w="1091" w:type="pct"/>
          </w:tcPr>
          <w:p w:rsidR="00A872CE" w:rsidRDefault="00A872CE" w:rsidP="00A872CE">
            <w:pPr>
              <w:spacing w:line="240" w:lineRule="auto"/>
              <w:rPr>
                <w:color w:val="000000"/>
                <w:sz w:val="16"/>
                <w:szCs w:val="16"/>
              </w:rPr>
            </w:pPr>
            <w:r>
              <w:rPr>
                <w:color w:val="000000"/>
                <w:sz w:val="16"/>
                <w:szCs w:val="16"/>
              </w:rPr>
              <w:lastRenderedPageBreak/>
              <w:t>Saldo hospodaření p</w:t>
            </w:r>
            <w:r w:rsidR="00B27737">
              <w:rPr>
                <w:color w:val="000000"/>
                <w:sz w:val="16"/>
                <w:szCs w:val="16"/>
              </w:rPr>
              <w:t>odniků se dostalo do nejhlubšího</w:t>
            </w:r>
            <w:r>
              <w:rPr>
                <w:color w:val="000000"/>
                <w:sz w:val="16"/>
                <w:szCs w:val="16"/>
              </w:rPr>
              <w:t xml:space="preserve"> deficitu na vrcholu konjunktury, který stimuloval investiční aktivity,</w:t>
            </w:r>
            <w:r w:rsidR="00B27737">
              <w:rPr>
                <w:color w:val="000000"/>
                <w:sz w:val="16"/>
                <w:szCs w:val="16"/>
              </w:rPr>
              <w:t xml:space="preserve"> </w:t>
            </w:r>
            <w:r>
              <w:rPr>
                <w:color w:val="000000"/>
                <w:sz w:val="16"/>
                <w:szCs w:val="16"/>
              </w:rPr>
              <w:t xml:space="preserve">ale vedl také k vysokému odlivu vlastnických důchodů, zejména do zahraničí </w:t>
            </w:r>
          </w:p>
        </w:tc>
        <w:tc>
          <w:tcPr>
            <w:tcW w:w="146" w:type="pct"/>
          </w:tcPr>
          <w:p w:rsidR="00A872CE" w:rsidRDefault="00A872CE" w:rsidP="00A872CE">
            <w:pPr>
              <w:pStyle w:val="Textpoznpodarou"/>
              <w:jc w:val="both"/>
              <w:rPr>
                <w:color w:val="000000"/>
              </w:rPr>
            </w:pPr>
          </w:p>
        </w:tc>
        <w:tc>
          <w:tcPr>
            <w:tcW w:w="3763" w:type="pct"/>
          </w:tcPr>
          <w:p w:rsidR="00A872CE" w:rsidRDefault="00A872CE" w:rsidP="00A872CE">
            <w:pPr>
              <w:pStyle w:val="Textpoznpodarou"/>
              <w:jc w:val="both"/>
              <w:rPr>
                <w:color w:val="000000"/>
              </w:rPr>
            </w:pPr>
            <w:r>
              <w:rPr>
                <w:color w:val="000000"/>
              </w:rPr>
              <w:t>V roce vrcholící konjunktury (20</w:t>
            </w:r>
            <w:r w:rsidR="00334C45">
              <w:rPr>
                <w:color w:val="000000"/>
              </w:rPr>
              <w:t>07) dosáhl nefinanční sektor</w:t>
            </w:r>
            <w:r>
              <w:rPr>
                <w:color w:val="000000"/>
              </w:rPr>
              <w:t xml:space="preserve"> hi</w:t>
            </w:r>
            <w:r w:rsidR="00334C45">
              <w:rPr>
                <w:color w:val="000000"/>
              </w:rPr>
              <w:t>storicky dosud nejvyšší míry</w:t>
            </w:r>
            <w:r>
              <w:rPr>
                <w:color w:val="000000"/>
              </w:rPr>
              <w:t xml:space="preserve"> čistého zisku (9,3 %) plynoucí</w:t>
            </w:r>
            <w:r w:rsidR="00334C45">
              <w:rPr>
                <w:color w:val="000000"/>
              </w:rPr>
              <w:t>ho</w:t>
            </w:r>
            <w:r>
              <w:rPr>
                <w:color w:val="000000"/>
              </w:rPr>
              <w:t xml:space="preserve"> zejména z vysoké míry hrubých marží, jež atakovala úroveň z</w:t>
            </w:r>
            <w:r w:rsidR="00B27737">
              <w:rPr>
                <w:color w:val="000000"/>
              </w:rPr>
              <w:t> roku 2001. Rekordní</w:t>
            </w:r>
            <w:r>
              <w:rPr>
                <w:color w:val="000000"/>
              </w:rPr>
              <w:t xml:space="preserve"> byl však také schodek hospodaření, když čisté výpůjčky dosáhly 211 mld. korun. Příčinou zdánlivého nesouladu byl jak hluboký propad salda vlastnických důchodů (odliv dividend, ale i reinvestovaných zisků z přímých </w:t>
            </w:r>
            <w:r w:rsidR="00334C45">
              <w:rPr>
                <w:color w:val="000000"/>
              </w:rPr>
              <w:t>zahraničních investic), tak</w:t>
            </w:r>
            <w:r>
              <w:rPr>
                <w:color w:val="000000"/>
              </w:rPr>
              <w:t xml:space="preserve"> zrychlení investiční aktivity podniků, a to jak do fixního kapitálu, a tak i formou historicky nejvyšší</w:t>
            </w:r>
            <w:r w:rsidR="00334C45">
              <w:rPr>
                <w:color w:val="000000"/>
              </w:rPr>
              <w:t>ho</w:t>
            </w:r>
            <w:r>
              <w:rPr>
                <w:color w:val="000000"/>
              </w:rPr>
              <w:t xml:space="preserve"> přírůstku zásob (meziročně o bezmála 100 mld. korun).</w:t>
            </w:r>
          </w:p>
        </w:tc>
      </w:tr>
    </w:tbl>
    <w:p w:rsidR="00A872CE" w:rsidRPr="00A872CE" w:rsidRDefault="00A872CE" w:rsidP="00A872CE">
      <w:pPr>
        <w:pStyle w:val="Textpoznpodarou"/>
        <w:jc w:val="both"/>
        <w:rPr>
          <w:sz w:val="12"/>
          <w:szCs w:val="12"/>
        </w:rPr>
      </w:pPr>
    </w:p>
    <w:tbl>
      <w:tblPr>
        <w:tblW w:w="5000" w:type="pct"/>
        <w:tblLook w:val="04A0"/>
      </w:tblPr>
      <w:tblGrid>
        <w:gridCol w:w="1056"/>
        <w:gridCol w:w="8798"/>
      </w:tblGrid>
      <w:tr w:rsidR="00A872CE" w:rsidRPr="0002540B" w:rsidTr="00A872CE">
        <w:tc>
          <w:tcPr>
            <w:tcW w:w="536" w:type="pct"/>
          </w:tcPr>
          <w:p w:rsidR="00A872CE" w:rsidRPr="0002540B" w:rsidRDefault="00A872CE" w:rsidP="00A872CE">
            <w:pPr>
              <w:pStyle w:val="Textpoznpodarou"/>
              <w:rPr>
                <w:lang w:eastAsia="en-US"/>
              </w:rPr>
            </w:pPr>
            <w:r>
              <w:rPr>
                <w:lang w:eastAsia="en-US"/>
              </w:rPr>
              <w:t>Graf</w:t>
            </w:r>
            <w:r w:rsidR="001E561F">
              <w:rPr>
                <w:lang w:eastAsia="en-US"/>
              </w:rPr>
              <w:t xml:space="preserve"> č. 3:</w:t>
            </w:r>
          </w:p>
        </w:tc>
        <w:tc>
          <w:tcPr>
            <w:tcW w:w="4464" w:type="pct"/>
          </w:tcPr>
          <w:p w:rsidR="00A872CE" w:rsidRPr="009C460D" w:rsidRDefault="00A872CE" w:rsidP="00A872CE">
            <w:pPr>
              <w:pStyle w:val="Textpoznpodarou"/>
              <w:rPr>
                <w:b/>
                <w:spacing w:val="-2"/>
                <w:lang w:eastAsia="en-US"/>
              </w:rPr>
            </w:pPr>
            <w:r w:rsidRPr="009C460D">
              <w:rPr>
                <w:b/>
                <w:spacing w:val="-2"/>
                <w:lang w:eastAsia="en-US"/>
              </w:rPr>
              <w:t>Vybrané ukazatele hospodaření sektoru nefinančních podniků v ČR</w:t>
            </w:r>
          </w:p>
        </w:tc>
      </w:tr>
      <w:tr w:rsidR="00A872CE" w:rsidRPr="0002540B" w:rsidTr="00A872CE">
        <w:tc>
          <w:tcPr>
            <w:tcW w:w="5000" w:type="pct"/>
            <w:gridSpan w:val="2"/>
          </w:tcPr>
          <w:p w:rsidR="00A872CE" w:rsidRPr="007D4281" w:rsidRDefault="002A2083" w:rsidP="00A872CE">
            <w:pPr>
              <w:pStyle w:val="Textpoznpodarou"/>
              <w:jc w:val="right"/>
              <w:rPr>
                <w:sz w:val="18"/>
                <w:szCs w:val="18"/>
                <w:lang w:eastAsia="en-US"/>
              </w:rPr>
            </w:pPr>
            <w:r w:rsidRPr="00513C6F">
              <w:rPr>
                <w:sz w:val="18"/>
                <w:szCs w:val="18"/>
                <w:lang w:eastAsia="en-US"/>
              </w:rPr>
              <w:pict>
                <v:shape id="_x0000_i1052" type="#_x0000_t75" style="width:481.5pt;height:215.25pt">
                  <v:imagedata r:id="rId40" o:title=""/>
                </v:shape>
              </w:pict>
            </w:r>
          </w:p>
        </w:tc>
      </w:tr>
      <w:tr w:rsidR="00A872CE" w:rsidRPr="0002540B" w:rsidTr="00A872CE">
        <w:tc>
          <w:tcPr>
            <w:tcW w:w="5000" w:type="pct"/>
            <w:gridSpan w:val="2"/>
          </w:tcPr>
          <w:p w:rsidR="00A872CE" w:rsidRDefault="00A872CE" w:rsidP="00A872CE">
            <w:pPr>
              <w:spacing w:before="60"/>
              <w:rPr>
                <w:sz w:val="16"/>
                <w:szCs w:val="16"/>
              </w:rPr>
            </w:pPr>
            <w:r>
              <w:rPr>
                <w:sz w:val="16"/>
                <w:szCs w:val="16"/>
              </w:rPr>
              <w:t xml:space="preserve">Poznámky k výpočtu relativních ukazatelů: </w:t>
            </w:r>
          </w:p>
          <w:p w:rsidR="00A872CE" w:rsidRDefault="00A872CE" w:rsidP="00A872CE">
            <w:pPr>
              <w:rPr>
                <w:sz w:val="16"/>
                <w:szCs w:val="16"/>
              </w:rPr>
            </w:pPr>
            <w:r>
              <w:rPr>
                <w:sz w:val="16"/>
                <w:szCs w:val="16"/>
              </w:rPr>
              <w:t>Míra hrubé marže = hrubý provozní přebytek / hrubá přidaná hodnota * 100</w:t>
            </w:r>
          </w:p>
          <w:p w:rsidR="00A872CE" w:rsidRDefault="00A872CE" w:rsidP="00A872CE">
            <w:pPr>
              <w:rPr>
                <w:sz w:val="16"/>
                <w:szCs w:val="16"/>
              </w:rPr>
            </w:pPr>
            <w:r>
              <w:rPr>
                <w:sz w:val="16"/>
                <w:szCs w:val="16"/>
              </w:rPr>
              <w:t>Míra hrubých úspor = hrubé úspory / hrubá přidaná hodnota * 100</w:t>
            </w:r>
          </w:p>
          <w:p w:rsidR="00A872CE" w:rsidRDefault="00A872CE" w:rsidP="00A872CE">
            <w:pPr>
              <w:rPr>
                <w:sz w:val="16"/>
                <w:szCs w:val="16"/>
              </w:rPr>
            </w:pPr>
            <w:r>
              <w:rPr>
                <w:sz w:val="16"/>
                <w:szCs w:val="16"/>
              </w:rPr>
              <w:t>Míra hrubých investic = hrubá tvorba fixního kapitálu / hrubá přidaná hodnota * 100</w:t>
            </w:r>
          </w:p>
          <w:p w:rsidR="00A872CE" w:rsidRDefault="00A872CE" w:rsidP="00A872CE">
            <w:pPr>
              <w:rPr>
                <w:sz w:val="16"/>
                <w:szCs w:val="16"/>
              </w:rPr>
            </w:pPr>
            <w:r>
              <w:rPr>
                <w:sz w:val="16"/>
                <w:szCs w:val="16"/>
              </w:rPr>
              <w:t>Míra samofinancování (užší pojetí) = hrubé úspory / hrubá tvorba fixního kapitálu *100</w:t>
            </w:r>
          </w:p>
          <w:p w:rsidR="00A872CE" w:rsidRDefault="00A872CE" w:rsidP="00A872CE">
            <w:pPr>
              <w:rPr>
                <w:sz w:val="16"/>
                <w:szCs w:val="16"/>
              </w:rPr>
            </w:pPr>
            <w:r>
              <w:rPr>
                <w:sz w:val="16"/>
                <w:szCs w:val="16"/>
              </w:rPr>
              <w:t>Míra samofinancování (širší pojetí) = (hrubé úspory + saldo kapitálových transferů) / (hrubá tvorba kapitálu+čisté přírůstky půdy a nehmotných aktiv) * 100</w:t>
            </w:r>
          </w:p>
          <w:p w:rsidR="00A872CE" w:rsidRPr="007D4281" w:rsidRDefault="00A872CE" w:rsidP="00A872CE">
            <w:pPr>
              <w:pStyle w:val="Textpoznpodarou"/>
              <w:rPr>
                <w:sz w:val="18"/>
                <w:szCs w:val="18"/>
                <w:lang w:eastAsia="en-US"/>
              </w:rPr>
            </w:pPr>
            <w:r>
              <w:rPr>
                <w:sz w:val="16"/>
                <w:szCs w:val="16"/>
              </w:rPr>
              <w:t xml:space="preserve">Míra čistého zisku = čistý provozní přebytek / celková produkce * </w:t>
            </w:r>
            <w:proofErr w:type="gramStart"/>
            <w:r>
              <w:rPr>
                <w:sz w:val="16"/>
                <w:szCs w:val="16"/>
              </w:rPr>
              <w:t>100</w:t>
            </w:r>
            <w:r>
              <w:rPr>
                <w:color w:val="000000"/>
                <w:sz w:val="18"/>
              </w:rPr>
              <w:t xml:space="preserve">                            </w:t>
            </w:r>
            <w:r>
              <w:rPr>
                <w:sz w:val="18"/>
                <w:szCs w:val="18"/>
                <w:lang w:eastAsia="en-US"/>
              </w:rPr>
              <w:t>Zdroj</w:t>
            </w:r>
            <w:proofErr w:type="gramEnd"/>
            <w:r>
              <w:rPr>
                <w:sz w:val="18"/>
                <w:szCs w:val="18"/>
                <w:lang w:eastAsia="en-US"/>
              </w:rPr>
              <w:t>: ČSÚ (národní účty), vlastní výpočty</w:t>
            </w:r>
          </w:p>
        </w:tc>
      </w:tr>
    </w:tbl>
    <w:p w:rsidR="00A872CE" w:rsidRPr="00A872CE" w:rsidRDefault="00A872CE" w:rsidP="00A872CE">
      <w:pPr>
        <w:pStyle w:val="Textpoznpodarou"/>
        <w:jc w:val="both"/>
        <w:rPr>
          <w:sz w:val="12"/>
          <w:szCs w:val="12"/>
        </w:rPr>
      </w:pPr>
    </w:p>
    <w:tbl>
      <w:tblPr>
        <w:tblW w:w="5000" w:type="pct"/>
        <w:tblCellMar>
          <w:left w:w="28" w:type="dxa"/>
          <w:right w:w="28" w:type="dxa"/>
        </w:tblCellMar>
        <w:tblLook w:val="04A0"/>
      </w:tblPr>
      <w:tblGrid>
        <w:gridCol w:w="2115"/>
        <w:gridCol w:w="283"/>
        <w:gridCol w:w="7296"/>
      </w:tblGrid>
      <w:tr w:rsidR="00A872CE" w:rsidTr="00A872CE">
        <w:tc>
          <w:tcPr>
            <w:tcW w:w="1091" w:type="pct"/>
          </w:tcPr>
          <w:p w:rsidR="00A872CE" w:rsidRDefault="00A872CE" w:rsidP="00A872CE">
            <w:pPr>
              <w:spacing w:line="240" w:lineRule="auto"/>
              <w:rPr>
                <w:sz w:val="16"/>
                <w:szCs w:val="16"/>
              </w:rPr>
            </w:pPr>
            <w:r>
              <w:rPr>
                <w:color w:val="000000"/>
                <w:sz w:val="16"/>
                <w:szCs w:val="16"/>
              </w:rPr>
              <w:t>Hluboké recese v roce 2009 vedla u nefinančních podniků ke snížení za</w:t>
            </w:r>
            <w:r w:rsidR="00D35A48">
              <w:rPr>
                <w:color w:val="000000"/>
                <w:sz w:val="16"/>
                <w:szCs w:val="16"/>
              </w:rPr>
              <w:t xml:space="preserve">městnanosti, fixních investic a k </w:t>
            </w:r>
            <w:r>
              <w:rPr>
                <w:color w:val="000000"/>
                <w:sz w:val="16"/>
                <w:szCs w:val="16"/>
              </w:rPr>
              <w:t>výraznému meziročnímu poklesu stavu zásob</w:t>
            </w:r>
          </w:p>
        </w:tc>
        <w:tc>
          <w:tcPr>
            <w:tcW w:w="146" w:type="pct"/>
          </w:tcPr>
          <w:p w:rsidR="00A872CE" w:rsidRDefault="00A872CE" w:rsidP="00A872CE">
            <w:pPr>
              <w:pStyle w:val="Textpoznpodarou"/>
              <w:jc w:val="both"/>
            </w:pPr>
          </w:p>
        </w:tc>
        <w:tc>
          <w:tcPr>
            <w:tcW w:w="3763" w:type="pct"/>
          </w:tcPr>
          <w:p w:rsidR="00A872CE" w:rsidRPr="00E577FC" w:rsidRDefault="00A872CE" w:rsidP="00A872CE">
            <w:pPr>
              <w:pStyle w:val="Textpoznpodarou"/>
              <w:jc w:val="both"/>
              <w:rPr>
                <w:color w:val="000000"/>
                <w:spacing w:val="-4"/>
              </w:rPr>
            </w:pPr>
            <w:r w:rsidRPr="00E577FC">
              <w:rPr>
                <w:color w:val="000000"/>
                <w:spacing w:val="-4"/>
              </w:rPr>
              <w:t>Hlub</w:t>
            </w:r>
            <w:r w:rsidR="00E577FC" w:rsidRPr="00E577FC">
              <w:rPr>
                <w:color w:val="000000"/>
                <w:spacing w:val="-4"/>
              </w:rPr>
              <w:t xml:space="preserve">oká recese v roce 2009 se </w:t>
            </w:r>
            <w:r w:rsidR="00E577FC">
              <w:rPr>
                <w:color w:val="000000"/>
                <w:spacing w:val="-4"/>
              </w:rPr>
              <w:t xml:space="preserve">velmi </w:t>
            </w:r>
            <w:r w:rsidRPr="00E577FC">
              <w:rPr>
                <w:color w:val="000000"/>
                <w:spacing w:val="-4"/>
              </w:rPr>
              <w:t xml:space="preserve">výrazně promítla do hospodaření sektoru nefinančních podniků v ČR. Hrubá přidaná hodnota zde meziročně poklesla nejvíce ze všech sektorů (nominálně o 6,4 %, v podnicích s dominancí „tuzemského“ kapitálu o celou desetinu). Tento propad byl z hlediska produktivity částečně kompenzován úbytkem zaměstnanosti (-4 %). Podniky však především omezily investice (tvorba hrubého fixního kapitálu se nominálně snížila o sedminu) a stavy zásob byly meziročně nižší o rekordních 35 mld. korun. Meziroční pokles zásob (ovšem o řád nižší) zaznamenaly nefinanční podniky také </w:t>
            </w:r>
            <w:r w:rsidR="00E577FC">
              <w:rPr>
                <w:color w:val="000000"/>
                <w:spacing w:val="-4"/>
              </w:rPr>
              <w:t xml:space="preserve">v </w:t>
            </w:r>
            <w:r w:rsidRPr="00E577FC">
              <w:rPr>
                <w:color w:val="000000"/>
                <w:spacing w:val="-4"/>
              </w:rPr>
              <w:t xml:space="preserve">období měnové krize </w:t>
            </w:r>
            <w:r w:rsidR="003E41E3">
              <w:rPr>
                <w:color w:val="000000"/>
                <w:spacing w:val="-4"/>
              </w:rPr>
              <w:t>na sklonku</w:t>
            </w:r>
            <w:r w:rsidRPr="00E577FC">
              <w:rPr>
                <w:color w:val="000000"/>
                <w:spacing w:val="-4"/>
              </w:rPr>
              <w:t xml:space="preserve"> 90. l</w:t>
            </w:r>
            <w:r w:rsidR="00E577FC">
              <w:rPr>
                <w:color w:val="000000"/>
                <w:spacing w:val="-4"/>
              </w:rPr>
              <w:t>et a i</w:t>
            </w:r>
            <w:r w:rsidRPr="00E577FC">
              <w:rPr>
                <w:color w:val="000000"/>
                <w:spacing w:val="-4"/>
              </w:rPr>
              <w:t xml:space="preserve"> na konci mělké, ale dlouhé recese v roce 2013. Citelné omezení investic spolu se zastavením prohlubování dlouhodobého odlivu dividend vyústilo v málo vídané</w:t>
            </w:r>
            <w:r w:rsidR="003E41E3">
              <w:rPr>
                <w:color w:val="000000"/>
                <w:spacing w:val="-4"/>
              </w:rPr>
              <w:t xml:space="preserve"> kladné saldo hospodaření, </w:t>
            </w:r>
            <w:r w:rsidRPr="00E577FC">
              <w:rPr>
                <w:color w:val="000000"/>
                <w:spacing w:val="-4"/>
              </w:rPr>
              <w:t>čisté půjčky nefinančních podniků činily 10 mld. korun.</w:t>
            </w:r>
          </w:p>
          <w:p w:rsidR="00A872CE" w:rsidRPr="00A872CE" w:rsidRDefault="00A872CE" w:rsidP="00A872CE">
            <w:pPr>
              <w:pStyle w:val="Textpoznpodarou"/>
              <w:jc w:val="both"/>
              <w:rPr>
                <w:spacing w:val="-4"/>
                <w:sz w:val="12"/>
                <w:szCs w:val="12"/>
              </w:rPr>
            </w:pPr>
          </w:p>
        </w:tc>
      </w:tr>
      <w:tr w:rsidR="00A872CE" w:rsidTr="00A872CE">
        <w:tc>
          <w:tcPr>
            <w:tcW w:w="1091" w:type="pct"/>
          </w:tcPr>
          <w:p w:rsidR="00A872CE" w:rsidRDefault="00A872CE" w:rsidP="00A872CE">
            <w:pPr>
              <w:spacing w:line="240" w:lineRule="auto"/>
              <w:rPr>
                <w:color w:val="000000"/>
                <w:sz w:val="16"/>
                <w:szCs w:val="16"/>
              </w:rPr>
            </w:pPr>
            <w:r>
              <w:rPr>
                <w:color w:val="000000"/>
                <w:sz w:val="16"/>
                <w:szCs w:val="16"/>
              </w:rPr>
              <w:t>V období „</w:t>
            </w:r>
            <w:proofErr w:type="spellStart"/>
            <w:r>
              <w:rPr>
                <w:color w:val="000000"/>
                <w:sz w:val="16"/>
                <w:szCs w:val="16"/>
              </w:rPr>
              <w:t>pokrizové</w:t>
            </w:r>
            <w:proofErr w:type="spellEnd"/>
            <w:r>
              <w:rPr>
                <w:color w:val="000000"/>
                <w:sz w:val="16"/>
                <w:szCs w:val="16"/>
              </w:rPr>
              <w:t xml:space="preserve">“ stabilizace bojovaly podniky s klesající mírou marží, opatrnými náklady na pracovní sílu, jakož </w:t>
            </w:r>
            <w:r>
              <w:rPr>
                <w:color w:val="000000"/>
                <w:sz w:val="16"/>
                <w:szCs w:val="16"/>
              </w:rPr>
              <w:lastRenderedPageBreak/>
              <w:t xml:space="preserve">i v oblasti investic; dařilo se jim </w:t>
            </w:r>
            <w:r w:rsidR="00D35A48">
              <w:rPr>
                <w:color w:val="000000"/>
                <w:sz w:val="16"/>
                <w:szCs w:val="16"/>
              </w:rPr>
              <w:t xml:space="preserve">ale </w:t>
            </w:r>
            <w:r>
              <w:rPr>
                <w:color w:val="000000"/>
                <w:sz w:val="16"/>
                <w:szCs w:val="16"/>
              </w:rPr>
              <w:t>splácet dřívější půjčky</w:t>
            </w:r>
          </w:p>
          <w:p w:rsidR="00A872CE" w:rsidRPr="000A4ACC" w:rsidRDefault="00A872CE" w:rsidP="00A872CE">
            <w:pPr>
              <w:spacing w:line="240" w:lineRule="auto"/>
              <w:rPr>
                <w:spacing w:val="-2"/>
                <w:sz w:val="16"/>
                <w:szCs w:val="16"/>
              </w:rPr>
            </w:pPr>
          </w:p>
        </w:tc>
        <w:tc>
          <w:tcPr>
            <w:tcW w:w="146" w:type="pct"/>
          </w:tcPr>
          <w:p w:rsidR="00A872CE" w:rsidRDefault="00A872CE" w:rsidP="00A872CE">
            <w:pPr>
              <w:pStyle w:val="Textpoznpodarou"/>
              <w:jc w:val="both"/>
            </w:pPr>
          </w:p>
        </w:tc>
        <w:tc>
          <w:tcPr>
            <w:tcW w:w="3763" w:type="pct"/>
          </w:tcPr>
          <w:p w:rsidR="00A872CE" w:rsidRDefault="00A872CE" w:rsidP="00A872CE">
            <w:pPr>
              <w:pStyle w:val="Textpoznpodarou"/>
              <w:jc w:val="both"/>
              <w:rPr>
                <w:color w:val="000000"/>
              </w:rPr>
            </w:pPr>
            <w:r>
              <w:rPr>
                <w:color w:val="000000"/>
              </w:rPr>
              <w:t>V období 2010-2013 se podnikům podařilo obnovit mírný nominální růst hrubé přidané hodnoty (v rozpětí 0,6-3,3 %, v reálném vyjádření však přidaná hodnota v letec</w:t>
            </w:r>
            <w:r w:rsidR="003E41E3">
              <w:rPr>
                <w:color w:val="000000"/>
              </w:rPr>
              <w:t>h 2012 a 2013 zřejmě klesala,</w:t>
            </w:r>
            <w:r>
              <w:rPr>
                <w:color w:val="000000"/>
              </w:rPr>
              <w:t xml:space="preserve"> což lze nepřímo soudit z vývoje v průmyslu či maloobchodu). Došlo ke stabilizaci celkové zaměstnanost</w:t>
            </w:r>
            <w:r w:rsidR="003E41E3">
              <w:rPr>
                <w:color w:val="000000"/>
              </w:rPr>
              <w:t>i</w:t>
            </w:r>
            <w:r>
              <w:rPr>
                <w:color w:val="000000"/>
              </w:rPr>
              <w:t xml:space="preserve"> (tempo meziročního </w:t>
            </w:r>
            <w:r>
              <w:rPr>
                <w:color w:val="000000"/>
              </w:rPr>
              <w:lastRenderedPageBreak/>
              <w:t>růstu nominálních vyplacených náhrad zaměstnancům se snižovalo, z 3,5 % v roce 2011 na pouhých 0,6 % v roce 2013). Nepodařilo se naopak zastavit nepřetržitě klesající míru hrubých marží, která se postupně dostala až na úroveň poloviny 90. let. Ještě citelnější byl propad míry čistého zisku, když čistý provozní přebytek činil v roce 2013 jen 6,8 % hodnoty celkové produkce).</w:t>
            </w:r>
          </w:p>
          <w:p w:rsidR="00A872CE" w:rsidRPr="00A872CE" w:rsidRDefault="00A872CE" w:rsidP="00A872CE">
            <w:pPr>
              <w:pStyle w:val="Textpoznpodarou"/>
              <w:jc w:val="both"/>
              <w:rPr>
                <w:spacing w:val="-4"/>
                <w:sz w:val="12"/>
                <w:szCs w:val="12"/>
              </w:rPr>
            </w:pPr>
          </w:p>
        </w:tc>
      </w:tr>
      <w:tr w:rsidR="00A872CE" w:rsidTr="00A872CE">
        <w:tc>
          <w:tcPr>
            <w:tcW w:w="1091" w:type="pct"/>
          </w:tcPr>
          <w:p w:rsidR="00A872CE" w:rsidRPr="00DA1318" w:rsidRDefault="00A872CE" w:rsidP="00A872CE">
            <w:pPr>
              <w:spacing w:line="240" w:lineRule="auto"/>
              <w:rPr>
                <w:sz w:val="16"/>
                <w:szCs w:val="16"/>
              </w:rPr>
            </w:pPr>
          </w:p>
        </w:tc>
        <w:tc>
          <w:tcPr>
            <w:tcW w:w="146" w:type="pct"/>
          </w:tcPr>
          <w:p w:rsidR="00A872CE" w:rsidRDefault="00A872CE" w:rsidP="00A872CE">
            <w:pPr>
              <w:pStyle w:val="Textpoznpodarou"/>
              <w:jc w:val="both"/>
              <w:rPr>
                <w:spacing w:val="-2"/>
              </w:rPr>
            </w:pPr>
          </w:p>
        </w:tc>
        <w:tc>
          <w:tcPr>
            <w:tcW w:w="3763" w:type="pct"/>
          </w:tcPr>
          <w:p w:rsidR="00A872CE" w:rsidRPr="00B43871" w:rsidRDefault="00A872CE" w:rsidP="00A872CE">
            <w:pPr>
              <w:pStyle w:val="Textpoznpodarou"/>
              <w:jc w:val="both"/>
              <w:rPr>
                <w:color w:val="000000"/>
                <w:spacing w:val="-2"/>
              </w:rPr>
            </w:pPr>
            <w:r w:rsidRPr="00B43871">
              <w:rPr>
                <w:color w:val="000000"/>
                <w:spacing w:val="-2"/>
              </w:rPr>
              <w:t>Do citelného poklesu úrokového salda podniků (z 50 mld. korun v roce 2010 na 33 mld. korun o tři r</w:t>
            </w:r>
            <w:r w:rsidR="00B43871" w:rsidRPr="00B43871">
              <w:rPr>
                <w:color w:val="000000"/>
                <w:spacing w:val="-2"/>
              </w:rPr>
              <w:t>oky později) se promítlo úspěšné</w:t>
            </w:r>
            <w:r w:rsidRPr="00B43871">
              <w:rPr>
                <w:color w:val="000000"/>
                <w:spacing w:val="-2"/>
              </w:rPr>
              <w:t xml:space="preserve"> splácení dřívějších půjček, ale i velmi opatrný přístup k dalšímu zadlužování (u krátkodobých půjček</w:t>
            </w:r>
            <w:r w:rsidR="00B43871" w:rsidRPr="00B43871">
              <w:rPr>
                <w:color w:val="000000"/>
                <w:spacing w:val="-2"/>
              </w:rPr>
              <w:t xml:space="preserve"> u obchodních bank v ČR</w:t>
            </w:r>
            <w:r w:rsidRPr="00B43871">
              <w:rPr>
                <w:color w:val="000000"/>
                <w:spacing w:val="-2"/>
              </w:rPr>
              <w:t xml:space="preserve"> jejich nominální hodnota v průběhu roku 2013 dokonce meziročně klesala). Mělčími deficity skončily v roce 2013 i ostatní složky vlastnických důchodů. Díky opatrnému přístupu k investicím zároveň dosáhly nefinanční podniky vysoké míry samofinancování, jak </w:t>
            </w:r>
            <w:r w:rsidR="00D35A48">
              <w:rPr>
                <w:color w:val="000000"/>
                <w:spacing w:val="-2"/>
              </w:rPr>
              <w:t>z vlastních úspor (kolem 85 %), tak</w:t>
            </w:r>
            <w:r w:rsidRPr="00B43871">
              <w:rPr>
                <w:color w:val="000000"/>
                <w:spacing w:val="-2"/>
              </w:rPr>
              <w:t xml:space="preserve"> ze všech zdrojů akumulace (z více než 90 %) a nízkého deficitu salda hospodaření.</w:t>
            </w:r>
          </w:p>
          <w:p w:rsidR="00A872CE" w:rsidRPr="006D142E" w:rsidRDefault="00A872CE" w:rsidP="00A872CE">
            <w:pPr>
              <w:pStyle w:val="Textpoznpodarou"/>
              <w:jc w:val="both"/>
              <w:rPr>
                <w:spacing w:val="-4"/>
                <w:sz w:val="16"/>
                <w:szCs w:val="16"/>
              </w:rPr>
            </w:pPr>
          </w:p>
        </w:tc>
      </w:tr>
      <w:tr w:rsidR="00A872CE" w:rsidTr="00A872CE">
        <w:tc>
          <w:tcPr>
            <w:tcW w:w="1091" w:type="pct"/>
          </w:tcPr>
          <w:p w:rsidR="00A872CE" w:rsidRDefault="00A872CE" w:rsidP="00A872CE">
            <w:pPr>
              <w:spacing w:line="240" w:lineRule="auto"/>
              <w:rPr>
                <w:color w:val="000000"/>
                <w:sz w:val="16"/>
                <w:szCs w:val="16"/>
              </w:rPr>
            </w:pPr>
            <w:r>
              <w:rPr>
                <w:color w:val="000000"/>
                <w:sz w:val="16"/>
                <w:szCs w:val="16"/>
              </w:rPr>
              <w:t xml:space="preserve">Výsledky hospodaření nefinančních podniků v roce 2014 byly ovlivněny oživením domácí i zahraniční poptávky, ale také cenovými vlivy </w:t>
            </w:r>
          </w:p>
        </w:tc>
        <w:tc>
          <w:tcPr>
            <w:tcW w:w="146" w:type="pct"/>
          </w:tcPr>
          <w:p w:rsidR="00A872CE" w:rsidRDefault="00A872CE" w:rsidP="00A872CE">
            <w:pPr>
              <w:pStyle w:val="Textpoznpodarou"/>
              <w:jc w:val="both"/>
              <w:rPr>
                <w:color w:val="000000"/>
              </w:rPr>
            </w:pPr>
          </w:p>
        </w:tc>
        <w:tc>
          <w:tcPr>
            <w:tcW w:w="3763" w:type="pct"/>
          </w:tcPr>
          <w:p w:rsidR="00A872CE" w:rsidRPr="00A872CE" w:rsidRDefault="00A872CE" w:rsidP="00A872CE">
            <w:pPr>
              <w:pStyle w:val="Textpoznpodarou"/>
              <w:jc w:val="both"/>
              <w:rPr>
                <w:color w:val="000000"/>
                <w:spacing w:val="-2"/>
              </w:rPr>
            </w:pPr>
            <w:r w:rsidRPr="00A872CE">
              <w:rPr>
                <w:color w:val="000000"/>
                <w:spacing w:val="-2"/>
              </w:rPr>
              <w:t>Nefinanční podniky byly v roce 2014 ovlivněny výrazným oživením ekonomiky, které se na rozdíl od druhé poloviny roku 2013 plně přeneslo i do širokého spe</w:t>
            </w:r>
            <w:r w:rsidR="00D35A48">
              <w:rPr>
                <w:color w:val="000000"/>
                <w:spacing w:val="-2"/>
              </w:rPr>
              <w:t>ktra odvětví podniků, zejména do služeb</w:t>
            </w:r>
            <w:r w:rsidRPr="00A872CE">
              <w:rPr>
                <w:color w:val="000000"/>
                <w:spacing w:val="-2"/>
              </w:rPr>
              <w:t>. Významnou roli sehrálo i řízené oslabení koruny (započaté na sklonku roku 2013) a také dopady změn světových cen ropy, které se promítly především do hodnot ukazatelů v nominálním vyjádření (na kterých jsou ukazatele institucionálních sektorů standardně konstruovány). V průmyslu, který se na hrubé přidané hodnotě celého sektoru nefinančních podniků podílí téměř z poloviny, rostla v roce 2014 přidaná hodnota v nominálním vyjádření meziročně o desetinu, reálně však pouze polovičním tempem. Ještě významnější cenový vliv byl patrný ve výrobě motorových vozidel, petrochemickém či tabákovém průmyslu, u služeb pak především v dopravě. Dopady cenových vlivů je možné výrazně eliminovat využitím poměrových ukazatelů.</w:t>
            </w:r>
          </w:p>
          <w:p w:rsidR="00A872CE" w:rsidRPr="00A872CE" w:rsidRDefault="00A872CE" w:rsidP="00A872CE">
            <w:pPr>
              <w:pStyle w:val="Textpoznpodarou"/>
              <w:jc w:val="both"/>
              <w:rPr>
                <w:color w:val="000000"/>
                <w:sz w:val="12"/>
                <w:szCs w:val="12"/>
              </w:rPr>
            </w:pPr>
          </w:p>
        </w:tc>
      </w:tr>
      <w:tr w:rsidR="00A872CE" w:rsidTr="00A872CE">
        <w:trPr>
          <w:cantSplit/>
          <w:trHeight w:val="203"/>
        </w:trPr>
        <w:tc>
          <w:tcPr>
            <w:tcW w:w="1091" w:type="pct"/>
          </w:tcPr>
          <w:p w:rsidR="00A872CE" w:rsidRDefault="00A872CE" w:rsidP="004C3A73">
            <w:pPr>
              <w:spacing w:line="240" w:lineRule="auto"/>
              <w:rPr>
                <w:color w:val="000000"/>
                <w:sz w:val="16"/>
                <w:szCs w:val="16"/>
              </w:rPr>
            </w:pPr>
            <w:r>
              <w:rPr>
                <w:color w:val="000000"/>
                <w:sz w:val="16"/>
                <w:szCs w:val="16"/>
              </w:rPr>
              <w:t>Oživen</w:t>
            </w:r>
            <w:r w:rsidR="004F146A">
              <w:rPr>
                <w:color w:val="000000"/>
                <w:sz w:val="16"/>
                <w:szCs w:val="16"/>
              </w:rPr>
              <w:t>í ekonomiky</w:t>
            </w:r>
            <w:r w:rsidR="004C3A73">
              <w:rPr>
                <w:color w:val="000000"/>
                <w:sz w:val="16"/>
                <w:szCs w:val="16"/>
              </w:rPr>
              <w:t xml:space="preserve"> v roce 2014 pomohlo</w:t>
            </w:r>
            <w:r>
              <w:rPr>
                <w:color w:val="000000"/>
                <w:sz w:val="16"/>
                <w:szCs w:val="16"/>
              </w:rPr>
              <w:t xml:space="preserve"> p</w:t>
            </w:r>
            <w:r w:rsidR="004C3A73">
              <w:rPr>
                <w:color w:val="000000"/>
                <w:sz w:val="16"/>
                <w:szCs w:val="16"/>
              </w:rPr>
              <w:t>řiblížit míru hrubých marží k</w:t>
            </w:r>
            <w:r>
              <w:rPr>
                <w:color w:val="000000"/>
                <w:sz w:val="16"/>
                <w:szCs w:val="16"/>
              </w:rPr>
              <w:t> úrovni roku 2008, vyšší zisky podniků byly doprovázeny prohloubení</w:t>
            </w:r>
            <w:r w:rsidR="004C3A73">
              <w:rPr>
                <w:color w:val="000000"/>
                <w:sz w:val="16"/>
                <w:szCs w:val="16"/>
              </w:rPr>
              <w:t>m</w:t>
            </w:r>
            <w:r>
              <w:rPr>
                <w:color w:val="000000"/>
                <w:sz w:val="16"/>
                <w:szCs w:val="16"/>
              </w:rPr>
              <w:t xml:space="preserve"> vlastnických důchodů</w:t>
            </w:r>
          </w:p>
        </w:tc>
        <w:tc>
          <w:tcPr>
            <w:tcW w:w="146" w:type="pct"/>
          </w:tcPr>
          <w:p w:rsidR="00A872CE" w:rsidRDefault="00A872CE" w:rsidP="00A872CE">
            <w:pPr>
              <w:pStyle w:val="Textpoznpodarou"/>
              <w:jc w:val="both"/>
              <w:rPr>
                <w:color w:val="000000"/>
              </w:rPr>
            </w:pPr>
          </w:p>
        </w:tc>
        <w:tc>
          <w:tcPr>
            <w:tcW w:w="3763" w:type="pct"/>
          </w:tcPr>
          <w:p w:rsidR="00A872CE" w:rsidRPr="00A872CE" w:rsidRDefault="00A872CE" w:rsidP="00B60C8D">
            <w:pPr>
              <w:pStyle w:val="Textpoznpodarou"/>
              <w:jc w:val="both"/>
              <w:rPr>
                <w:color w:val="000000"/>
                <w:spacing w:val="-4"/>
              </w:rPr>
            </w:pPr>
            <w:r w:rsidRPr="00A872CE">
              <w:rPr>
                <w:color w:val="000000"/>
                <w:spacing w:val="-4"/>
              </w:rPr>
              <w:t>Příznivě se v roce 2014 u p</w:t>
            </w:r>
            <w:r w:rsidR="004C3A73">
              <w:rPr>
                <w:color w:val="000000"/>
                <w:spacing w:val="-4"/>
              </w:rPr>
              <w:t>odniků vyvíjely jak míra hrubé</w:t>
            </w:r>
            <w:r w:rsidRPr="00A872CE">
              <w:rPr>
                <w:color w:val="000000"/>
                <w:spacing w:val="-4"/>
              </w:rPr>
              <w:t xml:space="preserve"> marže (dosáhla nejvyšší úrovně po roce 2008), tak i míra čistého zisku (která však za dosud rekordní úrovní z let 2006-2007 stále viditelně zaostávala). Přestože investice do hrubého fixního kapitálu u nefinančních podniků meziročn</w:t>
            </w:r>
            <w:r w:rsidR="004C3A73">
              <w:rPr>
                <w:color w:val="000000"/>
                <w:spacing w:val="-4"/>
              </w:rPr>
              <w:t>ě nominálně o téměř 3 % vzrostly</w:t>
            </w:r>
            <w:r w:rsidRPr="00A872CE">
              <w:rPr>
                <w:color w:val="000000"/>
                <w:spacing w:val="-4"/>
              </w:rPr>
              <w:t>, za dy</w:t>
            </w:r>
            <w:r w:rsidR="0019492D">
              <w:rPr>
                <w:color w:val="000000"/>
                <w:spacing w:val="-4"/>
              </w:rPr>
              <w:t>namikou přidané hodnoty zaostaly</w:t>
            </w:r>
            <w:r w:rsidRPr="00A872CE">
              <w:rPr>
                <w:color w:val="000000"/>
                <w:spacing w:val="-4"/>
              </w:rPr>
              <w:t>. I přesto došlo k významnému prohloubení deficitu hospodaření nefinančních podniků (na druhou nejnižš</w:t>
            </w:r>
            <w:r w:rsidR="004F146A">
              <w:rPr>
                <w:color w:val="000000"/>
                <w:spacing w:val="-4"/>
              </w:rPr>
              <w:t>í hodnotu po roce 2008), na což</w:t>
            </w:r>
            <w:r w:rsidRPr="00A872CE">
              <w:rPr>
                <w:color w:val="000000"/>
                <w:spacing w:val="-4"/>
              </w:rPr>
              <w:t xml:space="preserve"> mělo vliv především výrazné </w:t>
            </w:r>
            <w:r w:rsidR="00E70960">
              <w:rPr>
                <w:color w:val="000000"/>
                <w:spacing w:val="-4"/>
              </w:rPr>
              <w:t>zhoršení</w:t>
            </w:r>
            <w:r w:rsidRPr="00A872CE">
              <w:rPr>
                <w:color w:val="000000"/>
                <w:spacing w:val="-4"/>
              </w:rPr>
              <w:t xml:space="preserve"> d</w:t>
            </w:r>
            <w:r w:rsidR="004F146A">
              <w:rPr>
                <w:color w:val="000000"/>
                <w:spacing w:val="-4"/>
              </w:rPr>
              <w:t>eficitu vlastnických důchodů (v</w:t>
            </w:r>
            <w:r w:rsidR="004F146A" w:rsidRPr="00A872CE">
              <w:rPr>
                <w:color w:val="000000"/>
                <w:spacing w:val="-4"/>
              </w:rPr>
              <w:t> </w:t>
            </w:r>
            <w:r w:rsidRPr="00A872CE">
              <w:rPr>
                <w:color w:val="000000"/>
                <w:spacing w:val="-4"/>
              </w:rPr>
              <w:t xml:space="preserve">součtu za všechny </w:t>
            </w:r>
            <w:proofErr w:type="spellStart"/>
            <w:r w:rsidR="00B60C8D">
              <w:rPr>
                <w:color w:val="000000"/>
                <w:spacing w:val="-4"/>
              </w:rPr>
              <w:t>sub</w:t>
            </w:r>
            <w:r w:rsidRPr="00A872CE">
              <w:rPr>
                <w:color w:val="000000"/>
                <w:spacing w:val="-4"/>
              </w:rPr>
              <w:t>sektory</w:t>
            </w:r>
            <w:proofErr w:type="spellEnd"/>
            <w:r w:rsidRPr="00A872CE">
              <w:rPr>
                <w:color w:val="000000"/>
                <w:spacing w:val="-4"/>
              </w:rPr>
              <w:t xml:space="preserve"> nefinančních podni</w:t>
            </w:r>
            <w:r w:rsidR="004F146A">
              <w:rPr>
                <w:color w:val="000000"/>
                <w:spacing w:val="-4"/>
              </w:rPr>
              <w:t>ků činilo v roce 2014 téměř 475</w:t>
            </w:r>
            <w:r w:rsidR="004F146A" w:rsidRPr="00A872CE">
              <w:rPr>
                <w:color w:val="000000"/>
                <w:spacing w:val="-4"/>
              </w:rPr>
              <w:t> </w:t>
            </w:r>
            <w:r w:rsidRPr="00A872CE">
              <w:rPr>
                <w:color w:val="000000"/>
                <w:spacing w:val="-4"/>
              </w:rPr>
              <w:t xml:space="preserve">mld. korun, meziroční prohloubení o </w:t>
            </w:r>
            <w:r w:rsidR="00E70960">
              <w:rPr>
                <w:color w:val="000000"/>
                <w:spacing w:val="-4"/>
              </w:rPr>
              <w:t>celých 100 mld.) a také výrazné</w:t>
            </w:r>
            <w:r w:rsidRPr="00A872CE">
              <w:rPr>
                <w:color w:val="000000"/>
                <w:spacing w:val="-4"/>
              </w:rPr>
              <w:t xml:space="preserve"> snížení kladného salda u kapitálových transferů. </w:t>
            </w:r>
          </w:p>
        </w:tc>
      </w:tr>
    </w:tbl>
    <w:p w:rsidR="00A872CE" w:rsidRDefault="00A872CE" w:rsidP="00A872CE">
      <w:pPr>
        <w:pStyle w:val="Textpoznpodarou"/>
        <w:jc w:val="both"/>
        <w:rPr>
          <w:sz w:val="16"/>
          <w:szCs w:val="16"/>
        </w:rPr>
      </w:pPr>
    </w:p>
    <w:tbl>
      <w:tblPr>
        <w:tblW w:w="5007" w:type="pct"/>
        <w:tblLayout w:type="fixed"/>
        <w:tblCellMar>
          <w:left w:w="28" w:type="dxa"/>
          <w:right w:w="28" w:type="dxa"/>
        </w:tblCellMar>
        <w:tblLook w:val="04A0"/>
      </w:tblPr>
      <w:tblGrid>
        <w:gridCol w:w="594"/>
        <w:gridCol w:w="1520"/>
        <w:gridCol w:w="283"/>
        <w:gridCol w:w="2489"/>
        <w:gridCol w:w="670"/>
        <w:gridCol w:w="4138"/>
        <w:gridCol w:w="14"/>
      </w:tblGrid>
      <w:tr w:rsidR="00A872CE" w:rsidTr="00A872CE">
        <w:tc>
          <w:tcPr>
            <w:tcW w:w="306" w:type="pct"/>
          </w:tcPr>
          <w:p w:rsidR="00A872CE" w:rsidRPr="0002540B" w:rsidRDefault="00A872CE" w:rsidP="00A872CE">
            <w:pPr>
              <w:pStyle w:val="Textpoznpodarou"/>
              <w:rPr>
                <w:lang w:eastAsia="en-US"/>
              </w:rPr>
            </w:pPr>
            <w:r>
              <w:rPr>
                <w:lang w:eastAsia="en-US"/>
              </w:rPr>
              <w:t>Graf</w:t>
            </w:r>
            <w:r w:rsidR="001E561F">
              <w:rPr>
                <w:lang w:eastAsia="en-US"/>
              </w:rPr>
              <w:t xml:space="preserve"> č. 4</w:t>
            </w:r>
          </w:p>
        </w:tc>
        <w:tc>
          <w:tcPr>
            <w:tcW w:w="2211" w:type="pct"/>
            <w:gridSpan w:val="3"/>
          </w:tcPr>
          <w:p w:rsidR="00A872CE" w:rsidRDefault="00A872CE" w:rsidP="00A872CE">
            <w:pPr>
              <w:spacing w:line="240" w:lineRule="auto"/>
              <w:rPr>
                <w:b/>
                <w:bCs/>
              </w:rPr>
            </w:pPr>
            <w:r>
              <w:rPr>
                <w:b/>
                <w:bCs/>
              </w:rPr>
              <w:t>Náklady práce nefinančních podniků v ČR</w:t>
            </w:r>
          </w:p>
          <w:p w:rsidR="00A872CE" w:rsidRDefault="00A872CE" w:rsidP="00B60C8D">
            <w:pPr>
              <w:spacing w:line="240" w:lineRule="auto"/>
              <w:rPr>
                <w:b/>
                <w:bCs/>
                <w:color w:val="000000"/>
              </w:rPr>
            </w:pPr>
            <w:r>
              <w:t>(</w:t>
            </w:r>
            <w:r>
              <w:rPr>
                <w:sz w:val="18"/>
                <w:szCs w:val="18"/>
              </w:rPr>
              <w:t xml:space="preserve">podíl náhrad zaměstnancům a hrubé přidané hodnoty - v %), </w:t>
            </w:r>
            <w:proofErr w:type="spellStart"/>
            <w:r w:rsidR="00B60C8D">
              <w:rPr>
                <w:sz w:val="18"/>
                <w:szCs w:val="18"/>
              </w:rPr>
              <w:t>sub</w:t>
            </w:r>
            <w:r>
              <w:rPr>
                <w:sz w:val="18"/>
                <w:szCs w:val="18"/>
              </w:rPr>
              <w:t>sektory</w:t>
            </w:r>
            <w:proofErr w:type="spellEnd"/>
            <w:r>
              <w:rPr>
                <w:sz w:val="18"/>
                <w:szCs w:val="18"/>
              </w:rPr>
              <w:t xml:space="preserve"> nefinančních podniků</w:t>
            </w:r>
          </w:p>
        </w:tc>
        <w:tc>
          <w:tcPr>
            <w:tcW w:w="345" w:type="pct"/>
          </w:tcPr>
          <w:p w:rsidR="00A872CE" w:rsidRDefault="00A872CE" w:rsidP="001E561F">
            <w:pPr>
              <w:spacing w:line="240" w:lineRule="auto"/>
            </w:pPr>
            <w:r>
              <w:rPr>
                <w:lang w:eastAsia="en-US"/>
              </w:rPr>
              <w:t>Graf</w:t>
            </w:r>
            <w:r w:rsidR="001E561F">
              <w:rPr>
                <w:lang w:eastAsia="en-US"/>
              </w:rPr>
              <w:t xml:space="preserve"> č. 5</w:t>
            </w:r>
          </w:p>
        </w:tc>
        <w:tc>
          <w:tcPr>
            <w:tcW w:w="2138" w:type="pct"/>
            <w:gridSpan w:val="2"/>
          </w:tcPr>
          <w:p w:rsidR="00A872CE" w:rsidRDefault="00A872CE" w:rsidP="00A872CE">
            <w:pPr>
              <w:spacing w:line="240" w:lineRule="auto"/>
              <w:rPr>
                <w:b/>
                <w:bCs/>
              </w:rPr>
            </w:pPr>
            <w:r>
              <w:rPr>
                <w:b/>
                <w:bCs/>
              </w:rPr>
              <w:t xml:space="preserve">Náklady práce nefinančních podniků </w:t>
            </w:r>
          </w:p>
          <w:p w:rsidR="00A872CE" w:rsidRPr="00306660" w:rsidRDefault="00A872CE" w:rsidP="00A872CE">
            <w:pPr>
              <w:pStyle w:val="Textpoznpodarou"/>
            </w:pPr>
            <w:r w:rsidRPr="00306660">
              <w:t xml:space="preserve"> (v %</w:t>
            </w:r>
            <w:r>
              <w:t xml:space="preserve"> HPH</w:t>
            </w:r>
            <w:r w:rsidRPr="00306660">
              <w:t>)</w:t>
            </w:r>
            <w:r>
              <w:t>*</w:t>
            </w:r>
            <w:r w:rsidR="00F45CB3">
              <w:t xml:space="preserve"> </w:t>
            </w:r>
            <w:r>
              <w:rPr>
                <w:b/>
                <w:lang w:eastAsia="en-US"/>
              </w:rPr>
              <w:t>ve vybraných evropských zemích</w:t>
            </w:r>
          </w:p>
        </w:tc>
      </w:tr>
      <w:tr w:rsidR="00A872CE" w:rsidTr="00A872CE">
        <w:tc>
          <w:tcPr>
            <w:tcW w:w="2517" w:type="pct"/>
            <w:gridSpan w:val="4"/>
          </w:tcPr>
          <w:p w:rsidR="00A872CE" w:rsidRDefault="002A2083" w:rsidP="00A872CE">
            <w:pPr>
              <w:pStyle w:val="Textpoznpodarou"/>
              <w:jc w:val="both"/>
            </w:pPr>
            <w:r>
              <w:pict>
                <v:shape id="_x0000_i1053" type="#_x0000_t75" style="width:240.75pt;height:201.75pt">
                  <v:imagedata r:id="rId41" o:title=""/>
                </v:shape>
              </w:pict>
            </w:r>
          </w:p>
        </w:tc>
        <w:tc>
          <w:tcPr>
            <w:tcW w:w="2483" w:type="pct"/>
            <w:gridSpan w:val="3"/>
          </w:tcPr>
          <w:p w:rsidR="00A872CE" w:rsidRDefault="002A2083" w:rsidP="00A872CE">
            <w:pPr>
              <w:pStyle w:val="Textpoznpodarou"/>
              <w:jc w:val="both"/>
            </w:pPr>
            <w:r>
              <w:pict>
                <v:shape id="_x0000_i1054" type="#_x0000_t75" style="width:239.25pt;height:201.75pt">
                  <v:imagedata r:id="rId42" o:title=""/>
                </v:shape>
              </w:pict>
            </w:r>
          </w:p>
        </w:tc>
      </w:tr>
      <w:tr w:rsidR="00A872CE" w:rsidTr="00A872CE">
        <w:tc>
          <w:tcPr>
            <w:tcW w:w="2517" w:type="pct"/>
            <w:gridSpan w:val="4"/>
          </w:tcPr>
          <w:p w:rsidR="00A872CE" w:rsidRPr="0020709F" w:rsidRDefault="00A872CE" w:rsidP="00A872CE">
            <w:pPr>
              <w:pStyle w:val="Textpoznpodarou"/>
              <w:jc w:val="center"/>
              <w:rPr>
                <w:sz w:val="16"/>
                <w:szCs w:val="16"/>
              </w:rPr>
            </w:pPr>
            <w:r>
              <w:rPr>
                <w:sz w:val="18"/>
                <w:szCs w:val="18"/>
                <w:lang w:eastAsia="en-US"/>
              </w:rPr>
              <w:t xml:space="preserve">                                 Zdroj: ČSÚ (národní účty)</w:t>
            </w:r>
          </w:p>
        </w:tc>
        <w:tc>
          <w:tcPr>
            <w:tcW w:w="2483" w:type="pct"/>
            <w:gridSpan w:val="3"/>
          </w:tcPr>
          <w:p w:rsidR="00A872CE" w:rsidRDefault="00617F45" w:rsidP="00A872CE">
            <w:pPr>
              <w:pStyle w:val="Textpoznpodarou"/>
              <w:rPr>
                <w:sz w:val="18"/>
                <w:szCs w:val="18"/>
                <w:lang w:eastAsia="en-US"/>
              </w:rPr>
            </w:pPr>
            <w:r>
              <w:rPr>
                <w:sz w:val="18"/>
                <w:szCs w:val="18"/>
                <w:lang w:eastAsia="en-US"/>
              </w:rPr>
              <w:t>*</w:t>
            </w:r>
            <w:r w:rsidR="004F146A">
              <w:rPr>
                <w:sz w:val="18"/>
                <w:szCs w:val="18"/>
                <w:lang w:eastAsia="en-US"/>
              </w:rPr>
              <w:t>Pozn</w:t>
            </w:r>
            <w:r w:rsidR="00403697">
              <w:rPr>
                <w:sz w:val="18"/>
                <w:szCs w:val="18"/>
                <w:lang w:eastAsia="en-US"/>
              </w:rPr>
              <w:t>.</w:t>
            </w:r>
            <w:r w:rsidR="004F146A">
              <w:rPr>
                <w:sz w:val="18"/>
                <w:szCs w:val="18"/>
                <w:lang w:eastAsia="en-US"/>
              </w:rPr>
              <w:t>: Z</w:t>
            </w:r>
            <w:r w:rsidR="00A872CE">
              <w:rPr>
                <w:sz w:val="18"/>
                <w:szCs w:val="18"/>
                <w:lang w:eastAsia="en-US"/>
              </w:rPr>
              <w:t xml:space="preserve">a EU a země </w:t>
            </w:r>
            <w:proofErr w:type="spellStart"/>
            <w:r w:rsidR="00A872CE">
              <w:rPr>
                <w:sz w:val="18"/>
                <w:szCs w:val="18"/>
                <w:lang w:eastAsia="en-US"/>
              </w:rPr>
              <w:t>Eurozóny</w:t>
            </w:r>
            <w:proofErr w:type="spellEnd"/>
            <w:r w:rsidR="00A872CE">
              <w:rPr>
                <w:sz w:val="18"/>
                <w:szCs w:val="18"/>
                <w:lang w:eastAsia="en-US"/>
              </w:rPr>
              <w:t xml:space="preserve"> uvedeny pouze celkové náklady práce (tj. náhrady zaměstnancům), za Portugalsko, Švýcarsko a Rumunsko údaje pouze do roku 2012</w:t>
            </w:r>
            <w:r w:rsidR="004F146A">
              <w:rPr>
                <w:sz w:val="18"/>
                <w:szCs w:val="18"/>
                <w:lang w:eastAsia="en-US"/>
              </w:rPr>
              <w:t>.</w:t>
            </w:r>
          </w:p>
          <w:p w:rsidR="00A872CE" w:rsidRPr="00A10AFE" w:rsidRDefault="00A872CE" w:rsidP="00A872CE">
            <w:pPr>
              <w:pStyle w:val="Textpoznpodarou"/>
              <w:jc w:val="right"/>
              <w:rPr>
                <w:rFonts w:cs="Arial"/>
                <w:sz w:val="18"/>
                <w:szCs w:val="18"/>
              </w:rPr>
            </w:pPr>
            <w:r>
              <w:rPr>
                <w:sz w:val="18"/>
                <w:szCs w:val="18"/>
                <w:lang w:eastAsia="en-US"/>
              </w:rPr>
              <w:t xml:space="preserve">Zdroj: </w:t>
            </w:r>
            <w:proofErr w:type="spellStart"/>
            <w:r>
              <w:rPr>
                <w:sz w:val="18"/>
                <w:szCs w:val="18"/>
                <w:lang w:eastAsia="en-US"/>
              </w:rPr>
              <w:t>Eurostat</w:t>
            </w:r>
            <w:proofErr w:type="spellEnd"/>
            <w:r>
              <w:rPr>
                <w:sz w:val="18"/>
                <w:szCs w:val="18"/>
                <w:lang w:eastAsia="en-US"/>
              </w:rPr>
              <w:t>, vlastní výpočty</w:t>
            </w:r>
          </w:p>
        </w:tc>
      </w:tr>
      <w:tr w:rsidR="00A872CE" w:rsidTr="00A872CE">
        <w:trPr>
          <w:gridAfter w:val="1"/>
          <w:wAfter w:w="7" w:type="pct"/>
        </w:trPr>
        <w:tc>
          <w:tcPr>
            <w:tcW w:w="1089" w:type="pct"/>
            <w:gridSpan w:val="2"/>
          </w:tcPr>
          <w:p w:rsidR="00A872CE" w:rsidRDefault="00A872CE" w:rsidP="00A872CE">
            <w:pPr>
              <w:spacing w:line="240" w:lineRule="auto"/>
              <w:rPr>
                <w:sz w:val="16"/>
                <w:szCs w:val="16"/>
              </w:rPr>
            </w:pPr>
            <w:r>
              <w:rPr>
                <w:sz w:val="16"/>
                <w:szCs w:val="16"/>
              </w:rPr>
              <w:lastRenderedPageBreak/>
              <w:t xml:space="preserve">Podíl náhrad zaměstnanců na přidané hodnotě u nefinančních podniků v roce 2014 klesl, poprvé po roce 2007 </w:t>
            </w:r>
          </w:p>
        </w:tc>
        <w:tc>
          <w:tcPr>
            <w:tcW w:w="146" w:type="pct"/>
          </w:tcPr>
          <w:p w:rsidR="00A872CE" w:rsidRDefault="00A872CE" w:rsidP="00A872CE">
            <w:pPr>
              <w:pStyle w:val="Textpoznpodarou"/>
              <w:jc w:val="both"/>
            </w:pPr>
          </w:p>
        </w:tc>
        <w:tc>
          <w:tcPr>
            <w:tcW w:w="3758" w:type="pct"/>
            <w:gridSpan w:val="3"/>
          </w:tcPr>
          <w:p w:rsidR="00A872CE" w:rsidRDefault="00A872CE" w:rsidP="00A872CE">
            <w:pPr>
              <w:pStyle w:val="Textpoznpodarou"/>
              <w:jc w:val="both"/>
              <w:rPr>
                <w:color w:val="000000"/>
              </w:rPr>
            </w:pPr>
            <w:r>
              <w:rPr>
                <w:color w:val="000000"/>
              </w:rPr>
              <w:t>Čistý provozní přebytek</w:t>
            </w:r>
            <w:r w:rsidR="00CF27AC">
              <w:rPr>
                <w:color w:val="000000"/>
              </w:rPr>
              <w:t xml:space="preserve"> nefinančních podniků</w:t>
            </w:r>
            <w:r>
              <w:rPr>
                <w:color w:val="000000"/>
              </w:rPr>
              <w:t xml:space="preserve"> byl v roce 2014 meziročně v nominálním vyjádření o téměř čtvrtinu vyšší. Vedle vyšších tržeb exportních firem (podpořených slabší korunou)</w:t>
            </w:r>
            <w:r w:rsidR="00CF27AC">
              <w:rPr>
                <w:color w:val="000000"/>
              </w:rPr>
              <w:t xml:space="preserve"> sehrál</w:t>
            </w:r>
            <w:r>
              <w:rPr>
                <w:color w:val="000000"/>
              </w:rPr>
              <w:t xml:space="preserve"> roli i velmi obezřetný přístup ke zvyšování mezd. Objem vyplacených mezd a platů (v konceptu národních účtů) se u nefinančních podniků nominálně zvýšil o skromná 2,2 %, bylo to však stále </w:t>
            </w:r>
            <w:r w:rsidR="004F146A">
              <w:rPr>
                <w:color w:val="000000"/>
              </w:rPr>
              <w:t>více než v celé ekonomice 1,9 %</w:t>
            </w:r>
            <w:r>
              <w:rPr>
                <w:color w:val="000000"/>
              </w:rPr>
              <w:t xml:space="preserve">. To vedlo z pohledu podniků ke snížení nákladů práce (vyjádřených jako </w:t>
            </w:r>
            <w:r w:rsidRPr="003D7588">
              <w:rPr>
                <w:color w:val="000000"/>
              </w:rPr>
              <w:t xml:space="preserve">podíl </w:t>
            </w:r>
            <w:r>
              <w:rPr>
                <w:color w:val="000000"/>
              </w:rPr>
              <w:t xml:space="preserve">celkových </w:t>
            </w:r>
            <w:r w:rsidRPr="003D7588">
              <w:rPr>
                <w:color w:val="000000"/>
              </w:rPr>
              <w:t>náhrad zaměstnancům a hrubé přidané hodnoty</w:t>
            </w:r>
            <w:r>
              <w:rPr>
                <w:color w:val="000000"/>
              </w:rPr>
              <w:t>). Lze to zčásti chápat i jako kompenzaci za dlouhé období poznamenané recesí, kdy se podniky navzdory méně příznivému vývoji poptávky (hrubá přidaná hodnota nefinančních podniků byla v roce 2013 nominálně stále pod úrovní roku 2008) snažil</w:t>
            </w:r>
            <w:r w:rsidR="0059787F">
              <w:rPr>
                <w:color w:val="000000"/>
              </w:rPr>
              <w:t>y</w:t>
            </w:r>
            <w:r>
              <w:rPr>
                <w:color w:val="000000"/>
              </w:rPr>
              <w:t xml:space="preserve"> udržet své klíčové zaměstnance, a to</w:t>
            </w:r>
            <w:r w:rsidR="00E57D11">
              <w:rPr>
                <w:color w:val="000000"/>
              </w:rPr>
              <w:t xml:space="preserve"> i</w:t>
            </w:r>
            <w:r>
              <w:rPr>
                <w:color w:val="000000"/>
              </w:rPr>
              <w:t xml:space="preserve"> za cenu růstu jednotkových nákladů práce.</w:t>
            </w:r>
          </w:p>
          <w:p w:rsidR="00A872CE" w:rsidRPr="007363A9" w:rsidRDefault="00A872CE" w:rsidP="00A872CE">
            <w:pPr>
              <w:pStyle w:val="Textpoznpodarou"/>
              <w:jc w:val="both"/>
              <w:rPr>
                <w:spacing w:val="-4"/>
                <w:sz w:val="22"/>
                <w:szCs w:val="22"/>
              </w:rPr>
            </w:pPr>
          </w:p>
        </w:tc>
      </w:tr>
      <w:tr w:rsidR="00A872CE" w:rsidTr="00A872CE">
        <w:trPr>
          <w:gridAfter w:val="1"/>
          <w:wAfter w:w="7" w:type="pct"/>
        </w:trPr>
        <w:tc>
          <w:tcPr>
            <w:tcW w:w="1089" w:type="pct"/>
            <w:gridSpan w:val="2"/>
          </w:tcPr>
          <w:p w:rsidR="00A872CE" w:rsidRPr="000A4ACC" w:rsidRDefault="00A872CE" w:rsidP="00A872CE">
            <w:pPr>
              <w:spacing w:line="240" w:lineRule="auto"/>
              <w:rPr>
                <w:spacing w:val="-2"/>
                <w:sz w:val="16"/>
                <w:szCs w:val="16"/>
              </w:rPr>
            </w:pPr>
            <w:r>
              <w:rPr>
                <w:spacing w:val="-2"/>
                <w:sz w:val="16"/>
                <w:szCs w:val="16"/>
              </w:rPr>
              <w:t xml:space="preserve">Relativní náklady práce u podniků byly ve většině zemí EU v době recese vyšší než v předchozím konjunkturním období </w:t>
            </w:r>
          </w:p>
        </w:tc>
        <w:tc>
          <w:tcPr>
            <w:tcW w:w="146" w:type="pct"/>
          </w:tcPr>
          <w:p w:rsidR="00A872CE" w:rsidRDefault="00A872CE" w:rsidP="00A872CE">
            <w:pPr>
              <w:pStyle w:val="Textpoznpodarou"/>
              <w:jc w:val="both"/>
            </w:pPr>
          </w:p>
        </w:tc>
        <w:tc>
          <w:tcPr>
            <w:tcW w:w="3758" w:type="pct"/>
            <w:gridSpan w:val="3"/>
          </w:tcPr>
          <w:p w:rsidR="00A872CE" w:rsidRPr="00A872CE" w:rsidRDefault="00A872CE" w:rsidP="004F146A">
            <w:pPr>
              <w:pStyle w:val="Textpoznpodarou"/>
              <w:jc w:val="both"/>
              <w:rPr>
                <w:spacing w:val="-4"/>
              </w:rPr>
            </w:pPr>
            <w:r w:rsidRPr="00CD1F0F">
              <w:rPr>
                <w:color w:val="000000"/>
              </w:rPr>
              <w:t>Ze srovnání nákladů práce (v konceptu národních účtů)</w:t>
            </w:r>
            <w:r w:rsidRPr="00767D23">
              <w:rPr>
                <w:color w:val="000000"/>
              </w:rPr>
              <w:t xml:space="preserve"> mezi státy EU </w:t>
            </w:r>
            <w:r>
              <w:rPr>
                <w:color w:val="000000"/>
              </w:rPr>
              <w:t xml:space="preserve">vyplývá, že v období poznamenaném recesí vyplatily nefinanční podniky ve většině států na zaměstnaneckých náhradách (v relaci k vytvořené přidané hodnotě) více než v období předchozí konjunktury (roky 2005-2008). Z významnějších ekonomik to neplatilo pouze pro Španělsko (podobně jako pro většinu menších států citelněji poznačených recesí) a Polsko (jehož ekonomika recesi odolala a vytvořená přidaná hodnota v podnicích tak </w:t>
            </w:r>
            <w:r w:rsidR="004F146A">
              <w:rPr>
                <w:color w:val="000000"/>
              </w:rPr>
              <w:t xml:space="preserve">zde </w:t>
            </w:r>
            <w:r>
              <w:rPr>
                <w:color w:val="000000"/>
              </w:rPr>
              <w:t xml:space="preserve">mohla vykázat vyšší dynamiku než náklady na zaměstnance). </w:t>
            </w:r>
          </w:p>
        </w:tc>
      </w:tr>
    </w:tbl>
    <w:p w:rsidR="00A872CE" w:rsidRPr="007363A9" w:rsidRDefault="00A872CE" w:rsidP="00A872CE">
      <w:pPr>
        <w:pStyle w:val="Textpoznpodarou"/>
        <w:jc w:val="both"/>
        <w:rPr>
          <w:sz w:val="22"/>
          <w:szCs w:val="22"/>
        </w:rPr>
      </w:pPr>
    </w:p>
    <w:tbl>
      <w:tblPr>
        <w:tblW w:w="5007" w:type="pct"/>
        <w:tblLayout w:type="fixed"/>
        <w:tblCellMar>
          <w:left w:w="28" w:type="dxa"/>
          <w:right w:w="28" w:type="dxa"/>
        </w:tblCellMar>
        <w:tblLook w:val="04A0"/>
      </w:tblPr>
      <w:tblGrid>
        <w:gridCol w:w="594"/>
        <w:gridCol w:w="4293"/>
        <w:gridCol w:w="670"/>
        <w:gridCol w:w="4151"/>
      </w:tblGrid>
      <w:tr w:rsidR="00A872CE" w:rsidTr="00A872CE">
        <w:tc>
          <w:tcPr>
            <w:tcW w:w="306" w:type="pct"/>
          </w:tcPr>
          <w:p w:rsidR="00A872CE" w:rsidRPr="0002540B" w:rsidRDefault="00A872CE" w:rsidP="00A872CE">
            <w:pPr>
              <w:pStyle w:val="Textpoznpodarou"/>
              <w:rPr>
                <w:lang w:eastAsia="en-US"/>
              </w:rPr>
            </w:pPr>
            <w:r>
              <w:rPr>
                <w:lang w:eastAsia="en-US"/>
              </w:rPr>
              <w:t>Graf</w:t>
            </w:r>
            <w:r w:rsidR="001E561F">
              <w:rPr>
                <w:lang w:eastAsia="en-US"/>
              </w:rPr>
              <w:t xml:space="preserve"> č. 6</w:t>
            </w:r>
          </w:p>
        </w:tc>
        <w:tc>
          <w:tcPr>
            <w:tcW w:w="2211" w:type="pct"/>
          </w:tcPr>
          <w:p w:rsidR="00A872CE" w:rsidRPr="0002540B" w:rsidRDefault="00A872CE" w:rsidP="00A872CE">
            <w:pPr>
              <w:pStyle w:val="Textpoznpodarou"/>
              <w:rPr>
                <w:lang w:eastAsia="en-US"/>
              </w:rPr>
            </w:pPr>
            <w:r w:rsidRPr="00C26820">
              <w:rPr>
                <w:b/>
                <w:lang w:eastAsia="en-US"/>
              </w:rPr>
              <w:t>Saldo vlastnických důchodů a jejich hlavních složek</w:t>
            </w:r>
            <w:r>
              <w:rPr>
                <w:b/>
                <w:lang w:eastAsia="en-US"/>
              </w:rPr>
              <w:t xml:space="preserve"> </w:t>
            </w:r>
            <w:r>
              <w:rPr>
                <w:b/>
                <w:bCs/>
              </w:rPr>
              <w:t>v ČR</w:t>
            </w:r>
            <w:r>
              <w:rPr>
                <w:lang w:eastAsia="en-US"/>
              </w:rPr>
              <w:t xml:space="preserve"> (sektor </w:t>
            </w:r>
            <w:proofErr w:type="spellStart"/>
            <w:r>
              <w:rPr>
                <w:lang w:eastAsia="en-US"/>
              </w:rPr>
              <w:t>nefin</w:t>
            </w:r>
            <w:proofErr w:type="spellEnd"/>
            <w:r>
              <w:rPr>
                <w:lang w:eastAsia="en-US"/>
              </w:rPr>
              <w:t>. podniků)*</w:t>
            </w:r>
          </w:p>
        </w:tc>
        <w:tc>
          <w:tcPr>
            <w:tcW w:w="345" w:type="pct"/>
          </w:tcPr>
          <w:p w:rsidR="00A872CE" w:rsidRDefault="00A872CE" w:rsidP="001E561F">
            <w:pPr>
              <w:spacing w:line="240" w:lineRule="auto"/>
            </w:pPr>
            <w:r>
              <w:rPr>
                <w:lang w:eastAsia="en-US"/>
              </w:rPr>
              <w:t>Graf</w:t>
            </w:r>
            <w:r w:rsidR="001E561F">
              <w:rPr>
                <w:lang w:eastAsia="en-US"/>
              </w:rPr>
              <w:t xml:space="preserve"> č. 7</w:t>
            </w:r>
          </w:p>
        </w:tc>
        <w:tc>
          <w:tcPr>
            <w:tcW w:w="2138" w:type="pct"/>
          </w:tcPr>
          <w:p w:rsidR="00A872CE" w:rsidRPr="00EB7A56" w:rsidRDefault="00A872CE" w:rsidP="00A872CE">
            <w:pPr>
              <w:spacing w:line="240" w:lineRule="auto"/>
              <w:rPr>
                <w:b/>
                <w:spacing w:val="-4"/>
                <w:lang w:eastAsia="en-US"/>
              </w:rPr>
            </w:pPr>
            <w:r w:rsidRPr="00EB7A56">
              <w:rPr>
                <w:b/>
                <w:spacing w:val="-4"/>
                <w:lang w:eastAsia="en-US"/>
              </w:rPr>
              <w:t xml:space="preserve">Saldo vlastnic. </w:t>
            </w:r>
            <w:proofErr w:type="gramStart"/>
            <w:r w:rsidRPr="00EB7A56">
              <w:rPr>
                <w:b/>
                <w:spacing w:val="-4"/>
                <w:lang w:eastAsia="en-US"/>
              </w:rPr>
              <w:t>důchodů</w:t>
            </w:r>
            <w:proofErr w:type="gramEnd"/>
            <w:r w:rsidRPr="00EB7A56">
              <w:rPr>
                <w:b/>
                <w:spacing w:val="-4"/>
                <w:lang w:eastAsia="en-US"/>
              </w:rPr>
              <w:t xml:space="preserve"> v </w:t>
            </w:r>
            <w:proofErr w:type="spellStart"/>
            <w:r w:rsidRPr="00EB7A56">
              <w:rPr>
                <w:b/>
                <w:spacing w:val="-4"/>
                <w:lang w:eastAsia="en-US"/>
              </w:rPr>
              <w:t>jednotl</w:t>
            </w:r>
            <w:proofErr w:type="spellEnd"/>
            <w:r w:rsidRPr="00EB7A56">
              <w:rPr>
                <w:b/>
                <w:spacing w:val="-4"/>
                <w:lang w:eastAsia="en-US"/>
              </w:rPr>
              <w:t>. pod</w:t>
            </w:r>
            <w:r>
              <w:rPr>
                <w:b/>
                <w:spacing w:val="-4"/>
                <w:lang w:eastAsia="en-US"/>
              </w:rPr>
              <w:t>-</w:t>
            </w:r>
            <w:r w:rsidRPr="00EB7A56">
              <w:rPr>
                <w:b/>
                <w:spacing w:val="-4"/>
                <w:lang w:eastAsia="en-US"/>
              </w:rPr>
              <w:t xml:space="preserve">sektorech </w:t>
            </w:r>
            <w:proofErr w:type="spellStart"/>
            <w:r w:rsidRPr="00EB7A56">
              <w:rPr>
                <w:b/>
                <w:spacing w:val="-4"/>
                <w:lang w:eastAsia="en-US"/>
              </w:rPr>
              <w:t>nefin</w:t>
            </w:r>
            <w:proofErr w:type="spellEnd"/>
            <w:r w:rsidRPr="00EB7A56">
              <w:rPr>
                <w:b/>
                <w:spacing w:val="-4"/>
                <w:lang w:eastAsia="en-US"/>
              </w:rPr>
              <w:t xml:space="preserve">. podniků </w:t>
            </w:r>
            <w:r w:rsidRPr="00EB7A56">
              <w:rPr>
                <w:b/>
                <w:bCs/>
                <w:spacing w:val="-4"/>
              </w:rPr>
              <w:t>v ČR</w:t>
            </w:r>
            <w:r w:rsidRPr="00EB7A56">
              <w:rPr>
                <w:spacing w:val="-4"/>
                <w:lang w:eastAsia="en-US"/>
              </w:rPr>
              <w:t xml:space="preserve"> (v mld. korun)</w:t>
            </w:r>
          </w:p>
        </w:tc>
      </w:tr>
      <w:tr w:rsidR="00A872CE" w:rsidTr="00A872CE">
        <w:tc>
          <w:tcPr>
            <w:tcW w:w="2517" w:type="pct"/>
            <w:gridSpan w:val="2"/>
          </w:tcPr>
          <w:p w:rsidR="00A872CE" w:rsidRDefault="002A2083" w:rsidP="00A872CE">
            <w:pPr>
              <w:pStyle w:val="Textpoznpodarou"/>
              <w:jc w:val="both"/>
            </w:pPr>
            <w:r>
              <w:pict>
                <v:shape id="_x0000_i1055" type="#_x0000_t75" style="width:240.75pt;height:212.25pt">
                  <v:imagedata r:id="rId43" o:title=""/>
                </v:shape>
              </w:pict>
            </w:r>
          </w:p>
        </w:tc>
        <w:tc>
          <w:tcPr>
            <w:tcW w:w="2483" w:type="pct"/>
            <w:gridSpan w:val="2"/>
          </w:tcPr>
          <w:p w:rsidR="00A872CE" w:rsidRDefault="002A2083" w:rsidP="00A872CE">
            <w:pPr>
              <w:pStyle w:val="Textpoznpodarou"/>
              <w:jc w:val="both"/>
            </w:pPr>
            <w:r>
              <w:pict>
                <v:shape id="_x0000_i1056" type="#_x0000_t75" style="width:237.75pt;height:212.25pt">
                  <v:imagedata r:id="rId44" o:title=""/>
                </v:shape>
              </w:pict>
            </w:r>
          </w:p>
        </w:tc>
      </w:tr>
      <w:tr w:rsidR="00A872CE" w:rsidTr="00A872CE">
        <w:tc>
          <w:tcPr>
            <w:tcW w:w="2517" w:type="pct"/>
            <w:gridSpan w:val="2"/>
          </w:tcPr>
          <w:p w:rsidR="00A872CE" w:rsidRDefault="00A872CE" w:rsidP="00A872CE">
            <w:pPr>
              <w:pStyle w:val="Textpoznpodarou"/>
              <w:rPr>
                <w:sz w:val="18"/>
                <w:szCs w:val="18"/>
                <w:lang w:eastAsia="en-US"/>
              </w:rPr>
            </w:pPr>
            <w:r>
              <w:rPr>
                <w:sz w:val="18"/>
                <w:szCs w:val="18"/>
                <w:lang w:eastAsia="en-US"/>
              </w:rPr>
              <w:t>*</w:t>
            </w:r>
            <w:r w:rsidR="00AA3855">
              <w:rPr>
                <w:sz w:val="18"/>
                <w:szCs w:val="18"/>
                <w:lang w:eastAsia="en-US"/>
              </w:rPr>
              <w:t xml:space="preserve">Pozn.: Součet za </w:t>
            </w:r>
            <w:proofErr w:type="spellStart"/>
            <w:r w:rsidR="00B60C8D">
              <w:rPr>
                <w:sz w:val="18"/>
                <w:szCs w:val="18"/>
                <w:lang w:eastAsia="en-US"/>
              </w:rPr>
              <w:t>sub</w:t>
            </w:r>
            <w:r>
              <w:rPr>
                <w:sz w:val="18"/>
                <w:szCs w:val="18"/>
                <w:lang w:eastAsia="en-US"/>
              </w:rPr>
              <w:t>sektory</w:t>
            </w:r>
            <w:proofErr w:type="spellEnd"/>
            <w:r>
              <w:rPr>
                <w:sz w:val="18"/>
                <w:szCs w:val="18"/>
                <w:lang w:eastAsia="en-US"/>
              </w:rPr>
              <w:t xml:space="preserve"> nefinančních podniků</w:t>
            </w:r>
          </w:p>
          <w:p w:rsidR="00A872CE" w:rsidRPr="0020709F" w:rsidRDefault="00A872CE" w:rsidP="00A872CE">
            <w:pPr>
              <w:pStyle w:val="Textpoznpodarou"/>
              <w:jc w:val="right"/>
              <w:rPr>
                <w:sz w:val="16"/>
                <w:szCs w:val="16"/>
              </w:rPr>
            </w:pPr>
            <w:r>
              <w:rPr>
                <w:sz w:val="18"/>
                <w:szCs w:val="18"/>
                <w:lang w:eastAsia="en-US"/>
              </w:rPr>
              <w:t>Zdroj: ČSÚ (národní účty)</w:t>
            </w:r>
          </w:p>
        </w:tc>
        <w:tc>
          <w:tcPr>
            <w:tcW w:w="2483" w:type="pct"/>
            <w:gridSpan w:val="2"/>
          </w:tcPr>
          <w:p w:rsidR="00A872CE" w:rsidRPr="00A10AFE" w:rsidRDefault="00A872CE" w:rsidP="00A872CE">
            <w:pPr>
              <w:pStyle w:val="Textpoznpodarou"/>
              <w:jc w:val="right"/>
              <w:rPr>
                <w:rFonts w:cs="Arial"/>
                <w:sz w:val="18"/>
                <w:szCs w:val="18"/>
              </w:rPr>
            </w:pPr>
            <w:r>
              <w:rPr>
                <w:sz w:val="18"/>
                <w:szCs w:val="18"/>
                <w:lang w:eastAsia="en-US"/>
              </w:rPr>
              <w:t>Zdroj: ČSÚ (národní účty)</w:t>
            </w:r>
          </w:p>
        </w:tc>
      </w:tr>
    </w:tbl>
    <w:p w:rsidR="00A872CE" w:rsidRPr="004F146A" w:rsidRDefault="00A872CE" w:rsidP="00A872CE">
      <w:pPr>
        <w:pStyle w:val="Textpoznpodarou"/>
        <w:jc w:val="both"/>
        <w:rPr>
          <w:color w:val="000000"/>
        </w:rPr>
      </w:pPr>
    </w:p>
    <w:tbl>
      <w:tblPr>
        <w:tblW w:w="5000" w:type="pct"/>
        <w:tblCellMar>
          <w:left w:w="28" w:type="dxa"/>
          <w:right w:w="28" w:type="dxa"/>
        </w:tblCellMar>
        <w:tblLook w:val="04A0"/>
      </w:tblPr>
      <w:tblGrid>
        <w:gridCol w:w="2115"/>
        <w:gridCol w:w="283"/>
        <w:gridCol w:w="7296"/>
      </w:tblGrid>
      <w:tr w:rsidR="00A872CE" w:rsidTr="00A872CE">
        <w:tc>
          <w:tcPr>
            <w:tcW w:w="1091" w:type="pct"/>
          </w:tcPr>
          <w:p w:rsidR="00A872CE" w:rsidRDefault="00A872CE" w:rsidP="00A872CE">
            <w:pPr>
              <w:spacing w:line="240" w:lineRule="auto"/>
              <w:rPr>
                <w:color w:val="000000"/>
                <w:sz w:val="16"/>
                <w:szCs w:val="16"/>
              </w:rPr>
            </w:pPr>
            <w:r>
              <w:rPr>
                <w:color w:val="000000"/>
                <w:sz w:val="16"/>
                <w:szCs w:val="16"/>
              </w:rPr>
              <w:t>V 90. letech pokrývaly vysokou investiční potřebu podniků v ČR především půjčky od tuzemských bank, v následující dekádě především zahraniční kapitál</w:t>
            </w:r>
          </w:p>
          <w:p w:rsidR="00A872CE" w:rsidRDefault="00A872CE" w:rsidP="00A872CE">
            <w:pPr>
              <w:spacing w:line="240" w:lineRule="auto"/>
              <w:rPr>
                <w:color w:val="000000"/>
                <w:sz w:val="16"/>
                <w:szCs w:val="16"/>
              </w:rPr>
            </w:pPr>
          </w:p>
          <w:p w:rsidR="00A872CE" w:rsidRDefault="00A872CE" w:rsidP="00A872CE">
            <w:pPr>
              <w:spacing w:line="240" w:lineRule="auto"/>
              <w:rPr>
                <w:color w:val="000000"/>
                <w:sz w:val="16"/>
                <w:szCs w:val="16"/>
              </w:rPr>
            </w:pPr>
          </w:p>
          <w:p w:rsidR="00A872CE" w:rsidRDefault="00A872CE" w:rsidP="00A872CE">
            <w:pPr>
              <w:spacing w:line="240" w:lineRule="auto"/>
              <w:rPr>
                <w:color w:val="000000"/>
                <w:sz w:val="16"/>
                <w:szCs w:val="16"/>
              </w:rPr>
            </w:pPr>
          </w:p>
          <w:p w:rsidR="00A872CE" w:rsidRDefault="00A872CE" w:rsidP="00A872CE">
            <w:pPr>
              <w:spacing w:line="240" w:lineRule="auto"/>
              <w:rPr>
                <w:color w:val="000000"/>
                <w:sz w:val="16"/>
                <w:szCs w:val="16"/>
              </w:rPr>
            </w:pPr>
          </w:p>
          <w:p w:rsidR="00A872CE" w:rsidRDefault="00A872CE" w:rsidP="00A872CE">
            <w:pPr>
              <w:spacing w:line="240" w:lineRule="auto"/>
              <w:rPr>
                <w:color w:val="000000"/>
                <w:sz w:val="16"/>
                <w:szCs w:val="16"/>
              </w:rPr>
            </w:pPr>
          </w:p>
          <w:p w:rsidR="00A872CE" w:rsidRDefault="00A872CE" w:rsidP="00A872CE">
            <w:pPr>
              <w:spacing w:line="240" w:lineRule="auto"/>
              <w:rPr>
                <w:color w:val="000000"/>
                <w:sz w:val="16"/>
                <w:szCs w:val="16"/>
              </w:rPr>
            </w:pPr>
            <w:r>
              <w:rPr>
                <w:color w:val="000000"/>
                <w:sz w:val="16"/>
                <w:szCs w:val="16"/>
              </w:rPr>
              <w:t>Vysoký růst nominálních zisků podniků se promítl do rekordní výše reinvestovaných zisků z přímých zahraničních investic</w:t>
            </w:r>
          </w:p>
          <w:p w:rsidR="00A872CE" w:rsidRDefault="00A872CE" w:rsidP="00A872CE">
            <w:pPr>
              <w:spacing w:line="240" w:lineRule="auto"/>
              <w:rPr>
                <w:sz w:val="16"/>
                <w:szCs w:val="16"/>
              </w:rPr>
            </w:pPr>
          </w:p>
        </w:tc>
        <w:tc>
          <w:tcPr>
            <w:tcW w:w="146" w:type="pct"/>
          </w:tcPr>
          <w:p w:rsidR="00A872CE" w:rsidRDefault="00A872CE" w:rsidP="00A872CE">
            <w:pPr>
              <w:pStyle w:val="Textpoznpodarou"/>
              <w:jc w:val="both"/>
            </w:pPr>
          </w:p>
        </w:tc>
        <w:tc>
          <w:tcPr>
            <w:tcW w:w="3763" w:type="pct"/>
          </w:tcPr>
          <w:p w:rsidR="00A872CE" w:rsidRPr="00DB2CD4" w:rsidRDefault="00A872CE" w:rsidP="00A872CE">
            <w:pPr>
              <w:pStyle w:val="Textpoznpodarou"/>
              <w:jc w:val="both"/>
              <w:rPr>
                <w:color w:val="000000"/>
              </w:rPr>
            </w:pPr>
            <w:r w:rsidRPr="00DB2CD4">
              <w:rPr>
                <w:color w:val="000000"/>
              </w:rPr>
              <w:t>Obnova a modernizace výrobních kapacit nefina</w:t>
            </w:r>
            <w:r>
              <w:rPr>
                <w:color w:val="000000"/>
              </w:rPr>
              <w:t>n</w:t>
            </w:r>
            <w:r w:rsidRPr="00DB2CD4">
              <w:rPr>
                <w:color w:val="000000"/>
              </w:rPr>
              <w:t>čních podniků v</w:t>
            </w:r>
            <w:r>
              <w:rPr>
                <w:color w:val="000000"/>
              </w:rPr>
              <w:t> </w:t>
            </w:r>
            <w:r w:rsidRPr="00DB2CD4">
              <w:rPr>
                <w:color w:val="000000"/>
              </w:rPr>
              <w:t>ČR</w:t>
            </w:r>
            <w:r>
              <w:rPr>
                <w:color w:val="000000"/>
              </w:rPr>
              <w:t xml:space="preserve"> byla podobně jako ve většině ostatních tranzitivních ekon</w:t>
            </w:r>
            <w:r w:rsidR="00B27737">
              <w:rPr>
                <w:color w:val="000000"/>
              </w:rPr>
              <w:t>omik</w:t>
            </w:r>
            <w:r>
              <w:rPr>
                <w:color w:val="000000"/>
              </w:rPr>
              <w:t xml:space="preserve"> silně závislá na přílivu zahraničního kapitálu. Zatímco ještě v 90. letech hledaly </w:t>
            </w:r>
            <w:proofErr w:type="spellStart"/>
            <w:r>
              <w:rPr>
                <w:color w:val="000000"/>
              </w:rPr>
              <w:t>podkapitalizované</w:t>
            </w:r>
            <w:proofErr w:type="spellEnd"/>
            <w:r>
              <w:rPr>
                <w:color w:val="000000"/>
              </w:rPr>
              <w:t xml:space="preserve"> tuzemské podniky zdroje nutných investic především v bankovních půjčkách, v pozdějších letech pramenily především z masivního přílivu přímých zahraničních investic (především z období 1999-2002). Vysoké úrokové míry i zadluženost podniků byly v 90. letech příčinou hlubokého záporného salda z úroků (v období recese let 1997-1998 zaplatily nefinanční podniky na úrocích v průměru ročně o 105 mld. korun více, než činily jejich příjmy z vkladů). Od roku 2001 začalo u podniků převažovat záporné saldo z rozdělených důchodů společností (pře</w:t>
            </w:r>
            <w:r w:rsidR="004F146A">
              <w:rPr>
                <w:color w:val="000000"/>
              </w:rPr>
              <w:t>devším formou dividend) nad výší</w:t>
            </w:r>
            <w:r>
              <w:rPr>
                <w:color w:val="000000"/>
              </w:rPr>
              <w:t xml:space="preserve"> negativního salda plynoucího z úroků. Postupné prohlubování salda všech vlastnických důchodů se u podniků dočasně zastavilo až v roce 2012, když saldo dividend vykazovalo jistou stabilizaci již od roku 2009. K dalšímu citelnému prohloubení pak došlo v roce 2014, a to výhradně vlivem reinvestovaných zisků z přímých zahraničních investic, jejichž saldo (-185 mld. korun) se zc</w:t>
            </w:r>
            <w:r w:rsidR="00B66C89">
              <w:rPr>
                <w:color w:val="000000"/>
              </w:rPr>
              <w:t>ela vymykalo hodnotám dosaženým</w:t>
            </w:r>
            <w:r>
              <w:rPr>
                <w:color w:val="000000"/>
              </w:rPr>
              <w:t xml:space="preserve"> </w:t>
            </w:r>
            <w:r w:rsidR="00B66C89">
              <w:rPr>
                <w:color w:val="000000"/>
              </w:rPr>
              <w:lastRenderedPageBreak/>
              <w:t xml:space="preserve">v </w:t>
            </w:r>
            <w:r>
              <w:rPr>
                <w:color w:val="000000"/>
              </w:rPr>
              <w:t>předchozích letech. Základem pro takto vysoké „zadržené zisky“ byl především vysoký meziroční růst čistého provozního př</w:t>
            </w:r>
            <w:r w:rsidR="004F146A">
              <w:rPr>
                <w:color w:val="000000"/>
              </w:rPr>
              <w:t>ebytku podniků (nominálně o 123 </w:t>
            </w:r>
            <w:r>
              <w:rPr>
                <w:color w:val="000000"/>
              </w:rPr>
              <w:t xml:space="preserve">mld. korun). </w:t>
            </w:r>
          </w:p>
        </w:tc>
      </w:tr>
    </w:tbl>
    <w:p w:rsidR="00A872CE" w:rsidRDefault="00A872CE" w:rsidP="00A872CE">
      <w:pPr>
        <w:pStyle w:val="Textpoznpodarou"/>
        <w:jc w:val="both"/>
        <w:rPr>
          <w:sz w:val="16"/>
          <w:szCs w:val="16"/>
        </w:rPr>
      </w:pPr>
    </w:p>
    <w:tbl>
      <w:tblPr>
        <w:tblW w:w="5007" w:type="pct"/>
        <w:tblLayout w:type="fixed"/>
        <w:tblCellMar>
          <w:left w:w="28" w:type="dxa"/>
          <w:right w:w="28" w:type="dxa"/>
        </w:tblCellMar>
        <w:tblLook w:val="04A0"/>
      </w:tblPr>
      <w:tblGrid>
        <w:gridCol w:w="738"/>
        <w:gridCol w:w="4149"/>
        <w:gridCol w:w="670"/>
        <w:gridCol w:w="4151"/>
      </w:tblGrid>
      <w:tr w:rsidR="00A872CE" w:rsidTr="001E561F">
        <w:tc>
          <w:tcPr>
            <w:tcW w:w="380" w:type="pct"/>
          </w:tcPr>
          <w:p w:rsidR="00A872CE" w:rsidRPr="0002540B" w:rsidRDefault="00A872CE" w:rsidP="001E561F">
            <w:pPr>
              <w:pStyle w:val="Textpoznpodarou"/>
              <w:rPr>
                <w:lang w:eastAsia="en-US"/>
              </w:rPr>
            </w:pPr>
            <w:r>
              <w:rPr>
                <w:lang w:eastAsia="en-US"/>
              </w:rPr>
              <w:t>Graf</w:t>
            </w:r>
            <w:r w:rsidR="001E561F">
              <w:rPr>
                <w:lang w:eastAsia="en-US"/>
              </w:rPr>
              <w:t xml:space="preserve"> č. 8</w:t>
            </w:r>
          </w:p>
        </w:tc>
        <w:tc>
          <w:tcPr>
            <w:tcW w:w="2137" w:type="pct"/>
          </w:tcPr>
          <w:p w:rsidR="00A872CE" w:rsidRDefault="00A872CE" w:rsidP="00A872CE">
            <w:pPr>
              <w:spacing w:line="240" w:lineRule="auto"/>
              <w:rPr>
                <w:b/>
                <w:bCs/>
                <w:color w:val="000000"/>
              </w:rPr>
            </w:pPr>
            <w:r>
              <w:rPr>
                <w:b/>
                <w:bCs/>
                <w:color w:val="000000"/>
              </w:rPr>
              <w:t xml:space="preserve">Rozdíl mezi přijatými a vyplacenými vlastnickými důchody za sektor </w:t>
            </w:r>
            <w:proofErr w:type="spellStart"/>
            <w:r>
              <w:rPr>
                <w:b/>
                <w:bCs/>
                <w:color w:val="000000"/>
              </w:rPr>
              <w:t>nef</w:t>
            </w:r>
            <w:proofErr w:type="spellEnd"/>
            <w:r>
              <w:rPr>
                <w:b/>
                <w:bCs/>
                <w:color w:val="000000"/>
              </w:rPr>
              <w:t xml:space="preserve">. </w:t>
            </w:r>
            <w:proofErr w:type="spellStart"/>
            <w:r>
              <w:rPr>
                <w:b/>
                <w:bCs/>
                <w:color w:val="000000"/>
              </w:rPr>
              <w:t>inst</w:t>
            </w:r>
            <w:proofErr w:type="spellEnd"/>
            <w:r>
              <w:rPr>
                <w:b/>
                <w:bCs/>
                <w:color w:val="000000"/>
              </w:rPr>
              <w:t xml:space="preserve">. </w:t>
            </w:r>
            <w:r w:rsidRPr="00B43C17">
              <w:rPr>
                <w:bCs/>
                <w:color w:val="000000"/>
              </w:rPr>
              <w:t xml:space="preserve">(% čistého </w:t>
            </w:r>
            <w:r>
              <w:rPr>
                <w:bCs/>
                <w:color w:val="000000"/>
              </w:rPr>
              <w:t>provoz.</w:t>
            </w:r>
            <w:r w:rsidRPr="00B43C17">
              <w:rPr>
                <w:bCs/>
                <w:color w:val="000000"/>
              </w:rPr>
              <w:t xml:space="preserve"> </w:t>
            </w:r>
            <w:proofErr w:type="gramStart"/>
            <w:r w:rsidRPr="00B43C17">
              <w:rPr>
                <w:bCs/>
                <w:color w:val="000000"/>
              </w:rPr>
              <w:t>přebytku</w:t>
            </w:r>
            <w:proofErr w:type="gramEnd"/>
            <w:r w:rsidRPr="00B43C17">
              <w:rPr>
                <w:bCs/>
                <w:color w:val="000000"/>
              </w:rPr>
              <w:t xml:space="preserve"> tohoto sektoru</w:t>
            </w:r>
            <w:r>
              <w:rPr>
                <w:bCs/>
                <w:color w:val="000000"/>
              </w:rPr>
              <w:t xml:space="preserve">, </w:t>
            </w:r>
            <w:proofErr w:type="spellStart"/>
            <w:r>
              <w:rPr>
                <w:bCs/>
                <w:color w:val="000000"/>
              </w:rPr>
              <w:t>vybr</w:t>
            </w:r>
            <w:proofErr w:type="spellEnd"/>
            <w:r>
              <w:rPr>
                <w:bCs/>
                <w:color w:val="000000"/>
              </w:rPr>
              <w:t>. evropské státy, průměr let 2009-2013)*</w:t>
            </w:r>
          </w:p>
        </w:tc>
        <w:tc>
          <w:tcPr>
            <w:tcW w:w="345" w:type="pct"/>
          </w:tcPr>
          <w:p w:rsidR="00A872CE" w:rsidRDefault="001E561F" w:rsidP="001E561F">
            <w:pPr>
              <w:spacing w:line="240" w:lineRule="auto"/>
            </w:pPr>
            <w:r>
              <w:t>Graf č. 9</w:t>
            </w:r>
          </w:p>
        </w:tc>
        <w:tc>
          <w:tcPr>
            <w:tcW w:w="2138" w:type="pct"/>
          </w:tcPr>
          <w:p w:rsidR="00A872CE" w:rsidRDefault="00A872CE" w:rsidP="00A872CE">
            <w:pPr>
              <w:pStyle w:val="Textpoznpodarou"/>
              <w:rPr>
                <w:b/>
                <w:bCs/>
                <w:color w:val="000000"/>
              </w:rPr>
            </w:pPr>
            <w:r>
              <w:rPr>
                <w:b/>
                <w:bCs/>
                <w:color w:val="000000"/>
              </w:rPr>
              <w:t xml:space="preserve">Rozdíl mezi přijatými a vyplacenými vlastnickými důchody v sektoru </w:t>
            </w:r>
            <w:proofErr w:type="spellStart"/>
            <w:r>
              <w:rPr>
                <w:b/>
                <w:bCs/>
                <w:color w:val="000000"/>
              </w:rPr>
              <w:t>nef</w:t>
            </w:r>
            <w:proofErr w:type="spellEnd"/>
            <w:r>
              <w:rPr>
                <w:b/>
                <w:bCs/>
                <w:color w:val="000000"/>
              </w:rPr>
              <w:t xml:space="preserve">. </w:t>
            </w:r>
            <w:proofErr w:type="spellStart"/>
            <w:r>
              <w:rPr>
                <w:b/>
                <w:bCs/>
                <w:color w:val="000000"/>
              </w:rPr>
              <w:t>inst</w:t>
            </w:r>
            <w:proofErr w:type="spellEnd"/>
            <w:r>
              <w:rPr>
                <w:b/>
                <w:bCs/>
                <w:color w:val="000000"/>
              </w:rPr>
              <w:t>.</w:t>
            </w:r>
          </w:p>
          <w:p w:rsidR="00A872CE" w:rsidRDefault="00A872CE" w:rsidP="00A872CE">
            <w:pPr>
              <w:pStyle w:val="Textpoznpodarou"/>
              <w:rPr>
                <w:b/>
                <w:bCs/>
                <w:color w:val="000000"/>
              </w:rPr>
            </w:pPr>
            <w:r>
              <w:rPr>
                <w:b/>
                <w:bCs/>
                <w:color w:val="000000"/>
              </w:rPr>
              <w:t>a v celém národním hospodářství)</w:t>
            </w:r>
          </w:p>
          <w:p w:rsidR="00A872CE" w:rsidRPr="00382B0B" w:rsidRDefault="00A872CE" w:rsidP="00A872CE">
            <w:pPr>
              <w:pStyle w:val="Textpoznpodarou"/>
              <w:rPr>
                <w:b/>
                <w:bCs/>
                <w:color w:val="000000"/>
              </w:rPr>
            </w:pPr>
            <w:r w:rsidRPr="00B43C17">
              <w:rPr>
                <w:bCs/>
                <w:color w:val="000000"/>
              </w:rPr>
              <w:t xml:space="preserve">(% čistého provozního </w:t>
            </w:r>
            <w:r>
              <w:rPr>
                <w:bCs/>
                <w:color w:val="000000"/>
              </w:rPr>
              <w:t>přebytku)</w:t>
            </w:r>
            <w:r w:rsidR="00CD4AD9">
              <w:rPr>
                <w:bCs/>
                <w:color w:val="000000"/>
              </w:rPr>
              <w:t>*</w:t>
            </w:r>
          </w:p>
        </w:tc>
      </w:tr>
      <w:tr w:rsidR="00A872CE" w:rsidTr="001E561F">
        <w:tc>
          <w:tcPr>
            <w:tcW w:w="2517" w:type="pct"/>
            <w:gridSpan w:val="2"/>
          </w:tcPr>
          <w:p w:rsidR="00A872CE" w:rsidRDefault="002A2083" w:rsidP="00A872CE">
            <w:pPr>
              <w:pStyle w:val="Textpoznpodarou"/>
              <w:jc w:val="both"/>
            </w:pPr>
            <w:r>
              <w:pict>
                <v:shape id="_x0000_i1057" type="#_x0000_t75" style="width:240.75pt;height:202.5pt">
                  <v:imagedata r:id="rId45" o:title=""/>
                </v:shape>
              </w:pict>
            </w:r>
          </w:p>
        </w:tc>
        <w:tc>
          <w:tcPr>
            <w:tcW w:w="2483" w:type="pct"/>
            <w:gridSpan w:val="2"/>
          </w:tcPr>
          <w:p w:rsidR="00A872CE" w:rsidRDefault="002A2083" w:rsidP="00A872CE">
            <w:pPr>
              <w:pStyle w:val="Textpoznpodarou"/>
              <w:jc w:val="both"/>
            </w:pPr>
            <w:r>
              <w:pict>
                <v:shape id="_x0000_i1058" type="#_x0000_t75" style="width:238.5pt;height:203.25pt">
                  <v:imagedata r:id="rId46" o:title=""/>
                </v:shape>
              </w:pict>
            </w:r>
          </w:p>
        </w:tc>
      </w:tr>
      <w:tr w:rsidR="00A872CE" w:rsidTr="001E561F">
        <w:tc>
          <w:tcPr>
            <w:tcW w:w="2517" w:type="pct"/>
            <w:gridSpan w:val="2"/>
          </w:tcPr>
          <w:p w:rsidR="00A872CE" w:rsidRPr="00AA3855" w:rsidRDefault="00A872CE" w:rsidP="00A872CE">
            <w:pPr>
              <w:pStyle w:val="Textpoznpodarou"/>
              <w:rPr>
                <w:spacing w:val="-2"/>
                <w:sz w:val="18"/>
                <w:szCs w:val="18"/>
                <w:lang w:eastAsia="en-US"/>
              </w:rPr>
            </w:pPr>
            <w:r w:rsidRPr="00AA3855">
              <w:rPr>
                <w:spacing w:val="-2"/>
                <w:sz w:val="18"/>
                <w:szCs w:val="18"/>
                <w:lang w:eastAsia="en-US"/>
              </w:rPr>
              <w:t>*</w:t>
            </w:r>
            <w:r w:rsidR="00AA3855" w:rsidRPr="00AA3855">
              <w:rPr>
                <w:spacing w:val="-2"/>
                <w:sz w:val="18"/>
                <w:szCs w:val="18"/>
                <w:lang w:eastAsia="en-US"/>
              </w:rPr>
              <w:t xml:space="preserve">Pozn.: </w:t>
            </w:r>
            <w:r w:rsidRPr="00AA3855">
              <w:rPr>
                <w:spacing w:val="-2"/>
                <w:sz w:val="18"/>
                <w:szCs w:val="18"/>
                <w:lang w:eastAsia="en-US"/>
              </w:rPr>
              <w:t xml:space="preserve">Za Švýcarsko a Rumunsko období 2009-2012. Údaje za Maltu nedostupné v celé časové řadě. V uskupeních </w:t>
            </w:r>
          </w:p>
          <w:p w:rsidR="00A872CE" w:rsidRPr="00AA3855" w:rsidRDefault="00A872CE" w:rsidP="00A872CE">
            <w:pPr>
              <w:pStyle w:val="Textpoznpodarou"/>
              <w:rPr>
                <w:spacing w:val="-2"/>
                <w:sz w:val="18"/>
                <w:szCs w:val="18"/>
                <w:lang w:eastAsia="en-US"/>
              </w:rPr>
            </w:pPr>
            <w:r w:rsidRPr="00AA3855">
              <w:rPr>
                <w:spacing w:val="-2"/>
                <w:sz w:val="18"/>
                <w:szCs w:val="18"/>
                <w:lang w:eastAsia="en-US"/>
              </w:rPr>
              <w:t xml:space="preserve">EU28, a </w:t>
            </w:r>
            <w:proofErr w:type="spellStart"/>
            <w:r w:rsidRPr="00AA3855">
              <w:rPr>
                <w:spacing w:val="-2"/>
                <w:sz w:val="18"/>
                <w:szCs w:val="18"/>
                <w:lang w:eastAsia="en-US"/>
              </w:rPr>
              <w:t>eurozóny</w:t>
            </w:r>
            <w:proofErr w:type="spellEnd"/>
            <w:r w:rsidRPr="00AA3855">
              <w:rPr>
                <w:spacing w:val="-2"/>
                <w:sz w:val="18"/>
                <w:szCs w:val="18"/>
                <w:lang w:eastAsia="en-US"/>
              </w:rPr>
              <w:t xml:space="preserve"> nedostupné údaje za dílčí důchody </w:t>
            </w:r>
          </w:p>
          <w:p w:rsidR="00A872CE" w:rsidRPr="00D035CD" w:rsidRDefault="00A872CE" w:rsidP="00A872CE">
            <w:pPr>
              <w:pStyle w:val="Textpoznpodarou"/>
              <w:rPr>
                <w:sz w:val="18"/>
                <w:szCs w:val="18"/>
                <w:lang w:eastAsia="en-US"/>
              </w:rPr>
            </w:pPr>
            <w:proofErr w:type="gramStart"/>
            <w:r w:rsidRPr="00AA3855">
              <w:rPr>
                <w:spacing w:val="-2"/>
                <w:sz w:val="18"/>
                <w:szCs w:val="18"/>
                <w:lang w:eastAsia="en-US"/>
              </w:rPr>
              <w:t>(D.42</w:t>
            </w:r>
            <w:proofErr w:type="gramEnd"/>
            <w:r w:rsidRPr="00AA3855">
              <w:rPr>
                <w:spacing w:val="-2"/>
                <w:sz w:val="18"/>
                <w:szCs w:val="18"/>
                <w:lang w:eastAsia="en-US"/>
              </w:rPr>
              <w:t xml:space="preserve"> a D.43).</w:t>
            </w:r>
            <w:r>
              <w:rPr>
                <w:sz w:val="18"/>
                <w:szCs w:val="18"/>
                <w:lang w:eastAsia="en-US"/>
              </w:rPr>
              <w:t xml:space="preserve">      </w:t>
            </w:r>
            <w:r w:rsidR="00C16198">
              <w:rPr>
                <w:sz w:val="18"/>
                <w:szCs w:val="18"/>
                <w:lang w:eastAsia="en-US"/>
              </w:rPr>
              <w:t xml:space="preserve">               </w:t>
            </w:r>
            <w:r>
              <w:rPr>
                <w:sz w:val="18"/>
                <w:szCs w:val="18"/>
                <w:lang w:eastAsia="en-US"/>
              </w:rPr>
              <w:t xml:space="preserve">  Zdroj: </w:t>
            </w:r>
            <w:proofErr w:type="spellStart"/>
            <w:r>
              <w:rPr>
                <w:sz w:val="18"/>
                <w:szCs w:val="18"/>
                <w:lang w:eastAsia="en-US"/>
              </w:rPr>
              <w:t>Eurostat</w:t>
            </w:r>
            <w:proofErr w:type="spellEnd"/>
            <w:r>
              <w:rPr>
                <w:sz w:val="18"/>
                <w:szCs w:val="18"/>
                <w:lang w:eastAsia="en-US"/>
              </w:rPr>
              <w:t>, vlastní výpočty</w:t>
            </w:r>
          </w:p>
        </w:tc>
        <w:tc>
          <w:tcPr>
            <w:tcW w:w="2483" w:type="pct"/>
            <w:gridSpan w:val="2"/>
          </w:tcPr>
          <w:p w:rsidR="00A872CE" w:rsidRDefault="00A872CE" w:rsidP="00A872CE">
            <w:pPr>
              <w:pStyle w:val="Textpoznpodarou"/>
              <w:rPr>
                <w:sz w:val="18"/>
                <w:szCs w:val="18"/>
                <w:lang w:eastAsia="en-US"/>
              </w:rPr>
            </w:pPr>
            <w:r>
              <w:rPr>
                <w:sz w:val="18"/>
                <w:szCs w:val="18"/>
                <w:lang w:eastAsia="en-US"/>
              </w:rPr>
              <w:t xml:space="preserve">* </w:t>
            </w:r>
            <w:r w:rsidR="00AA3855">
              <w:rPr>
                <w:sz w:val="18"/>
                <w:szCs w:val="18"/>
                <w:lang w:eastAsia="en-US"/>
              </w:rPr>
              <w:t xml:space="preserve">Pozn.: </w:t>
            </w:r>
            <w:r>
              <w:rPr>
                <w:sz w:val="18"/>
                <w:szCs w:val="18"/>
                <w:lang w:eastAsia="en-US"/>
              </w:rPr>
              <w:t>Za Řecko ú</w:t>
            </w:r>
            <w:r w:rsidR="00AA3855">
              <w:rPr>
                <w:sz w:val="18"/>
                <w:szCs w:val="18"/>
                <w:lang w:eastAsia="en-US"/>
              </w:rPr>
              <w:t>daj za první období 2006-2008, z</w:t>
            </w:r>
            <w:r>
              <w:rPr>
                <w:sz w:val="18"/>
                <w:szCs w:val="18"/>
                <w:lang w:eastAsia="en-US"/>
              </w:rPr>
              <w:t>a Švýcarsko a Rumunsko ve druhém období za 2009-2012.</w:t>
            </w:r>
          </w:p>
          <w:p w:rsidR="00A872CE" w:rsidRDefault="00A872CE" w:rsidP="00A872CE">
            <w:pPr>
              <w:pStyle w:val="Textpoznpodarou"/>
              <w:rPr>
                <w:sz w:val="18"/>
                <w:szCs w:val="18"/>
                <w:lang w:eastAsia="en-US"/>
              </w:rPr>
            </w:pPr>
            <w:r>
              <w:rPr>
                <w:sz w:val="18"/>
                <w:szCs w:val="18"/>
                <w:lang w:eastAsia="en-US"/>
              </w:rPr>
              <w:t xml:space="preserve">                                           Zdroj: </w:t>
            </w:r>
            <w:proofErr w:type="spellStart"/>
            <w:r>
              <w:rPr>
                <w:sz w:val="18"/>
                <w:szCs w:val="18"/>
                <w:lang w:eastAsia="en-US"/>
              </w:rPr>
              <w:t>Eurostat</w:t>
            </w:r>
            <w:proofErr w:type="spellEnd"/>
            <w:r>
              <w:rPr>
                <w:sz w:val="18"/>
                <w:szCs w:val="18"/>
                <w:lang w:eastAsia="en-US"/>
              </w:rPr>
              <w:t>, vlastní výpočty</w:t>
            </w:r>
          </w:p>
          <w:p w:rsidR="00A872CE" w:rsidRPr="00A10AFE" w:rsidRDefault="00A872CE" w:rsidP="00A872CE">
            <w:pPr>
              <w:pStyle w:val="Textpoznpodarou"/>
              <w:jc w:val="right"/>
              <w:rPr>
                <w:rFonts w:cs="Arial"/>
                <w:sz w:val="18"/>
                <w:szCs w:val="18"/>
              </w:rPr>
            </w:pPr>
          </w:p>
        </w:tc>
      </w:tr>
    </w:tbl>
    <w:p w:rsidR="00A872CE" w:rsidRPr="00A872CE" w:rsidRDefault="00A872CE" w:rsidP="00A872CE">
      <w:pPr>
        <w:pStyle w:val="Textpoznpodarou"/>
        <w:jc w:val="both"/>
      </w:pPr>
    </w:p>
    <w:tbl>
      <w:tblPr>
        <w:tblW w:w="5000" w:type="pct"/>
        <w:tblCellMar>
          <w:left w:w="28" w:type="dxa"/>
          <w:right w:w="28" w:type="dxa"/>
        </w:tblCellMar>
        <w:tblLook w:val="04A0"/>
      </w:tblPr>
      <w:tblGrid>
        <w:gridCol w:w="2115"/>
        <w:gridCol w:w="283"/>
        <w:gridCol w:w="7296"/>
      </w:tblGrid>
      <w:tr w:rsidR="00A872CE" w:rsidTr="00A872CE">
        <w:tc>
          <w:tcPr>
            <w:tcW w:w="1091" w:type="pct"/>
          </w:tcPr>
          <w:p w:rsidR="00A872CE" w:rsidRDefault="00E20525" w:rsidP="00A872CE">
            <w:pPr>
              <w:spacing w:line="240" w:lineRule="auto"/>
              <w:rPr>
                <w:sz w:val="16"/>
                <w:szCs w:val="16"/>
              </w:rPr>
            </w:pPr>
            <w:r>
              <w:rPr>
                <w:sz w:val="16"/>
                <w:szCs w:val="16"/>
              </w:rPr>
              <w:t>Nejhlubší relativní čistý odtok vlastnických důchodů ze sektoru nefinančních podniků v Itálii, vysoký též v</w:t>
            </w:r>
            <w:r w:rsidR="004F146A">
              <w:rPr>
                <w:sz w:val="16"/>
                <w:szCs w:val="16"/>
              </w:rPr>
              <w:t> </w:t>
            </w:r>
            <w:r>
              <w:rPr>
                <w:sz w:val="16"/>
                <w:szCs w:val="16"/>
              </w:rPr>
              <w:t>Česku</w:t>
            </w:r>
            <w:r w:rsidR="004F146A">
              <w:rPr>
                <w:sz w:val="16"/>
                <w:szCs w:val="16"/>
              </w:rPr>
              <w:t>,</w:t>
            </w:r>
            <w:r>
              <w:rPr>
                <w:sz w:val="16"/>
                <w:szCs w:val="16"/>
              </w:rPr>
              <w:t xml:space="preserve"> ale i v Německu, …</w:t>
            </w:r>
          </w:p>
        </w:tc>
        <w:tc>
          <w:tcPr>
            <w:tcW w:w="146" w:type="pct"/>
          </w:tcPr>
          <w:p w:rsidR="00A872CE" w:rsidRDefault="00A872CE" w:rsidP="00A872CE">
            <w:pPr>
              <w:pStyle w:val="Textpoznpodarou"/>
              <w:jc w:val="both"/>
            </w:pPr>
          </w:p>
        </w:tc>
        <w:tc>
          <w:tcPr>
            <w:tcW w:w="3763" w:type="pct"/>
          </w:tcPr>
          <w:p w:rsidR="00A872CE" w:rsidRDefault="00A872CE" w:rsidP="00A872CE">
            <w:pPr>
              <w:pStyle w:val="Textpoznpodarou"/>
              <w:jc w:val="both"/>
              <w:rPr>
                <w:color w:val="000000"/>
              </w:rPr>
            </w:pPr>
            <w:r w:rsidRPr="007C147D">
              <w:rPr>
                <w:color w:val="000000"/>
              </w:rPr>
              <w:t xml:space="preserve">Záporné saldo vlastnických důchodů </w:t>
            </w:r>
            <w:r>
              <w:rPr>
                <w:color w:val="000000"/>
              </w:rPr>
              <w:t xml:space="preserve">je u nefinančních podniků v zemích EU obvyklým jevem. Nejinak tomu bylo v období recese (2009-2013). Ve vztahu k čistému provoznímu přebytku podniků byla hloubka deficitu vlastnických důchodů v Itálii více než čtyřikrát vyšší než Rumunsku. Česko patřilo k zemím s nejvyšším odlivem vlastnických důchodů mimo sektor nefinančních podniků. Rozhodující složkou tvořící deficit </w:t>
            </w:r>
            <w:r w:rsidR="003723F7">
              <w:rPr>
                <w:color w:val="000000"/>
              </w:rPr>
              <w:t>byly</w:t>
            </w:r>
            <w:r>
              <w:rPr>
                <w:color w:val="000000"/>
              </w:rPr>
              <w:t xml:space="preserve"> ve většině zemí rozdělované důchody společností (především</w:t>
            </w:r>
            <w:r w:rsidR="003723F7">
              <w:rPr>
                <w:color w:val="000000"/>
              </w:rPr>
              <w:t xml:space="preserve"> dividendy). Výjimku představovaly</w:t>
            </w:r>
            <w:r>
              <w:rPr>
                <w:color w:val="000000"/>
              </w:rPr>
              <w:t xml:space="preserve"> Španěl</w:t>
            </w:r>
            <w:r w:rsidR="00B27737">
              <w:rPr>
                <w:color w:val="000000"/>
              </w:rPr>
              <w:t>s</w:t>
            </w:r>
            <w:r>
              <w:rPr>
                <w:color w:val="000000"/>
              </w:rPr>
              <w:t>k</w:t>
            </w:r>
            <w:r w:rsidR="003723F7">
              <w:rPr>
                <w:color w:val="000000"/>
              </w:rPr>
              <w:t>o či Kypr, kde se více projevovalo</w:t>
            </w:r>
            <w:r>
              <w:rPr>
                <w:color w:val="000000"/>
              </w:rPr>
              <w:t xml:space="preserve"> zatížení podniků splátkami úvěrů.</w:t>
            </w:r>
          </w:p>
          <w:p w:rsidR="00A872CE" w:rsidRPr="007C147D" w:rsidRDefault="00A872CE" w:rsidP="00A872CE">
            <w:pPr>
              <w:pStyle w:val="Textpoznpodarou"/>
              <w:jc w:val="both"/>
              <w:rPr>
                <w:color w:val="000000"/>
              </w:rPr>
            </w:pPr>
          </w:p>
        </w:tc>
      </w:tr>
      <w:tr w:rsidR="00A872CE" w:rsidTr="00A872CE">
        <w:tc>
          <w:tcPr>
            <w:tcW w:w="1091" w:type="pct"/>
          </w:tcPr>
          <w:p w:rsidR="00A872CE" w:rsidRPr="000A4ACC" w:rsidRDefault="00E20525" w:rsidP="00E20525">
            <w:pPr>
              <w:spacing w:line="240" w:lineRule="auto"/>
              <w:rPr>
                <w:spacing w:val="-2"/>
                <w:sz w:val="16"/>
                <w:szCs w:val="16"/>
              </w:rPr>
            </w:pPr>
            <w:r>
              <w:rPr>
                <w:spacing w:val="-2"/>
                <w:sz w:val="16"/>
                <w:szCs w:val="16"/>
              </w:rPr>
              <w:t>…z celé ekonomiky pak především v zemích střední a východní Evropy a v Irsku</w:t>
            </w:r>
          </w:p>
        </w:tc>
        <w:tc>
          <w:tcPr>
            <w:tcW w:w="146" w:type="pct"/>
          </w:tcPr>
          <w:p w:rsidR="00A872CE" w:rsidRDefault="00A872CE" w:rsidP="00A872CE">
            <w:pPr>
              <w:pStyle w:val="Textpoznpodarou"/>
              <w:jc w:val="both"/>
            </w:pPr>
          </w:p>
        </w:tc>
        <w:tc>
          <w:tcPr>
            <w:tcW w:w="3763" w:type="pct"/>
          </w:tcPr>
          <w:p w:rsidR="00A872CE" w:rsidRPr="007C147D" w:rsidRDefault="00A872CE" w:rsidP="00B60C8D">
            <w:pPr>
              <w:pStyle w:val="Textpoznpodarou"/>
              <w:jc w:val="both"/>
              <w:rPr>
                <w:color w:val="000000"/>
              </w:rPr>
            </w:pPr>
            <w:r>
              <w:rPr>
                <w:color w:val="000000"/>
              </w:rPr>
              <w:t>Ne všechny odlivy vlastnických důchodů ze sektoru nefinančních podniků musí skončit v zahraničí (u nerezidentů). Pořadí zemí</w:t>
            </w:r>
            <w:r w:rsidR="004F146A">
              <w:rPr>
                <w:color w:val="000000"/>
              </w:rPr>
              <w:t xml:space="preserve"> se významně promění, pokud budeme</w:t>
            </w:r>
            <w:r>
              <w:rPr>
                <w:color w:val="000000"/>
              </w:rPr>
              <w:t xml:space="preserve"> sledovat saldo vlastnických </w:t>
            </w:r>
            <w:r w:rsidR="00B60C8D">
              <w:rPr>
                <w:color w:val="000000"/>
              </w:rPr>
              <w:t xml:space="preserve">důchodů </w:t>
            </w:r>
            <w:r>
              <w:rPr>
                <w:color w:val="000000"/>
              </w:rPr>
              <w:t>za celé národní hos</w:t>
            </w:r>
            <w:r w:rsidR="00B27737">
              <w:rPr>
                <w:color w:val="000000"/>
              </w:rPr>
              <w:t>podářství (resp. na účtu nerezi</w:t>
            </w:r>
            <w:r>
              <w:rPr>
                <w:color w:val="000000"/>
              </w:rPr>
              <w:t>de</w:t>
            </w:r>
            <w:r w:rsidR="00B27737">
              <w:rPr>
                <w:color w:val="000000"/>
              </w:rPr>
              <w:t>n</w:t>
            </w:r>
            <w:r>
              <w:rPr>
                <w:color w:val="000000"/>
              </w:rPr>
              <w:t>tů), do kterého ve většině zemí EU rozhodující měrou promlouvají právě nefinanční podniky (menší měrou i finanční instituce). Mezi státy s největším čistým „odtokem“ vlastnických důchodů</w:t>
            </w:r>
            <w:r w:rsidR="00E20525">
              <w:rPr>
                <w:color w:val="000000"/>
              </w:rPr>
              <w:t xml:space="preserve"> (v relaci k vytvořenému čistému provoznímu přebytku)</w:t>
            </w:r>
            <w:r>
              <w:rPr>
                <w:color w:val="000000"/>
              </w:rPr>
              <w:t xml:space="preserve"> patří zejména ekonomik</w:t>
            </w:r>
            <w:r w:rsidR="00E20525">
              <w:rPr>
                <w:color w:val="000000"/>
              </w:rPr>
              <w:t>y</w:t>
            </w:r>
            <w:r>
              <w:rPr>
                <w:color w:val="000000"/>
              </w:rPr>
              <w:t xml:space="preserve"> střední a východní Evropy, Česku patří třetí místo po Maďarsku a Irsku. Naopak nejvyspělejší státy Evropy z vlastnických důchodů profitují, vedle Švýcarska jde především o severské státy, Německo či Nizozemsko.   </w:t>
            </w:r>
          </w:p>
        </w:tc>
      </w:tr>
    </w:tbl>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p w:rsidR="00A872CE" w:rsidRDefault="00A872CE" w:rsidP="00A872CE">
      <w:pPr>
        <w:pStyle w:val="Textpoznpodarou"/>
        <w:jc w:val="both"/>
        <w:rPr>
          <w:sz w:val="16"/>
          <w:szCs w:val="16"/>
        </w:rPr>
      </w:pPr>
    </w:p>
    <w:tbl>
      <w:tblPr>
        <w:tblW w:w="5007" w:type="pct"/>
        <w:tblLayout w:type="fixed"/>
        <w:tblCellMar>
          <w:left w:w="28" w:type="dxa"/>
          <w:right w:w="28" w:type="dxa"/>
        </w:tblCellMar>
        <w:tblLook w:val="04A0"/>
      </w:tblPr>
      <w:tblGrid>
        <w:gridCol w:w="594"/>
        <w:gridCol w:w="4293"/>
        <w:gridCol w:w="670"/>
        <w:gridCol w:w="4151"/>
      </w:tblGrid>
      <w:tr w:rsidR="00A872CE" w:rsidTr="00A872CE">
        <w:tc>
          <w:tcPr>
            <w:tcW w:w="306" w:type="pct"/>
          </w:tcPr>
          <w:p w:rsidR="00A872CE" w:rsidRPr="0002540B" w:rsidRDefault="00A872CE" w:rsidP="00A872CE">
            <w:pPr>
              <w:pStyle w:val="Textpoznpodarou"/>
              <w:rPr>
                <w:lang w:eastAsia="en-US"/>
              </w:rPr>
            </w:pPr>
            <w:r>
              <w:rPr>
                <w:lang w:eastAsia="en-US"/>
              </w:rPr>
              <w:lastRenderedPageBreak/>
              <w:t>Graf</w:t>
            </w:r>
            <w:r w:rsidR="001E561F">
              <w:rPr>
                <w:lang w:eastAsia="en-US"/>
              </w:rPr>
              <w:t xml:space="preserve"> č. 10</w:t>
            </w:r>
          </w:p>
        </w:tc>
        <w:tc>
          <w:tcPr>
            <w:tcW w:w="2211" w:type="pct"/>
          </w:tcPr>
          <w:p w:rsidR="00A872CE" w:rsidRPr="0002540B" w:rsidRDefault="00A872CE" w:rsidP="00A872CE">
            <w:pPr>
              <w:pStyle w:val="Textpoznpodarou"/>
              <w:rPr>
                <w:lang w:eastAsia="en-US"/>
              </w:rPr>
            </w:pPr>
            <w:r>
              <w:rPr>
                <w:b/>
                <w:lang w:eastAsia="en-US"/>
              </w:rPr>
              <w:t>Míra hrubých investic (v %) v nefinančních podnicích a ostatních institucionálních sektorech ekonomiky ČR</w:t>
            </w:r>
          </w:p>
        </w:tc>
        <w:tc>
          <w:tcPr>
            <w:tcW w:w="345" w:type="pct"/>
          </w:tcPr>
          <w:p w:rsidR="00A872CE" w:rsidRDefault="00A872CE" w:rsidP="001E561F">
            <w:pPr>
              <w:spacing w:line="240" w:lineRule="auto"/>
            </w:pPr>
            <w:r>
              <w:rPr>
                <w:lang w:eastAsia="en-US"/>
              </w:rPr>
              <w:t>Graf</w:t>
            </w:r>
            <w:r w:rsidR="001E561F">
              <w:rPr>
                <w:lang w:eastAsia="en-US"/>
              </w:rPr>
              <w:t xml:space="preserve"> č. 11</w:t>
            </w:r>
          </w:p>
        </w:tc>
        <w:tc>
          <w:tcPr>
            <w:tcW w:w="2138" w:type="pct"/>
          </w:tcPr>
          <w:p w:rsidR="00A872CE" w:rsidRPr="007D366F" w:rsidRDefault="00A872CE" w:rsidP="00A872CE">
            <w:pPr>
              <w:spacing w:line="240" w:lineRule="auto"/>
              <w:rPr>
                <w:rFonts w:cs="Arial"/>
                <w:bCs/>
              </w:rPr>
            </w:pPr>
            <w:r>
              <w:rPr>
                <w:b/>
                <w:lang w:eastAsia="en-US"/>
              </w:rPr>
              <w:t xml:space="preserve">Míra hrubých investic </w:t>
            </w:r>
            <w:r w:rsidRPr="00306660">
              <w:rPr>
                <w:lang w:eastAsia="en-US"/>
              </w:rPr>
              <w:t>(v %)</w:t>
            </w:r>
            <w:r>
              <w:rPr>
                <w:b/>
                <w:lang w:eastAsia="en-US"/>
              </w:rPr>
              <w:t xml:space="preserve"> v nefinančních podnicích ve vybraných evropských zemích</w:t>
            </w:r>
            <w:r w:rsidR="008E517B">
              <w:rPr>
                <w:b/>
                <w:lang w:eastAsia="en-US"/>
              </w:rPr>
              <w:t>*</w:t>
            </w:r>
          </w:p>
        </w:tc>
      </w:tr>
      <w:tr w:rsidR="00A872CE" w:rsidTr="00A872CE">
        <w:tc>
          <w:tcPr>
            <w:tcW w:w="2517" w:type="pct"/>
            <w:gridSpan w:val="2"/>
          </w:tcPr>
          <w:p w:rsidR="00A872CE" w:rsidRDefault="002A2083" w:rsidP="00A872CE">
            <w:pPr>
              <w:pStyle w:val="Textpoznpodarou"/>
              <w:jc w:val="both"/>
            </w:pPr>
            <w:r>
              <w:pict>
                <v:shape id="_x0000_i1059" type="#_x0000_t75" style="width:240.75pt;height:203.25pt">
                  <v:imagedata r:id="rId47" o:title=""/>
                </v:shape>
              </w:pict>
            </w:r>
          </w:p>
        </w:tc>
        <w:tc>
          <w:tcPr>
            <w:tcW w:w="2483" w:type="pct"/>
            <w:gridSpan w:val="2"/>
          </w:tcPr>
          <w:p w:rsidR="00A872CE" w:rsidRDefault="002A2083" w:rsidP="00A872CE">
            <w:pPr>
              <w:pStyle w:val="Textpoznpodarou"/>
              <w:jc w:val="both"/>
            </w:pPr>
            <w:r>
              <w:pict>
                <v:shape id="_x0000_i1060" type="#_x0000_t75" style="width:237.75pt;height:204pt">
                  <v:imagedata r:id="rId48" o:title=""/>
                </v:shape>
              </w:pict>
            </w:r>
          </w:p>
        </w:tc>
      </w:tr>
      <w:tr w:rsidR="00A872CE" w:rsidTr="00A872CE">
        <w:tc>
          <w:tcPr>
            <w:tcW w:w="2517" w:type="pct"/>
            <w:gridSpan w:val="2"/>
          </w:tcPr>
          <w:p w:rsidR="00A872CE" w:rsidRDefault="00A872CE" w:rsidP="00A872CE">
            <w:pPr>
              <w:pStyle w:val="Textpoznpodarou"/>
              <w:rPr>
                <w:sz w:val="18"/>
                <w:szCs w:val="18"/>
                <w:lang w:eastAsia="en-US"/>
              </w:rPr>
            </w:pPr>
            <w:r>
              <w:rPr>
                <w:sz w:val="18"/>
                <w:szCs w:val="18"/>
                <w:lang w:eastAsia="en-US"/>
              </w:rPr>
              <w:t>*</w:t>
            </w:r>
            <w:r w:rsidR="0062002F">
              <w:rPr>
                <w:sz w:val="18"/>
                <w:szCs w:val="18"/>
                <w:lang w:eastAsia="en-US"/>
              </w:rPr>
              <w:t xml:space="preserve">Pozn.: </w:t>
            </w:r>
            <w:r>
              <w:rPr>
                <w:sz w:val="18"/>
                <w:szCs w:val="18"/>
                <w:lang w:eastAsia="en-US"/>
              </w:rPr>
              <w:t>sloužící domácnostem</w:t>
            </w:r>
          </w:p>
          <w:p w:rsidR="00A872CE" w:rsidRPr="0020709F" w:rsidRDefault="00A872CE" w:rsidP="0016560B">
            <w:pPr>
              <w:pStyle w:val="Textpoznpodarou"/>
              <w:jc w:val="right"/>
              <w:rPr>
                <w:sz w:val="16"/>
                <w:szCs w:val="16"/>
              </w:rPr>
            </w:pPr>
            <w:r>
              <w:rPr>
                <w:sz w:val="18"/>
                <w:szCs w:val="18"/>
                <w:lang w:eastAsia="en-US"/>
              </w:rPr>
              <w:t>Zdroj: ČSÚ</w:t>
            </w:r>
            <w:r w:rsidR="0016560B">
              <w:rPr>
                <w:sz w:val="18"/>
                <w:szCs w:val="18"/>
                <w:lang w:eastAsia="en-US"/>
              </w:rPr>
              <w:t xml:space="preserve"> (národní účty)</w:t>
            </w:r>
            <w:r>
              <w:rPr>
                <w:sz w:val="18"/>
                <w:szCs w:val="18"/>
                <w:lang w:eastAsia="en-US"/>
              </w:rPr>
              <w:t xml:space="preserve">, vlastní výpočty </w:t>
            </w:r>
          </w:p>
        </w:tc>
        <w:tc>
          <w:tcPr>
            <w:tcW w:w="2483" w:type="pct"/>
            <w:gridSpan w:val="2"/>
          </w:tcPr>
          <w:p w:rsidR="00A872CE" w:rsidRPr="007D4885" w:rsidRDefault="0062002F" w:rsidP="00A872CE">
            <w:pPr>
              <w:pStyle w:val="Textpoznpodarou"/>
              <w:rPr>
                <w:spacing w:val="-4"/>
                <w:sz w:val="18"/>
                <w:szCs w:val="18"/>
                <w:lang w:eastAsia="en-US"/>
              </w:rPr>
            </w:pPr>
            <w:r w:rsidRPr="007D4885">
              <w:rPr>
                <w:spacing w:val="-4"/>
                <w:sz w:val="18"/>
                <w:szCs w:val="18"/>
                <w:lang w:eastAsia="en-US"/>
              </w:rPr>
              <w:t>*Pozn.: I</w:t>
            </w:r>
            <w:r w:rsidR="007D4885" w:rsidRPr="007D4885">
              <w:rPr>
                <w:spacing w:val="-4"/>
                <w:sz w:val="18"/>
                <w:szCs w:val="18"/>
                <w:lang w:eastAsia="en-US"/>
              </w:rPr>
              <w:t xml:space="preserve">nvesticemi </w:t>
            </w:r>
            <w:r w:rsidR="00A872CE" w:rsidRPr="007D4885">
              <w:rPr>
                <w:spacing w:val="-4"/>
                <w:sz w:val="18"/>
                <w:szCs w:val="18"/>
                <w:lang w:eastAsia="en-US"/>
              </w:rPr>
              <w:t xml:space="preserve">rozumíme tvorbu hrubého fixního kapitálu </w:t>
            </w:r>
          </w:p>
          <w:p w:rsidR="00A872CE" w:rsidRPr="00A10AFE" w:rsidRDefault="00A872CE" w:rsidP="00A872CE">
            <w:pPr>
              <w:pStyle w:val="Textpoznpodarou"/>
              <w:jc w:val="right"/>
              <w:rPr>
                <w:rFonts w:cs="Arial"/>
                <w:sz w:val="18"/>
                <w:szCs w:val="18"/>
              </w:rPr>
            </w:pPr>
            <w:r>
              <w:rPr>
                <w:sz w:val="18"/>
                <w:szCs w:val="18"/>
                <w:lang w:eastAsia="en-US"/>
              </w:rPr>
              <w:t xml:space="preserve">Zdroj: </w:t>
            </w:r>
            <w:proofErr w:type="spellStart"/>
            <w:r>
              <w:rPr>
                <w:sz w:val="18"/>
                <w:szCs w:val="18"/>
                <w:lang w:eastAsia="en-US"/>
              </w:rPr>
              <w:t>Eurostat</w:t>
            </w:r>
            <w:proofErr w:type="spellEnd"/>
            <w:r>
              <w:rPr>
                <w:sz w:val="18"/>
                <w:szCs w:val="18"/>
                <w:lang w:eastAsia="en-US"/>
              </w:rPr>
              <w:t>, vlastní výpočty</w:t>
            </w:r>
          </w:p>
        </w:tc>
      </w:tr>
    </w:tbl>
    <w:p w:rsidR="00A872CE" w:rsidRDefault="00A872CE" w:rsidP="00A872CE">
      <w:pPr>
        <w:pStyle w:val="Textpoznpodarou"/>
        <w:jc w:val="both"/>
        <w:rPr>
          <w:sz w:val="16"/>
          <w:szCs w:val="16"/>
        </w:rPr>
      </w:pPr>
    </w:p>
    <w:tbl>
      <w:tblPr>
        <w:tblW w:w="5000" w:type="pct"/>
        <w:tblCellMar>
          <w:left w:w="28" w:type="dxa"/>
          <w:right w:w="28" w:type="dxa"/>
        </w:tblCellMar>
        <w:tblLook w:val="04A0"/>
      </w:tblPr>
      <w:tblGrid>
        <w:gridCol w:w="2115"/>
        <w:gridCol w:w="283"/>
        <w:gridCol w:w="7296"/>
      </w:tblGrid>
      <w:tr w:rsidR="00A872CE" w:rsidTr="00A872CE">
        <w:tc>
          <w:tcPr>
            <w:tcW w:w="1091" w:type="pct"/>
          </w:tcPr>
          <w:p w:rsidR="00A872CE" w:rsidRDefault="00A872CE" w:rsidP="00A872CE">
            <w:pPr>
              <w:spacing w:line="240" w:lineRule="auto"/>
              <w:rPr>
                <w:color w:val="000000"/>
                <w:sz w:val="16"/>
                <w:szCs w:val="16"/>
              </w:rPr>
            </w:pPr>
            <w:r w:rsidRPr="00A872CE">
              <w:rPr>
                <w:sz w:val="16"/>
                <w:szCs w:val="16"/>
              </w:rPr>
              <w:t>Rozdíly v míře investic různých druhů nefinančních podniků ve stínu významných rozdílů mezi sektory národního hospodářství</w:t>
            </w:r>
          </w:p>
        </w:tc>
        <w:tc>
          <w:tcPr>
            <w:tcW w:w="146" w:type="pct"/>
          </w:tcPr>
          <w:p w:rsidR="00A872CE" w:rsidRDefault="00A872CE" w:rsidP="00A872CE">
            <w:pPr>
              <w:pStyle w:val="Textpoznpodarou"/>
              <w:jc w:val="both"/>
              <w:rPr>
                <w:color w:val="000000"/>
              </w:rPr>
            </w:pPr>
          </w:p>
        </w:tc>
        <w:tc>
          <w:tcPr>
            <w:tcW w:w="3763" w:type="pct"/>
          </w:tcPr>
          <w:p w:rsidR="00A872CE" w:rsidRDefault="00A872CE" w:rsidP="005718E3">
            <w:pPr>
              <w:pStyle w:val="Textpoznpodarou"/>
              <w:jc w:val="both"/>
              <w:rPr>
                <w:color w:val="000000"/>
              </w:rPr>
            </w:pPr>
            <w:r w:rsidRPr="00A872CE">
              <w:t xml:space="preserve">Rozdíly v míře investic mezi různými </w:t>
            </w:r>
            <w:proofErr w:type="spellStart"/>
            <w:r w:rsidR="00B60C8D">
              <w:t>sub</w:t>
            </w:r>
            <w:r w:rsidRPr="00A872CE">
              <w:t>sektory</w:t>
            </w:r>
            <w:proofErr w:type="spellEnd"/>
            <w:r w:rsidRPr="00A872CE">
              <w:t xml:space="preserve"> podniků jsou v ČR dlouhodobě ve stínu mnohem významnějších rozdílů v investiční aktivitě různých sektorů národního hospodářství. Míra investic v podnikové sféře klesla mírně pod úroveň celé ekonomiky pouze v krátkém období, kdy byly nefinanční podniky v ČR nejvíce zasaže</w:t>
            </w:r>
            <w:r w:rsidR="005718E3">
              <w:t>ny dopady recese. Naopak po celá</w:t>
            </w:r>
            <w:r w:rsidRPr="00A872CE">
              <w:t xml:space="preserve"> 90. léta a také polovinu následující dekády patřily k sektorům s nejvyšší investiční aktivitou. Významně k tomu přispěly silný příliv přímých zahraničních investic a také procesy ekonomické integrace. V letech konjunktury dosahoval nejvyšší míry investic vládní sektor, jeho investiční aktivita však byla významně omezena úspornými opatřeními v letech 2010-2012. V roce 2014 však investice vládního sektoru výrazně ožily (i vlivem intenzivního dočerpávání prostředků z rozpočtu EU na konci programovacího období) a opět </w:t>
            </w:r>
            <w:r w:rsidR="005718E3" w:rsidRPr="00A872CE">
              <w:t xml:space="preserve">mírně </w:t>
            </w:r>
            <w:r w:rsidRPr="00A872CE">
              <w:t>předstihly míru investic u nefinančních podniků.</w:t>
            </w:r>
          </w:p>
        </w:tc>
      </w:tr>
    </w:tbl>
    <w:p w:rsidR="00A872CE" w:rsidRDefault="00A872CE" w:rsidP="00A872CE">
      <w:pPr>
        <w:pStyle w:val="Textpoznpodarou"/>
        <w:jc w:val="both"/>
        <w:rPr>
          <w:sz w:val="16"/>
          <w:szCs w:val="16"/>
        </w:rPr>
      </w:pPr>
    </w:p>
    <w:tbl>
      <w:tblPr>
        <w:tblW w:w="5007" w:type="pct"/>
        <w:tblLayout w:type="fixed"/>
        <w:tblCellMar>
          <w:left w:w="28" w:type="dxa"/>
          <w:right w:w="28" w:type="dxa"/>
        </w:tblCellMar>
        <w:tblLook w:val="04A0"/>
      </w:tblPr>
      <w:tblGrid>
        <w:gridCol w:w="594"/>
        <w:gridCol w:w="4293"/>
        <w:gridCol w:w="670"/>
        <w:gridCol w:w="4151"/>
      </w:tblGrid>
      <w:tr w:rsidR="00A872CE" w:rsidTr="00A872CE">
        <w:tc>
          <w:tcPr>
            <w:tcW w:w="306" w:type="pct"/>
          </w:tcPr>
          <w:p w:rsidR="00A872CE" w:rsidRPr="0002540B" w:rsidRDefault="00A872CE" w:rsidP="00A872CE">
            <w:pPr>
              <w:pStyle w:val="Textpoznpodarou"/>
              <w:rPr>
                <w:lang w:eastAsia="en-US"/>
              </w:rPr>
            </w:pPr>
            <w:r>
              <w:rPr>
                <w:lang w:eastAsia="en-US"/>
              </w:rPr>
              <w:t>Graf</w:t>
            </w:r>
            <w:r w:rsidR="001E561F">
              <w:rPr>
                <w:lang w:eastAsia="en-US"/>
              </w:rPr>
              <w:t xml:space="preserve"> č. 12</w:t>
            </w:r>
          </w:p>
        </w:tc>
        <w:tc>
          <w:tcPr>
            <w:tcW w:w="2211" w:type="pct"/>
          </w:tcPr>
          <w:p w:rsidR="00A872CE" w:rsidRDefault="00A872CE" w:rsidP="00A872CE">
            <w:pPr>
              <w:pStyle w:val="Textpoznpodarou"/>
              <w:rPr>
                <w:b/>
                <w:lang w:eastAsia="en-US"/>
              </w:rPr>
            </w:pPr>
            <w:r>
              <w:rPr>
                <w:b/>
                <w:lang w:eastAsia="en-US"/>
              </w:rPr>
              <w:t xml:space="preserve">Míra zadlužení nefinančních podniků </w:t>
            </w:r>
            <w:r>
              <w:rPr>
                <w:b/>
                <w:bCs/>
              </w:rPr>
              <w:t>v ČR</w:t>
            </w:r>
          </w:p>
          <w:p w:rsidR="00A872CE" w:rsidRPr="0002540B" w:rsidRDefault="00A872CE" w:rsidP="00A872CE">
            <w:pPr>
              <w:pStyle w:val="Textpoznpodarou"/>
              <w:rPr>
                <w:lang w:eastAsia="en-US"/>
              </w:rPr>
            </w:pPr>
            <w:r w:rsidRPr="00EF3BAE">
              <w:rPr>
                <w:lang w:eastAsia="en-US"/>
              </w:rPr>
              <w:t>(podíl vybraných závazků</w:t>
            </w:r>
            <w:r>
              <w:rPr>
                <w:lang w:eastAsia="en-US"/>
              </w:rPr>
              <w:t>*</w:t>
            </w:r>
            <w:r w:rsidRPr="00EF3BAE">
              <w:rPr>
                <w:lang w:eastAsia="en-US"/>
              </w:rPr>
              <w:t xml:space="preserve"> na celkových finančních i nefinančních aktivech)</w:t>
            </w:r>
          </w:p>
        </w:tc>
        <w:tc>
          <w:tcPr>
            <w:tcW w:w="345" w:type="pct"/>
          </w:tcPr>
          <w:p w:rsidR="00A872CE" w:rsidRDefault="00A872CE" w:rsidP="001E561F">
            <w:pPr>
              <w:spacing w:line="240" w:lineRule="auto"/>
            </w:pPr>
            <w:r>
              <w:rPr>
                <w:lang w:eastAsia="en-US"/>
              </w:rPr>
              <w:t>Graf</w:t>
            </w:r>
            <w:r w:rsidR="001E561F">
              <w:rPr>
                <w:lang w:eastAsia="en-US"/>
              </w:rPr>
              <w:t xml:space="preserve"> č. 13</w:t>
            </w:r>
          </w:p>
        </w:tc>
        <w:tc>
          <w:tcPr>
            <w:tcW w:w="2138" w:type="pct"/>
          </w:tcPr>
          <w:p w:rsidR="00A872CE" w:rsidRDefault="00A872CE" w:rsidP="00A872CE">
            <w:pPr>
              <w:pStyle w:val="Textpoznpodarou"/>
              <w:rPr>
                <w:b/>
                <w:lang w:eastAsia="en-US"/>
              </w:rPr>
            </w:pPr>
            <w:r>
              <w:rPr>
                <w:b/>
                <w:lang w:eastAsia="en-US"/>
              </w:rPr>
              <w:t xml:space="preserve">Konsolidovaný dluh nefinančních podniků* ve vybraných evropských zemích </w:t>
            </w:r>
          </w:p>
          <w:p w:rsidR="00A872CE" w:rsidRPr="00EF3BAE" w:rsidRDefault="00A872CE" w:rsidP="00A872CE">
            <w:pPr>
              <w:pStyle w:val="Textpoznpodarou"/>
              <w:rPr>
                <w:b/>
                <w:lang w:eastAsia="en-US"/>
              </w:rPr>
            </w:pPr>
            <w:r>
              <w:rPr>
                <w:lang w:eastAsia="en-US"/>
              </w:rPr>
              <w:t>(v %</w:t>
            </w:r>
            <w:r w:rsidRPr="008A4447">
              <w:rPr>
                <w:lang w:eastAsia="en-US"/>
              </w:rPr>
              <w:t xml:space="preserve"> HDP)</w:t>
            </w:r>
          </w:p>
        </w:tc>
      </w:tr>
      <w:tr w:rsidR="00A872CE" w:rsidTr="00A872CE">
        <w:tc>
          <w:tcPr>
            <w:tcW w:w="2517" w:type="pct"/>
            <w:gridSpan w:val="2"/>
          </w:tcPr>
          <w:p w:rsidR="00A872CE" w:rsidRDefault="002A2083" w:rsidP="00A872CE">
            <w:pPr>
              <w:pStyle w:val="Textpoznpodarou"/>
              <w:jc w:val="both"/>
            </w:pPr>
            <w:r>
              <w:pict>
                <v:shape id="_x0000_i1061" type="#_x0000_t75" style="width:240pt;height:200.25pt">
                  <v:imagedata r:id="rId49" o:title=""/>
                </v:shape>
              </w:pict>
            </w:r>
          </w:p>
        </w:tc>
        <w:tc>
          <w:tcPr>
            <w:tcW w:w="2483" w:type="pct"/>
            <w:gridSpan w:val="2"/>
          </w:tcPr>
          <w:p w:rsidR="00A872CE" w:rsidRDefault="002A2083" w:rsidP="00A872CE">
            <w:pPr>
              <w:pStyle w:val="Textpoznpodarou"/>
              <w:jc w:val="both"/>
            </w:pPr>
            <w:r>
              <w:pict>
                <v:shape id="_x0000_i1062" type="#_x0000_t75" style="width:237.75pt;height:200.25pt">
                  <v:imagedata r:id="rId50" o:title=""/>
                </v:shape>
              </w:pict>
            </w:r>
          </w:p>
        </w:tc>
      </w:tr>
      <w:tr w:rsidR="00A872CE" w:rsidTr="00A872CE">
        <w:tc>
          <w:tcPr>
            <w:tcW w:w="5000" w:type="pct"/>
            <w:gridSpan w:val="4"/>
          </w:tcPr>
          <w:p w:rsidR="00A872CE" w:rsidRPr="005378BB" w:rsidRDefault="00A872CE" w:rsidP="005378BB">
            <w:pPr>
              <w:pStyle w:val="Textpoznpodarou"/>
              <w:jc w:val="both"/>
              <w:rPr>
                <w:sz w:val="18"/>
                <w:szCs w:val="18"/>
                <w:lang w:eastAsia="en-US"/>
              </w:rPr>
            </w:pPr>
            <w:r w:rsidRPr="005378BB">
              <w:rPr>
                <w:sz w:val="18"/>
                <w:szCs w:val="18"/>
                <w:lang w:eastAsia="en-US"/>
              </w:rPr>
              <w:t>*</w:t>
            </w:r>
            <w:r w:rsidR="005378BB" w:rsidRPr="005378BB">
              <w:rPr>
                <w:sz w:val="18"/>
                <w:szCs w:val="18"/>
                <w:lang w:eastAsia="en-US"/>
              </w:rPr>
              <w:t>Pozn.: S</w:t>
            </w:r>
            <w:r w:rsidRPr="005378BB">
              <w:rPr>
                <w:sz w:val="18"/>
                <w:szCs w:val="18"/>
                <w:lang w:eastAsia="en-US"/>
              </w:rPr>
              <w:t>oučet vybraných finančních pasív v konečné rozvaze: Dluhové cenné papíry (</w:t>
            </w:r>
            <w:proofErr w:type="gramStart"/>
            <w:r w:rsidRPr="005378BB">
              <w:rPr>
                <w:sz w:val="18"/>
                <w:szCs w:val="18"/>
                <w:lang w:eastAsia="en-US"/>
              </w:rPr>
              <w:t>AF.3),</w:t>
            </w:r>
            <w:r w:rsidR="005378BB" w:rsidRPr="005378BB">
              <w:rPr>
                <w:sz w:val="18"/>
                <w:szCs w:val="18"/>
                <w:lang w:eastAsia="en-US"/>
              </w:rPr>
              <w:t xml:space="preserve"> </w:t>
            </w:r>
            <w:r w:rsidRPr="005378BB">
              <w:rPr>
                <w:sz w:val="18"/>
                <w:szCs w:val="18"/>
                <w:lang w:eastAsia="en-US"/>
              </w:rPr>
              <w:t>Půjčky</w:t>
            </w:r>
            <w:proofErr w:type="gramEnd"/>
            <w:r w:rsidRPr="005378BB">
              <w:rPr>
                <w:sz w:val="18"/>
                <w:szCs w:val="18"/>
                <w:lang w:eastAsia="en-US"/>
              </w:rPr>
              <w:t xml:space="preserve"> (AF.4), Ostatní závazky (AF.8)</w:t>
            </w:r>
          </w:p>
          <w:p w:rsidR="00A872CE" w:rsidRPr="008A4447" w:rsidRDefault="00A872CE" w:rsidP="00403697">
            <w:pPr>
              <w:pStyle w:val="Textpoznpodarou"/>
              <w:jc w:val="right"/>
              <w:rPr>
                <w:sz w:val="16"/>
                <w:szCs w:val="16"/>
              </w:rPr>
            </w:pPr>
            <w:r>
              <w:rPr>
                <w:sz w:val="18"/>
                <w:szCs w:val="18"/>
                <w:lang w:eastAsia="en-US"/>
              </w:rPr>
              <w:t>Zdroj: ČSÚ</w:t>
            </w:r>
            <w:r w:rsidR="00403697">
              <w:rPr>
                <w:sz w:val="18"/>
                <w:szCs w:val="18"/>
                <w:lang w:eastAsia="en-US"/>
              </w:rPr>
              <w:t xml:space="preserve"> (národní účty)</w:t>
            </w:r>
            <w:r>
              <w:rPr>
                <w:sz w:val="18"/>
                <w:szCs w:val="18"/>
                <w:lang w:eastAsia="en-US"/>
              </w:rPr>
              <w:t xml:space="preserve">, vlastní výpočty </w:t>
            </w:r>
          </w:p>
        </w:tc>
      </w:tr>
    </w:tbl>
    <w:p w:rsidR="008B0C8B" w:rsidRDefault="008B0C8B" w:rsidP="00D34225"/>
    <w:p w:rsidR="003E68BC" w:rsidRDefault="003E68BC" w:rsidP="00435D30">
      <w:pPr>
        <w:pStyle w:val="Nadpis1"/>
        <w:numPr>
          <w:ilvl w:val="0"/>
          <w:numId w:val="1"/>
        </w:numPr>
        <w:jc w:val="both"/>
      </w:pPr>
      <w:bookmarkStart w:id="17" w:name="_Toc414264324"/>
      <w:bookmarkStart w:id="18" w:name="_Toc426017660"/>
      <w:r>
        <w:lastRenderedPageBreak/>
        <w:t>Cen</w:t>
      </w:r>
      <w:bookmarkEnd w:id="17"/>
      <w:r>
        <w:t>ový vývoj</w:t>
      </w:r>
      <w:bookmarkEnd w:id="18"/>
    </w:p>
    <w:tbl>
      <w:tblPr>
        <w:tblW w:w="5000" w:type="pct"/>
        <w:tblLayout w:type="fixed"/>
        <w:tblLook w:val="00A0"/>
      </w:tblPr>
      <w:tblGrid>
        <w:gridCol w:w="9854"/>
      </w:tblGrid>
      <w:tr w:rsidR="003E68BC" w:rsidRPr="00CD6F99" w:rsidTr="008C41F7">
        <w:tc>
          <w:tcPr>
            <w:tcW w:w="5000" w:type="pct"/>
          </w:tcPr>
          <w:p w:rsidR="003E68BC" w:rsidRPr="0002083E" w:rsidRDefault="003E68BC" w:rsidP="008C41F7">
            <w:pPr>
              <w:pStyle w:val="Textpoznpodarou"/>
              <w:jc w:val="both"/>
            </w:pPr>
            <w:r w:rsidRPr="0002083E">
              <w:t>Přestože míra inflace v roce 2014 opět zpomalila, růst celkové cenové hladiny zrychlil. Více než v roce 2013 stouply ceny investic, zboží a služby vstupující do spotřeby vládních institucí také podražily výrazněji. Směnné relace v zahraničním ob</w:t>
            </w:r>
            <w:r w:rsidR="00986485">
              <w:t>chodě se zbožím nejenže zůstaly</w:t>
            </w:r>
            <w:r w:rsidRPr="0002083E">
              <w:t xml:space="preserve"> pozitivní, ale zlepšily se více než v roce 2013.</w:t>
            </w:r>
          </w:p>
          <w:p w:rsidR="003E68BC" w:rsidRPr="00CD6F99" w:rsidRDefault="003E68BC" w:rsidP="008C41F7">
            <w:pPr>
              <w:pStyle w:val="Textpoznpodarou"/>
              <w:jc w:val="both"/>
              <w:rPr>
                <w:color w:val="000000" w:themeColor="text1"/>
              </w:rPr>
            </w:pPr>
          </w:p>
        </w:tc>
      </w:tr>
    </w:tbl>
    <w:p w:rsidR="003E68BC" w:rsidRPr="00AD306C" w:rsidRDefault="003E68BC" w:rsidP="008B0C8B">
      <w:pPr>
        <w:pStyle w:val="Nadpis2"/>
        <w:numPr>
          <w:ilvl w:val="1"/>
          <w:numId w:val="5"/>
        </w:numPr>
      </w:pPr>
      <w:bookmarkStart w:id="19" w:name="_Toc426017661"/>
      <w:r>
        <w:t>Celková cenová hladina</w:t>
      </w:r>
      <w:bookmarkEnd w:id="19"/>
    </w:p>
    <w:tbl>
      <w:tblPr>
        <w:tblW w:w="5000" w:type="pct"/>
        <w:tblLayout w:type="fixed"/>
        <w:tblLook w:val="00A0"/>
      </w:tblPr>
      <w:tblGrid>
        <w:gridCol w:w="2077"/>
        <w:gridCol w:w="282"/>
        <w:gridCol w:w="7495"/>
      </w:tblGrid>
      <w:tr w:rsidR="003E68BC" w:rsidRPr="0002083E" w:rsidTr="008C41F7">
        <w:tc>
          <w:tcPr>
            <w:tcW w:w="1054" w:type="pct"/>
          </w:tcPr>
          <w:p w:rsidR="003E68BC" w:rsidRPr="0002083E" w:rsidRDefault="003E68BC" w:rsidP="008C41F7">
            <w:pPr>
              <w:spacing w:line="240" w:lineRule="auto"/>
              <w:rPr>
                <w:sz w:val="16"/>
                <w:szCs w:val="16"/>
              </w:rPr>
            </w:pPr>
            <w:r w:rsidRPr="0002083E">
              <w:rPr>
                <w:sz w:val="16"/>
                <w:szCs w:val="16"/>
              </w:rPr>
              <w:t>Celková cenová hladina v</w:t>
            </w:r>
            <w:r>
              <w:rPr>
                <w:sz w:val="16"/>
                <w:szCs w:val="16"/>
              </w:rPr>
              <w:t> ekonomice</w:t>
            </w:r>
            <w:r w:rsidRPr="0002083E">
              <w:rPr>
                <w:sz w:val="16"/>
                <w:szCs w:val="16"/>
              </w:rPr>
              <w:t xml:space="preserve"> se v roce 2014 zvýšila o</w:t>
            </w:r>
            <w:r>
              <w:rPr>
                <w:sz w:val="16"/>
                <w:szCs w:val="16"/>
              </w:rPr>
              <w:t> 2,5 </w:t>
            </w:r>
            <w:r w:rsidRPr="0002083E">
              <w:rPr>
                <w:sz w:val="16"/>
                <w:szCs w:val="16"/>
              </w:rPr>
              <w:t>%, nejvíce za</w:t>
            </w:r>
            <w:r>
              <w:rPr>
                <w:sz w:val="16"/>
                <w:szCs w:val="16"/>
              </w:rPr>
              <w:t> </w:t>
            </w:r>
            <w:r w:rsidRPr="0002083E">
              <w:rPr>
                <w:sz w:val="16"/>
                <w:szCs w:val="16"/>
              </w:rPr>
              <w:t>posledních pět let</w:t>
            </w:r>
          </w:p>
        </w:tc>
        <w:tc>
          <w:tcPr>
            <w:tcW w:w="143" w:type="pct"/>
          </w:tcPr>
          <w:p w:rsidR="003E68BC" w:rsidRPr="0002083E" w:rsidRDefault="003E68BC" w:rsidP="008C41F7">
            <w:pPr>
              <w:pStyle w:val="Textpoznpodarou"/>
              <w:jc w:val="both"/>
            </w:pPr>
          </w:p>
        </w:tc>
        <w:tc>
          <w:tcPr>
            <w:tcW w:w="3803" w:type="pct"/>
          </w:tcPr>
          <w:p w:rsidR="003E68BC" w:rsidRPr="00C81508" w:rsidRDefault="003E68BC" w:rsidP="008C41F7">
            <w:pPr>
              <w:pStyle w:val="Textpoznpodarou"/>
              <w:jc w:val="both"/>
            </w:pPr>
            <w:r w:rsidRPr="00C81508">
              <w:t>Celková cenová hladina v ekonomice, měřená implicitním deflátorem HDP</w:t>
            </w:r>
            <w:r>
              <w:t xml:space="preserve"> bez sezónního očištění, se</w:t>
            </w:r>
            <w:r w:rsidRPr="00C81508">
              <w:t xml:space="preserve"> v roce 2014</w:t>
            </w:r>
            <w:r>
              <w:t xml:space="preserve"> zvýšila</w:t>
            </w:r>
            <w:r w:rsidRPr="00C81508">
              <w:t xml:space="preserve"> </w:t>
            </w:r>
            <w:r>
              <w:t>již potřetí. Dynamika jejího přírůstku navíc ze</w:t>
            </w:r>
            <w:r w:rsidRPr="00C81508">
              <w:t xml:space="preserve">sílila. Zatímco v letech recese 2012 a 2013 se cenová hladina zvýšila </w:t>
            </w:r>
            <w:r>
              <w:t xml:space="preserve">shodně </w:t>
            </w:r>
            <w:r w:rsidRPr="00C81508">
              <w:t>o</w:t>
            </w:r>
            <w:r>
              <w:t> </w:t>
            </w:r>
            <w:r w:rsidRPr="00C81508">
              <w:t xml:space="preserve">1,4 %, v roce obnoveného růstu české ekonomiky 2014 dokonce o </w:t>
            </w:r>
            <w:r>
              <w:t>2,5 </w:t>
            </w:r>
            <w:r w:rsidRPr="00C81508">
              <w:t>%.</w:t>
            </w:r>
            <w:r>
              <w:t xml:space="preserve"> Za celou dekádu stoupla</w:t>
            </w:r>
            <w:r w:rsidRPr="00C81508">
              <w:t xml:space="preserve"> rychleji jen </w:t>
            </w:r>
            <w:r>
              <w:t>dvakrát</w:t>
            </w:r>
            <w:r w:rsidRPr="00C81508">
              <w:t xml:space="preserve"> (</w:t>
            </w:r>
            <w:r w:rsidR="00CB0414">
              <w:t>v letech</w:t>
            </w:r>
            <w:r>
              <w:t xml:space="preserve"> </w:t>
            </w:r>
            <w:r w:rsidRPr="00C81508">
              <w:t>2007 a 2009).</w:t>
            </w:r>
          </w:p>
          <w:p w:rsidR="003E68BC" w:rsidRPr="0002083E" w:rsidRDefault="003E68BC" w:rsidP="008C41F7">
            <w:pPr>
              <w:pStyle w:val="Textpoznpodarou"/>
              <w:jc w:val="both"/>
              <w:rPr>
                <w:sz w:val="16"/>
                <w:szCs w:val="16"/>
              </w:rPr>
            </w:pPr>
          </w:p>
        </w:tc>
      </w:tr>
      <w:tr w:rsidR="003E68BC" w:rsidRPr="0002083E" w:rsidTr="008C41F7">
        <w:trPr>
          <w:trHeight w:val="1815"/>
        </w:trPr>
        <w:tc>
          <w:tcPr>
            <w:tcW w:w="1054" w:type="pct"/>
          </w:tcPr>
          <w:p w:rsidR="003E68BC" w:rsidRPr="0002083E" w:rsidRDefault="003E68BC" w:rsidP="008C41F7">
            <w:pPr>
              <w:spacing w:line="240" w:lineRule="auto"/>
              <w:rPr>
                <w:sz w:val="16"/>
                <w:szCs w:val="16"/>
              </w:rPr>
            </w:pPr>
            <w:r w:rsidRPr="0002083E">
              <w:rPr>
                <w:sz w:val="16"/>
                <w:szCs w:val="16"/>
              </w:rPr>
              <w:t xml:space="preserve">Zatímco pozitivní směnné relace v zahraničním obchodě se zbožím byly hnací silou růstu </w:t>
            </w:r>
            <w:r>
              <w:rPr>
                <w:sz w:val="16"/>
                <w:szCs w:val="16"/>
              </w:rPr>
              <w:t xml:space="preserve">celkové </w:t>
            </w:r>
            <w:r w:rsidRPr="0002083E">
              <w:rPr>
                <w:sz w:val="16"/>
                <w:szCs w:val="16"/>
              </w:rPr>
              <w:t>cenové hladiny, …</w:t>
            </w:r>
          </w:p>
        </w:tc>
        <w:tc>
          <w:tcPr>
            <w:tcW w:w="143" w:type="pct"/>
          </w:tcPr>
          <w:p w:rsidR="003E68BC" w:rsidRPr="0002083E" w:rsidRDefault="003E68BC" w:rsidP="008C41F7">
            <w:pPr>
              <w:pStyle w:val="Textpoznpodarou"/>
              <w:jc w:val="both"/>
            </w:pPr>
          </w:p>
        </w:tc>
        <w:tc>
          <w:tcPr>
            <w:tcW w:w="3803" w:type="pct"/>
          </w:tcPr>
          <w:p w:rsidR="003E68BC" w:rsidRPr="0002083E" w:rsidRDefault="003E68BC" w:rsidP="008C41F7">
            <w:pPr>
              <w:pStyle w:val="Textpoznpodarou"/>
              <w:jc w:val="both"/>
            </w:pPr>
            <w:r w:rsidRPr="0002083E">
              <w:t>Na růstu celkové cenové hladiny v roce 2014 se podílel, stejně jako v roce předchozím, zejména příznivý vývoj cen v zahraničním obchodě. Směnné relace v úhrnu se zlepšily o 1,5 %, a to výhradně díky vy</w:t>
            </w:r>
            <w:r>
              <w:t>ššímu růstu cen vývozu zboží (+4,0</w:t>
            </w:r>
            <w:r w:rsidRPr="0002083E">
              <w:t xml:space="preserve"> </w:t>
            </w:r>
            <w:r>
              <w:t>%) proti dovozu zboží (+1,9</w:t>
            </w:r>
            <w:r w:rsidRPr="0002083E">
              <w:t xml:space="preserve"> %). V samotném zahraničním obchodě se službami se směnné relace vlivem menšího nárůstu cen vývozu (+</w:t>
            </w:r>
            <w:r>
              <w:t>4,7</w:t>
            </w:r>
            <w:r w:rsidRPr="0002083E">
              <w:t xml:space="preserve"> %) v porovnání s přírůstkem cen dovozu</w:t>
            </w:r>
            <w:r>
              <w:t xml:space="preserve"> (+6,9</w:t>
            </w:r>
            <w:r w:rsidRPr="0002083E">
              <w:t xml:space="preserve"> %) zhoršily (zahraniční obchod se službami tak růst celkové cenové hladiny v ČR brzdil).</w:t>
            </w:r>
          </w:p>
          <w:p w:rsidR="003E68BC" w:rsidRPr="0002083E" w:rsidRDefault="003E68BC" w:rsidP="008C41F7">
            <w:pPr>
              <w:pStyle w:val="Textpoznpodarou"/>
              <w:jc w:val="both"/>
              <w:rPr>
                <w:sz w:val="16"/>
                <w:szCs w:val="16"/>
              </w:rPr>
            </w:pPr>
          </w:p>
        </w:tc>
      </w:tr>
      <w:tr w:rsidR="003E68BC" w:rsidRPr="0002083E" w:rsidTr="008C41F7">
        <w:tc>
          <w:tcPr>
            <w:tcW w:w="1054" w:type="pct"/>
          </w:tcPr>
          <w:p w:rsidR="003E68BC" w:rsidRPr="0002083E" w:rsidRDefault="003E68BC" w:rsidP="008C41F7">
            <w:pPr>
              <w:spacing w:line="240" w:lineRule="auto"/>
              <w:rPr>
                <w:sz w:val="16"/>
                <w:szCs w:val="16"/>
              </w:rPr>
            </w:pPr>
            <w:r w:rsidRPr="0002083E">
              <w:rPr>
                <w:sz w:val="16"/>
                <w:szCs w:val="16"/>
              </w:rPr>
              <w:t>… v zahraničním obchodě se službami se směnné relace dále zhoršovaly</w:t>
            </w:r>
            <w:r>
              <w:rPr>
                <w:sz w:val="16"/>
                <w:szCs w:val="16"/>
              </w:rPr>
              <w:t xml:space="preserve"> a její růst tak brzdily</w:t>
            </w:r>
          </w:p>
        </w:tc>
        <w:tc>
          <w:tcPr>
            <w:tcW w:w="143" w:type="pct"/>
          </w:tcPr>
          <w:p w:rsidR="003E68BC" w:rsidRPr="0002083E" w:rsidRDefault="003E68BC" w:rsidP="008C41F7">
            <w:pPr>
              <w:pStyle w:val="Textpoznpodarou"/>
              <w:jc w:val="both"/>
            </w:pPr>
          </w:p>
        </w:tc>
        <w:tc>
          <w:tcPr>
            <w:tcW w:w="3803" w:type="pct"/>
          </w:tcPr>
          <w:p w:rsidR="003E68BC" w:rsidRPr="0002083E" w:rsidRDefault="003E68BC" w:rsidP="008C41F7">
            <w:pPr>
              <w:pStyle w:val="Textpoznpodarou"/>
              <w:jc w:val="both"/>
              <w:rPr>
                <w:spacing w:val="-4"/>
              </w:rPr>
            </w:pPr>
            <w:r w:rsidRPr="0002083E">
              <w:t>Nepříznivý cenový vývoj v zahraničn</w:t>
            </w:r>
            <w:r w:rsidR="00EA4370">
              <w:t>ím obchodě se službami nebyl</w:t>
            </w:r>
            <w:r w:rsidRPr="0002083E">
              <w:t xml:space="preserve"> ojedinělou záležitostí roku 2014. V zásadě se opakovala situace z předchozích </w:t>
            </w:r>
            <w:r>
              <w:t xml:space="preserve">dvou </w:t>
            </w:r>
            <w:r w:rsidRPr="0002083E">
              <w:t>let. Rozdíl v jednotlivých letech byl ovšem v tom, že „deflační“ tlaky, které ze strany zahraničního obchodu se službami plynuly, postupně sílily. Směnné relace se totiž po jednotlivých letech 2012, 2013 a 2014 zhoršovaly stále výrazněji</w:t>
            </w:r>
            <w:r>
              <w:t>,</w:t>
            </w:r>
            <w:r w:rsidRPr="0002083E">
              <w:t xml:space="preserve"> p</w:t>
            </w:r>
            <w:r>
              <w:t>ostupně o 0,5 %, 1,3</w:t>
            </w:r>
            <w:r w:rsidRPr="0002083E">
              <w:t xml:space="preserve"> % a </w:t>
            </w:r>
            <w:r>
              <w:t>2,1</w:t>
            </w:r>
            <w:r w:rsidRPr="0002083E">
              <w:t> %.</w:t>
            </w:r>
          </w:p>
          <w:p w:rsidR="003E68BC" w:rsidRPr="0002083E" w:rsidRDefault="003E68BC" w:rsidP="008C41F7">
            <w:pPr>
              <w:pStyle w:val="Textpoznpodarou"/>
              <w:jc w:val="both"/>
              <w:rPr>
                <w:sz w:val="16"/>
                <w:szCs w:val="16"/>
              </w:rPr>
            </w:pPr>
          </w:p>
        </w:tc>
      </w:tr>
      <w:tr w:rsidR="003E68BC" w:rsidRPr="0002083E" w:rsidTr="008C41F7">
        <w:tc>
          <w:tcPr>
            <w:tcW w:w="1054" w:type="pct"/>
          </w:tcPr>
          <w:p w:rsidR="003E68BC" w:rsidRPr="00E878D7" w:rsidRDefault="003E68BC" w:rsidP="008C41F7">
            <w:pPr>
              <w:spacing w:line="240" w:lineRule="auto"/>
              <w:rPr>
                <w:sz w:val="16"/>
                <w:szCs w:val="16"/>
              </w:rPr>
            </w:pPr>
            <w:r w:rsidRPr="00E878D7">
              <w:rPr>
                <w:sz w:val="16"/>
                <w:szCs w:val="16"/>
              </w:rPr>
              <w:t>K růstu ce</w:t>
            </w:r>
            <w:r>
              <w:rPr>
                <w:sz w:val="16"/>
                <w:szCs w:val="16"/>
              </w:rPr>
              <w:t>lkové cenové hladiny</w:t>
            </w:r>
            <w:r w:rsidRPr="00E878D7">
              <w:rPr>
                <w:sz w:val="16"/>
                <w:szCs w:val="16"/>
              </w:rPr>
              <w:t xml:space="preserve"> přispěly pozitivně i</w:t>
            </w:r>
            <w:r>
              <w:rPr>
                <w:sz w:val="16"/>
                <w:szCs w:val="16"/>
              </w:rPr>
              <w:t> </w:t>
            </w:r>
            <w:r w:rsidRPr="00E878D7">
              <w:rPr>
                <w:sz w:val="16"/>
                <w:szCs w:val="16"/>
              </w:rPr>
              <w:t>složky domácí poptávky</w:t>
            </w:r>
          </w:p>
        </w:tc>
        <w:tc>
          <w:tcPr>
            <w:tcW w:w="143" w:type="pct"/>
          </w:tcPr>
          <w:p w:rsidR="003E68BC" w:rsidRPr="00D35D5C" w:rsidRDefault="003E68BC" w:rsidP="008C41F7">
            <w:pPr>
              <w:pStyle w:val="Textpoznpodarou"/>
              <w:jc w:val="both"/>
              <w:rPr>
                <w:color w:val="FF0000"/>
              </w:rPr>
            </w:pPr>
          </w:p>
        </w:tc>
        <w:tc>
          <w:tcPr>
            <w:tcW w:w="3803" w:type="pct"/>
          </w:tcPr>
          <w:p w:rsidR="003E68BC" w:rsidRPr="00D35D5C" w:rsidRDefault="003E68BC" w:rsidP="008C41F7">
            <w:pPr>
              <w:pStyle w:val="Textpoznpodarou"/>
              <w:jc w:val="both"/>
              <w:rPr>
                <w:color w:val="FF0000"/>
              </w:rPr>
            </w:pPr>
            <w:r w:rsidRPr="00E878D7">
              <w:t xml:space="preserve">Přestože byl nárůst celkové cenové hladiny v roce 2014 iniciován především příznivým cenovým vývojem v zahraničním obchodě se zbožím, také složky domácí poptávky přispěly ke zvýšení cenové hladiny pozitivně. Výdaje na konečnou spotřebu vládních institucí – kam patří například výdaje na obranu, správu, školství, zdravotnictví atd. – podražily po faktické stagnaci v roce 2013, kdy se zvýšily jen o 0,1 %, </w:t>
            </w:r>
            <w:r>
              <w:t>u</w:t>
            </w:r>
            <w:r w:rsidRPr="00E878D7">
              <w:t>ž o </w:t>
            </w:r>
            <w:r>
              <w:t>1,5</w:t>
            </w:r>
            <w:r w:rsidRPr="00E878D7">
              <w:t xml:space="preserve"> %. Více narostly i ceny investic (tvorba hrubého fixního kapitálu). Jestliže v roce 2013 se zvýšily</w:t>
            </w:r>
            <w:r>
              <w:t xml:space="preserve"> pouze o 0</w:t>
            </w:r>
            <w:r w:rsidRPr="00E878D7">
              <w:t>,1 %, v roce následujícím stouply – především díky zrychlenému růstu cen objemově významných investic do ICT, strojů a zařízení –</w:t>
            </w:r>
            <w:r>
              <w:t xml:space="preserve"> o 1,9</w:t>
            </w:r>
            <w:r w:rsidRPr="00E878D7">
              <w:t xml:space="preserve"> %. K růstu cenové hladiny přispěl</w:t>
            </w:r>
            <w:r>
              <w:t>y</w:t>
            </w:r>
            <w:r w:rsidRPr="00E878D7">
              <w:t xml:space="preserve"> pozitivně také zboží a</w:t>
            </w:r>
            <w:r>
              <w:t xml:space="preserve"> služ</w:t>
            </w:r>
            <w:r w:rsidRPr="00E878D7">
              <w:t>b</w:t>
            </w:r>
            <w:r>
              <w:t>y</w:t>
            </w:r>
            <w:r w:rsidRPr="00E878D7">
              <w:t>, jež nakupují domácnosti, a to i přesto, že přírůstek cen těchto produktů již podruhé zpomalil</w:t>
            </w:r>
            <w:r>
              <w:t xml:space="preserve"> (+2,2</w:t>
            </w:r>
            <w:r w:rsidRPr="00E878D7">
              <w:t xml:space="preserve"> %</w:t>
            </w:r>
            <w:r>
              <w:t xml:space="preserve"> v roce 2012, +0,9 % v roce 2013, +0,5</w:t>
            </w:r>
            <w:r w:rsidRPr="00E878D7">
              <w:t> % v roce 2014).</w:t>
            </w:r>
          </w:p>
        </w:tc>
      </w:tr>
    </w:tbl>
    <w:p w:rsidR="003E68BC" w:rsidRPr="0002083E" w:rsidRDefault="003E68BC" w:rsidP="003E68BC">
      <w:pPr>
        <w:rPr>
          <w:sz w:val="16"/>
          <w:szCs w:val="16"/>
        </w:rPr>
      </w:pPr>
    </w:p>
    <w:tbl>
      <w:tblPr>
        <w:tblW w:w="5000" w:type="pct"/>
        <w:tblLook w:val="04A0"/>
      </w:tblPr>
      <w:tblGrid>
        <w:gridCol w:w="1052"/>
        <w:gridCol w:w="3884"/>
        <w:gridCol w:w="993"/>
        <w:gridCol w:w="3925"/>
      </w:tblGrid>
      <w:tr w:rsidR="003E68BC" w:rsidRPr="0002083E" w:rsidTr="008C41F7">
        <w:tc>
          <w:tcPr>
            <w:tcW w:w="532" w:type="pct"/>
          </w:tcPr>
          <w:p w:rsidR="003E68BC" w:rsidRPr="0002083E" w:rsidRDefault="003E68BC" w:rsidP="008C41F7">
            <w:pPr>
              <w:pStyle w:val="Textpoznpodarou"/>
            </w:pPr>
            <w:r w:rsidRPr="0002083E">
              <w:t>Graf č. 1</w:t>
            </w:r>
          </w:p>
        </w:tc>
        <w:tc>
          <w:tcPr>
            <w:tcW w:w="1967" w:type="pct"/>
          </w:tcPr>
          <w:p w:rsidR="003E68BC" w:rsidRPr="0002083E" w:rsidRDefault="003E68BC" w:rsidP="008C41F7">
            <w:pPr>
              <w:pStyle w:val="Textpoznpodarou"/>
            </w:pPr>
            <w:r w:rsidRPr="0002083E">
              <w:rPr>
                <w:b/>
              </w:rPr>
              <w:t>Implicitní deflátor HDP</w:t>
            </w:r>
            <w:r w:rsidRPr="0002083E">
              <w:t xml:space="preserve"> (y/y v %)</w:t>
            </w:r>
          </w:p>
        </w:tc>
        <w:tc>
          <w:tcPr>
            <w:tcW w:w="504" w:type="pct"/>
          </w:tcPr>
          <w:p w:rsidR="003E68BC" w:rsidRPr="0002083E" w:rsidRDefault="003E68BC" w:rsidP="008C41F7">
            <w:pPr>
              <w:pStyle w:val="Textpoznpodarou"/>
            </w:pPr>
            <w:r w:rsidRPr="0002083E">
              <w:t>Graf č. 2</w:t>
            </w:r>
          </w:p>
        </w:tc>
        <w:tc>
          <w:tcPr>
            <w:tcW w:w="1996" w:type="pct"/>
          </w:tcPr>
          <w:p w:rsidR="003E68BC" w:rsidRPr="0002083E" w:rsidRDefault="003E68BC" w:rsidP="008C41F7">
            <w:pPr>
              <w:pStyle w:val="Textpoznpodarou"/>
            </w:pPr>
            <w:r w:rsidRPr="0002083E">
              <w:rPr>
                <w:b/>
              </w:rPr>
              <w:t xml:space="preserve">Deflátory vybraných složek poptávky </w:t>
            </w:r>
            <w:r w:rsidRPr="0002083E">
              <w:t>(y/y v %)</w:t>
            </w:r>
          </w:p>
        </w:tc>
      </w:tr>
      <w:tr w:rsidR="003E68BC" w:rsidRPr="0056182E" w:rsidTr="008C41F7">
        <w:tc>
          <w:tcPr>
            <w:tcW w:w="2499" w:type="pct"/>
            <w:gridSpan w:val="2"/>
          </w:tcPr>
          <w:p w:rsidR="003E68BC" w:rsidRPr="0056182E" w:rsidRDefault="002A2083" w:rsidP="008C41F7">
            <w:pPr>
              <w:pStyle w:val="Textpoznpodarou"/>
              <w:jc w:val="both"/>
            </w:pPr>
            <w:r>
              <w:rPr>
                <w:noProof/>
              </w:rPr>
              <w:pict>
                <v:shape id="_x0000_i1063" type="#_x0000_t75" style="width:237.75pt;height:186pt;visibility:visible;mso-wrap-style:square">
                  <v:imagedata r:id="rId51" o:title=""/>
                </v:shape>
              </w:pict>
            </w:r>
          </w:p>
        </w:tc>
        <w:tc>
          <w:tcPr>
            <w:tcW w:w="2501" w:type="pct"/>
            <w:gridSpan w:val="2"/>
          </w:tcPr>
          <w:p w:rsidR="003E68BC" w:rsidRPr="0056182E" w:rsidRDefault="002A2083" w:rsidP="008C41F7">
            <w:pPr>
              <w:pStyle w:val="Textpoznpodarou"/>
              <w:jc w:val="both"/>
            </w:pPr>
            <w:r>
              <w:rPr>
                <w:noProof/>
              </w:rPr>
              <w:pict>
                <v:shape id="_x0000_i1064" type="#_x0000_t75" style="width:237pt;height:186pt;visibility:visible;mso-wrap-style:square">
                  <v:imagedata r:id="rId52" o:title=""/>
                </v:shape>
              </w:pict>
            </w:r>
          </w:p>
        </w:tc>
      </w:tr>
      <w:tr w:rsidR="003E68BC" w:rsidRPr="0002083E" w:rsidTr="008C41F7">
        <w:tc>
          <w:tcPr>
            <w:tcW w:w="5000" w:type="pct"/>
            <w:gridSpan w:val="4"/>
          </w:tcPr>
          <w:p w:rsidR="003E68BC" w:rsidRPr="0002083E" w:rsidRDefault="003E68BC" w:rsidP="008C41F7">
            <w:pPr>
              <w:pStyle w:val="Textpoznpodarou"/>
              <w:jc w:val="right"/>
              <w:rPr>
                <w:noProof/>
              </w:rPr>
            </w:pPr>
            <w:r w:rsidRPr="0002083E">
              <w:rPr>
                <w:sz w:val="18"/>
                <w:szCs w:val="18"/>
              </w:rPr>
              <w:t>Zdroj: ČSÚ, vlastní výpočty</w:t>
            </w:r>
          </w:p>
        </w:tc>
      </w:tr>
    </w:tbl>
    <w:p w:rsidR="003E68BC" w:rsidRPr="00AD306C" w:rsidRDefault="003E68BC" w:rsidP="008B0C8B">
      <w:pPr>
        <w:pStyle w:val="Nadpis2"/>
        <w:numPr>
          <w:ilvl w:val="1"/>
          <w:numId w:val="5"/>
        </w:numPr>
      </w:pPr>
      <w:bookmarkStart w:id="20" w:name="_Toc426017662"/>
      <w:r>
        <w:lastRenderedPageBreak/>
        <w:t>Ceny pro spotřebitele</w:t>
      </w:r>
      <w:bookmarkEnd w:id="20"/>
    </w:p>
    <w:tbl>
      <w:tblPr>
        <w:tblW w:w="5000" w:type="pct"/>
        <w:tblLayout w:type="fixed"/>
        <w:tblLook w:val="00A0"/>
      </w:tblPr>
      <w:tblGrid>
        <w:gridCol w:w="2077"/>
        <w:gridCol w:w="282"/>
        <w:gridCol w:w="7495"/>
      </w:tblGrid>
      <w:tr w:rsidR="003E68BC" w:rsidRPr="0002083E" w:rsidTr="008C41F7">
        <w:tc>
          <w:tcPr>
            <w:tcW w:w="1054" w:type="pct"/>
          </w:tcPr>
          <w:p w:rsidR="003E68BC" w:rsidRPr="0002083E" w:rsidRDefault="003E68BC" w:rsidP="008C41F7">
            <w:pPr>
              <w:spacing w:line="240" w:lineRule="auto"/>
              <w:rPr>
                <w:sz w:val="16"/>
                <w:szCs w:val="16"/>
              </w:rPr>
            </w:pPr>
            <w:r w:rsidRPr="0002083E">
              <w:rPr>
                <w:sz w:val="16"/>
                <w:szCs w:val="16"/>
              </w:rPr>
              <w:t>Navzdory uvolněným měnovým podmínkám klesla míra inflace v ČR v roce 2014 na pouhá 0,4 %, …</w:t>
            </w:r>
          </w:p>
        </w:tc>
        <w:tc>
          <w:tcPr>
            <w:tcW w:w="143" w:type="pct"/>
          </w:tcPr>
          <w:p w:rsidR="003E68BC" w:rsidRPr="0002083E" w:rsidRDefault="003E68BC" w:rsidP="008C41F7">
            <w:pPr>
              <w:pStyle w:val="Textpoznpodarou"/>
              <w:jc w:val="both"/>
            </w:pPr>
          </w:p>
        </w:tc>
        <w:tc>
          <w:tcPr>
            <w:tcW w:w="3803" w:type="pct"/>
          </w:tcPr>
          <w:p w:rsidR="003E68BC" w:rsidRPr="0002083E" w:rsidRDefault="003E68BC" w:rsidP="008C41F7">
            <w:pPr>
              <w:pStyle w:val="Textpoznpodarou"/>
              <w:jc w:val="both"/>
            </w:pPr>
            <w:r w:rsidRPr="0002083E">
              <w:t>Míra inflace v roce 2014 klesla na pouhá 0,4 %. S výjimkou roku 2003, kdy ceny pro spotřebitele prakticky stagnovaly (+0,1 %), byla vůbec nejnižší za dobu existence samostatné České republiky. Přestože Česká národní banka (ČNB) s dezinflací – která započala už v první polovině roku 2012 – bojovala setrvalým uvolňováním měnových podmínek</w:t>
            </w:r>
            <w:r w:rsidR="00D30788">
              <w:t>,</w:t>
            </w:r>
            <w:r w:rsidRPr="0002083E">
              <w:rPr>
                <w:rStyle w:val="Znakapoznpodarou"/>
              </w:rPr>
              <w:footnoteReference w:id="6"/>
            </w:r>
            <w:r w:rsidRPr="0002083E">
              <w:t xml:space="preserve"> nedařilo se jí tento trend zvrátit. Již druhým rokem tak míra inflace nabývala hodnoty, která byla z hlediska naplňování cíle ČNB – jenž je definovaný do podoby meziročního růstu spotřebitelských cen na úrovni 2 % – nedostatečná (v roce 2013 ceny pro spotřebitele vzrostly o 1,4 %).</w:t>
            </w:r>
          </w:p>
          <w:p w:rsidR="003E68BC" w:rsidRPr="00803424" w:rsidRDefault="003E68BC" w:rsidP="008C41F7">
            <w:pPr>
              <w:pStyle w:val="Textpoznpodarou"/>
              <w:jc w:val="both"/>
            </w:pPr>
          </w:p>
        </w:tc>
      </w:tr>
      <w:tr w:rsidR="003E68BC" w:rsidRPr="0002083E" w:rsidTr="008C41F7">
        <w:tc>
          <w:tcPr>
            <w:tcW w:w="1054" w:type="pct"/>
          </w:tcPr>
          <w:p w:rsidR="003E68BC" w:rsidRPr="0002083E" w:rsidRDefault="003E68BC" w:rsidP="008C41F7">
            <w:pPr>
              <w:spacing w:line="240" w:lineRule="auto"/>
              <w:rPr>
                <w:sz w:val="16"/>
                <w:szCs w:val="16"/>
              </w:rPr>
            </w:pPr>
            <w:r w:rsidRPr="0002083E">
              <w:rPr>
                <w:sz w:val="16"/>
                <w:szCs w:val="16"/>
              </w:rPr>
              <w:t xml:space="preserve">…příčinou nízkého růstu cen pro spotřebitele byla souhra několika faktorů. Zejména se jednalo o nepříznivý </w:t>
            </w:r>
            <w:r>
              <w:rPr>
                <w:sz w:val="16"/>
                <w:szCs w:val="16"/>
              </w:rPr>
              <w:t>cenový vývoj v </w:t>
            </w:r>
            <w:proofErr w:type="spellStart"/>
            <w:r>
              <w:rPr>
                <w:sz w:val="16"/>
                <w:szCs w:val="16"/>
              </w:rPr>
              <w:t>eurozóně</w:t>
            </w:r>
            <w:proofErr w:type="spellEnd"/>
            <w:r w:rsidRPr="0002083E">
              <w:rPr>
                <w:sz w:val="16"/>
                <w:szCs w:val="16"/>
              </w:rPr>
              <w:t>, pokles cen energií, dobrou úrodu zemědělských plodin a napjatou politickou situaci v Evropě</w:t>
            </w:r>
          </w:p>
        </w:tc>
        <w:tc>
          <w:tcPr>
            <w:tcW w:w="143" w:type="pct"/>
          </w:tcPr>
          <w:p w:rsidR="003E68BC" w:rsidRPr="0002083E" w:rsidRDefault="003E68BC" w:rsidP="008C41F7">
            <w:pPr>
              <w:pStyle w:val="Textpoznpodarou"/>
              <w:jc w:val="both"/>
            </w:pPr>
          </w:p>
        </w:tc>
        <w:tc>
          <w:tcPr>
            <w:tcW w:w="3803" w:type="pct"/>
          </w:tcPr>
          <w:p w:rsidR="003E68BC" w:rsidRPr="00FB3570" w:rsidRDefault="003E68BC" w:rsidP="008C41F7">
            <w:pPr>
              <w:pStyle w:val="Textpoznpodarou"/>
              <w:jc w:val="both"/>
            </w:pPr>
            <w:r w:rsidRPr="00FB3570">
              <w:t>Za velmi nízkým růstem cen pro spotřebitele v roce 2014 stál především nepříznivý cenový vývoj v</w:t>
            </w:r>
            <w:r>
              <w:t> </w:t>
            </w:r>
            <w:proofErr w:type="spellStart"/>
            <w:r>
              <w:t>eurozóně</w:t>
            </w:r>
            <w:proofErr w:type="spellEnd"/>
            <w:r w:rsidRPr="00FB3570">
              <w:t>, který</w:t>
            </w:r>
            <w:r w:rsidR="0027227B">
              <w:t xml:space="preserve"> se</w:t>
            </w:r>
            <w:r w:rsidRPr="00FB3570">
              <w:t xml:space="preserve"> do nadprůměrně otevřené české ekonomiky prolínal skrze ceny dovozu. Kromě toho se na nízké inflaci v roce 2014 podepsalo i zlevnění energií domácnostem (elektřiny a plynu), dále velmi dobrá úroda zemědělských plodin, jež vedla k relativně nízkému nárůstu cen potravin, ale také napjatá politická situace v Evropě – uvalené restrikce na zahraniční obchod zvyšovaly nabídku dotčených produktů trhu, což se promítalo do tlaku na pokles jejich cen. </w:t>
            </w:r>
            <w:r w:rsidR="002601FC">
              <w:t>Kurzová intervence ČNB (jež vedla primárně k výraznému oslabení české koruny k euru)</w:t>
            </w:r>
            <w:r w:rsidRPr="00FB3570">
              <w:t xml:space="preserve"> a nadále narůstající domácí poptávka nepříznivý cenový vývoj v ČR pouze tlumily, zvrátit jej však nedokázaly.</w:t>
            </w:r>
          </w:p>
          <w:p w:rsidR="003E68BC" w:rsidRPr="00803424" w:rsidRDefault="003E68BC" w:rsidP="008C41F7">
            <w:pPr>
              <w:pStyle w:val="Textpoznpodarou"/>
              <w:jc w:val="both"/>
            </w:pPr>
          </w:p>
        </w:tc>
      </w:tr>
      <w:tr w:rsidR="003E68BC" w:rsidRPr="0002083E" w:rsidTr="008C41F7">
        <w:trPr>
          <w:trHeight w:val="3210"/>
        </w:trPr>
        <w:tc>
          <w:tcPr>
            <w:tcW w:w="1054" w:type="pct"/>
          </w:tcPr>
          <w:p w:rsidR="003E68BC" w:rsidRPr="0002083E" w:rsidRDefault="003E68BC" w:rsidP="008C41F7">
            <w:pPr>
              <w:spacing w:line="240" w:lineRule="auto"/>
              <w:rPr>
                <w:sz w:val="16"/>
                <w:szCs w:val="16"/>
              </w:rPr>
            </w:pPr>
            <w:r w:rsidRPr="0002083E">
              <w:rPr>
                <w:sz w:val="16"/>
                <w:szCs w:val="16"/>
              </w:rPr>
              <w:t xml:space="preserve">Dostupné údaje poukazují na to, že </w:t>
            </w:r>
            <w:r>
              <w:rPr>
                <w:sz w:val="16"/>
                <w:szCs w:val="16"/>
              </w:rPr>
              <w:t xml:space="preserve">míra </w:t>
            </w:r>
            <w:r w:rsidRPr="0002083E">
              <w:rPr>
                <w:sz w:val="16"/>
                <w:szCs w:val="16"/>
              </w:rPr>
              <w:t>inflace bude nízká i v roce 2015, …</w:t>
            </w:r>
          </w:p>
          <w:p w:rsidR="003E68BC" w:rsidRPr="002C3E63" w:rsidRDefault="003E68BC" w:rsidP="008C41F7">
            <w:pPr>
              <w:spacing w:line="240" w:lineRule="auto"/>
              <w:rPr>
                <w:sz w:val="18"/>
                <w:szCs w:val="18"/>
              </w:rPr>
            </w:pPr>
          </w:p>
          <w:p w:rsidR="003E68BC" w:rsidRPr="002C3E63" w:rsidRDefault="003E68BC" w:rsidP="008C41F7">
            <w:pPr>
              <w:spacing w:line="240" w:lineRule="auto"/>
              <w:rPr>
                <w:sz w:val="18"/>
                <w:szCs w:val="18"/>
              </w:rPr>
            </w:pPr>
          </w:p>
          <w:p w:rsidR="003E68BC" w:rsidRPr="002C3E63" w:rsidRDefault="003E68BC" w:rsidP="008C41F7">
            <w:pPr>
              <w:spacing w:line="240" w:lineRule="auto"/>
              <w:rPr>
                <w:sz w:val="18"/>
                <w:szCs w:val="18"/>
              </w:rPr>
            </w:pPr>
          </w:p>
          <w:p w:rsidR="003E68BC" w:rsidRPr="002C3E63" w:rsidRDefault="003E68BC" w:rsidP="008C41F7">
            <w:pPr>
              <w:spacing w:line="240" w:lineRule="auto"/>
              <w:rPr>
                <w:sz w:val="18"/>
                <w:szCs w:val="18"/>
              </w:rPr>
            </w:pPr>
          </w:p>
          <w:p w:rsidR="003E68BC" w:rsidRPr="00803424" w:rsidRDefault="003E68BC" w:rsidP="008C41F7">
            <w:pPr>
              <w:spacing w:line="240" w:lineRule="auto"/>
              <w:rPr>
                <w:sz w:val="22"/>
                <w:szCs w:val="22"/>
              </w:rPr>
            </w:pPr>
          </w:p>
          <w:p w:rsidR="003E68BC" w:rsidRPr="002C3E63" w:rsidRDefault="003E68BC" w:rsidP="008C41F7">
            <w:pPr>
              <w:spacing w:line="240" w:lineRule="auto"/>
              <w:rPr>
                <w:sz w:val="18"/>
                <w:szCs w:val="18"/>
              </w:rPr>
            </w:pPr>
          </w:p>
          <w:p w:rsidR="003E68BC" w:rsidRPr="002C3E63" w:rsidRDefault="003E68BC" w:rsidP="008C41F7">
            <w:pPr>
              <w:spacing w:line="240" w:lineRule="auto"/>
              <w:rPr>
                <w:sz w:val="18"/>
                <w:szCs w:val="18"/>
              </w:rPr>
            </w:pPr>
          </w:p>
          <w:p w:rsidR="003E68BC" w:rsidRPr="002C3E63" w:rsidRDefault="003E68BC" w:rsidP="008C41F7">
            <w:pPr>
              <w:spacing w:line="240" w:lineRule="auto"/>
              <w:rPr>
                <w:szCs w:val="20"/>
              </w:rPr>
            </w:pPr>
          </w:p>
          <w:p w:rsidR="003E68BC" w:rsidRPr="002C3E63" w:rsidRDefault="003E68BC" w:rsidP="008C41F7">
            <w:pPr>
              <w:spacing w:line="240" w:lineRule="auto"/>
              <w:rPr>
                <w:szCs w:val="20"/>
              </w:rPr>
            </w:pPr>
          </w:p>
          <w:p w:rsidR="003E68BC" w:rsidRPr="002C3E63" w:rsidRDefault="003E68BC" w:rsidP="008C41F7">
            <w:pPr>
              <w:spacing w:line="240" w:lineRule="auto"/>
              <w:rPr>
                <w:szCs w:val="20"/>
              </w:rPr>
            </w:pPr>
          </w:p>
          <w:p w:rsidR="003E68BC" w:rsidRPr="0002083E" w:rsidRDefault="003E68BC" w:rsidP="008C41F7">
            <w:pPr>
              <w:spacing w:line="240" w:lineRule="auto"/>
              <w:rPr>
                <w:sz w:val="16"/>
                <w:szCs w:val="16"/>
              </w:rPr>
            </w:pPr>
            <w:r>
              <w:rPr>
                <w:sz w:val="16"/>
                <w:szCs w:val="16"/>
              </w:rPr>
              <w:t>… v úhrnu za prvních šest měsíců</w:t>
            </w:r>
            <w:r w:rsidRPr="0002083E">
              <w:rPr>
                <w:sz w:val="16"/>
                <w:szCs w:val="16"/>
              </w:rPr>
              <w:t xml:space="preserve"> roku ceny pro spotřebitele vzrostly meziročně </w:t>
            </w:r>
            <w:r>
              <w:rPr>
                <w:sz w:val="16"/>
                <w:szCs w:val="16"/>
              </w:rPr>
              <w:t xml:space="preserve">jen </w:t>
            </w:r>
            <w:r w:rsidRPr="0002083E">
              <w:rPr>
                <w:sz w:val="16"/>
                <w:szCs w:val="16"/>
              </w:rPr>
              <w:t>o</w:t>
            </w:r>
            <w:r>
              <w:rPr>
                <w:sz w:val="16"/>
                <w:szCs w:val="16"/>
              </w:rPr>
              <w:t xml:space="preserve"> 0,4</w:t>
            </w:r>
            <w:r w:rsidRPr="0002083E">
              <w:rPr>
                <w:sz w:val="16"/>
                <w:szCs w:val="16"/>
              </w:rPr>
              <w:t> %</w:t>
            </w:r>
          </w:p>
        </w:tc>
        <w:tc>
          <w:tcPr>
            <w:tcW w:w="143" w:type="pct"/>
          </w:tcPr>
          <w:p w:rsidR="003E68BC" w:rsidRPr="0002083E" w:rsidRDefault="003E68BC" w:rsidP="008C41F7">
            <w:pPr>
              <w:pStyle w:val="Textpoznpodarou"/>
              <w:jc w:val="both"/>
            </w:pPr>
          </w:p>
        </w:tc>
        <w:tc>
          <w:tcPr>
            <w:tcW w:w="3803" w:type="pct"/>
          </w:tcPr>
          <w:p w:rsidR="003E68BC" w:rsidRPr="00AC2D83" w:rsidRDefault="003E68BC" w:rsidP="008C41F7">
            <w:pPr>
              <w:pStyle w:val="Textpoznpodarou"/>
              <w:jc w:val="both"/>
            </w:pPr>
            <w:r>
              <w:t xml:space="preserve">Míra inflace zůstane s největší pravděpodobností nízká i v úhrnu za celý rok 2015. </w:t>
            </w:r>
            <w:r w:rsidR="00251879">
              <w:t>Hlavní příčiny</w:t>
            </w:r>
            <w:r w:rsidRPr="00AC2D83">
              <w:t>,</w:t>
            </w:r>
            <w:r w:rsidR="00251879">
              <w:t xml:space="preserve"> které na to poukazují, jsou dvě</w:t>
            </w:r>
            <w:r w:rsidR="00F80280">
              <w:t>. Za</w:t>
            </w:r>
            <w:r w:rsidRPr="00AC2D83">
              <w:t xml:space="preserve">prvé, </w:t>
            </w:r>
            <w:r>
              <w:t xml:space="preserve">deflační </w:t>
            </w:r>
            <w:r w:rsidRPr="00AC2D83">
              <w:t xml:space="preserve">vývoj </w:t>
            </w:r>
            <w:r>
              <w:t xml:space="preserve">v </w:t>
            </w:r>
            <w:proofErr w:type="spellStart"/>
            <w:r w:rsidRPr="00AC2D83">
              <w:t>eurozóně</w:t>
            </w:r>
            <w:proofErr w:type="spellEnd"/>
            <w:r w:rsidRPr="00AC2D83">
              <w:t xml:space="preserve"> se dle meziroční změny cen</w:t>
            </w:r>
            <w:r w:rsidR="00F80280">
              <w:t xml:space="preserve"> zpracovatelů na přelomu let</w:t>
            </w:r>
            <w:r>
              <w:t xml:space="preserve"> 2014 a 2015 prohloubil, a přestože v měsících následujících deflace již slábla, zůstává vývoj cen zpracovatelů v tomto hospodářském prostoru stále v záporných číslech. </w:t>
            </w:r>
            <w:r w:rsidRPr="00AC2D83">
              <w:t>Dovoz nepříznivého cenového vývoje do ČR – navíc umocněný tím, že efekt výrazného oslaben</w:t>
            </w:r>
            <w:r>
              <w:t>í koruny k euru v prosinci 2014</w:t>
            </w:r>
            <w:r w:rsidRPr="00AC2D83">
              <w:t xml:space="preserve"> vyprchal – tak </w:t>
            </w:r>
            <w:r>
              <w:t>trvá</w:t>
            </w:r>
            <w:r w:rsidR="00F80280">
              <w:t>. Za</w:t>
            </w:r>
            <w:r w:rsidRPr="00AC2D83">
              <w:t xml:space="preserve">druhé, na světovém trhu s komoditami došlo ve druhém pololetí 2014 k výraznému propadu cen ropy a zemního plynu. I když pokles jejich cen v roce 2015 </w:t>
            </w:r>
            <w:r>
              <w:t>u</w:t>
            </w:r>
            <w:r w:rsidRPr="00AC2D83">
              <w:t>ž dále nepokračoval</w:t>
            </w:r>
            <w:r>
              <w:t>, ceny ropy i zemního plynu jsou</w:t>
            </w:r>
            <w:r w:rsidRPr="00AC2D83">
              <w:t xml:space="preserve"> meziročně stále výrazně nižší. Prvotní náraz v podobě poklesu cen pohonných hmot se již v cenách pro spotřebitele projevil, avšak druhotný – kdy výrobci </w:t>
            </w:r>
            <w:r>
              <w:t>reflektují</w:t>
            </w:r>
            <w:r w:rsidRPr="00AC2D83">
              <w:t xml:space="preserve"> nižší náklady i v konečných cenách – budou ceny zřejmě vstřebávat dlouhodoběji.</w:t>
            </w:r>
          </w:p>
          <w:p w:rsidR="003E68BC" w:rsidRPr="00803424" w:rsidRDefault="003E68BC" w:rsidP="008C41F7">
            <w:pPr>
              <w:pStyle w:val="Textpoznpodarou"/>
              <w:jc w:val="both"/>
              <w:rPr>
                <w:spacing w:val="-2"/>
              </w:rPr>
            </w:pPr>
          </w:p>
          <w:p w:rsidR="003E68BC" w:rsidRPr="0002083E" w:rsidRDefault="003E68BC" w:rsidP="008C41F7">
            <w:pPr>
              <w:pStyle w:val="Textpoznpodarou"/>
              <w:jc w:val="both"/>
              <w:rPr>
                <w:spacing w:val="-4"/>
                <w:sz w:val="16"/>
                <w:szCs w:val="16"/>
              </w:rPr>
            </w:pPr>
            <w:r w:rsidRPr="0002083E">
              <w:rPr>
                <w:spacing w:val="-4"/>
              </w:rPr>
              <w:t>Jak dokláda</w:t>
            </w:r>
            <w:r>
              <w:rPr>
                <w:spacing w:val="-4"/>
              </w:rPr>
              <w:t>jí údaje o inflaci z prvních šesti</w:t>
            </w:r>
            <w:r w:rsidRPr="0002083E">
              <w:rPr>
                <w:spacing w:val="-4"/>
              </w:rPr>
              <w:t xml:space="preserve"> měsíců</w:t>
            </w:r>
            <w:r>
              <w:rPr>
                <w:spacing w:val="-4"/>
              </w:rPr>
              <w:t xml:space="preserve"> roku</w:t>
            </w:r>
            <w:r w:rsidRPr="0002083E">
              <w:rPr>
                <w:spacing w:val="-4"/>
              </w:rPr>
              <w:t xml:space="preserve"> 2015, meziroční růst spotřebitelských cen je </w:t>
            </w:r>
            <w:r>
              <w:rPr>
                <w:spacing w:val="-4"/>
              </w:rPr>
              <w:t>i přes pozvolné navyšování dynamiky stále střídmý.</w:t>
            </w:r>
          </w:p>
        </w:tc>
      </w:tr>
    </w:tbl>
    <w:p w:rsidR="003E68BC" w:rsidRPr="00803424" w:rsidRDefault="003E68BC" w:rsidP="003E68BC">
      <w:pPr>
        <w:rPr>
          <w:szCs w:val="20"/>
        </w:rPr>
      </w:pPr>
    </w:p>
    <w:tbl>
      <w:tblPr>
        <w:tblW w:w="5000" w:type="pct"/>
        <w:tblLook w:val="04A0"/>
      </w:tblPr>
      <w:tblGrid>
        <w:gridCol w:w="1056"/>
        <w:gridCol w:w="1027"/>
        <w:gridCol w:w="287"/>
        <w:gridCol w:w="2568"/>
        <w:gridCol w:w="994"/>
        <w:gridCol w:w="3922"/>
      </w:tblGrid>
      <w:tr w:rsidR="003E68BC" w:rsidRPr="0002083E" w:rsidTr="008C41F7">
        <w:tc>
          <w:tcPr>
            <w:tcW w:w="535" w:type="pct"/>
          </w:tcPr>
          <w:p w:rsidR="003E68BC" w:rsidRPr="0002083E" w:rsidRDefault="003E68BC" w:rsidP="008C41F7">
            <w:pPr>
              <w:pStyle w:val="Textpoznpodarou"/>
            </w:pPr>
            <w:r w:rsidRPr="0002083E">
              <w:t>Graf č. 3</w:t>
            </w:r>
          </w:p>
        </w:tc>
        <w:tc>
          <w:tcPr>
            <w:tcW w:w="1966" w:type="pct"/>
            <w:gridSpan w:val="3"/>
          </w:tcPr>
          <w:p w:rsidR="003E68BC" w:rsidRPr="0002083E" w:rsidRDefault="003E68BC" w:rsidP="008C41F7">
            <w:pPr>
              <w:pStyle w:val="Textpoznpodarou"/>
            </w:pPr>
            <w:r w:rsidRPr="0002083E">
              <w:rPr>
                <w:b/>
              </w:rPr>
              <w:t>Ceny pro spotřebitele</w:t>
            </w:r>
            <w:r w:rsidRPr="0002083E">
              <w:t xml:space="preserve"> (y/y v %)</w:t>
            </w:r>
          </w:p>
        </w:tc>
        <w:tc>
          <w:tcPr>
            <w:tcW w:w="505" w:type="pct"/>
          </w:tcPr>
          <w:p w:rsidR="003E68BC" w:rsidRPr="0002083E" w:rsidRDefault="003E68BC" w:rsidP="008C41F7">
            <w:pPr>
              <w:pStyle w:val="Textpoznpodarou"/>
            </w:pPr>
            <w:r w:rsidRPr="0002083E">
              <w:t>Graf č. 4</w:t>
            </w:r>
          </w:p>
        </w:tc>
        <w:tc>
          <w:tcPr>
            <w:tcW w:w="1994" w:type="pct"/>
          </w:tcPr>
          <w:p w:rsidR="003E68BC" w:rsidRPr="0002083E" w:rsidRDefault="003E68BC" w:rsidP="008C41F7">
            <w:pPr>
              <w:pStyle w:val="Textpoznpodarou"/>
            </w:pPr>
            <w:r w:rsidRPr="0002083E">
              <w:rPr>
                <w:b/>
              </w:rPr>
              <w:t xml:space="preserve">Ceny pro spotřebitele dle jednotlivých typů domácností </w:t>
            </w:r>
            <w:r w:rsidRPr="0002083E">
              <w:t>(y/y v %)</w:t>
            </w:r>
          </w:p>
        </w:tc>
      </w:tr>
      <w:tr w:rsidR="003E68BC" w:rsidRPr="0002083E" w:rsidTr="008C41F7">
        <w:tc>
          <w:tcPr>
            <w:tcW w:w="2502" w:type="pct"/>
            <w:gridSpan w:val="4"/>
          </w:tcPr>
          <w:p w:rsidR="003E68BC" w:rsidRPr="0002083E" w:rsidRDefault="002A2083" w:rsidP="008C41F7">
            <w:pPr>
              <w:pStyle w:val="Textpoznpodarou"/>
              <w:jc w:val="both"/>
            </w:pPr>
            <w:r>
              <w:rPr>
                <w:noProof/>
              </w:rPr>
              <w:pict>
                <v:shape id="_x0000_i1065" type="#_x0000_t75" style="width:237.75pt;height:186pt;visibility:visible;mso-wrap-style:square">
                  <v:imagedata r:id="rId53" o:title=""/>
                </v:shape>
              </w:pict>
            </w:r>
          </w:p>
        </w:tc>
        <w:tc>
          <w:tcPr>
            <w:tcW w:w="2498" w:type="pct"/>
            <w:gridSpan w:val="2"/>
          </w:tcPr>
          <w:p w:rsidR="003E68BC" w:rsidRPr="0002083E" w:rsidRDefault="002A2083" w:rsidP="008C41F7">
            <w:pPr>
              <w:pStyle w:val="Textpoznpodarou"/>
              <w:jc w:val="both"/>
            </w:pPr>
            <w:r>
              <w:rPr>
                <w:noProof/>
              </w:rPr>
              <w:pict>
                <v:shape id="_x0000_i1066" type="#_x0000_t75" style="width:237pt;height:186pt;visibility:visible;mso-wrap-style:square">
                  <v:imagedata r:id="rId54" o:title=""/>
                </v:shape>
              </w:pict>
            </w:r>
          </w:p>
        </w:tc>
      </w:tr>
      <w:tr w:rsidR="003E68BC" w:rsidRPr="0002083E" w:rsidTr="008C41F7">
        <w:tc>
          <w:tcPr>
            <w:tcW w:w="5000" w:type="pct"/>
            <w:gridSpan w:val="6"/>
          </w:tcPr>
          <w:p w:rsidR="003E68BC" w:rsidRDefault="003E68BC" w:rsidP="008C41F7">
            <w:pPr>
              <w:pStyle w:val="Textpoznpodarou"/>
              <w:jc w:val="right"/>
              <w:rPr>
                <w:sz w:val="18"/>
                <w:szCs w:val="18"/>
              </w:rPr>
            </w:pPr>
            <w:r w:rsidRPr="0002083E">
              <w:rPr>
                <w:sz w:val="18"/>
                <w:szCs w:val="18"/>
              </w:rPr>
              <w:t>Zdroj: ČSÚ</w:t>
            </w:r>
          </w:p>
          <w:p w:rsidR="002601FC" w:rsidRPr="0002083E" w:rsidRDefault="002601FC" w:rsidP="008C41F7">
            <w:pPr>
              <w:pStyle w:val="Textpoznpodarou"/>
              <w:jc w:val="right"/>
              <w:rPr>
                <w:noProof/>
              </w:rPr>
            </w:pPr>
          </w:p>
        </w:tc>
      </w:tr>
      <w:tr w:rsidR="003E68BC" w:rsidRPr="0002083E" w:rsidTr="008C41F7">
        <w:tblPrEx>
          <w:tblLook w:val="00A0"/>
        </w:tblPrEx>
        <w:tc>
          <w:tcPr>
            <w:tcW w:w="1055" w:type="pct"/>
            <w:gridSpan w:val="2"/>
          </w:tcPr>
          <w:p w:rsidR="003E68BC" w:rsidRPr="0002083E" w:rsidRDefault="003E68BC" w:rsidP="008C41F7">
            <w:pPr>
              <w:spacing w:line="240" w:lineRule="auto"/>
              <w:rPr>
                <w:sz w:val="16"/>
                <w:szCs w:val="16"/>
              </w:rPr>
            </w:pPr>
            <w:r w:rsidRPr="0002083E">
              <w:rPr>
                <w:sz w:val="16"/>
                <w:szCs w:val="16"/>
              </w:rPr>
              <w:lastRenderedPageBreak/>
              <w:t>Z levnějších energií v roce 2014 těžily hlavně domácnosti důchodců</w:t>
            </w:r>
          </w:p>
        </w:tc>
        <w:tc>
          <w:tcPr>
            <w:tcW w:w="145" w:type="pct"/>
          </w:tcPr>
          <w:p w:rsidR="003E68BC" w:rsidRPr="0002083E" w:rsidRDefault="003E68BC" w:rsidP="008C41F7">
            <w:pPr>
              <w:pStyle w:val="Textpoznpodarou"/>
              <w:jc w:val="both"/>
            </w:pPr>
          </w:p>
        </w:tc>
        <w:tc>
          <w:tcPr>
            <w:tcW w:w="3799" w:type="pct"/>
            <w:gridSpan w:val="3"/>
          </w:tcPr>
          <w:p w:rsidR="003E68BC" w:rsidRPr="0002083E" w:rsidRDefault="003E68BC" w:rsidP="008C41F7">
            <w:pPr>
              <w:pStyle w:val="Textpoznpodarou"/>
              <w:jc w:val="both"/>
            </w:pPr>
            <w:r w:rsidRPr="0002083E">
              <w:t>Vývoj cen pro spotřebitele, tak jak je zachycován mírou inflace, je vývojem za domácnosti celkem</w:t>
            </w:r>
            <w:r w:rsidR="00764664">
              <w:t>,</w:t>
            </w:r>
            <w:r w:rsidRPr="0002083E">
              <w:t xml:space="preserve"> a tedy vývojem průměrným. Konkrétní typy domácností (například domácnosti žijící v Praze, domácnosti důchodců) ovšem cenovou dynamiku pociťují odlišně, velmi přitom záleží na konkrétní struktuře jejich vydání, tedy na tom, jakou část svých výdajů vyčleňují na pořízení konkrétního zboží nebo služby. Zatímco tak míra inflace v roce 2014 dosáhla 0,4 %, domácnosti žijící v Praze zaznamenaly růst cen o 0,8 %. Naproti tomu domácnosti důchodců těžily z 0,1 % poklesu. Co konkrétně za touto disproporcí stálo? Především výrazné zlevnění energií</w:t>
            </w:r>
            <w:r w:rsidRPr="0002083E">
              <w:rPr>
                <w:rStyle w:val="Znakapoznpodarou"/>
              </w:rPr>
              <w:footnoteReference w:id="7"/>
            </w:r>
            <w:r w:rsidRPr="0002083E">
              <w:t>. Na ty totiž domácnosti celkem vynakládají 10,3 %</w:t>
            </w:r>
            <w:r w:rsidRPr="0002083E">
              <w:rPr>
                <w:rStyle w:val="Znakapoznpodarou"/>
              </w:rPr>
              <w:footnoteReference w:id="8"/>
            </w:r>
            <w:r w:rsidRPr="0002083E">
              <w:t xml:space="preserve"> svých celkových vydání, domácnosti žijící v Praze ale jen 8,4 %, proto se jich pokles cen energií dotkl méně. Naproti tomu domácnosti důchodců na ně vynakládají výrazně vyšších 15,9 % z celkových vydání. Logicky tak z jejich zlevnění těžily mnohem intenzivněji.</w:t>
            </w:r>
          </w:p>
          <w:p w:rsidR="003E68BC" w:rsidRPr="0002083E" w:rsidRDefault="003E68BC" w:rsidP="008C41F7">
            <w:pPr>
              <w:pStyle w:val="Textpoznpodarou"/>
              <w:jc w:val="both"/>
              <w:rPr>
                <w:sz w:val="16"/>
                <w:szCs w:val="16"/>
              </w:rPr>
            </w:pPr>
          </w:p>
        </w:tc>
      </w:tr>
      <w:tr w:rsidR="003E68BC" w:rsidRPr="0002083E" w:rsidTr="008C41F7">
        <w:tblPrEx>
          <w:tblLook w:val="00A0"/>
        </w:tblPrEx>
        <w:tc>
          <w:tcPr>
            <w:tcW w:w="1055" w:type="pct"/>
            <w:gridSpan w:val="2"/>
          </w:tcPr>
          <w:p w:rsidR="003E68BC" w:rsidRPr="0002083E" w:rsidRDefault="003E68BC" w:rsidP="008C41F7">
            <w:pPr>
              <w:spacing w:line="240" w:lineRule="auto"/>
              <w:rPr>
                <w:sz w:val="16"/>
                <w:szCs w:val="16"/>
              </w:rPr>
            </w:pPr>
            <w:r w:rsidRPr="0002083E">
              <w:rPr>
                <w:sz w:val="16"/>
                <w:szCs w:val="16"/>
              </w:rPr>
              <w:t>Ceny potravin stouply v roce 2014 jen o 2,3 %, výrazně méně než ve třech letech předchozích, …</w:t>
            </w:r>
          </w:p>
        </w:tc>
        <w:tc>
          <w:tcPr>
            <w:tcW w:w="145" w:type="pct"/>
          </w:tcPr>
          <w:p w:rsidR="003E68BC" w:rsidRPr="0002083E" w:rsidRDefault="003E68BC" w:rsidP="008C41F7">
            <w:pPr>
              <w:pStyle w:val="Textpoznpodarou"/>
              <w:jc w:val="both"/>
            </w:pPr>
          </w:p>
        </w:tc>
        <w:tc>
          <w:tcPr>
            <w:tcW w:w="3799" w:type="pct"/>
            <w:gridSpan w:val="3"/>
          </w:tcPr>
          <w:p w:rsidR="003E68BC" w:rsidRPr="0002083E" w:rsidRDefault="003E68BC" w:rsidP="008C41F7">
            <w:pPr>
              <w:pStyle w:val="Textpoznpodarou"/>
              <w:jc w:val="both"/>
            </w:pPr>
            <w:r w:rsidRPr="0002083E">
              <w:t>Potraviny, za které si tuzemští spotřebitelé museli v roce 2011 připlatit 4,4 %, v roce 2012 dokonce 6,6 % a v roce 2013 stále vysokých 5,4 %,</w:t>
            </w:r>
            <w:r>
              <w:t xml:space="preserve"> zdražily v roce 2014</w:t>
            </w:r>
            <w:r w:rsidRPr="0002083E">
              <w:t xml:space="preserve"> už jen o 2,3 %. Důvodem tohoto jen mírného pohybu směrem vzhůru – v kontextu předchozích tří let ojedinělého, avšak pro domácnosti jistě příznivého – byla zejména dobrá úroda zemědělských plodin, která významně stlačila ceny rostlinné výroby (-10,3 %). Ty se příznivě promítly v nákladech </w:t>
            </w:r>
            <w:r>
              <w:t>potravinářů</w:t>
            </w:r>
            <w:r w:rsidRPr="0002083E">
              <w:t>, a</w:t>
            </w:r>
            <w:r>
              <w:t> </w:t>
            </w:r>
            <w:r w:rsidRPr="0002083E">
              <w:t xml:space="preserve">v logice věci i v cenách jejich produkce. V úhrnu </w:t>
            </w:r>
            <w:r>
              <w:t>tito výrobci</w:t>
            </w:r>
            <w:r w:rsidRPr="0002083E">
              <w:t xml:space="preserve"> (podle výrobkové klasifikace CZ-CPA producenti p</w:t>
            </w:r>
            <w:r>
              <w:t>otravinářských výrobků, nápojů a</w:t>
            </w:r>
            <w:r w:rsidRPr="0002083E">
              <w:t xml:space="preserve"> tabáku) </w:t>
            </w:r>
            <w:r>
              <w:t>zlevnili </w:t>
            </w:r>
            <w:r w:rsidRPr="0002083E">
              <w:t>o mírných 0,3 %. Dynamika růstu cen potravin v obchodech tak mohla klesnout.</w:t>
            </w:r>
          </w:p>
          <w:p w:rsidR="003E68BC" w:rsidRPr="0002083E" w:rsidRDefault="003E68BC" w:rsidP="008C41F7">
            <w:pPr>
              <w:pStyle w:val="Textpoznpodarou"/>
              <w:jc w:val="both"/>
              <w:rPr>
                <w:sz w:val="16"/>
                <w:szCs w:val="16"/>
              </w:rPr>
            </w:pPr>
          </w:p>
        </w:tc>
      </w:tr>
      <w:tr w:rsidR="003E68BC" w:rsidRPr="0002083E" w:rsidTr="008C41F7">
        <w:tblPrEx>
          <w:tblLook w:val="00A0"/>
        </w:tblPrEx>
        <w:tc>
          <w:tcPr>
            <w:tcW w:w="1055" w:type="pct"/>
            <w:gridSpan w:val="2"/>
          </w:tcPr>
          <w:p w:rsidR="003E68BC" w:rsidRPr="0002083E" w:rsidRDefault="003E68BC" w:rsidP="008C41F7">
            <w:pPr>
              <w:spacing w:line="240" w:lineRule="auto"/>
              <w:rPr>
                <w:sz w:val="16"/>
                <w:szCs w:val="16"/>
              </w:rPr>
            </w:pPr>
            <w:r w:rsidRPr="0002083E">
              <w:rPr>
                <w:sz w:val="16"/>
                <w:szCs w:val="16"/>
              </w:rPr>
              <w:t>… přitom nebýt pokračujícího nárůstu cen dovozu, jejich dynamika mohla být ještě příznivější</w:t>
            </w:r>
          </w:p>
        </w:tc>
        <w:tc>
          <w:tcPr>
            <w:tcW w:w="145" w:type="pct"/>
          </w:tcPr>
          <w:p w:rsidR="003E68BC" w:rsidRPr="0002083E" w:rsidRDefault="003E68BC" w:rsidP="008C41F7">
            <w:pPr>
              <w:pStyle w:val="Textpoznpodarou"/>
              <w:jc w:val="both"/>
            </w:pPr>
          </w:p>
        </w:tc>
        <w:tc>
          <w:tcPr>
            <w:tcW w:w="3799" w:type="pct"/>
            <w:gridSpan w:val="3"/>
          </w:tcPr>
          <w:p w:rsidR="003E68BC" w:rsidRPr="0002083E" w:rsidRDefault="003E68BC" w:rsidP="008C41F7">
            <w:pPr>
              <w:pStyle w:val="Textpoznpodarou"/>
              <w:jc w:val="both"/>
            </w:pPr>
            <w:r w:rsidRPr="0002083E">
              <w:t>Cenová dynamika ve výrobním řetězci naznačuje, že nebýt pokračujícího nárůstu cen dovozu potravin</w:t>
            </w:r>
            <w:r>
              <w:t xml:space="preserve"> (vč. živých zvířat</w:t>
            </w:r>
            <w:r>
              <w:rPr>
                <w:lang w:val="en-US"/>
              </w:rPr>
              <w:t>;</w:t>
            </w:r>
            <w:r w:rsidRPr="0002083E">
              <w:t xml:space="preserve"> v roce 2014</w:t>
            </w:r>
            <w:r>
              <w:t xml:space="preserve"> i vlivem slabší koruny růst o 4,4 %),</w:t>
            </w:r>
            <w:r w:rsidRPr="0002083E">
              <w:t xml:space="preserve"> mohl být přírůstek cen potravin v tuzemských obchodech ještě nižší.</w:t>
            </w:r>
          </w:p>
          <w:p w:rsidR="003E68BC" w:rsidRPr="0002083E" w:rsidRDefault="003E68BC" w:rsidP="008C41F7">
            <w:pPr>
              <w:pStyle w:val="Textpoznpodarou"/>
              <w:jc w:val="both"/>
              <w:rPr>
                <w:sz w:val="16"/>
                <w:szCs w:val="16"/>
              </w:rPr>
            </w:pPr>
          </w:p>
        </w:tc>
      </w:tr>
      <w:tr w:rsidR="003E68BC" w:rsidRPr="0002083E" w:rsidTr="008C41F7">
        <w:tblPrEx>
          <w:tblLook w:val="00A0"/>
        </w:tblPrEx>
        <w:tc>
          <w:tcPr>
            <w:tcW w:w="1055" w:type="pct"/>
            <w:gridSpan w:val="2"/>
          </w:tcPr>
          <w:p w:rsidR="003E68BC" w:rsidRPr="00D35D5C" w:rsidRDefault="003E68BC" w:rsidP="008C41F7">
            <w:pPr>
              <w:spacing w:line="240" w:lineRule="auto"/>
              <w:rPr>
                <w:color w:val="FF0000"/>
                <w:sz w:val="16"/>
                <w:szCs w:val="16"/>
              </w:rPr>
            </w:pPr>
            <w:r w:rsidRPr="00BB22DE">
              <w:rPr>
                <w:sz w:val="16"/>
                <w:szCs w:val="16"/>
              </w:rPr>
              <w:t>Energie pro domácnosti zlevnily o 5,2 %. Takto výrazný pokles cen neměl v historii ČR obdoby</w:t>
            </w:r>
          </w:p>
        </w:tc>
        <w:tc>
          <w:tcPr>
            <w:tcW w:w="145" w:type="pct"/>
          </w:tcPr>
          <w:p w:rsidR="003E68BC" w:rsidRPr="00D35D5C" w:rsidRDefault="003E68BC" w:rsidP="008C41F7">
            <w:pPr>
              <w:pStyle w:val="Textpoznpodarou"/>
              <w:jc w:val="both"/>
              <w:rPr>
                <w:color w:val="FF0000"/>
              </w:rPr>
            </w:pPr>
          </w:p>
        </w:tc>
        <w:tc>
          <w:tcPr>
            <w:tcW w:w="3799" w:type="pct"/>
            <w:gridSpan w:val="3"/>
          </w:tcPr>
          <w:p w:rsidR="003E68BC" w:rsidRPr="00BB22DE" w:rsidRDefault="003E68BC" w:rsidP="008C41F7">
            <w:pPr>
              <w:pStyle w:val="Textpoznpodarou"/>
              <w:jc w:val="both"/>
            </w:pPr>
            <w:r w:rsidRPr="00BB22DE">
              <w:t>Energie, na které domácnost</w:t>
            </w:r>
            <w:r>
              <w:t>i vynakládají</w:t>
            </w:r>
            <w:r w:rsidRPr="00BB22DE">
              <w:t xml:space="preserve"> zhruba desetinu svých celkových vydání, zlevnily v lednu 2014 v meziměsíčním srovnání výrazně, a to</w:t>
            </w:r>
            <w:r>
              <w:t xml:space="preserve"> o</w:t>
            </w:r>
            <w:r w:rsidRPr="00BB22DE">
              <w:t xml:space="preserve"> 4,4 %. </w:t>
            </w:r>
            <w:r w:rsidRPr="00BB22DE">
              <w:rPr>
                <w:spacing w:val="-2"/>
              </w:rPr>
              <w:t>V úhrnu za celý rok 2014, v porovnání s rokem předchozím, byly jejich ceny nižší</w:t>
            </w:r>
            <w:r>
              <w:rPr>
                <w:spacing w:val="-2"/>
              </w:rPr>
              <w:t xml:space="preserve"> dokonce</w:t>
            </w:r>
            <w:r w:rsidRPr="00BB22DE">
              <w:rPr>
                <w:spacing w:val="-2"/>
              </w:rPr>
              <w:t xml:space="preserve"> o</w:t>
            </w:r>
            <w:r>
              <w:rPr>
                <w:spacing w:val="-2"/>
              </w:rPr>
              <w:t> </w:t>
            </w:r>
            <w:r w:rsidRPr="00BB22DE">
              <w:rPr>
                <w:spacing w:val="-2"/>
              </w:rPr>
              <w:t>5,2 %. Ceny energií se snížily poprvé od roku 2010 (-0,5 %), a to zejména díky poklesu ceny elektřiny (-10,3 %</w:t>
            </w:r>
            <w:r w:rsidRPr="00BB22DE">
              <w:rPr>
                <w:spacing w:val="-2"/>
                <w:lang w:val="en-US"/>
              </w:rPr>
              <w:t xml:space="preserve">; </w:t>
            </w:r>
            <w:r w:rsidRPr="00BB22DE">
              <w:rPr>
                <w:spacing w:val="-2"/>
              </w:rPr>
              <w:t>snížila se cena regulované i neregulované složky), ale také plynu (tzv. „plyn ze sítě“ zlevnil o 2,6 %).</w:t>
            </w:r>
          </w:p>
          <w:p w:rsidR="003E68BC" w:rsidRPr="00D35D5C" w:rsidRDefault="003E68BC" w:rsidP="008C41F7">
            <w:pPr>
              <w:pStyle w:val="Textpoznpodarou"/>
              <w:jc w:val="both"/>
              <w:rPr>
                <w:color w:val="FF0000"/>
                <w:sz w:val="16"/>
                <w:szCs w:val="16"/>
              </w:rPr>
            </w:pPr>
          </w:p>
        </w:tc>
      </w:tr>
      <w:tr w:rsidR="003E68BC" w:rsidRPr="0002083E" w:rsidTr="008C41F7">
        <w:tblPrEx>
          <w:tblLook w:val="00A0"/>
        </w:tblPrEx>
        <w:tc>
          <w:tcPr>
            <w:tcW w:w="1055" w:type="pct"/>
            <w:gridSpan w:val="2"/>
          </w:tcPr>
          <w:p w:rsidR="003E68BC" w:rsidRPr="0002083E" w:rsidRDefault="003E68BC" w:rsidP="008C41F7">
            <w:pPr>
              <w:spacing w:line="240" w:lineRule="auto"/>
              <w:rPr>
                <w:sz w:val="16"/>
                <w:szCs w:val="16"/>
              </w:rPr>
            </w:pPr>
            <w:r w:rsidRPr="0002083E">
              <w:rPr>
                <w:sz w:val="16"/>
                <w:szCs w:val="16"/>
              </w:rPr>
              <w:t>Od vstupu ČR do EU podražily potraviny zhruba o třetinu, energie dokonce o dvě třetiny</w:t>
            </w:r>
          </w:p>
        </w:tc>
        <w:tc>
          <w:tcPr>
            <w:tcW w:w="145" w:type="pct"/>
          </w:tcPr>
          <w:p w:rsidR="003E68BC" w:rsidRPr="0002083E" w:rsidRDefault="003E68BC" w:rsidP="008C41F7">
            <w:pPr>
              <w:pStyle w:val="Textpoznpodarou"/>
              <w:jc w:val="both"/>
            </w:pPr>
          </w:p>
        </w:tc>
        <w:tc>
          <w:tcPr>
            <w:tcW w:w="3799" w:type="pct"/>
            <w:gridSpan w:val="3"/>
          </w:tcPr>
          <w:p w:rsidR="003E68BC" w:rsidRPr="0002083E" w:rsidRDefault="003E68BC" w:rsidP="00DF5343">
            <w:pPr>
              <w:pStyle w:val="Textpoznpodarou"/>
              <w:jc w:val="both"/>
            </w:pPr>
            <w:r w:rsidRPr="0002083E">
              <w:t>Proti roku 2004 narostly ceny pro spotřebitele v ČR v úhrnu o 25,</w:t>
            </w:r>
            <w:r w:rsidR="00DF5343">
              <w:t>6</w:t>
            </w:r>
            <w:r w:rsidRPr="0002083E">
              <w:t xml:space="preserve"> %. Samotné potraviny a energie – tedy nezastupitelné složky spotřeby, na jejichž cenovou dynamiku je společnost značně citlivá – podražily ovšem nadprůměrně. Jejich ceny stouply o 33,</w:t>
            </w:r>
            <w:r w:rsidR="00DF5343">
              <w:t>6</w:t>
            </w:r>
            <w:r w:rsidRPr="0002083E">
              <w:t xml:space="preserve"> % v případě potravin, energie zdražily dokonce o 67,</w:t>
            </w:r>
            <w:r w:rsidR="00DF5343">
              <w:t>3</w:t>
            </w:r>
            <w:r w:rsidRPr="0002083E">
              <w:t xml:space="preserve"> %.</w:t>
            </w:r>
          </w:p>
        </w:tc>
      </w:tr>
    </w:tbl>
    <w:p w:rsidR="003E68BC" w:rsidRPr="0036659A" w:rsidRDefault="003E68BC" w:rsidP="003E68BC">
      <w:pPr>
        <w:rPr>
          <w:sz w:val="16"/>
          <w:szCs w:val="16"/>
        </w:rPr>
      </w:pPr>
    </w:p>
    <w:tbl>
      <w:tblPr>
        <w:tblW w:w="5000" w:type="pct"/>
        <w:tblLook w:val="04A0"/>
      </w:tblPr>
      <w:tblGrid>
        <w:gridCol w:w="1063"/>
        <w:gridCol w:w="1012"/>
        <w:gridCol w:w="282"/>
        <w:gridCol w:w="2563"/>
        <w:gridCol w:w="996"/>
        <w:gridCol w:w="3938"/>
      </w:tblGrid>
      <w:tr w:rsidR="003E68BC" w:rsidRPr="0056182E" w:rsidTr="008C41F7">
        <w:tc>
          <w:tcPr>
            <w:tcW w:w="540" w:type="pct"/>
          </w:tcPr>
          <w:p w:rsidR="003E68BC" w:rsidRPr="0002083E" w:rsidRDefault="003E68BC" w:rsidP="008C41F7">
            <w:pPr>
              <w:pStyle w:val="Textpoznpodarou"/>
            </w:pPr>
            <w:r w:rsidRPr="0002083E">
              <w:t>Graf č. 5</w:t>
            </w:r>
          </w:p>
        </w:tc>
        <w:tc>
          <w:tcPr>
            <w:tcW w:w="1960" w:type="pct"/>
            <w:gridSpan w:val="3"/>
          </w:tcPr>
          <w:p w:rsidR="003E68BC" w:rsidRPr="0002083E" w:rsidRDefault="003E68BC" w:rsidP="008C41F7">
            <w:pPr>
              <w:pStyle w:val="Textpoznpodarou"/>
              <w:rPr>
                <w:spacing w:val="-6"/>
              </w:rPr>
            </w:pPr>
            <w:r w:rsidRPr="0002083E">
              <w:rPr>
                <w:b/>
                <w:spacing w:val="-6"/>
              </w:rPr>
              <w:t xml:space="preserve">Ceny pro spotřebitele z hlediska struktury spotřebního koše </w:t>
            </w:r>
            <w:r w:rsidRPr="0002083E">
              <w:rPr>
                <w:spacing w:val="-6"/>
              </w:rPr>
              <w:t>(y/y v %)</w:t>
            </w:r>
          </w:p>
        </w:tc>
        <w:tc>
          <w:tcPr>
            <w:tcW w:w="504" w:type="pct"/>
          </w:tcPr>
          <w:p w:rsidR="003E68BC" w:rsidRPr="0002083E" w:rsidRDefault="003E68BC" w:rsidP="008C41F7">
            <w:pPr>
              <w:pStyle w:val="Textpoznpodarou"/>
            </w:pPr>
            <w:r w:rsidRPr="0002083E">
              <w:t>Graf č. 6</w:t>
            </w:r>
          </w:p>
        </w:tc>
        <w:tc>
          <w:tcPr>
            <w:tcW w:w="1996" w:type="pct"/>
          </w:tcPr>
          <w:p w:rsidR="003E68BC" w:rsidRPr="0002083E" w:rsidRDefault="003E68BC" w:rsidP="008C41F7">
            <w:pPr>
              <w:pStyle w:val="Textpoznpodarou"/>
            </w:pPr>
            <w:r w:rsidRPr="0002083E">
              <w:rPr>
                <w:b/>
              </w:rPr>
              <w:t xml:space="preserve">Dlouhodobý vývoj cen potravin a energií </w:t>
            </w:r>
            <w:r w:rsidRPr="0002083E">
              <w:t>(y/y v %)</w:t>
            </w:r>
          </w:p>
        </w:tc>
      </w:tr>
      <w:tr w:rsidR="003E68BC" w:rsidRPr="0056182E" w:rsidTr="008C41F7">
        <w:tc>
          <w:tcPr>
            <w:tcW w:w="2500" w:type="pct"/>
            <w:gridSpan w:val="4"/>
          </w:tcPr>
          <w:p w:rsidR="003E68BC" w:rsidRPr="0056182E" w:rsidRDefault="002A2083" w:rsidP="008C41F7">
            <w:pPr>
              <w:pStyle w:val="Textpoznpodarou"/>
              <w:jc w:val="both"/>
            </w:pPr>
            <w:r>
              <w:rPr>
                <w:noProof/>
              </w:rPr>
              <w:pict>
                <v:shape id="_x0000_i1067" type="#_x0000_t75" style="width:237pt;height:186pt;visibility:visible;mso-wrap-style:square">
                  <v:imagedata r:id="rId55" o:title=""/>
                </v:shape>
              </w:pict>
            </w:r>
          </w:p>
        </w:tc>
        <w:tc>
          <w:tcPr>
            <w:tcW w:w="2500" w:type="pct"/>
            <w:gridSpan w:val="2"/>
          </w:tcPr>
          <w:p w:rsidR="003E68BC" w:rsidRPr="0056182E" w:rsidRDefault="002A2083" w:rsidP="008C41F7">
            <w:pPr>
              <w:pStyle w:val="Textpoznpodarou"/>
              <w:jc w:val="both"/>
            </w:pPr>
            <w:r>
              <w:rPr>
                <w:noProof/>
              </w:rPr>
              <w:pict>
                <v:shape id="_x0000_i1068" type="#_x0000_t75" style="width:237.75pt;height:186pt;visibility:visible;mso-wrap-style:square">
                  <v:imagedata r:id="rId56" o:title=""/>
                </v:shape>
              </w:pict>
            </w:r>
          </w:p>
        </w:tc>
      </w:tr>
      <w:tr w:rsidR="003E68BC" w:rsidRPr="0056182E" w:rsidTr="008C41F7">
        <w:tc>
          <w:tcPr>
            <w:tcW w:w="5000" w:type="pct"/>
            <w:gridSpan w:val="6"/>
          </w:tcPr>
          <w:p w:rsidR="003E68BC" w:rsidRPr="0002083E" w:rsidRDefault="003E68BC" w:rsidP="008C41F7">
            <w:pPr>
              <w:pStyle w:val="Textpoznpodarou"/>
              <w:jc w:val="right"/>
              <w:rPr>
                <w:noProof/>
              </w:rPr>
            </w:pPr>
            <w:r w:rsidRPr="0002083E">
              <w:rPr>
                <w:sz w:val="18"/>
                <w:szCs w:val="18"/>
              </w:rPr>
              <w:t>Zdroj: ČSÚ, vlastní výpočty</w:t>
            </w:r>
          </w:p>
        </w:tc>
      </w:tr>
      <w:tr w:rsidR="003E68BC" w:rsidRPr="00A82C6E" w:rsidTr="008C41F7">
        <w:tblPrEx>
          <w:tblLook w:val="00A0"/>
        </w:tblPrEx>
        <w:tc>
          <w:tcPr>
            <w:tcW w:w="1054" w:type="pct"/>
            <w:gridSpan w:val="2"/>
          </w:tcPr>
          <w:p w:rsidR="003E68BC" w:rsidRPr="006A5510" w:rsidRDefault="003E68BC" w:rsidP="008C41F7">
            <w:pPr>
              <w:spacing w:line="240" w:lineRule="auto"/>
              <w:rPr>
                <w:sz w:val="16"/>
                <w:szCs w:val="16"/>
              </w:rPr>
            </w:pPr>
            <w:r w:rsidRPr="006A5510">
              <w:rPr>
                <w:sz w:val="16"/>
                <w:szCs w:val="16"/>
              </w:rPr>
              <w:lastRenderedPageBreak/>
              <w:t>Vývoj cen potravin i</w:t>
            </w:r>
            <w:r>
              <w:rPr>
                <w:sz w:val="16"/>
                <w:szCs w:val="16"/>
              </w:rPr>
              <w:t> </w:t>
            </w:r>
            <w:r w:rsidRPr="006A5510">
              <w:rPr>
                <w:sz w:val="16"/>
                <w:szCs w:val="16"/>
              </w:rPr>
              <w:t xml:space="preserve">energií byl v ČR v roce </w:t>
            </w:r>
            <w:r>
              <w:rPr>
                <w:sz w:val="16"/>
                <w:szCs w:val="16"/>
              </w:rPr>
              <w:t xml:space="preserve">2014 příznivý i z pohledu komparativní cenové hladiny. </w:t>
            </w:r>
            <w:r w:rsidRPr="006A5510">
              <w:rPr>
                <w:sz w:val="16"/>
                <w:szCs w:val="16"/>
              </w:rPr>
              <w:t>Zatímco cenová úroveň potravin se snížila z 82,7 %</w:t>
            </w:r>
            <w:r>
              <w:rPr>
                <w:sz w:val="16"/>
                <w:szCs w:val="16"/>
              </w:rPr>
              <w:t xml:space="preserve"> průměru EU</w:t>
            </w:r>
            <w:r w:rsidRPr="006A5510">
              <w:rPr>
                <w:sz w:val="16"/>
                <w:szCs w:val="16"/>
              </w:rPr>
              <w:t xml:space="preserve"> na</w:t>
            </w:r>
            <w:r>
              <w:rPr>
                <w:sz w:val="16"/>
                <w:szCs w:val="16"/>
              </w:rPr>
              <w:t> </w:t>
            </w:r>
            <w:r w:rsidRPr="006A5510">
              <w:rPr>
                <w:sz w:val="16"/>
                <w:szCs w:val="16"/>
              </w:rPr>
              <w:t>80,2 %, …</w:t>
            </w:r>
          </w:p>
        </w:tc>
        <w:tc>
          <w:tcPr>
            <w:tcW w:w="143" w:type="pct"/>
          </w:tcPr>
          <w:p w:rsidR="003E68BC" w:rsidRPr="00A82C6E" w:rsidRDefault="003E68BC" w:rsidP="008C41F7">
            <w:pPr>
              <w:pStyle w:val="Textpoznpodarou"/>
              <w:jc w:val="both"/>
              <w:rPr>
                <w:color w:val="FF0000"/>
              </w:rPr>
            </w:pPr>
          </w:p>
        </w:tc>
        <w:tc>
          <w:tcPr>
            <w:tcW w:w="3803" w:type="pct"/>
            <w:gridSpan w:val="3"/>
          </w:tcPr>
          <w:p w:rsidR="003E68BC" w:rsidRPr="00B01501" w:rsidRDefault="003E68BC" w:rsidP="008C41F7">
            <w:pPr>
              <w:pStyle w:val="Textpoznpodarou"/>
              <w:jc w:val="both"/>
            </w:pPr>
            <w:r w:rsidRPr="00B01501">
              <w:t>Jak vyplývá z ukazatele komparativní cenové hladiny, ceny potravin jsou v</w:t>
            </w:r>
            <w:r>
              <w:t> České republice</w:t>
            </w:r>
            <w:r w:rsidRPr="00B01501">
              <w:t xml:space="preserve"> navzdory dlouhodobému zdražování stále nižší než v průměru za celý hospodářský prostor Evropské unie. V samotném roce 2014 se cenová úroveň potravin</w:t>
            </w:r>
            <w:r>
              <w:t xml:space="preserve"> v tuzemsku</w:t>
            </w:r>
            <w:r w:rsidRPr="00B01501">
              <w:t xml:space="preserve"> dokonce snížila na 80,2 % průměru EU, když v roce 2012 i</w:t>
            </w:r>
            <w:r>
              <w:t> </w:t>
            </w:r>
            <w:r w:rsidRPr="00B01501">
              <w:t>2013</w:t>
            </w:r>
            <w:r>
              <w:t xml:space="preserve"> byla</w:t>
            </w:r>
            <w:r w:rsidRPr="00B01501">
              <w:t xml:space="preserve"> na úrovni 82,7 %. Za nižší ceny než v </w:t>
            </w:r>
            <w:r>
              <w:t>ČR</w:t>
            </w:r>
            <w:r w:rsidRPr="00B01501">
              <w:t xml:space="preserve"> </w:t>
            </w:r>
            <w:r>
              <w:t>bylo možné</w:t>
            </w:r>
            <w:r w:rsidRPr="00B01501">
              <w:t xml:space="preserve"> potraviny v roce 2014 pořídit</w:t>
            </w:r>
            <w:r>
              <w:t xml:space="preserve"> už</w:t>
            </w:r>
            <w:r w:rsidRPr="00B01501">
              <w:t xml:space="preserve"> jen v</w:t>
            </w:r>
            <w:r>
              <w:t> </w:t>
            </w:r>
            <w:r w:rsidRPr="00B01501">
              <w:t>pěti</w:t>
            </w:r>
            <w:r>
              <w:t xml:space="preserve"> jiných</w:t>
            </w:r>
            <w:r w:rsidRPr="00B01501">
              <w:t xml:space="preserve"> unijních zemích, v „nejlevnějším“ Polsku zhruba o čtvrtinu. V „nejdražší</w:t>
            </w:r>
            <w:r>
              <w:t>“</w:t>
            </w:r>
            <w:r w:rsidRPr="00B01501">
              <w:t xml:space="preserve"> zemi EU,</w:t>
            </w:r>
            <w:r>
              <w:t xml:space="preserve"> co se týče potravin,</w:t>
            </w:r>
            <w:r w:rsidRPr="00B01501">
              <w:t xml:space="preserve"> tj. v Dánsku, bychom si za</w:t>
            </w:r>
            <w:r>
              <w:t> ně</w:t>
            </w:r>
            <w:r w:rsidRPr="00B01501">
              <w:t xml:space="preserve"> naopak přibližně dvě třetiny připlatili.</w:t>
            </w:r>
          </w:p>
          <w:p w:rsidR="003E68BC" w:rsidRPr="00B01501" w:rsidRDefault="003E68BC" w:rsidP="008C41F7">
            <w:pPr>
              <w:pStyle w:val="Textpoznpodarou"/>
              <w:jc w:val="both"/>
              <w:rPr>
                <w:sz w:val="14"/>
                <w:szCs w:val="14"/>
              </w:rPr>
            </w:pPr>
          </w:p>
        </w:tc>
      </w:tr>
      <w:tr w:rsidR="003E68BC" w:rsidRPr="00A82C6E" w:rsidTr="008C41F7">
        <w:tblPrEx>
          <w:tblLook w:val="00A0"/>
        </w:tblPrEx>
        <w:tc>
          <w:tcPr>
            <w:tcW w:w="1054" w:type="pct"/>
            <w:gridSpan w:val="2"/>
          </w:tcPr>
          <w:p w:rsidR="003E68BC" w:rsidRPr="006A5510" w:rsidRDefault="003E68BC" w:rsidP="008C41F7">
            <w:pPr>
              <w:spacing w:line="240" w:lineRule="auto"/>
              <w:rPr>
                <w:sz w:val="16"/>
                <w:szCs w:val="16"/>
              </w:rPr>
            </w:pPr>
            <w:r w:rsidRPr="006A5510">
              <w:rPr>
                <w:sz w:val="16"/>
                <w:szCs w:val="16"/>
              </w:rPr>
              <w:t>…v případě energií</w:t>
            </w:r>
            <w:r>
              <w:rPr>
                <w:sz w:val="16"/>
                <w:szCs w:val="16"/>
              </w:rPr>
              <w:t xml:space="preserve"> </w:t>
            </w:r>
            <w:r w:rsidRPr="006A5510">
              <w:rPr>
                <w:sz w:val="16"/>
                <w:szCs w:val="16"/>
              </w:rPr>
              <w:t xml:space="preserve">z 86,9 % </w:t>
            </w:r>
            <w:r>
              <w:rPr>
                <w:sz w:val="16"/>
                <w:szCs w:val="16"/>
              </w:rPr>
              <w:t xml:space="preserve">dokonce </w:t>
            </w:r>
            <w:r w:rsidRPr="006A5510">
              <w:rPr>
                <w:sz w:val="16"/>
                <w:szCs w:val="16"/>
              </w:rPr>
              <w:t>na</w:t>
            </w:r>
            <w:r>
              <w:rPr>
                <w:sz w:val="16"/>
                <w:szCs w:val="16"/>
              </w:rPr>
              <w:t> </w:t>
            </w:r>
            <w:r w:rsidRPr="006A5510">
              <w:rPr>
                <w:sz w:val="16"/>
                <w:szCs w:val="16"/>
              </w:rPr>
              <w:t>78,1</w:t>
            </w:r>
            <w:r>
              <w:rPr>
                <w:sz w:val="16"/>
                <w:szCs w:val="16"/>
              </w:rPr>
              <w:t> </w:t>
            </w:r>
            <w:r w:rsidRPr="006A5510">
              <w:rPr>
                <w:sz w:val="16"/>
                <w:szCs w:val="16"/>
              </w:rPr>
              <w:t>%</w:t>
            </w:r>
          </w:p>
        </w:tc>
        <w:tc>
          <w:tcPr>
            <w:tcW w:w="143" w:type="pct"/>
          </w:tcPr>
          <w:p w:rsidR="003E68BC" w:rsidRPr="00A82C6E" w:rsidRDefault="003E68BC" w:rsidP="008C41F7">
            <w:pPr>
              <w:pStyle w:val="Textpoznpodarou"/>
              <w:jc w:val="both"/>
              <w:rPr>
                <w:color w:val="FF0000"/>
              </w:rPr>
            </w:pPr>
          </w:p>
        </w:tc>
        <w:tc>
          <w:tcPr>
            <w:tcW w:w="3803" w:type="pct"/>
            <w:gridSpan w:val="3"/>
          </w:tcPr>
          <w:p w:rsidR="003E68BC" w:rsidRPr="00B01501" w:rsidRDefault="003E68BC" w:rsidP="008C41F7">
            <w:pPr>
              <w:pStyle w:val="Textpoznpodarou"/>
              <w:jc w:val="both"/>
              <w:rPr>
                <w:spacing w:val="-2"/>
              </w:rPr>
            </w:pPr>
            <w:r w:rsidRPr="00B01501">
              <w:rPr>
                <w:spacing w:val="-2"/>
              </w:rPr>
              <w:t>Ceny energií, které byly v ČR</w:t>
            </w:r>
            <w:r>
              <w:rPr>
                <w:spacing w:val="-2"/>
              </w:rPr>
              <w:t xml:space="preserve"> v letech 2008 až </w:t>
            </w:r>
            <w:r w:rsidRPr="00B01501">
              <w:rPr>
                <w:spacing w:val="-2"/>
              </w:rPr>
              <w:t>2011 vyšší</w:t>
            </w:r>
            <w:r>
              <w:rPr>
                <w:spacing w:val="-2"/>
              </w:rPr>
              <w:t>,</w:t>
            </w:r>
            <w:r w:rsidRPr="00B01501">
              <w:rPr>
                <w:spacing w:val="-2"/>
              </w:rPr>
              <w:t xml:space="preserve"> než odpovídalo průměrné úrovni</w:t>
            </w:r>
            <w:r>
              <w:rPr>
                <w:spacing w:val="-2"/>
              </w:rPr>
              <w:t xml:space="preserve"> Evropské unie,</w:t>
            </w:r>
            <w:r w:rsidRPr="00B01501">
              <w:rPr>
                <w:spacing w:val="-2"/>
              </w:rPr>
              <w:t xml:space="preserve"> </w:t>
            </w:r>
            <w:r>
              <w:rPr>
                <w:spacing w:val="-2"/>
              </w:rPr>
              <w:t xml:space="preserve">se </w:t>
            </w:r>
            <w:r w:rsidRPr="00B01501">
              <w:rPr>
                <w:spacing w:val="-2"/>
              </w:rPr>
              <w:t xml:space="preserve">v letech následujících </w:t>
            </w:r>
            <w:r>
              <w:rPr>
                <w:spacing w:val="-2"/>
              </w:rPr>
              <w:t>vůči unijnímu průměru</w:t>
            </w:r>
            <w:r w:rsidRPr="00B01501">
              <w:rPr>
                <w:spacing w:val="-2"/>
              </w:rPr>
              <w:t xml:space="preserve"> </w:t>
            </w:r>
            <w:r>
              <w:rPr>
                <w:spacing w:val="-2"/>
              </w:rPr>
              <w:t>vyvíjely již příznivěji</w:t>
            </w:r>
            <w:r w:rsidRPr="00B01501">
              <w:rPr>
                <w:spacing w:val="-2"/>
              </w:rPr>
              <w:t xml:space="preserve">. </w:t>
            </w:r>
            <w:r>
              <w:rPr>
                <w:spacing w:val="-2"/>
              </w:rPr>
              <w:t>Jestliže</w:t>
            </w:r>
            <w:r w:rsidRPr="00B01501">
              <w:rPr>
                <w:spacing w:val="-2"/>
              </w:rPr>
              <w:t xml:space="preserve"> v roce 2011 český spotřebitel platil za energie o 4,1 % více než průměrný obyvatel </w:t>
            </w:r>
            <w:r>
              <w:rPr>
                <w:spacing w:val="-2"/>
              </w:rPr>
              <w:t>EU</w:t>
            </w:r>
            <w:r w:rsidRPr="00B01501">
              <w:rPr>
                <w:spacing w:val="-2"/>
              </w:rPr>
              <w:t xml:space="preserve">, v roce 2012 o 9,4 % méně a v roce 2013 </w:t>
            </w:r>
            <w:r>
              <w:rPr>
                <w:spacing w:val="-2"/>
              </w:rPr>
              <w:t xml:space="preserve">dokonce </w:t>
            </w:r>
            <w:r w:rsidRPr="00B01501">
              <w:rPr>
                <w:spacing w:val="-2"/>
              </w:rPr>
              <w:t xml:space="preserve">o 13,1 %. Také v roce 2014 se tato relace vyvíjela pro české spotřebitele </w:t>
            </w:r>
            <w:r>
              <w:rPr>
                <w:spacing w:val="-2"/>
              </w:rPr>
              <w:t>dobře</w:t>
            </w:r>
            <w:r w:rsidRPr="00B01501">
              <w:rPr>
                <w:spacing w:val="-2"/>
              </w:rPr>
              <w:t xml:space="preserve"> – </w:t>
            </w:r>
            <w:r>
              <w:rPr>
                <w:spacing w:val="-2"/>
              </w:rPr>
              <w:t>v porovnání s</w:t>
            </w:r>
            <w:r w:rsidRPr="00B01501">
              <w:rPr>
                <w:spacing w:val="-2"/>
              </w:rPr>
              <w:t xml:space="preserve"> EU byly ceny energií v tuzemsku nižší </w:t>
            </w:r>
            <w:r>
              <w:rPr>
                <w:spacing w:val="-2"/>
              </w:rPr>
              <w:t xml:space="preserve">už </w:t>
            </w:r>
            <w:r w:rsidRPr="00B01501">
              <w:rPr>
                <w:spacing w:val="-2"/>
              </w:rPr>
              <w:t>o 21,9 %.</w:t>
            </w:r>
          </w:p>
        </w:tc>
      </w:tr>
    </w:tbl>
    <w:p w:rsidR="003E68BC" w:rsidRPr="00CA3921" w:rsidRDefault="003E68BC" w:rsidP="003E68BC">
      <w:pPr>
        <w:rPr>
          <w:color w:val="FF0000"/>
          <w:sz w:val="12"/>
          <w:szCs w:val="12"/>
        </w:rPr>
      </w:pPr>
    </w:p>
    <w:tbl>
      <w:tblPr>
        <w:tblW w:w="5000" w:type="pct"/>
        <w:tblLook w:val="04A0"/>
      </w:tblPr>
      <w:tblGrid>
        <w:gridCol w:w="1061"/>
        <w:gridCol w:w="3865"/>
        <w:gridCol w:w="994"/>
        <w:gridCol w:w="2693"/>
        <w:gridCol w:w="1241"/>
      </w:tblGrid>
      <w:tr w:rsidR="003E68BC" w:rsidRPr="00A82C6E" w:rsidTr="008C41F7">
        <w:tc>
          <w:tcPr>
            <w:tcW w:w="538" w:type="pct"/>
          </w:tcPr>
          <w:p w:rsidR="003E68BC" w:rsidRPr="000F6246" w:rsidRDefault="003E68BC" w:rsidP="008C41F7">
            <w:pPr>
              <w:pStyle w:val="Textpoznpodarou"/>
              <w:rPr>
                <w:color w:val="000000" w:themeColor="text1"/>
              </w:rPr>
            </w:pPr>
            <w:r w:rsidRPr="000F6246">
              <w:rPr>
                <w:color w:val="000000" w:themeColor="text1"/>
              </w:rPr>
              <w:t>Graf č. 7</w:t>
            </w:r>
          </w:p>
        </w:tc>
        <w:tc>
          <w:tcPr>
            <w:tcW w:w="1961" w:type="pct"/>
          </w:tcPr>
          <w:p w:rsidR="003E68BC" w:rsidRPr="00A82C6E" w:rsidRDefault="003E68BC" w:rsidP="008C41F7">
            <w:pPr>
              <w:pStyle w:val="Textpoznpodarou"/>
              <w:rPr>
                <w:color w:val="FF0000"/>
                <w:spacing w:val="-6"/>
              </w:rPr>
            </w:pPr>
            <w:r w:rsidRPr="000F6246">
              <w:rPr>
                <w:b/>
                <w:color w:val="000000" w:themeColor="text1"/>
                <w:spacing w:val="-6"/>
              </w:rPr>
              <w:t>Ceny potravin v zemích EU</w:t>
            </w:r>
            <w:r w:rsidRPr="000F6246">
              <w:rPr>
                <w:color w:val="000000" w:themeColor="text1"/>
                <w:spacing w:val="-6"/>
              </w:rPr>
              <w:t xml:space="preserve"> (komparativní cenová hladina*</w:t>
            </w:r>
            <w:r w:rsidRPr="000F6246">
              <w:rPr>
                <w:color w:val="000000" w:themeColor="text1"/>
                <w:spacing w:val="-6"/>
                <w:lang w:val="en-US"/>
              </w:rPr>
              <w:t>;</w:t>
            </w:r>
            <w:r w:rsidRPr="000F6246">
              <w:rPr>
                <w:color w:val="000000" w:themeColor="text1"/>
                <w:spacing w:val="-6"/>
              </w:rPr>
              <w:t xml:space="preserve"> EU28=100)</w:t>
            </w:r>
          </w:p>
        </w:tc>
        <w:tc>
          <w:tcPr>
            <w:tcW w:w="504" w:type="pct"/>
          </w:tcPr>
          <w:p w:rsidR="003E68BC" w:rsidRPr="000F6246" w:rsidRDefault="003E68BC" w:rsidP="008C41F7">
            <w:pPr>
              <w:pStyle w:val="Textpoznpodarou"/>
              <w:rPr>
                <w:color w:val="000000" w:themeColor="text1"/>
              </w:rPr>
            </w:pPr>
            <w:r w:rsidRPr="000F6246">
              <w:rPr>
                <w:color w:val="000000" w:themeColor="text1"/>
              </w:rPr>
              <w:t>Graf č. 8</w:t>
            </w:r>
          </w:p>
        </w:tc>
        <w:tc>
          <w:tcPr>
            <w:tcW w:w="1997" w:type="pct"/>
            <w:gridSpan w:val="2"/>
          </w:tcPr>
          <w:p w:rsidR="003E68BC" w:rsidRPr="00A82C6E" w:rsidRDefault="003E68BC" w:rsidP="008C41F7">
            <w:pPr>
              <w:pStyle w:val="Textpoznpodarou"/>
              <w:rPr>
                <w:color w:val="FF0000"/>
              </w:rPr>
            </w:pPr>
            <w:r w:rsidRPr="000F6246">
              <w:rPr>
                <w:b/>
                <w:color w:val="000000" w:themeColor="text1"/>
              </w:rPr>
              <w:t>Ceny energií v zemích EU</w:t>
            </w:r>
            <w:r w:rsidRPr="000F6246">
              <w:rPr>
                <w:color w:val="000000" w:themeColor="text1"/>
                <w:lang w:val="en-US"/>
              </w:rPr>
              <w:t xml:space="preserve"> (</w:t>
            </w:r>
            <w:r w:rsidRPr="000F6246">
              <w:rPr>
                <w:color w:val="000000" w:themeColor="text1"/>
              </w:rPr>
              <w:t>komparativní cenová hladina*; EU28=100)</w:t>
            </w:r>
          </w:p>
        </w:tc>
      </w:tr>
      <w:tr w:rsidR="003E68BC" w:rsidRPr="00A82C6E" w:rsidTr="008C41F7">
        <w:tc>
          <w:tcPr>
            <w:tcW w:w="2499" w:type="pct"/>
            <w:gridSpan w:val="2"/>
          </w:tcPr>
          <w:p w:rsidR="003E68BC" w:rsidRPr="00A82C6E" w:rsidRDefault="00513C6F" w:rsidP="008C41F7">
            <w:pPr>
              <w:pStyle w:val="Textpoznpodarou"/>
              <w:jc w:val="both"/>
              <w:rPr>
                <w:color w:val="FF0000"/>
              </w:rPr>
            </w:pPr>
            <w:r w:rsidRPr="00513C6F">
              <w:rPr>
                <w:noProof/>
                <w:color w:val="FF0000"/>
              </w:rPr>
              <w:pict>
                <v:shape id="_x0000_i1069" type="#_x0000_t75" style="width:237pt;height:186pt;visibility:visible;mso-wrap-style:square">
                  <v:imagedata r:id="rId57" o:title=""/>
                </v:shape>
              </w:pict>
            </w:r>
          </w:p>
        </w:tc>
        <w:tc>
          <w:tcPr>
            <w:tcW w:w="2501" w:type="pct"/>
            <w:gridSpan w:val="3"/>
          </w:tcPr>
          <w:p w:rsidR="003E68BC" w:rsidRPr="00A82C6E" w:rsidRDefault="00513C6F" w:rsidP="008C41F7">
            <w:pPr>
              <w:pStyle w:val="Textpoznpodarou"/>
              <w:jc w:val="both"/>
              <w:rPr>
                <w:color w:val="FF0000"/>
              </w:rPr>
            </w:pPr>
            <w:r w:rsidRPr="00513C6F">
              <w:rPr>
                <w:noProof/>
                <w:color w:val="FF0000"/>
              </w:rPr>
              <w:pict>
                <v:shape id="_x0000_i1070" type="#_x0000_t75" style="width:237pt;height:186pt;visibility:visible;mso-wrap-style:square">
                  <v:imagedata r:id="rId58" o:title=""/>
                </v:shape>
              </w:pict>
            </w:r>
          </w:p>
        </w:tc>
      </w:tr>
      <w:tr w:rsidR="003E68BC" w:rsidRPr="00A82C6E" w:rsidTr="008C41F7">
        <w:tc>
          <w:tcPr>
            <w:tcW w:w="4370" w:type="pct"/>
            <w:gridSpan w:val="4"/>
          </w:tcPr>
          <w:p w:rsidR="003E68BC" w:rsidRPr="000F6246" w:rsidRDefault="003E68BC" w:rsidP="008C41F7">
            <w:pPr>
              <w:pStyle w:val="Textpoznpodarou"/>
              <w:rPr>
                <w:noProof/>
                <w:color w:val="000000" w:themeColor="text1"/>
                <w:sz w:val="18"/>
                <w:szCs w:val="18"/>
              </w:rPr>
            </w:pPr>
            <w:r w:rsidRPr="000F6246">
              <w:rPr>
                <w:noProof/>
                <w:color w:val="000000" w:themeColor="text1"/>
                <w:sz w:val="18"/>
                <w:szCs w:val="18"/>
              </w:rPr>
              <w:t>*Pozn.: Komparativní cenová hladina vyjadřuje, o kolik je vybraný produkt v dané zemi (oblasti) levnější</w:t>
            </w:r>
            <w:r>
              <w:rPr>
                <w:noProof/>
                <w:color w:val="000000" w:themeColor="text1"/>
                <w:sz w:val="18"/>
                <w:szCs w:val="18"/>
              </w:rPr>
              <w:t>,</w:t>
            </w:r>
            <w:r w:rsidRPr="000F6246">
              <w:rPr>
                <w:noProof/>
                <w:color w:val="000000" w:themeColor="text1"/>
                <w:sz w:val="18"/>
                <w:szCs w:val="18"/>
              </w:rPr>
              <w:t xml:space="preserve"> respektive dražší</w:t>
            </w:r>
            <w:r>
              <w:rPr>
                <w:noProof/>
                <w:color w:val="000000" w:themeColor="text1"/>
                <w:sz w:val="18"/>
                <w:szCs w:val="18"/>
              </w:rPr>
              <w:t>,</w:t>
            </w:r>
            <w:r w:rsidRPr="000F6246">
              <w:rPr>
                <w:noProof/>
                <w:color w:val="000000" w:themeColor="text1"/>
                <w:sz w:val="18"/>
                <w:szCs w:val="18"/>
              </w:rPr>
              <w:t xml:space="preserve"> v porovnání s jinou zemí (oblastí).</w:t>
            </w:r>
          </w:p>
        </w:tc>
        <w:tc>
          <w:tcPr>
            <w:tcW w:w="630" w:type="pct"/>
          </w:tcPr>
          <w:p w:rsidR="003E68BC" w:rsidRPr="000F6246" w:rsidRDefault="003E68BC" w:rsidP="008C41F7">
            <w:pPr>
              <w:pStyle w:val="Textpoznpodarou"/>
              <w:jc w:val="right"/>
              <w:rPr>
                <w:noProof/>
                <w:color w:val="000000" w:themeColor="text1"/>
              </w:rPr>
            </w:pPr>
            <w:r w:rsidRPr="000F6246">
              <w:rPr>
                <w:color w:val="000000" w:themeColor="text1"/>
                <w:sz w:val="18"/>
                <w:szCs w:val="18"/>
              </w:rPr>
              <w:t xml:space="preserve">Zdroj: </w:t>
            </w:r>
            <w:proofErr w:type="spellStart"/>
            <w:r w:rsidRPr="000F6246">
              <w:rPr>
                <w:color w:val="000000" w:themeColor="text1"/>
                <w:sz w:val="18"/>
                <w:szCs w:val="18"/>
              </w:rPr>
              <w:t>Eurostat</w:t>
            </w:r>
            <w:proofErr w:type="spellEnd"/>
          </w:p>
        </w:tc>
      </w:tr>
    </w:tbl>
    <w:p w:rsidR="003E68BC" w:rsidRPr="00CA3921" w:rsidRDefault="003E68BC" w:rsidP="003E68BC">
      <w:pPr>
        <w:rPr>
          <w:sz w:val="14"/>
          <w:szCs w:val="14"/>
        </w:rPr>
      </w:pPr>
    </w:p>
    <w:tbl>
      <w:tblPr>
        <w:tblW w:w="5000" w:type="pct"/>
        <w:tblLook w:val="00A0"/>
      </w:tblPr>
      <w:tblGrid>
        <w:gridCol w:w="2077"/>
        <w:gridCol w:w="282"/>
        <w:gridCol w:w="7495"/>
      </w:tblGrid>
      <w:tr w:rsidR="003E68BC" w:rsidRPr="0002083E" w:rsidTr="008C41F7">
        <w:tc>
          <w:tcPr>
            <w:tcW w:w="1054" w:type="pct"/>
          </w:tcPr>
          <w:p w:rsidR="003E68BC" w:rsidRPr="0002083E" w:rsidRDefault="003E68BC" w:rsidP="008C41F7">
            <w:pPr>
              <w:spacing w:line="240" w:lineRule="auto"/>
              <w:rPr>
                <w:sz w:val="16"/>
                <w:szCs w:val="16"/>
              </w:rPr>
            </w:pPr>
            <w:r>
              <w:rPr>
                <w:sz w:val="16"/>
                <w:szCs w:val="16"/>
              </w:rPr>
              <w:t>Ceny pro spotřebitele stouply</w:t>
            </w:r>
            <w:r w:rsidRPr="0002083E">
              <w:rPr>
                <w:sz w:val="16"/>
                <w:szCs w:val="16"/>
              </w:rPr>
              <w:t xml:space="preserve"> v ČR v roce 2014 o něco pomaleji než v EU a výrazně pomaleji než v USA</w:t>
            </w:r>
          </w:p>
        </w:tc>
        <w:tc>
          <w:tcPr>
            <w:tcW w:w="143" w:type="pct"/>
          </w:tcPr>
          <w:p w:rsidR="003E68BC" w:rsidRPr="0002083E" w:rsidRDefault="003E68BC" w:rsidP="008C41F7">
            <w:pPr>
              <w:pStyle w:val="Textpoznpodarou"/>
              <w:jc w:val="both"/>
            </w:pPr>
          </w:p>
        </w:tc>
        <w:tc>
          <w:tcPr>
            <w:tcW w:w="3803" w:type="pct"/>
          </w:tcPr>
          <w:p w:rsidR="003E68BC" w:rsidRPr="0002083E" w:rsidRDefault="003E68BC" w:rsidP="008C41F7">
            <w:pPr>
              <w:pStyle w:val="Textpoznpodarou"/>
              <w:jc w:val="both"/>
            </w:pPr>
            <w:r w:rsidRPr="0002083E">
              <w:t xml:space="preserve">Růst spotřebitelských cen v ČR v roce 2014, dosahující </w:t>
            </w:r>
            <w:r>
              <w:t>+</w:t>
            </w:r>
            <w:r w:rsidRPr="0002083E">
              <w:t xml:space="preserve">0,4 % i podle harmonizovaného indexu spotřebitelských cen (HICP), byl v evropském kontextu v zásadě průměrný. Ceny v tuzemsku stouply stejně jako v zemích platících eurem a o 0,2 </w:t>
            </w:r>
            <w:proofErr w:type="spellStart"/>
            <w:r w:rsidRPr="0002083E">
              <w:t>pb</w:t>
            </w:r>
            <w:proofErr w:type="spellEnd"/>
            <w:r w:rsidRPr="0002083E">
              <w:t>. méně než Evropské unii jako celku, jejíž výsledek vylepšil nadprůměrný růst cen ve třetí největší unijní ekonomice, tj. ve </w:t>
            </w:r>
            <w:r>
              <w:t>Velké</w:t>
            </w:r>
            <w:r w:rsidRPr="0002083E">
              <w:t xml:space="preserve"> </w:t>
            </w:r>
            <w:r>
              <w:t>Británii</w:t>
            </w:r>
            <w:r w:rsidRPr="0002083E">
              <w:t>. V porovnání se svižně rostoucí ekonomikou USA, kde se ceny zvýšily o 1,3 %, byl přírůstek cen pro spotřebitele v ČR zhruba třetinový.</w:t>
            </w:r>
          </w:p>
        </w:tc>
      </w:tr>
    </w:tbl>
    <w:p w:rsidR="003E68BC" w:rsidRPr="00CA3921" w:rsidRDefault="003E68BC" w:rsidP="003E68BC">
      <w:pPr>
        <w:rPr>
          <w:sz w:val="12"/>
          <w:szCs w:val="12"/>
        </w:rPr>
      </w:pPr>
    </w:p>
    <w:tbl>
      <w:tblPr>
        <w:tblW w:w="5000" w:type="pct"/>
        <w:tblLook w:val="04A0"/>
      </w:tblPr>
      <w:tblGrid>
        <w:gridCol w:w="1060"/>
        <w:gridCol w:w="1019"/>
        <w:gridCol w:w="285"/>
        <w:gridCol w:w="7490"/>
      </w:tblGrid>
      <w:tr w:rsidR="003E68BC" w:rsidRPr="0002083E" w:rsidTr="008C41F7">
        <w:tc>
          <w:tcPr>
            <w:tcW w:w="538" w:type="pct"/>
          </w:tcPr>
          <w:p w:rsidR="003E68BC" w:rsidRPr="0002083E" w:rsidRDefault="003E68BC" w:rsidP="008C41F7">
            <w:pPr>
              <w:pStyle w:val="Textpoznpodarou"/>
            </w:pPr>
            <w:r w:rsidRPr="0002083E">
              <w:t>Graf č. 9</w:t>
            </w:r>
          </w:p>
        </w:tc>
        <w:tc>
          <w:tcPr>
            <w:tcW w:w="4462" w:type="pct"/>
            <w:gridSpan w:val="3"/>
          </w:tcPr>
          <w:p w:rsidR="003E68BC" w:rsidRPr="0002083E" w:rsidRDefault="003E68BC" w:rsidP="008C41F7">
            <w:pPr>
              <w:pStyle w:val="Textpoznpodarou"/>
            </w:pPr>
            <w:r w:rsidRPr="0002083E">
              <w:rPr>
                <w:b/>
              </w:rPr>
              <w:t>Ceny pro spotřebitele v jednotlivých zemích EU a v USA v roce 2014</w:t>
            </w:r>
            <w:r w:rsidRPr="0002083E">
              <w:t xml:space="preserve"> (HICP, y/y v %)</w:t>
            </w:r>
          </w:p>
        </w:tc>
      </w:tr>
      <w:tr w:rsidR="003E68BC" w:rsidRPr="0002083E" w:rsidTr="008C41F7">
        <w:tc>
          <w:tcPr>
            <w:tcW w:w="5000" w:type="pct"/>
            <w:gridSpan w:val="4"/>
          </w:tcPr>
          <w:p w:rsidR="003E68BC" w:rsidRPr="0002083E" w:rsidRDefault="00513C6F" w:rsidP="008C41F7">
            <w:pPr>
              <w:pStyle w:val="Textpoznpodarou"/>
              <w:jc w:val="both"/>
            </w:pPr>
            <w:r>
              <w:rPr>
                <w:noProof/>
              </w:rPr>
              <w:pict>
                <v:shape id="_x0000_i1071" type="#_x0000_t75" style="width:483.75pt;height:186pt;visibility:visible;mso-wrap-style:square">
                  <v:imagedata r:id="rId59" o:title=""/>
                </v:shape>
              </w:pict>
            </w:r>
          </w:p>
        </w:tc>
      </w:tr>
      <w:tr w:rsidR="003E68BC" w:rsidRPr="0002083E" w:rsidTr="008C41F7">
        <w:tc>
          <w:tcPr>
            <w:tcW w:w="5000" w:type="pct"/>
            <w:gridSpan w:val="4"/>
          </w:tcPr>
          <w:p w:rsidR="003E68BC" w:rsidRPr="0002083E" w:rsidRDefault="003E68BC" w:rsidP="008C41F7">
            <w:pPr>
              <w:pStyle w:val="Textpoznpodarou"/>
              <w:jc w:val="right"/>
              <w:rPr>
                <w:noProof/>
              </w:rPr>
            </w:pPr>
            <w:r w:rsidRPr="0002083E">
              <w:rPr>
                <w:sz w:val="18"/>
                <w:szCs w:val="18"/>
              </w:rPr>
              <w:t xml:space="preserve">Zdroj: </w:t>
            </w:r>
            <w:proofErr w:type="spellStart"/>
            <w:r w:rsidRPr="0002083E">
              <w:rPr>
                <w:sz w:val="18"/>
                <w:szCs w:val="18"/>
              </w:rPr>
              <w:t>Eurostat</w:t>
            </w:r>
            <w:proofErr w:type="spellEnd"/>
          </w:p>
        </w:tc>
      </w:tr>
      <w:tr w:rsidR="003E68BC" w:rsidRPr="0002083E" w:rsidTr="008C41F7">
        <w:tblPrEx>
          <w:tblLook w:val="00A0"/>
        </w:tblPrEx>
        <w:trPr>
          <w:trHeight w:val="915"/>
        </w:trPr>
        <w:tc>
          <w:tcPr>
            <w:tcW w:w="1055" w:type="pct"/>
            <w:gridSpan w:val="2"/>
          </w:tcPr>
          <w:p w:rsidR="003E68BC" w:rsidRPr="0002083E" w:rsidRDefault="003E68BC" w:rsidP="008C41F7">
            <w:pPr>
              <w:spacing w:line="240" w:lineRule="auto"/>
              <w:rPr>
                <w:sz w:val="16"/>
                <w:szCs w:val="16"/>
              </w:rPr>
            </w:pPr>
            <w:r w:rsidRPr="0002083E">
              <w:rPr>
                <w:sz w:val="16"/>
                <w:szCs w:val="16"/>
              </w:rPr>
              <w:lastRenderedPageBreak/>
              <w:t>Cenový vývoj se v roce 2014 zhoršil ve všech zemích EU, výjimkou bylo pouze Lotyšsko</w:t>
            </w:r>
          </w:p>
        </w:tc>
        <w:tc>
          <w:tcPr>
            <w:tcW w:w="144" w:type="pct"/>
          </w:tcPr>
          <w:p w:rsidR="003E68BC" w:rsidRPr="0002083E" w:rsidRDefault="003E68BC" w:rsidP="008C41F7">
            <w:pPr>
              <w:pStyle w:val="Textpoznpodarou"/>
              <w:jc w:val="both"/>
            </w:pPr>
          </w:p>
        </w:tc>
        <w:tc>
          <w:tcPr>
            <w:tcW w:w="3802" w:type="pct"/>
          </w:tcPr>
          <w:p w:rsidR="003E68BC" w:rsidRPr="0002083E" w:rsidRDefault="003E68BC" w:rsidP="008C41F7">
            <w:pPr>
              <w:pStyle w:val="Textpoznpodarou"/>
              <w:jc w:val="both"/>
            </w:pPr>
            <w:r w:rsidRPr="0002083E">
              <w:t xml:space="preserve">V drtivé většině zemí EU byl cenový vývoj v roce 2014 </w:t>
            </w:r>
            <w:r w:rsidR="00923BAB">
              <w:t>méně příznivý než v roce</w:t>
            </w:r>
            <w:r w:rsidRPr="0002083E">
              <w:t xml:space="preserve"> předchozím. Světlou výjimkou bylo jen Lotyšsko, kde ceny pro spotřebitele v roce 2013 stagnovaly, avšak v roce 2014 již o 0,7 % stouply.</w:t>
            </w:r>
          </w:p>
          <w:p w:rsidR="003E68BC" w:rsidRPr="0002083E" w:rsidRDefault="003E68BC" w:rsidP="008C41F7">
            <w:pPr>
              <w:pStyle w:val="Textpoznpodarou"/>
              <w:jc w:val="both"/>
              <w:rPr>
                <w:sz w:val="16"/>
                <w:szCs w:val="16"/>
              </w:rPr>
            </w:pPr>
          </w:p>
        </w:tc>
      </w:tr>
      <w:tr w:rsidR="003E68BC" w:rsidRPr="0002083E" w:rsidTr="008C41F7">
        <w:tblPrEx>
          <w:tblLook w:val="00A0"/>
        </w:tblPrEx>
        <w:trPr>
          <w:trHeight w:val="2445"/>
        </w:trPr>
        <w:tc>
          <w:tcPr>
            <w:tcW w:w="1055" w:type="pct"/>
            <w:gridSpan w:val="2"/>
          </w:tcPr>
          <w:p w:rsidR="003E68BC" w:rsidRPr="0002083E" w:rsidRDefault="003E68BC" w:rsidP="008C41F7">
            <w:pPr>
              <w:spacing w:line="240" w:lineRule="auto"/>
              <w:rPr>
                <w:sz w:val="16"/>
                <w:szCs w:val="16"/>
              </w:rPr>
            </w:pPr>
            <w:r w:rsidRPr="0002083E">
              <w:rPr>
                <w:sz w:val="16"/>
                <w:szCs w:val="16"/>
              </w:rPr>
              <w:t xml:space="preserve">Šest unijních zemí </w:t>
            </w:r>
            <w:r>
              <w:rPr>
                <w:sz w:val="16"/>
                <w:szCs w:val="16"/>
              </w:rPr>
              <w:t>v deflaci</w:t>
            </w:r>
            <w:r w:rsidRPr="0002083E">
              <w:rPr>
                <w:sz w:val="16"/>
                <w:szCs w:val="16"/>
              </w:rPr>
              <w:t>, …</w:t>
            </w:r>
          </w:p>
        </w:tc>
        <w:tc>
          <w:tcPr>
            <w:tcW w:w="144" w:type="pct"/>
          </w:tcPr>
          <w:p w:rsidR="003E68BC" w:rsidRPr="0002083E" w:rsidRDefault="003E68BC" w:rsidP="008C41F7">
            <w:pPr>
              <w:pStyle w:val="Textpoznpodarou"/>
              <w:jc w:val="both"/>
            </w:pPr>
          </w:p>
        </w:tc>
        <w:tc>
          <w:tcPr>
            <w:tcW w:w="3802" w:type="pct"/>
          </w:tcPr>
          <w:p w:rsidR="003E68BC" w:rsidRPr="0002083E" w:rsidRDefault="003E68BC" w:rsidP="008C41F7">
            <w:pPr>
              <w:pStyle w:val="Textpoznpodarou"/>
              <w:jc w:val="both"/>
              <w:rPr>
                <w:spacing w:val="-2"/>
              </w:rPr>
            </w:pPr>
            <w:r w:rsidRPr="0002083E">
              <w:t>K nejrazantnějšímu snížení dynamiky spotřebitelských</w:t>
            </w:r>
            <w:r w:rsidR="0068416C">
              <w:t xml:space="preserve"> cen</w:t>
            </w:r>
            <w:r w:rsidRPr="0002083E">
              <w:t xml:space="preserve"> ze všech dvaceti osmi zemí EU došlo v Estonsku (z +3,2 % v roce 2013 na +0,5 v roce 2014), dále pak v Nizozemsku (z +2,6 % na </w:t>
            </w:r>
            <w:r>
              <w:t>+</w:t>
            </w:r>
            <w:r w:rsidRPr="0002083E">
              <w:t xml:space="preserve">0,3 %) a v Chorvatsku (z +2,3 % na +0,2 %). Značný pokles přírůstku spotřebitelských cen zasáhl rovněž Bulharsko, avšak vzhledem k tomu, že zde ceny už i v roce 2013 rostly jen velmi málo (+0,4 %), propadlo se Bulharsko do hluboké deflace (-1,6 %). </w:t>
            </w:r>
            <w:r w:rsidRPr="0002083E">
              <w:rPr>
                <w:spacing w:val="-2"/>
              </w:rPr>
              <w:t>Pokles cen v meziročním srovnání, i když ne tak výrazný jako v Bulharsku, zasáhl ovšem i dalších pět unijních zemí. Potýkalo se s ním Slovensko (-0,1 %), Portugalsko (-0,2 %), Španělsko (-0,2 %) a Kypr (-0,3 %), druhým rokem v řadě – a to s prohlubující intenzitou – ceny klesaly v Řecku (-0,9 % v roce 2013, -1,4 % v roce 2014).</w:t>
            </w:r>
          </w:p>
          <w:p w:rsidR="003E68BC" w:rsidRPr="0002083E" w:rsidRDefault="003E68BC" w:rsidP="008C41F7">
            <w:pPr>
              <w:pStyle w:val="Textpoznpodarou"/>
              <w:jc w:val="both"/>
              <w:rPr>
                <w:sz w:val="14"/>
                <w:szCs w:val="14"/>
              </w:rPr>
            </w:pPr>
          </w:p>
        </w:tc>
      </w:tr>
      <w:tr w:rsidR="003E68BC" w:rsidRPr="0002083E" w:rsidTr="008C41F7">
        <w:tblPrEx>
          <w:tblLook w:val="00A0"/>
        </w:tblPrEx>
        <w:tc>
          <w:tcPr>
            <w:tcW w:w="1055" w:type="pct"/>
            <w:gridSpan w:val="2"/>
          </w:tcPr>
          <w:p w:rsidR="003E68BC" w:rsidRPr="0002083E" w:rsidRDefault="003E68BC" w:rsidP="008C41F7">
            <w:pPr>
              <w:spacing w:line="240" w:lineRule="auto"/>
              <w:rPr>
                <w:sz w:val="16"/>
                <w:szCs w:val="16"/>
              </w:rPr>
            </w:pPr>
          </w:p>
        </w:tc>
        <w:tc>
          <w:tcPr>
            <w:tcW w:w="144" w:type="pct"/>
          </w:tcPr>
          <w:p w:rsidR="003E68BC" w:rsidRPr="0002083E" w:rsidRDefault="003E68BC" w:rsidP="008C41F7">
            <w:pPr>
              <w:pStyle w:val="Textpoznpodarou"/>
              <w:jc w:val="both"/>
            </w:pPr>
          </w:p>
        </w:tc>
        <w:tc>
          <w:tcPr>
            <w:tcW w:w="3802" w:type="pct"/>
          </w:tcPr>
          <w:p w:rsidR="003E68BC" w:rsidRPr="0002083E" w:rsidRDefault="003E68BC" w:rsidP="008C41F7">
            <w:pPr>
              <w:pStyle w:val="Textpoznpodarou"/>
              <w:jc w:val="both"/>
            </w:pPr>
            <w:r w:rsidRPr="0002083E">
              <w:t>V deflaci bylo v roce 2014 nejvíce unijních zemí v historii, tedy od roku 1997, od kdy jsou meziroční změny cen pro spotřebitele v pojetí HICP sledovány.</w:t>
            </w:r>
          </w:p>
          <w:p w:rsidR="003E68BC" w:rsidRPr="0002083E" w:rsidRDefault="003E68BC" w:rsidP="008C41F7">
            <w:pPr>
              <w:pStyle w:val="Textpoznpodarou"/>
              <w:jc w:val="both"/>
              <w:rPr>
                <w:sz w:val="14"/>
                <w:szCs w:val="14"/>
              </w:rPr>
            </w:pPr>
          </w:p>
        </w:tc>
      </w:tr>
      <w:tr w:rsidR="003E68BC" w:rsidRPr="0002083E" w:rsidTr="008C41F7">
        <w:tblPrEx>
          <w:tblLook w:val="00A0"/>
        </w:tblPrEx>
        <w:tc>
          <w:tcPr>
            <w:tcW w:w="1055" w:type="pct"/>
            <w:gridSpan w:val="2"/>
          </w:tcPr>
          <w:p w:rsidR="003E68BC" w:rsidRPr="0002083E" w:rsidRDefault="003E68BC" w:rsidP="008C41F7">
            <w:pPr>
              <w:spacing w:line="240" w:lineRule="auto"/>
              <w:rPr>
                <w:sz w:val="16"/>
                <w:szCs w:val="16"/>
              </w:rPr>
            </w:pPr>
            <w:r w:rsidRPr="0002083E">
              <w:rPr>
                <w:sz w:val="16"/>
                <w:szCs w:val="16"/>
              </w:rPr>
              <w:t>… ani jedna z ekonomik EU nezaznamenala inflaci překračující 1,5 %</w:t>
            </w:r>
          </w:p>
        </w:tc>
        <w:tc>
          <w:tcPr>
            <w:tcW w:w="144" w:type="pct"/>
          </w:tcPr>
          <w:p w:rsidR="003E68BC" w:rsidRPr="0002083E" w:rsidRDefault="003E68BC" w:rsidP="008C41F7">
            <w:pPr>
              <w:pStyle w:val="Textpoznpodarou"/>
              <w:jc w:val="both"/>
            </w:pPr>
          </w:p>
        </w:tc>
        <w:tc>
          <w:tcPr>
            <w:tcW w:w="3802" w:type="pct"/>
          </w:tcPr>
          <w:p w:rsidR="003E68BC" w:rsidRPr="0002083E" w:rsidRDefault="003E68BC" w:rsidP="008C41F7">
            <w:pPr>
              <w:pStyle w:val="Textpoznpodarou"/>
              <w:jc w:val="both"/>
            </w:pPr>
            <w:r w:rsidRPr="0002083E">
              <w:t xml:space="preserve">Jestliže se šest ekonomik EU potýkalo s deflací a přitom v Maďarsku ceny stagnovaly, pak pouze v jednadvaceti zemích EU stouply. Jejich přírůstky ale byly velmi slabé. Nejvyšší nárůst cen, a to pouze o 1,5 %, byl patrný ve </w:t>
            </w:r>
            <w:r>
              <w:t>Velké</w:t>
            </w:r>
            <w:r w:rsidRPr="0002083E">
              <w:t xml:space="preserve"> </w:t>
            </w:r>
            <w:r>
              <w:t>Británii</w:t>
            </w:r>
            <w:r w:rsidRPr="0002083E">
              <w:t xml:space="preserve"> a v Rakousku. O 1,4 % zboží a služby podražily v Rumunsku (tedy v zemi, která ještě v roce 2004 bojovala s dvoucifernou inflací), o 1,2 % ve Finsku. Zbývající země EU evidovaly růst spotřebitelských cen v rozmezí od +0,1 % (Polsko) do +0,8 % (Německo a Malta).</w:t>
            </w:r>
          </w:p>
          <w:p w:rsidR="003E68BC" w:rsidRPr="0002083E" w:rsidRDefault="003E68BC" w:rsidP="008C41F7">
            <w:pPr>
              <w:pStyle w:val="Textpoznpodarou"/>
              <w:jc w:val="both"/>
              <w:rPr>
                <w:sz w:val="16"/>
                <w:szCs w:val="16"/>
              </w:rPr>
            </w:pPr>
          </w:p>
        </w:tc>
      </w:tr>
      <w:tr w:rsidR="003E68BC" w:rsidRPr="0002083E" w:rsidTr="008C41F7">
        <w:tblPrEx>
          <w:tblLook w:val="00A0"/>
        </w:tblPrEx>
        <w:trPr>
          <w:trHeight w:val="1305"/>
        </w:trPr>
        <w:tc>
          <w:tcPr>
            <w:tcW w:w="1055" w:type="pct"/>
            <w:gridSpan w:val="2"/>
          </w:tcPr>
          <w:p w:rsidR="003E68BC" w:rsidRPr="0002083E" w:rsidRDefault="003E68BC" w:rsidP="008C41F7">
            <w:pPr>
              <w:spacing w:line="240" w:lineRule="auto"/>
              <w:rPr>
                <w:sz w:val="16"/>
                <w:szCs w:val="16"/>
              </w:rPr>
            </w:pPr>
            <w:r w:rsidRPr="0002083E">
              <w:rPr>
                <w:sz w:val="16"/>
                <w:szCs w:val="16"/>
              </w:rPr>
              <w:t>Evropská centrální banka s dezinflací bojuje, …</w:t>
            </w:r>
          </w:p>
        </w:tc>
        <w:tc>
          <w:tcPr>
            <w:tcW w:w="144" w:type="pct"/>
          </w:tcPr>
          <w:p w:rsidR="003E68BC" w:rsidRPr="0002083E" w:rsidRDefault="003E68BC" w:rsidP="008C41F7">
            <w:pPr>
              <w:pStyle w:val="Textpoznpodarou"/>
              <w:jc w:val="both"/>
            </w:pPr>
          </w:p>
        </w:tc>
        <w:tc>
          <w:tcPr>
            <w:tcW w:w="3802" w:type="pct"/>
          </w:tcPr>
          <w:p w:rsidR="003E68BC" w:rsidRPr="0002083E" w:rsidRDefault="003E68BC" w:rsidP="008C41F7">
            <w:pPr>
              <w:pStyle w:val="Textpoznpodarou"/>
              <w:jc w:val="both"/>
            </w:pPr>
            <w:r w:rsidRPr="0002083E">
              <w:t>Co se týče přírůstku spotřebitelských cen v </w:t>
            </w:r>
            <w:proofErr w:type="spellStart"/>
            <w:r w:rsidRPr="0002083E">
              <w:t>eurozóně</w:t>
            </w:r>
            <w:proofErr w:type="spellEnd"/>
            <w:r w:rsidRPr="0002083E">
              <w:t xml:space="preserve"> jako celku, jeho dynamika zpomalovala od </w:t>
            </w:r>
            <w:r>
              <w:t>první poloviny roku</w:t>
            </w:r>
            <w:r w:rsidRPr="0002083E">
              <w:t xml:space="preserve"> 2012, tedy </w:t>
            </w:r>
            <w:r>
              <w:t>podobně</w:t>
            </w:r>
            <w:r w:rsidRPr="0002083E">
              <w:t xml:space="preserve"> jako v ČR. A stejně jako v Česku – kde dezinflaci čelila tuzemská měnově politická autorita, tedy ČNB – s dezinflací v </w:t>
            </w:r>
            <w:proofErr w:type="spellStart"/>
            <w:r w:rsidRPr="0002083E">
              <w:t>eurozóně</w:t>
            </w:r>
            <w:proofErr w:type="spellEnd"/>
            <w:r w:rsidRPr="0002083E">
              <w:t xml:space="preserve"> bojovala měnově politická autorita pro tento hospodářský prostor, tedy Evropská centrální banka (ECB).</w:t>
            </w:r>
          </w:p>
          <w:p w:rsidR="003E68BC" w:rsidRPr="0002083E" w:rsidRDefault="003E68BC" w:rsidP="008C41F7">
            <w:pPr>
              <w:pStyle w:val="Textpoznpodarou"/>
              <w:jc w:val="both"/>
              <w:rPr>
                <w:sz w:val="16"/>
                <w:szCs w:val="16"/>
              </w:rPr>
            </w:pPr>
          </w:p>
        </w:tc>
      </w:tr>
      <w:tr w:rsidR="003E68BC" w:rsidRPr="0002083E" w:rsidTr="008C41F7">
        <w:tblPrEx>
          <w:tblLook w:val="00A0"/>
        </w:tblPrEx>
        <w:trPr>
          <w:trHeight w:val="2310"/>
        </w:trPr>
        <w:tc>
          <w:tcPr>
            <w:tcW w:w="1055" w:type="pct"/>
            <w:gridSpan w:val="2"/>
          </w:tcPr>
          <w:p w:rsidR="003E68BC" w:rsidRPr="0002083E" w:rsidRDefault="003E68BC" w:rsidP="008C41F7">
            <w:pPr>
              <w:spacing w:line="240" w:lineRule="auto"/>
              <w:rPr>
                <w:sz w:val="16"/>
                <w:szCs w:val="16"/>
              </w:rPr>
            </w:pPr>
            <w:r w:rsidRPr="0002083E">
              <w:rPr>
                <w:sz w:val="16"/>
                <w:szCs w:val="16"/>
              </w:rPr>
              <w:t>… a to jak standardními opatřeními, tak opatřeními nestandardními</w:t>
            </w:r>
          </w:p>
        </w:tc>
        <w:tc>
          <w:tcPr>
            <w:tcW w:w="144" w:type="pct"/>
          </w:tcPr>
          <w:p w:rsidR="003E68BC" w:rsidRPr="0002083E" w:rsidRDefault="003E68BC" w:rsidP="008C41F7">
            <w:pPr>
              <w:pStyle w:val="Textpoznpodarou"/>
              <w:jc w:val="both"/>
            </w:pPr>
          </w:p>
        </w:tc>
        <w:tc>
          <w:tcPr>
            <w:tcW w:w="3802" w:type="pct"/>
          </w:tcPr>
          <w:p w:rsidR="003E68BC" w:rsidRPr="0002083E" w:rsidRDefault="003E68BC" w:rsidP="008C41F7">
            <w:pPr>
              <w:pStyle w:val="Textpoznpodarou"/>
              <w:jc w:val="both"/>
              <w:rPr>
                <w:spacing w:val="-2"/>
              </w:rPr>
            </w:pPr>
            <w:r w:rsidRPr="0002083E">
              <w:rPr>
                <w:spacing w:val="-2"/>
              </w:rPr>
              <w:t>V průběhu roku 2014 přistoupila ECB ke třem hlavním měnově politickým opatřením, které měly nepříznivý v</w:t>
            </w:r>
            <w:r w:rsidR="00E1629D">
              <w:rPr>
                <w:spacing w:val="-2"/>
              </w:rPr>
              <w:t xml:space="preserve">ývoj cen v </w:t>
            </w:r>
            <w:proofErr w:type="spellStart"/>
            <w:r w:rsidR="00E1629D">
              <w:rPr>
                <w:spacing w:val="-2"/>
              </w:rPr>
              <w:t>eurozóně</w:t>
            </w:r>
            <w:proofErr w:type="spellEnd"/>
            <w:r w:rsidR="00E1629D">
              <w:rPr>
                <w:spacing w:val="-2"/>
              </w:rPr>
              <w:t xml:space="preserve"> zvrátit. Za</w:t>
            </w:r>
            <w:r w:rsidRPr="0002083E">
              <w:rPr>
                <w:spacing w:val="-2"/>
              </w:rPr>
              <w:t>prvé, snížila úrokové sazby, za které obchoduje s komerčními bankami likviditu (hlavní refinanční sazbu stanovila na 0,05 %, tedy na</w:t>
            </w:r>
            <w:r>
              <w:rPr>
                <w:spacing w:val="-2"/>
              </w:rPr>
              <w:t xml:space="preserve"> faktickou nulu, depozitní</w:t>
            </w:r>
            <w:r w:rsidRPr="0002083E">
              <w:rPr>
                <w:spacing w:val="-2"/>
              </w:rPr>
              <w:t xml:space="preserve"> sazbu – za kterou si u ECB mohou banky ukládat volnou likviditu tzv. „přes noc“ – srazila </w:t>
            </w:r>
            <w:r w:rsidR="00E1629D">
              <w:rPr>
                <w:spacing w:val="-2"/>
              </w:rPr>
              <w:t>dokonce do záporného pásma). Za</w:t>
            </w:r>
            <w:r w:rsidRPr="0002083E">
              <w:rPr>
                <w:spacing w:val="-2"/>
              </w:rPr>
              <w:t xml:space="preserve">druhé, začala komerčním bankám poskytovat </w:t>
            </w:r>
            <w:r>
              <w:rPr>
                <w:spacing w:val="-2"/>
              </w:rPr>
              <w:t xml:space="preserve">„dlouhodobou“ </w:t>
            </w:r>
            <w:r w:rsidR="00E1629D">
              <w:rPr>
                <w:spacing w:val="-2"/>
              </w:rPr>
              <w:t>likviditu. Za</w:t>
            </w:r>
            <w:r w:rsidRPr="0002083E">
              <w:rPr>
                <w:spacing w:val="-2"/>
              </w:rPr>
              <w:t>třetí, přistoupila k nákupům krytých dluhopisů a tzv. ABS instrumentů. Dezinflační vývoj se jí ale zvrátit nedařilo, a tak se v lednu 2015 rozhodla podpořit ekonomiku dalším opatřením. Oznámila, že bude</w:t>
            </w:r>
            <w:r>
              <w:rPr>
                <w:spacing w:val="-2"/>
              </w:rPr>
              <w:t xml:space="preserve"> (po vzoru amerického </w:t>
            </w:r>
            <w:proofErr w:type="spellStart"/>
            <w:r>
              <w:rPr>
                <w:spacing w:val="-2"/>
              </w:rPr>
              <w:t>FEDu</w:t>
            </w:r>
            <w:proofErr w:type="spellEnd"/>
            <w:r>
              <w:rPr>
                <w:spacing w:val="-2"/>
              </w:rPr>
              <w:t>)</w:t>
            </w:r>
            <w:r w:rsidRPr="0002083E">
              <w:rPr>
                <w:spacing w:val="-2"/>
              </w:rPr>
              <w:t xml:space="preserve"> nakupovat vládní dluhopisy, tedy provádět politiku známou pod pojmem „kvantitativní uvolňování“. Spuštěna byla v březnu.</w:t>
            </w:r>
          </w:p>
        </w:tc>
      </w:tr>
    </w:tbl>
    <w:p w:rsidR="003E68BC" w:rsidRPr="007B732C" w:rsidRDefault="003E68BC" w:rsidP="003E68BC">
      <w:pPr>
        <w:rPr>
          <w:sz w:val="16"/>
          <w:szCs w:val="16"/>
        </w:rPr>
      </w:pPr>
    </w:p>
    <w:tbl>
      <w:tblPr>
        <w:tblW w:w="5000" w:type="pct"/>
        <w:tblLook w:val="04A0"/>
      </w:tblPr>
      <w:tblGrid>
        <w:gridCol w:w="1062"/>
        <w:gridCol w:w="3864"/>
        <w:gridCol w:w="998"/>
        <w:gridCol w:w="2265"/>
        <w:gridCol w:w="1665"/>
      </w:tblGrid>
      <w:tr w:rsidR="003E68BC" w:rsidRPr="0002083E" w:rsidTr="008C41F7">
        <w:tc>
          <w:tcPr>
            <w:tcW w:w="539" w:type="pct"/>
          </w:tcPr>
          <w:p w:rsidR="003E68BC" w:rsidRPr="0002083E" w:rsidRDefault="003E68BC" w:rsidP="00F92B4F">
            <w:pPr>
              <w:pStyle w:val="Textpoznpodarou"/>
            </w:pPr>
            <w:r w:rsidRPr="0002083E">
              <w:t>Graf č.</w:t>
            </w:r>
            <w:r w:rsidR="00F92B4F">
              <w:t> </w:t>
            </w:r>
            <w:r w:rsidRPr="0002083E">
              <w:t>10</w:t>
            </w:r>
          </w:p>
        </w:tc>
        <w:tc>
          <w:tcPr>
            <w:tcW w:w="1962" w:type="pct"/>
          </w:tcPr>
          <w:p w:rsidR="003E68BC" w:rsidRPr="0002083E" w:rsidRDefault="003E68BC" w:rsidP="008C41F7">
            <w:pPr>
              <w:pStyle w:val="Textpoznpodarou"/>
              <w:rPr>
                <w:spacing w:val="-6"/>
              </w:rPr>
            </w:pPr>
            <w:r w:rsidRPr="0002083E">
              <w:rPr>
                <w:b/>
                <w:spacing w:val="-6"/>
              </w:rPr>
              <w:t xml:space="preserve">Ceny pro spotřebitele v ČR, EU28, </w:t>
            </w:r>
            <w:proofErr w:type="spellStart"/>
            <w:r w:rsidRPr="0002083E">
              <w:rPr>
                <w:b/>
                <w:spacing w:val="-6"/>
              </w:rPr>
              <w:t>eurozóně</w:t>
            </w:r>
            <w:proofErr w:type="spellEnd"/>
            <w:r w:rsidRPr="0002083E">
              <w:rPr>
                <w:b/>
                <w:spacing w:val="-6"/>
              </w:rPr>
              <w:t xml:space="preserve"> a v USA</w:t>
            </w:r>
            <w:r w:rsidRPr="0002083E">
              <w:rPr>
                <w:spacing w:val="-6"/>
              </w:rPr>
              <w:t xml:space="preserve"> (HICP, y/y v %)</w:t>
            </w:r>
          </w:p>
        </w:tc>
        <w:tc>
          <w:tcPr>
            <w:tcW w:w="506" w:type="pct"/>
          </w:tcPr>
          <w:p w:rsidR="003E68BC" w:rsidRPr="0002083E" w:rsidRDefault="003E68BC" w:rsidP="00F92B4F">
            <w:pPr>
              <w:pStyle w:val="Textpoznpodarou"/>
            </w:pPr>
            <w:r w:rsidRPr="0002083E">
              <w:t>Graf č.</w:t>
            </w:r>
            <w:r w:rsidR="00F92B4F">
              <w:t> </w:t>
            </w:r>
            <w:r w:rsidRPr="0002083E">
              <w:t>11</w:t>
            </w:r>
          </w:p>
        </w:tc>
        <w:tc>
          <w:tcPr>
            <w:tcW w:w="1993" w:type="pct"/>
            <w:gridSpan w:val="2"/>
          </w:tcPr>
          <w:p w:rsidR="003E68BC" w:rsidRPr="0002083E" w:rsidRDefault="003E68BC" w:rsidP="008C41F7">
            <w:pPr>
              <w:pStyle w:val="Textpoznpodarou"/>
            </w:pPr>
            <w:r w:rsidRPr="0002083E">
              <w:rPr>
                <w:b/>
              </w:rPr>
              <w:t>Ceny pro spotřebitele ve vybraných zemích EU</w:t>
            </w:r>
            <w:r w:rsidRPr="0002083E">
              <w:rPr>
                <w:lang w:val="en-US"/>
              </w:rPr>
              <w:t xml:space="preserve"> (</w:t>
            </w:r>
            <w:r w:rsidRPr="0002083E">
              <w:t>HICP, y/y v %)</w:t>
            </w:r>
          </w:p>
        </w:tc>
      </w:tr>
      <w:tr w:rsidR="003E68BC" w:rsidRPr="0002083E" w:rsidTr="008C41F7">
        <w:tc>
          <w:tcPr>
            <w:tcW w:w="2501" w:type="pct"/>
            <w:gridSpan w:val="2"/>
          </w:tcPr>
          <w:p w:rsidR="003E68BC" w:rsidRPr="0002083E" w:rsidRDefault="002A2083" w:rsidP="008C41F7">
            <w:pPr>
              <w:pStyle w:val="Textpoznpodarou"/>
              <w:jc w:val="both"/>
            </w:pPr>
            <w:r>
              <w:rPr>
                <w:noProof/>
              </w:rPr>
              <w:pict>
                <v:shape id="_x0000_i1072" type="#_x0000_t75" style="width:237pt;height:186pt;visibility:visible;mso-wrap-style:square">
                  <v:imagedata r:id="rId60" o:title=""/>
                </v:shape>
              </w:pict>
            </w:r>
          </w:p>
        </w:tc>
        <w:tc>
          <w:tcPr>
            <w:tcW w:w="2499" w:type="pct"/>
            <w:gridSpan w:val="3"/>
          </w:tcPr>
          <w:p w:rsidR="003E68BC" w:rsidRPr="0002083E" w:rsidRDefault="002A2083" w:rsidP="008C41F7">
            <w:pPr>
              <w:pStyle w:val="Textpoznpodarou"/>
              <w:jc w:val="both"/>
            </w:pPr>
            <w:r>
              <w:rPr>
                <w:noProof/>
              </w:rPr>
              <w:pict>
                <v:shape id="_x0000_i1073" type="#_x0000_t75" style="width:237pt;height:186pt;visibility:visible;mso-wrap-style:square">
                  <v:imagedata r:id="rId61" o:title=""/>
                </v:shape>
              </w:pict>
            </w:r>
          </w:p>
        </w:tc>
      </w:tr>
      <w:tr w:rsidR="003E68BC" w:rsidRPr="0002083E" w:rsidTr="008C41F7">
        <w:tc>
          <w:tcPr>
            <w:tcW w:w="4156" w:type="pct"/>
            <w:gridSpan w:val="4"/>
          </w:tcPr>
          <w:p w:rsidR="003E68BC" w:rsidRPr="0002083E" w:rsidRDefault="003E68BC" w:rsidP="008C41F7">
            <w:pPr>
              <w:pStyle w:val="Textpoznpodarou"/>
              <w:rPr>
                <w:noProof/>
                <w:sz w:val="18"/>
                <w:szCs w:val="18"/>
              </w:rPr>
            </w:pPr>
          </w:p>
        </w:tc>
        <w:tc>
          <w:tcPr>
            <w:tcW w:w="844" w:type="pct"/>
          </w:tcPr>
          <w:p w:rsidR="003E68BC" w:rsidRPr="0002083E" w:rsidRDefault="003E68BC" w:rsidP="008C41F7">
            <w:pPr>
              <w:pStyle w:val="Textpoznpodarou"/>
              <w:jc w:val="right"/>
              <w:rPr>
                <w:noProof/>
              </w:rPr>
            </w:pPr>
            <w:r w:rsidRPr="0002083E">
              <w:rPr>
                <w:sz w:val="18"/>
                <w:szCs w:val="18"/>
              </w:rPr>
              <w:t xml:space="preserve">Zdroj: </w:t>
            </w:r>
            <w:proofErr w:type="spellStart"/>
            <w:r w:rsidRPr="0002083E">
              <w:rPr>
                <w:sz w:val="18"/>
                <w:szCs w:val="18"/>
              </w:rPr>
              <w:t>Eurostat</w:t>
            </w:r>
            <w:proofErr w:type="spellEnd"/>
          </w:p>
        </w:tc>
      </w:tr>
    </w:tbl>
    <w:p w:rsidR="003E68BC" w:rsidRPr="00AD306C" w:rsidRDefault="003E68BC" w:rsidP="008B0C8B">
      <w:pPr>
        <w:pStyle w:val="Nadpis2"/>
        <w:numPr>
          <w:ilvl w:val="1"/>
          <w:numId w:val="5"/>
        </w:numPr>
      </w:pPr>
      <w:bookmarkStart w:id="21" w:name="_Toc426017663"/>
      <w:r>
        <w:lastRenderedPageBreak/>
        <w:t>Ceny výrobců</w:t>
      </w:r>
      <w:bookmarkEnd w:id="21"/>
    </w:p>
    <w:tbl>
      <w:tblPr>
        <w:tblW w:w="5000" w:type="pct"/>
        <w:tblLook w:val="00A0"/>
      </w:tblPr>
      <w:tblGrid>
        <w:gridCol w:w="2079"/>
        <w:gridCol w:w="284"/>
        <w:gridCol w:w="7491"/>
      </w:tblGrid>
      <w:tr w:rsidR="003E68BC" w:rsidRPr="0002083E" w:rsidTr="008C41F7">
        <w:tc>
          <w:tcPr>
            <w:tcW w:w="1055" w:type="pct"/>
          </w:tcPr>
          <w:p w:rsidR="003E68BC" w:rsidRPr="0002083E" w:rsidRDefault="003E68BC" w:rsidP="008C41F7">
            <w:pPr>
              <w:spacing w:line="240" w:lineRule="auto"/>
              <w:rPr>
                <w:sz w:val="16"/>
                <w:szCs w:val="16"/>
              </w:rPr>
            </w:pPr>
            <w:r w:rsidRPr="0002083E">
              <w:rPr>
                <w:sz w:val="16"/>
                <w:szCs w:val="16"/>
              </w:rPr>
              <w:t xml:space="preserve">Zemědělské výrobky zlevnily v roce 2014 sice výrazně méně než v roce 2009, i tak ovšem tento </w:t>
            </w:r>
            <w:r>
              <w:rPr>
                <w:sz w:val="16"/>
                <w:szCs w:val="16"/>
              </w:rPr>
              <w:t xml:space="preserve">cenový </w:t>
            </w:r>
            <w:r w:rsidRPr="0002083E">
              <w:rPr>
                <w:sz w:val="16"/>
                <w:szCs w:val="16"/>
              </w:rPr>
              <w:t>pokles stačil na to, aby skrze v</w:t>
            </w:r>
            <w:r>
              <w:rPr>
                <w:sz w:val="16"/>
                <w:szCs w:val="16"/>
              </w:rPr>
              <w:t>ýrobní řetězec zmenšil přírůstek</w:t>
            </w:r>
            <w:r w:rsidRPr="0002083E">
              <w:rPr>
                <w:sz w:val="16"/>
                <w:szCs w:val="16"/>
              </w:rPr>
              <w:t xml:space="preserve"> cen potravin a tedy i vlastní inflaci</w:t>
            </w:r>
          </w:p>
        </w:tc>
        <w:tc>
          <w:tcPr>
            <w:tcW w:w="144" w:type="pct"/>
          </w:tcPr>
          <w:p w:rsidR="003E68BC" w:rsidRPr="0002083E" w:rsidRDefault="003E68BC" w:rsidP="008C41F7">
            <w:pPr>
              <w:pStyle w:val="Textpoznpodarou"/>
              <w:jc w:val="both"/>
            </w:pPr>
          </w:p>
        </w:tc>
        <w:tc>
          <w:tcPr>
            <w:tcW w:w="3801" w:type="pct"/>
          </w:tcPr>
          <w:p w:rsidR="003E68BC" w:rsidRPr="0002083E" w:rsidRDefault="003E68BC" w:rsidP="008C41F7">
            <w:pPr>
              <w:pStyle w:val="Textpoznpodarou"/>
              <w:jc w:val="both"/>
            </w:pPr>
            <w:r w:rsidRPr="0002083E">
              <w:t>Ceny zemědělských výrobců se snížily poprvé od roku 2009. Zatímco tehdy</w:t>
            </w:r>
            <w:r>
              <w:t xml:space="preserve"> </w:t>
            </w:r>
            <w:r w:rsidRPr="0002083E">
              <w:t>k propadu cen přispěla jak rostlinná, tak živočišná výroba, v roce 2014 to byla pouze rostlinná výroba. Také z tohoto důvodu byl pokles cen mnohem méně výrazný – jestliže v roce 2009 ceny zemědělských výrobců klesly o čtvrtinu, v roce 2014 jen o 3,7 %. I tento pokles, v porovnání s rokem 2009 pouze mírný, ovšem stačil na to, aby skrze výrobní řetězec snížil dynamiku cen potravin v obchodech (zeleniny, ovoce, ale také například pekárenských výrobků a obilovin) a tím přispěl k pokračující dezinflaci.</w:t>
            </w:r>
          </w:p>
          <w:p w:rsidR="003E68BC" w:rsidRPr="0002083E" w:rsidRDefault="003E68BC" w:rsidP="008C41F7">
            <w:pPr>
              <w:pStyle w:val="Textpoznpodarou"/>
              <w:jc w:val="both"/>
              <w:rPr>
                <w:sz w:val="16"/>
                <w:szCs w:val="16"/>
              </w:rPr>
            </w:pPr>
          </w:p>
        </w:tc>
      </w:tr>
      <w:tr w:rsidR="003E68BC" w:rsidRPr="0002083E" w:rsidTr="008C41F7">
        <w:tc>
          <w:tcPr>
            <w:tcW w:w="1055" w:type="pct"/>
          </w:tcPr>
          <w:p w:rsidR="003E68BC" w:rsidRPr="0002083E" w:rsidRDefault="003E68BC" w:rsidP="008C41F7">
            <w:pPr>
              <w:spacing w:line="240" w:lineRule="auto"/>
              <w:rPr>
                <w:sz w:val="16"/>
                <w:szCs w:val="16"/>
              </w:rPr>
            </w:pPr>
            <w:r w:rsidRPr="0002083E">
              <w:rPr>
                <w:sz w:val="16"/>
                <w:szCs w:val="16"/>
              </w:rPr>
              <w:t>Levněji než před rokem se vykupovaly všechny druhy sledovaných obilovin, ale také řepka, brambory, zelenina, ovoce</w:t>
            </w:r>
          </w:p>
        </w:tc>
        <w:tc>
          <w:tcPr>
            <w:tcW w:w="144" w:type="pct"/>
          </w:tcPr>
          <w:p w:rsidR="003E68BC" w:rsidRPr="0002083E" w:rsidRDefault="003E68BC" w:rsidP="008C41F7">
            <w:pPr>
              <w:pStyle w:val="Textpoznpodarou"/>
              <w:jc w:val="both"/>
            </w:pPr>
          </w:p>
        </w:tc>
        <w:tc>
          <w:tcPr>
            <w:tcW w:w="3801" w:type="pct"/>
          </w:tcPr>
          <w:p w:rsidR="003E68BC" w:rsidRPr="0002083E" w:rsidRDefault="003E68BC" w:rsidP="008C41F7">
            <w:pPr>
              <w:pStyle w:val="Textpoznpodarou"/>
              <w:jc w:val="both"/>
              <w:rPr>
                <w:spacing w:val="-2"/>
              </w:rPr>
            </w:pPr>
            <w:r w:rsidRPr="0002083E">
              <w:rPr>
                <w:spacing w:val="-2"/>
              </w:rPr>
              <w:t>Rostlinná výroba, která v roce 2013 podražila o 5,1 % a její ceny tak byly historicky vůbec nejvyšší (v porovnání s rokem 2005 o tři čtvrtiny), v roce 2014 o 10,3 % zlevnila. Hlavním důvodem, který za tímto poklesem stál, byla dobrá úroda, a to nejen ve světě, ale i v samotné ČR. Tak například výnosy obilovin narostly o 17,2 %, řepky o 14,6 %, brambor – kterých se v roce 2013 vlivem nepříznivého počasí urodilo velmi málo – dokonce o 25,8 %. Takto vysoké růsty výnosů, při relativně malé změně osevních ploch, logicky vedly k nárůstu nabídky produktů na trhu, a v logice věci k tlaku na pokles cen. Obiloviny se tak vykupovaly o 14,0 % levněji než v roce předchozím, řepka o 11,2 % a brambory o 10,4 %. Snížily se ale i ceny zeleniny a zahradnických produktů (-5,3 %), zlevnilo také ovoce (-12,8 %).</w:t>
            </w:r>
          </w:p>
          <w:p w:rsidR="003E68BC" w:rsidRPr="0002083E" w:rsidRDefault="003E68BC" w:rsidP="008C41F7">
            <w:pPr>
              <w:pStyle w:val="Textpoznpodarou"/>
              <w:jc w:val="both"/>
              <w:rPr>
                <w:sz w:val="16"/>
                <w:szCs w:val="16"/>
              </w:rPr>
            </w:pPr>
          </w:p>
        </w:tc>
      </w:tr>
      <w:tr w:rsidR="003E68BC" w:rsidRPr="0002083E" w:rsidTr="008C41F7">
        <w:trPr>
          <w:trHeight w:val="1515"/>
        </w:trPr>
        <w:tc>
          <w:tcPr>
            <w:tcW w:w="1055" w:type="pct"/>
          </w:tcPr>
          <w:p w:rsidR="003E68BC" w:rsidRPr="0002083E" w:rsidRDefault="003E68BC" w:rsidP="008C41F7">
            <w:pPr>
              <w:spacing w:line="240" w:lineRule="auto"/>
              <w:rPr>
                <w:sz w:val="16"/>
                <w:szCs w:val="16"/>
              </w:rPr>
            </w:pPr>
            <w:r w:rsidRPr="0002083E">
              <w:rPr>
                <w:sz w:val="16"/>
                <w:szCs w:val="16"/>
              </w:rPr>
              <w:t>Ceny mléka stouply v roce 2014 o 13,1 %…</w:t>
            </w:r>
          </w:p>
        </w:tc>
        <w:tc>
          <w:tcPr>
            <w:tcW w:w="144" w:type="pct"/>
          </w:tcPr>
          <w:p w:rsidR="003E68BC" w:rsidRPr="0002083E" w:rsidRDefault="003E68BC" w:rsidP="008C41F7">
            <w:pPr>
              <w:pStyle w:val="Textpoznpodarou"/>
              <w:jc w:val="both"/>
            </w:pPr>
          </w:p>
        </w:tc>
        <w:tc>
          <w:tcPr>
            <w:tcW w:w="3801" w:type="pct"/>
          </w:tcPr>
          <w:p w:rsidR="003E68BC" w:rsidRPr="0002083E" w:rsidRDefault="003E68BC" w:rsidP="008C41F7">
            <w:pPr>
              <w:pStyle w:val="Textpoznpodarou"/>
              <w:jc w:val="both"/>
            </w:pPr>
            <w:r w:rsidRPr="0002083E">
              <w:t>Ceny živočišné výroby pokračovaly v trendu nastoleném v roce 2010 i nadále, zvýšily se o 4,9 %. Zatímco v roce 2013 k jejich zvýšení pozitivně přispěly rostoucí ceny hospodářských zvířat i mléka, v roce 2014 již výkupní ceny hospodářských zvířat klesly (-1,5 %). To ale neplatilo pro mléko, jeho ceny narostl</w:t>
            </w:r>
            <w:r>
              <w:t>y – zřejmě zejména vlivem silné</w:t>
            </w:r>
            <w:r w:rsidRPr="0002083E">
              <w:t xml:space="preserve"> poptávky po výrobcích z mléka ve světě – o poměrně vysokých 13,1 %. </w:t>
            </w:r>
          </w:p>
          <w:p w:rsidR="003E68BC" w:rsidRPr="0002083E" w:rsidRDefault="003E68BC" w:rsidP="008C41F7">
            <w:pPr>
              <w:pStyle w:val="Textpoznpodarou"/>
              <w:jc w:val="both"/>
              <w:rPr>
                <w:sz w:val="16"/>
                <w:szCs w:val="16"/>
              </w:rPr>
            </w:pPr>
          </w:p>
        </w:tc>
      </w:tr>
      <w:tr w:rsidR="003E68BC" w:rsidRPr="0002083E" w:rsidTr="008C41F7">
        <w:trPr>
          <w:trHeight w:val="1590"/>
        </w:trPr>
        <w:tc>
          <w:tcPr>
            <w:tcW w:w="1055" w:type="pct"/>
          </w:tcPr>
          <w:p w:rsidR="003E68BC" w:rsidRPr="0002083E" w:rsidRDefault="003E68BC" w:rsidP="008C41F7">
            <w:pPr>
              <w:spacing w:line="240" w:lineRule="auto"/>
              <w:rPr>
                <w:sz w:val="16"/>
                <w:szCs w:val="16"/>
              </w:rPr>
            </w:pPr>
            <w:r w:rsidRPr="0002083E">
              <w:rPr>
                <w:sz w:val="16"/>
                <w:szCs w:val="16"/>
              </w:rPr>
              <w:t xml:space="preserve">…a výraznou měrou přispěly k tomu, že úhrnné zisky zemědělců meziročně vzrostly </w:t>
            </w:r>
            <w:r>
              <w:rPr>
                <w:sz w:val="16"/>
                <w:szCs w:val="16"/>
              </w:rPr>
              <w:t>o tři desetiny</w:t>
            </w:r>
          </w:p>
        </w:tc>
        <w:tc>
          <w:tcPr>
            <w:tcW w:w="144" w:type="pct"/>
          </w:tcPr>
          <w:p w:rsidR="003E68BC" w:rsidRPr="0002083E" w:rsidRDefault="003E68BC" w:rsidP="008C41F7">
            <w:pPr>
              <w:pStyle w:val="Textpoznpodarou"/>
              <w:jc w:val="both"/>
            </w:pPr>
          </w:p>
        </w:tc>
        <w:tc>
          <w:tcPr>
            <w:tcW w:w="3801" w:type="pct"/>
          </w:tcPr>
          <w:p w:rsidR="003E68BC" w:rsidRPr="0002083E" w:rsidRDefault="003E68BC" w:rsidP="008C41F7">
            <w:pPr>
              <w:pStyle w:val="Textpoznpodarou"/>
              <w:jc w:val="both"/>
            </w:pPr>
            <w:r w:rsidRPr="0002083E">
              <w:t>Výrazný nárůst cen mléka v roce 2014 byl jednou z příčin toho, že zemědělci mohly rok 2014 označit za rok úspěšný. Podle</w:t>
            </w:r>
            <w:r>
              <w:t xml:space="preserve"> předběžných výsledků</w:t>
            </w:r>
            <w:r w:rsidRPr="0002083E">
              <w:t xml:space="preserve"> souhrnného zemědělského účtu dosáhly úhrnné zisky zemědělců v pojetí čistého provozního přebytku </w:t>
            </w:r>
            <w:r>
              <w:t>a </w:t>
            </w:r>
            <w:r w:rsidRPr="0002083E">
              <w:t>smíšeného důc</w:t>
            </w:r>
            <w:r>
              <w:t>hodu nominálně 29,3 mld. korun, nejvyšší hodnoty</w:t>
            </w:r>
            <w:r w:rsidRPr="0002083E">
              <w:t xml:space="preserve"> od</w:t>
            </w:r>
            <w:r>
              <w:t> </w:t>
            </w:r>
            <w:r w:rsidRPr="0002083E">
              <w:t xml:space="preserve">roku 1998, od kdy jsou srovnatelné údaje k dispozici. </w:t>
            </w:r>
            <w:r>
              <w:t>V meziročním srovnání</w:t>
            </w:r>
            <w:r w:rsidRPr="0002083E">
              <w:t xml:space="preserve"> </w:t>
            </w:r>
            <w:r>
              <w:t xml:space="preserve">stouply </w:t>
            </w:r>
            <w:r w:rsidRPr="0002083E">
              <w:t xml:space="preserve">o </w:t>
            </w:r>
            <w:r>
              <w:t>tři desetiny.</w:t>
            </w:r>
          </w:p>
          <w:p w:rsidR="003E68BC" w:rsidRPr="0002083E" w:rsidRDefault="003E68BC" w:rsidP="008C41F7">
            <w:pPr>
              <w:pStyle w:val="Textpoznpodarou"/>
              <w:jc w:val="both"/>
              <w:rPr>
                <w:sz w:val="16"/>
                <w:szCs w:val="16"/>
              </w:rPr>
            </w:pPr>
          </w:p>
        </w:tc>
      </w:tr>
      <w:tr w:rsidR="003E68BC" w:rsidRPr="0002083E" w:rsidTr="008C41F7">
        <w:tc>
          <w:tcPr>
            <w:tcW w:w="1055" w:type="pct"/>
          </w:tcPr>
          <w:p w:rsidR="003E68BC" w:rsidRPr="0002083E" w:rsidRDefault="003E68BC" w:rsidP="008C41F7">
            <w:pPr>
              <w:spacing w:line="240" w:lineRule="auto"/>
              <w:rPr>
                <w:sz w:val="16"/>
                <w:szCs w:val="16"/>
              </w:rPr>
            </w:pPr>
            <w:r w:rsidRPr="0002083E">
              <w:rPr>
                <w:sz w:val="16"/>
                <w:szCs w:val="16"/>
              </w:rPr>
              <w:t>Pokles cen průmyslových výrobců v roce 2014 způsoben pokračujícím snižováním cen uhlí a lednovým zlevněním elektřiny a plynu</w:t>
            </w:r>
          </w:p>
        </w:tc>
        <w:tc>
          <w:tcPr>
            <w:tcW w:w="144" w:type="pct"/>
          </w:tcPr>
          <w:p w:rsidR="003E68BC" w:rsidRPr="0002083E" w:rsidRDefault="003E68BC" w:rsidP="008C41F7">
            <w:pPr>
              <w:pStyle w:val="Textpoznpodarou"/>
              <w:jc w:val="both"/>
            </w:pPr>
          </w:p>
        </w:tc>
        <w:tc>
          <w:tcPr>
            <w:tcW w:w="3801" w:type="pct"/>
          </w:tcPr>
          <w:p w:rsidR="003E68BC" w:rsidRPr="0002083E" w:rsidRDefault="003E68BC" w:rsidP="008C41F7">
            <w:pPr>
              <w:pStyle w:val="Textpoznpodarou"/>
              <w:jc w:val="both"/>
              <w:rPr>
                <w:sz w:val="14"/>
                <w:szCs w:val="14"/>
              </w:rPr>
            </w:pPr>
            <w:r w:rsidRPr="0002083E">
              <w:t>Dezinflačním směrem přispíval v roce 2014 i cenový vývoj v průmyslu. Ceny v této části výrobního řetězce klesly o 0,8 %, poprvé za posledních pět let. Zatímco v roce 2009 byl pokles cen v průmyslu (-3,1 %) iniciován ojedinělým snížením cen uhlí a hlubokým propadem cen ropy na světovém komoditním trhu (barel ropy Brent zlevnil během druhé poloviny roku 2008 ze zhruba 130 amerických dolarů na pouhých 40), v roce 2014 již několik let trvajícím poklesem cen uhlí a poměrně výrazným lednovým zlevněním v energetice. To se týkalo – stejně jako v případě domácností – elektřiny i plynu.</w:t>
            </w:r>
          </w:p>
        </w:tc>
      </w:tr>
    </w:tbl>
    <w:p w:rsidR="003E68BC" w:rsidRPr="00D37F8B" w:rsidRDefault="003E68BC" w:rsidP="003E68BC">
      <w:pPr>
        <w:rPr>
          <w:sz w:val="16"/>
          <w:szCs w:val="16"/>
        </w:rPr>
      </w:pPr>
    </w:p>
    <w:tbl>
      <w:tblPr>
        <w:tblW w:w="5000" w:type="pct"/>
        <w:tblLook w:val="04A0"/>
      </w:tblPr>
      <w:tblGrid>
        <w:gridCol w:w="1245"/>
        <w:gridCol w:w="838"/>
        <w:gridCol w:w="294"/>
        <w:gridCol w:w="2550"/>
        <w:gridCol w:w="1142"/>
        <w:gridCol w:w="855"/>
        <w:gridCol w:w="2930"/>
      </w:tblGrid>
      <w:tr w:rsidR="003E68BC" w:rsidRPr="0002083E" w:rsidTr="008C41F7">
        <w:tc>
          <w:tcPr>
            <w:tcW w:w="632" w:type="pct"/>
          </w:tcPr>
          <w:p w:rsidR="003E68BC" w:rsidRPr="0002083E" w:rsidRDefault="003E68BC" w:rsidP="008C41F7">
            <w:pPr>
              <w:pStyle w:val="Textpoznpodarou"/>
            </w:pPr>
            <w:r w:rsidRPr="0002083E">
              <w:t>Graf č. 12</w:t>
            </w:r>
          </w:p>
        </w:tc>
        <w:tc>
          <w:tcPr>
            <w:tcW w:w="1869" w:type="pct"/>
            <w:gridSpan w:val="3"/>
          </w:tcPr>
          <w:p w:rsidR="003E68BC" w:rsidRPr="0002083E" w:rsidRDefault="003E68BC" w:rsidP="008C41F7">
            <w:pPr>
              <w:pStyle w:val="Textpoznpodarou"/>
              <w:rPr>
                <w:spacing w:val="-6"/>
              </w:rPr>
            </w:pPr>
            <w:r w:rsidRPr="0002083E">
              <w:rPr>
                <w:b/>
                <w:spacing w:val="-6"/>
              </w:rPr>
              <w:t xml:space="preserve">Ceny zemědělských výrobců </w:t>
            </w:r>
            <w:r w:rsidRPr="0002083E">
              <w:rPr>
                <w:spacing w:val="-6"/>
              </w:rPr>
              <w:t>(y/y v %)</w:t>
            </w:r>
          </w:p>
        </w:tc>
        <w:tc>
          <w:tcPr>
            <w:tcW w:w="579" w:type="pct"/>
          </w:tcPr>
          <w:p w:rsidR="003E68BC" w:rsidRPr="0002083E" w:rsidRDefault="003E68BC" w:rsidP="008C41F7">
            <w:pPr>
              <w:pStyle w:val="Textpoznpodarou"/>
            </w:pPr>
            <w:r w:rsidRPr="0002083E">
              <w:t>Graf č. 13</w:t>
            </w:r>
          </w:p>
        </w:tc>
        <w:tc>
          <w:tcPr>
            <w:tcW w:w="1920" w:type="pct"/>
            <w:gridSpan w:val="2"/>
          </w:tcPr>
          <w:p w:rsidR="003E68BC" w:rsidRPr="0002083E" w:rsidRDefault="003E68BC" w:rsidP="008C41F7">
            <w:pPr>
              <w:pStyle w:val="Textpoznpodarou"/>
            </w:pPr>
            <w:r w:rsidRPr="0002083E">
              <w:rPr>
                <w:b/>
                <w:spacing w:val="-6"/>
              </w:rPr>
              <w:t xml:space="preserve">Ceny průmyslových výrobců </w:t>
            </w:r>
            <w:r w:rsidRPr="0002083E">
              <w:rPr>
                <w:spacing w:val="-6"/>
              </w:rPr>
              <w:t>(y/y v %)</w:t>
            </w:r>
          </w:p>
        </w:tc>
      </w:tr>
      <w:tr w:rsidR="003E68BC" w:rsidRPr="0002083E" w:rsidTr="008C41F7">
        <w:tc>
          <w:tcPr>
            <w:tcW w:w="2501" w:type="pct"/>
            <w:gridSpan w:val="4"/>
          </w:tcPr>
          <w:p w:rsidR="003E68BC" w:rsidRPr="0002083E" w:rsidRDefault="002A2083" w:rsidP="008C41F7">
            <w:pPr>
              <w:pStyle w:val="Textpoznpodarou"/>
              <w:jc w:val="both"/>
            </w:pPr>
            <w:r>
              <w:rPr>
                <w:noProof/>
              </w:rPr>
              <w:pict>
                <v:shape id="_x0000_i1074" type="#_x0000_t75" style="width:237pt;height:186pt;visibility:visible;mso-wrap-style:square">
                  <v:imagedata r:id="rId62" o:title=""/>
                </v:shape>
              </w:pict>
            </w:r>
          </w:p>
        </w:tc>
        <w:tc>
          <w:tcPr>
            <w:tcW w:w="2499" w:type="pct"/>
            <w:gridSpan w:val="3"/>
          </w:tcPr>
          <w:p w:rsidR="003E68BC" w:rsidRPr="0002083E" w:rsidRDefault="002A2083" w:rsidP="008C41F7">
            <w:pPr>
              <w:pStyle w:val="Textpoznpodarou"/>
              <w:jc w:val="both"/>
            </w:pPr>
            <w:r>
              <w:rPr>
                <w:noProof/>
              </w:rPr>
              <w:pict>
                <v:shape id="_x0000_i1075" type="#_x0000_t75" style="width:237pt;height:186pt;visibility:visible;mso-wrap-style:square">
                  <v:imagedata r:id="rId63" o:title=""/>
                </v:shape>
              </w:pict>
            </w:r>
          </w:p>
        </w:tc>
      </w:tr>
      <w:tr w:rsidR="003E68BC" w:rsidRPr="0002083E" w:rsidTr="008C41F7">
        <w:tc>
          <w:tcPr>
            <w:tcW w:w="3513" w:type="pct"/>
            <w:gridSpan w:val="6"/>
          </w:tcPr>
          <w:p w:rsidR="003E68BC" w:rsidRPr="0002083E" w:rsidRDefault="003E68BC" w:rsidP="008C41F7">
            <w:pPr>
              <w:pStyle w:val="Textpoznpodarou"/>
              <w:rPr>
                <w:noProof/>
                <w:sz w:val="18"/>
                <w:szCs w:val="18"/>
              </w:rPr>
            </w:pPr>
          </w:p>
        </w:tc>
        <w:tc>
          <w:tcPr>
            <w:tcW w:w="1487" w:type="pct"/>
          </w:tcPr>
          <w:p w:rsidR="003E68BC" w:rsidRPr="0002083E" w:rsidRDefault="003E68BC" w:rsidP="008C41F7">
            <w:pPr>
              <w:pStyle w:val="Textpoznpodarou"/>
              <w:jc w:val="right"/>
              <w:rPr>
                <w:noProof/>
              </w:rPr>
            </w:pPr>
            <w:r w:rsidRPr="0002083E">
              <w:rPr>
                <w:sz w:val="18"/>
                <w:szCs w:val="18"/>
              </w:rPr>
              <w:t>Zdroj: ČSÚ</w:t>
            </w:r>
          </w:p>
        </w:tc>
      </w:tr>
      <w:tr w:rsidR="003E68BC" w:rsidRPr="0002083E" w:rsidTr="008C41F7">
        <w:tblPrEx>
          <w:tblLook w:val="00A0"/>
        </w:tblPrEx>
        <w:tc>
          <w:tcPr>
            <w:tcW w:w="1057" w:type="pct"/>
            <w:gridSpan w:val="2"/>
          </w:tcPr>
          <w:p w:rsidR="003E68BC" w:rsidRPr="0002083E" w:rsidRDefault="003E68BC" w:rsidP="008C41F7">
            <w:pPr>
              <w:spacing w:line="240" w:lineRule="auto"/>
              <w:rPr>
                <w:sz w:val="16"/>
                <w:szCs w:val="16"/>
              </w:rPr>
            </w:pPr>
            <w:r>
              <w:rPr>
                <w:sz w:val="16"/>
                <w:szCs w:val="16"/>
              </w:rPr>
              <w:lastRenderedPageBreak/>
              <w:t>Posilující</w:t>
            </w:r>
            <w:r w:rsidRPr="0002083E">
              <w:rPr>
                <w:sz w:val="16"/>
                <w:szCs w:val="16"/>
              </w:rPr>
              <w:t xml:space="preserve"> poptávka a</w:t>
            </w:r>
            <w:r>
              <w:rPr>
                <w:sz w:val="16"/>
                <w:szCs w:val="16"/>
              </w:rPr>
              <w:t> </w:t>
            </w:r>
            <w:r w:rsidRPr="0002083E">
              <w:rPr>
                <w:sz w:val="16"/>
                <w:szCs w:val="16"/>
              </w:rPr>
              <w:t>slabší koruna, to jsou dva hlav</w:t>
            </w:r>
            <w:r>
              <w:rPr>
                <w:sz w:val="16"/>
                <w:szCs w:val="16"/>
              </w:rPr>
              <w:t xml:space="preserve">ní faktory stojící za </w:t>
            </w:r>
            <w:r w:rsidRPr="0002083E">
              <w:rPr>
                <w:sz w:val="16"/>
                <w:szCs w:val="16"/>
              </w:rPr>
              <w:t>vyšším růstem cen ve zpracovatelském průmyslu</w:t>
            </w:r>
          </w:p>
        </w:tc>
        <w:tc>
          <w:tcPr>
            <w:tcW w:w="149" w:type="pct"/>
          </w:tcPr>
          <w:p w:rsidR="003E68BC" w:rsidRPr="0002083E" w:rsidRDefault="003E68BC" w:rsidP="008C41F7">
            <w:pPr>
              <w:pStyle w:val="Textpoznpodarou"/>
              <w:jc w:val="both"/>
            </w:pPr>
          </w:p>
        </w:tc>
        <w:tc>
          <w:tcPr>
            <w:tcW w:w="3793" w:type="pct"/>
            <w:gridSpan w:val="4"/>
          </w:tcPr>
          <w:p w:rsidR="003E68BC" w:rsidRPr="00B65674" w:rsidRDefault="003E68BC" w:rsidP="008C41F7">
            <w:pPr>
              <w:pStyle w:val="Textpoznpodarou"/>
              <w:jc w:val="both"/>
            </w:pPr>
            <w:r w:rsidRPr="00B65674">
              <w:t>Navzdory tomu, že ceny v průmyslu v roce 2014 o 0,8 % klesly, výrobky samotného zpracovatelského průmyslu o 1,0 % podražily. Ceny zpracovatelů se zvýšily už popáté, přitom dynamika jejich přírůstku v porovnání s rokem předchozím narostla (v roce 2013 +0,2 %). Lze se domnívat, že na vyšším růstu cen zpracovatelů než v roce předchozím participovala posilující poptávka, ale také slabší koruna. Ta se promítala do cen vstupů (zpracovatelé za suroviny a meziprodukty z dovozu platili v korunovém vyjádření více</w:t>
            </w:r>
            <w:r w:rsidRPr="00B65674">
              <w:rPr>
                <w:lang w:val="en-US"/>
              </w:rPr>
              <w:t>;</w:t>
            </w:r>
            <w:r w:rsidRPr="00B65674">
              <w:t xml:space="preserve"> vzhledem k tomu, že mnoho obchodů na tuzemském trhu probíhá v eurech, pak jim zřejmě podražily i vstupy pocházející od domácích producentů) a v logice věci se zrcadlila i v cenách výstupu. Navíc, jestliže vývozně zaměřeným zpracovatelům narostly díky slabší koruně příjmy z vývozu, pak nelze vyloučit, že měli zájem dosáhnout vyšších příjmů i z prodejů na tuzemském trhu. I tento efekt tak mohl stát za zrychleným růstem cen zpracovatelů.</w:t>
            </w:r>
          </w:p>
          <w:p w:rsidR="003E68BC" w:rsidRPr="0002083E" w:rsidRDefault="003E68BC" w:rsidP="008C41F7">
            <w:pPr>
              <w:pStyle w:val="Textpoznpodarou"/>
              <w:jc w:val="both"/>
              <w:rPr>
                <w:sz w:val="12"/>
                <w:szCs w:val="12"/>
              </w:rPr>
            </w:pPr>
          </w:p>
        </w:tc>
      </w:tr>
      <w:tr w:rsidR="003E68BC" w:rsidRPr="0002083E" w:rsidTr="008C41F7">
        <w:tblPrEx>
          <w:tblLook w:val="00A0"/>
        </w:tblPrEx>
        <w:tc>
          <w:tcPr>
            <w:tcW w:w="1057" w:type="pct"/>
            <w:gridSpan w:val="2"/>
          </w:tcPr>
          <w:p w:rsidR="003E68BC" w:rsidRPr="0002083E" w:rsidRDefault="003E68BC" w:rsidP="008C41F7">
            <w:pPr>
              <w:spacing w:line="240" w:lineRule="auto"/>
              <w:rPr>
                <w:sz w:val="16"/>
                <w:szCs w:val="16"/>
              </w:rPr>
            </w:pPr>
            <w:r w:rsidRPr="0002083E">
              <w:rPr>
                <w:sz w:val="16"/>
                <w:szCs w:val="16"/>
              </w:rPr>
              <w:t>Ze zpracovatelů zlevnili jen producenti koksu a rafinovaných ropných produktů (vlivem nižších nákladů na zakoupení ropy ve druhé půlce roku), producenti základních farmaceutických výrobků a potravináři</w:t>
            </w:r>
          </w:p>
        </w:tc>
        <w:tc>
          <w:tcPr>
            <w:tcW w:w="149" w:type="pct"/>
          </w:tcPr>
          <w:p w:rsidR="003E68BC" w:rsidRPr="0002083E" w:rsidRDefault="003E68BC" w:rsidP="008C41F7">
            <w:pPr>
              <w:pStyle w:val="Textpoznpodarou"/>
              <w:jc w:val="both"/>
            </w:pPr>
          </w:p>
        </w:tc>
        <w:tc>
          <w:tcPr>
            <w:tcW w:w="3793" w:type="pct"/>
            <w:gridSpan w:val="4"/>
          </w:tcPr>
          <w:p w:rsidR="003E68BC" w:rsidRPr="0002083E" w:rsidRDefault="003E68BC" w:rsidP="008C41F7">
            <w:pPr>
              <w:pStyle w:val="Textpoznpodarou"/>
              <w:jc w:val="both"/>
              <w:rPr>
                <w:spacing w:val="-2"/>
              </w:rPr>
            </w:pPr>
            <w:r w:rsidRPr="0002083E">
              <w:rPr>
                <w:spacing w:val="-2"/>
              </w:rPr>
              <w:t xml:space="preserve">Z klasifikace CZ-CPA je zřejmé (dle </w:t>
            </w:r>
            <w:proofErr w:type="spellStart"/>
            <w:r w:rsidRPr="0002083E">
              <w:rPr>
                <w:spacing w:val="-2"/>
              </w:rPr>
              <w:t>subsekcí</w:t>
            </w:r>
            <w:proofErr w:type="spellEnd"/>
            <w:r w:rsidRPr="0002083E">
              <w:rPr>
                <w:spacing w:val="-2"/>
              </w:rPr>
              <w:t xml:space="preserve">), že v roce 2014 své ceny nadprůměrně zvýšili výrobci dopravních prostředků (+3,5 %), ale také na ně částečně navázaní producenti obecných kovů a kovodělných výrobků (+2,4 %) nebo pryžových a plastových výrobků (+1,5 %). O 1,2 % narostly ceny producentů PC, elektronických a optických přístrojů. Z méně významných (co se týče podílu na celkové hrubé přidané hodnotě ekonomiky) znatelně podražily firmy, jejichž činnost spočívá ve zpracování dřeva, výrobě papíru a v tisku (+3,6 %), nadprůměrně ceny narostly i výrobcům textilu, oděvů a usní (+2,4 %). Ve zbývajících </w:t>
            </w:r>
            <w:proofErr w:type="spellStart"/>
            <w:r w:rsidRPr="0002083E">
              <w:rPr>
                <w:spacing w:val="-2"/>
              </w:rPr>
              <w:t>subsekcích</w:t>
            </w:r>
            <w:proofErr w:type="spellEnd"/>
            <w:r w:rsidRPr="0002083E">
              <w:rPr>
                <w:spacing w:val="-2"/>
              </w:rPr>
              <w:t xml:space="preserve"> se ceny zvýšily podprůměrně, přímo </w:t>
            </w:r>
            <w:r>
              <w:rPr>
                <w:spacing w:val="-2"/>
              </w:rPr>
              <w:t>zlevnili</w:t>
            </w:r>
            <w:r w:rsidRPr="0002083E">
              <w:rPr>
                <w:spacing w:val="-2"/>
              </w:rPr>
              <w:t xml:space="preserve"> ovšem jen výrobci koksu a rafinovaných ropných produktů (-1,9 %), základních farmaceutických výrobků (-1,6 %), mírně pak potravináři (-0,3 %).</w:t>
            </w:r>
          </w:p>
          <w:p w:rsidR="003E68BC" w:rsidRPr="0002083E" w:rsidRDefault="003E68BC" w:rsidP="008C41F7">
            <w:pPr>
              <w:pStyle w:val="Textpoznpodarou"/>
              <w:jc w:val="both"/>
              <w:rPr>
                <w:sz w:val="10"/>
                <w:szCs w:val="10"/>
              </w:rPr>
            </w:pPr>
          </w:p>
        </w:tc>
      </w:tr>
      <w:tr w:rsidR="003E68BC" w:rsidRPr="0002083E" w:rsidTr="008C41F7">
        <w:tblPrEx>
          <w:tblLook w:val="00A0"/>
        </w:tblPrEx>
        <w:tc>
          <w:tcPr>
            <w:tcW w:w="1057" w:type="pct"/>
            <w:gridSpan w:val="2"/>
          </w:tcPr>
          <w:p w:rsidR="003E68BC" w:rsidRPr="0002083E" w:rsidRDefault="003E68BC" w:rsidP="008C41F7">
            <w:pPr>
              <w:spacing w:line="240" w:lineRule="auto"/>
              <w:rPr>
                <w:spacing w:val="-4"/>
                <w:sz w:val="16"/>
                <w:szCs w:val="16"/>
              </w:rPr>
            </w:pPr>
            <w:r w:rsidRPr="0002083E">
              <w:rPr>
                <w:spacing w:val="-4"/>
                <w:sz w:val="16"/>
                <w:szCs w:val="16"/>
              </w:rPr>
              <w:t xml:space="preserve">Ceny stavebních prací vzrostly v roce 2014 poprvé za posledních pět let, … </w:t>
            </w:r>
          </w:p>
        </w:tc>
        <w:tc>
          <w:tcPr>
            <w:tcW w:w="149" w:type="pct"/>
          </w:tcPr>
          <w:p w:rsidR="003E68BC" w:rsidRPr="0002083E" w:rsidRDefault="003E68BC" w:rsidP="008C41F7">
            <w:pPr>
              <w:pStyle w:val="Textpoznpodarou"/>
              <w:jc w:val="both"/>
            </w:pPr>
          </w:p>
        </w:tc>
        <w:tc>
          <w:tcPr>
            <w:tcW w:w="3793" w:type="pct"/>
            <w:gridSpan w:val="4"/>
          </w:tcPr>
          <w:p w:rsidR="003E68BC" w:rsidRPr="0002083E" w:rsidRDefault="003E68BC" w:rsidP="008C41F7">
            <w:pPr>
              <w:pStyle w:val="Textpoznpodarou"/>
              <w:jc w:val="both"/>
            </w:pPr>
            <w:r w:rsidRPr="0002083E">
              <w:t>Čtyři roky trvající pokles cen stavebních prací se v roce 2014 již zastavil. Proti roku 2013 se ceny zvýšily o 0,5 %, v porovnání s rokem 2009 nicméně setrvávaly o rovná 2 % nižší.</w:t>
            </w:r>
          </w:p>
          <w:p w:rsidR="003E68BC" w:rsidRPr="0002083E" w:rsidRDefault="003E68BC" w:rsidP="008C41F7">
            <w:pPr>
              <w:pStyle w:val="Textpoznpodarou"/>
              <w:jc w:val="both"/>
              <w:rPr>
                <w:sz w:val="12"/>
                <w:szCs w:val="12"/>
              </w:rPr>
            </w:pPr>
          </w:p>
        </w:tc>
      </w:tr>
      <w:tr w:rsidR="003E68BC" w:rsidRPr="0002083E" w:rsidTr="008C41F7">
        <w:tblPrEx>
          <w:tblLook w:val="00A0"/>
        </w:tblPrEx>
        <w:trPr>
          <w:trHeight w:val="1410"/>
        </w:trPr>
        <w:tc>
          <w:tcPr>
            <w:tcW w:w="1057" w:type="pct"/>
            <w:gridSpan w:val="2"/>
          </w:tcPr>
          <w:p w:rsidR="003E68BC" w:rsidRPr="0002083E" w:rsidRDefault="003E68BC" w:rsidP="008C41F7">
            <w:pPr>
              <w:spacing w:line="240" w:lineRule="auto"/>
              <w:rPr>
                <w:sz w:val="16"/>
                <w:szCs w:val="16"/>
              </w:rPr>
            </w:pPr>
            <w:r w:rsidRPr="0002083E">
              <w:rPr>
                <w:sz w:val="16"/>
                <w:szCs w:val="16"/>
              </w:rPr>
              <w:t>…jejich přírůstek byl ale pouze střídmý</w:t>
            </w:r>
          </w:p>
        </w:tc>
        <w:tc>
          <w:tcPr>
            <w:tcW w:w="149" w:type="pct"/>
          </w:tcPr>
          <w:p w:rsidR="003E68BC" w:rsidRPr="0002083E" w:rsidRDefault="003E68BC" w:rsidP="008C41F7">
            <w:pPr>
              <w:pStyle w:val="Textpoznpodarou"/>
              <w:jc w:val="both"/>
            </w:pPr>
          </w:p>
        </w:tc>
        <w:tc>
          <w:tcPr>
            <w:tcW w:w="3793" w:type="pct"/>
            <w:gridSpan w:val="4"/>
          </w:tcPr>
          <w:p w:rsidR="003E68BC" w:rsidRPr="00531864" w:rsidRDefault="003E68BC" w:rsidP="008C41F7">
            <w:pPr>
              <w:pStyle w:val="Textpoznpodarou"/>
              <w:jc w:val="both"/>
            </w:pPr>
            <w:r w:rsidRPr="00531864">
              <w:t xml:space="preserve">Jestliže v letech konjunktury české ekonomiky 2004-2008 narůstaly ceny stavebních prací v průměru o 3,6 % za rok, v roce obnoveného růstu 2014 jen zhruba </w:t>
            </w:r>
            <w:proofErr w:type="spellStart"/>
            <w:r w:rsidRPr="00531864">
              <w:t>sedminovým</w:t>
            </w:r>
            <w:proofErr w:type="spellEnd"/>
            <w:r w:rsidRPr="00531864">
              <w:t> tempem. Firmy si i přes opětovné posílení poptávky po stavebních činnostech větší zdražení nemohly dovolit. Stavebnictví totiž i nadále zůstávalo odvětvím vysoce konkurenčním, a to i přesto, že se během let 2009</w:t>
            </w:r>
            <w:r>
              <w:t xml:space="preserve"> až </w:t>
            </w:r>
            <w:r w:rsidRPr="00531864">
              <w:t>2014 počet aktivních firem ve stavebnictví (těch, které evidují 20 zaměstnanců a</w:t>
            </w:r>
            <w:r>
              <w:t> </w:t>
            </w:r>
            <w:r w:rsidRPr="00531864">
              <w:t>více) zmenšil téměř o čtvrtinu (z 2,69 tis. firem na konci roku 2008 na 2,08 tis. firem na konci roku 2014).</w:t>
            </w:r>
          </w:p>
          <w:p w:rsidR="003E68BC" w:rsidRPr="0002083E" w:rsidRDefault="003E68BC" w:rsidP="008C41F7">
            <w:pPr>
              <w:pStyle w:val="Textpoznpodarou"/>
              <w:jc w:val="both"/>
              <w:rPr>
                <w:sz w:val="12"/>
                <w:szCs w:val="12"/>
              </w:rPr>
            </w:pPr>
          </w:p>
        </w:tc>
      </w:tr>
      <w:tr w:rsidR="003E68BC" w:rsidRPr="0002083E" w:rsidTr="008C41F7">
        <w:tblPrEx>
          <w:tblLook w:val="00A0"/>
        </w:tblPrEx>
        <w:tc>
          <w:tcPr>
            <w:tcW w:w="1057" w:type="pct"/>
            <w:gridSpan w:val="2"/>
          </w:tcPr>
          <w:p w:rsidR="003E68BC" w:rsidRPr="0002083E" w:rsidRDefault="00DF5343" w:rsidP="00DF5343">
            <w:pPr>
              <w:spacing w:line="240" w:lineRule="auto"/>
              <w:rPr>
                <w:sz w:val="16"/>
                <w:szCs w:val="16"/>
              </w:rPr>
            </w:pPr>
            <w:r>
              <w:rPr>
                <w:sz w:val="16"/>
                <w:szCs w:val="16"/>
              </w:rPr>
              <w:t>Ceny budov a inženýrských děl rostly zhruba stejně</w:t>
            </w:r>
          </w:p>
        </w:tc>
        <w:tc>
          <w:tcPr>
            <w:tcW w:w="149" w:type="pct"/>
          </w:tcPr>
          <w:p w:rsidR="003E68BC" w:rsidRPr="0002083E" w:rsidRDefault="003E68BC" w:rsidP="008C41F7">
            <w:pPr>
              <w:pStyle w:val="Textpoznpodarou"/>
              <w:jc w:val="both"/>
            </w:pPr>
          </w:p>
        </w:tc>
        <w:tc>
          <w:tcPr>
            <w:tcW w:w="3793" w:type="pct"/>
            <w:gridSpan w:val="4"/>
          </w:tcPr>
          <w:p w:rsidR="003E68BC" w:rsidRPr="00B65674" w:rsidRDefault="003E68BC" w:rsidP="00DF5343">
            <w:pPr>
              <w:pStyle w:val="Textpoznpodarou"/>
              <w:jc w:val="both"/>
              <w:rPr>
                <w:spacing w:val="-2"/>
              </w:rPr>
            </w:pPr>
            <w:r w:rsidRPr="00B65674">
              <w:rPr>
                <w:spacing w:val="-2"/>
              </w:rPr>
              <w:t>Nárůst cen stavebních prací v roce 2014 byl rovnoměrně rozprostřen mezi budovy (+0,5 %) a inženýrská díla (+0,4 %). Zatímco ceny samotných nebytových budov stouply o 0,6 %, bytových o 0,4 %. Z inženýrských děl nejvíce narostly ceny dopravních staveb (+0,5 %)</w:t>
            </w:r>
            <w:r w:rsidR="00DF5343">
              <w:rPr>
                <w:spacing w:val="-2"/>
              </w:rPr>
              <w:t>.</w:t>
            </w:r>
          </w:p>
        </w:tc>
      </w:tr>
    </w:tbl>
    <w:p w:rsidR="003E68BC" w:rsidRPr="009C7B34" w:rsidRDefault="003E68BC" w:rsidP="003E68BC">
      <w:pPr>
        <w:rPr>
          <w:sz w:val="12"/>
          <w:szCs w:val="12"/>
        </w:rPr>
      </w:pPr>
    </w:p>
    <w:tbl>
      <w:tblPr>
        <w:tblW w:w="5000" w:type="pct"/>
        <w:tblLook w:val="04A0"/>
      </w:tblPr>
      <w:tblGrid>
        <w:gridCol w:w="679"/>
        <w:gridCol w:w="1406"/>
        <w:gridCol w:w="294"/>
        <w:gridCol w:w="2548"/>
        <w:gridCol w:w="1141"/>
        <w:gridCol w:w="866"/>
        <w:gridCol w:w="2920"/>
      </w:tblGrid>
      <w:tr w:rsidR="003E68BC" w:rsidRPr="0002083E" w:rsidTr="008C41F7">
        <w:tc>
          <w:tcPr>
            <w:tcW w:w="344" w:type="pct"/>
          </w:tcPr>
          <w:p w:rsidR="003E68BC" w:rsidRPr="0002083E" w:rsidRDefault="003E68BC" w:rsidP="008C41F7">
            <w:pPr>
              <w:pStyle w:val="Textpoznpodarou"/>
            </w:pPr>
            <w:r w:rsidRPr="0002083E">
              <w:t>Graf č. 14</w:t>
            </w:r>
          </w:p>
        </w:tc>
        <w:tc>
          <w:tcPr>
            <w:tcW w:w="2155" w:type="pct"/>
            <w:gridSpan w:val="3"/>
          </w:tcPr>
          <w:p w:rsidR="003E68BC" w:rsidRPr="0002083E" w:rsidRDefault="003E68BC" w:rsidP="008C41F7">
            <w:pPr>
              <w:pStyle w:val="Textpoznpodarou"/>
              <w:rPr>
                <w:spacing w:val="-6"/>
              </w:rPr>
            </w:pPr>
            <w:r w:rsidRPr="0002083E">
              <w:rPr>
                <w:b/>
                <w:spacing w:val="-6"/>
              </w:rPr>
              <w:t xml:space="preserve">Ceny stavebních prací </w:t>
            </w:r>
            <w:r w:rsidRPr="0002083E">
              <w:rPr>
                <w:spacing w:val="-6"/>
              </w:rPr>
              <w:t xml:space="preserve">(y/y v %) </w:t>
            </w:r>
            <w:r w:rsidRPr="0002083E">
              <w:rPr>
                <w:b/>
                <w:spacing w:val="-6"/>
              </w:rPr>
              <w:t>a hodnota nových stavebních zakázek</w:t>
            </w:r>
            <w:r w:rsidRPr="0002083E">
              <w:rPr>
                <w:spacing w:val="-6"/>
              </w:rPr>
              <w:t xml:space="preserve"> (y/y v %, stavební podniky nad 50 zaměstnanců)</w:t>
            </w:r>
          </w:p>
        </w:tc>
        <w:tc>
          <w:tcPr>
            <w:tcW w:w="579" w:type="pct"/>
          </w:tcPr>
          <w:p w:rsidR="003E68BC" w:rsidRPr="0002083E" w:rsidRDefault="003E68BC" w:rsidP="008C41F7">
            <w:pPr>
              <w:pStyle w:val="Textpoznpodarou"/>
            </w:pPr>
            <w:r w:rsidRPr="0002083E">
              <w:t>Graf č. 15</w:t>
            </w:r>
          </w:p>
        </w:tc>
        <w:tc>
          <w:tcPr>
            <w:tcW w:w="1921" w:type="pct"/>
            <w:gridSpan w:val="2"/>
          </w:tcPr>
          <w:p w:rsidR="003E68BC" w:rsidRPr="0002083E" w:rsidRDefault="003E68BC" w:rsidP="008C41F7">
            <w:pPr>
              <w:pStyle w:val="Textpoznpodarou"/>
            </w:pPr>
            <w:r w:rsidRPr="0002083E">
              <w:rPr>
                <w:b/>
                <w:spacing w:val="-6"/>
              </w:rPr>
              <w:t xml:space="preserve">Ceny tržních služeb </w:t>
            </w:r>
            <w:r w:rsidRPr="0002083E">
              <w:rPr>
                <w:spacing w:val="-6"/>
              </w:rPr>
              <w:t>(y/y v %)</w:t>
            </w:r>
          </w:p>
        </w:tc>
      </w:tr>
      <w:tr w:rsidR="003E68BC" w:rsidRPr="0002083E" w:rsidTr="008C41F7">
        <w:tc>
          <w:tcPr>
            <w:tcW w:w="2499" w:type="pct"/>
            <w:gridSpan w:val="4"/>
          </w:tcPr>
          <w:p w:rsidR="003E68BC" w:rsidRPr="0002083E" w:rsidRDefault="002A2083" w:rsidP="008C41F7">
            <w:pPr>
              <w:pStyle w:val="Textpoznpodarou"/>
              <w:jc w:val="both"/>
            </w:pPr>
            <w:r>
              <w:rPr>
                <w:noProof/>
              </w:rPr>
              <w:pict>
                <v:shape id="_x0000_i1076" type="#_x0000_t75" style="width:237pt;height:186pt;visibility:visible;mso-wrap-style:square">
                  <v:imagedata r:id="rId64" o:title=""/>
                </v:shape>
              </w:pict>
            </w:r>
          </w:p>
        </w:tc>
        <w:tc>
          <w:tcPr>
            <w:tcW w:w="2501" w:type="pct"/>
            <w:gridSpan w:val="3"/>
          </w:tcPr>
          <w:p w:rsidR="003E68BC" w:rsidRPr="0002083E" w:rsidRDefault="002A2083" w:rsidP="008C41F7">
            <w:pPr>
              <w:pStyle w:val="Textpoznpodarou"/>
              <w:jc w:val="both"/>
            </w:pPr>
            <w:r>
              <w:rPr>
                <w:noProof/>
              </w:rPr>
              <w:pict>
                <v:shape id="_x0000_i1077" type="#_x0000_t75" style="width:237pt;height:186pt;visibility:visible;mso-wrap-style:square">
                  <v:imagedata r:id="rId65" o:title=""/>
                </v:shape>
              </w:pict>
            </w:r>
          </w:p>
        </w:tc>
      </w:tr>
      <w:tr w:rsidR="003E68BC" w:rsidRPr="0002083E" w:rsidTr="008C41F7">
        <w:tc>
          <w:tcPr>
            <w:tcW w:w="3517" w:type="pct"/>
            <w:gridSpan w:val="6"/>
          </w:tcPr>
          <w:p w:rsidR="003E68BC" w:rsidRPr="0002083E" w:rsidRDefault="003E68BC" w:rsidP="008C41F7">
            <w:pPr>
              <w:pStyle w:val="Textpoznpodarou"/>
              <w:rPr>
                <w:noProof/>
                <w:sz w:val="18"/>
                <w:szCs w:val="18"/>
              </w:rPr>
            </w:pPr>
          </w:p>
        </w:tc>
        <w:tc>
          <w:tcPr>
            <w:tcW w:w="1483" w:type="pct"/>
          </w:tcPr>
          <w:p w:rsidR="003E68BC" w:rsidRPr="0002083E" w:rsidRDefault="003E68BC" w:rsidP="008C41F7">
            <w:pPr>
              <w:pStyle w:val="Textpoznpodarou"/>
              <w:jc w:val="right"/>
              <w:rPr>
                <w:noProof/>
              </w:rPr>
            </w:pPr>
            <w:r w:rsidRPr="0002083E">
              <w:rPr>
                <w:sz w:val="18"/>
                <w:szCs w:val="18"/>
              </w:rPr>
              <w:t>Zdroj: ČSÚ</w:t>
            </w:r>
          </w:p>
        </w:tc>
      </w:tr>
      <w:tr w:rsidR="003E68BC" w:rsidRPr="0002083E" w:rsidTr="008C41F7">
        <w:tblPrEx>
          <w:tblLook w:val="00A0"/>
        </w:tblPrEx>
        <w:tc>
          <w:tcPr>
            <w:tcW w:w="1057" w:type="pct"/>
            <w:gridSpan w:val="2"/>
          </w:tcPr>
          <w:p w:rsidR="003E68BC" w:rsidRPr="0002083E" w:rsidRDefault="003E68BC" w:rsidP="008C41F7">
            <w:pPr>
              <w:spacing w:line="240" w:lineRule="auto"/>
              <w:rPr>
                <w:sz w:val="16"/>
                <w:szCs w:val="16"/>
              </w:rPr>
            </w:pPr>
            <w:r w:rsidRPr="0002083E">
              <w:rPr>
                <w:sz w:val="16"/>
                <w:szCs w:val="16"/>
              </w:rPr>
              <w:lastRenderedPageBreak/>
              <w:t xml:space="preserve">Na mírném zvýšení cen tržních služeb v roce 2014 se podílely zejména finanční služby, ale také </w:t>
            </w:r>
            <w:r>
              <w:rPr>
                <w:sz w:val="16"/>
                <w:szCs w:val="16"/>
              </w:rPr>
              <w:t>silniční nákladní doprava</w:t>
            </w:r>
          </w:p>
        </w:tc>
        <w:tc>
          <w:tcPr>
            <w:tcW w:w="149" w:type="pct"/>
          </w:tcPr>
          <w:p w:rsidR="003E68BC" w:rsidRPr="0002083E" w:rsidRDefault="003E68BC" w:rsidP="008C41F7">
            <w:pPr>
              <w:pStyle w:val="Textpoznpodarou"/>
              <w:jc w:val="both"/>
            </w:pPr>
          </w:p>
        </w:tc>
        <w:tc>
          <w:tcPr>
            <w:tcW w:w="3794" w:type="pct"/>
            <w:gridSpan w:val="4"/>
          </w:tcPr>
          <w:p w:rsidR="003E68BC" w:rsidRPr="0002083E" w:rsidRDefault="003E68BC" w:rsidP="008C41F7">
            <w:pPr>
              <w:pStyle w:val="Textpoznpodarou"/>
              <w:jc w:val="both"/>
            </w:pPr>
            <w:r w:rsidRPr="0002083E">
              <w:t>Ceny tržních služeb, které v letech recese české ekonomiky 2012 a 2013 klesly o 0,6 % a 1,5 %, v roce 2014 již mírně stouply. Narostly o 0,3 %. K jejich zvýšení největším dílem přispělo nemalé zdražení finančních služeb (peněžních zprostředkovatelských služeb a pojištění motorových vozidel), ale také střídmější nárůst cen objemově významné silniční</w:t>
            </w:r>
            <w:r>
              <w:t xml:space="preserve"> nákladní dopravy</w:t>
            </w:r>
            <w:r w:rsidRPr="0002083E">
              <w:t>. Nebýt značného poklesu cen</w:t>
            </w:r>
            <w:r>
              <w:t xml:space="preserve"> v segmentu telekomunikačních služeb</w:t>
            </w:r>
            <w:r w:rsidRPr="0002083E">
              <w:t xml:space="preserve"> (k faktickému zlevňování docházelo v důsledku tvrdých konkurenčních bojů mezi poskytovateli sice již v první půlce roku 2013, na ceny v roce 2014 ale působila vysoká srovnávací základna), mohly tržní služby v úhrnu podražit</w:t>
            </w:r>
            <w:r>
              <w:t xml:space="preserve"> nikoliv o 0,3 %, ale</w:t>
            </w:r>
            <w:r w:rsidRPr="0002083E">
              <w:t xml:space="preserve"> o 1,0 %.</w:t>
            </w:r>
          </w:p>
          <w:p w:rsidR="003E68BC" w:rsidRPr="0002083E" w:rsidRDefault="003E68BC" w:rsidP="008C41F7">
            <w:pPr>
              <w:pStyle w:val="Textpoznpodarou"/>
              <w:jc w:val="both"/>
              <w:rPr>
                <w:sz w:val="16"/>
                <w:szCs w:val="16"/>
              </w:rPr>
            </w:pPr>
          </w:p>
        </w:tc>
      </w:tr>
      <w:tr w:rsidR="003E68BC" w:rsidRPr="0002083E" w:rsidTr="008C41F7">
        <w:tblPrEx>
          <w:tblLook w:val="00A0"/>
        </w:tblPrEx>
        <w:tc>
          <w:tcPr>
            <w:tcW w:w="1057" w:type="pct"/>
            <w:gridSpan w:val="2"/>
          </w:tcPr>
          <w:p w:rsidR="003E68BC" w:rsidRPr="0002083E" w:rsidRDefault="003E68BC" w:rsidP="008C41F7">
            <w:pPr>
              <w:spacing w:line="240" w:lineRule="auto"/>
              <w:rPr>
                <w:spacing w:val="-4"/>
                <w:sz w:val="16"/>
                <w:szCs w:val="16"/>
              </w:rPr>
            </w:pPr>
            <w:r w:rsidRPr="0002083E">
              <w:rPr>
                <w:spacing w:val="-4"/>
                <w:sz w:val="16"/>
                <w:szCs w:val="16"/>
              </w:rPr>
              <w:t>Dlouhodobý růst cen v segmentu tržních služeb pokulhává</w:t>
            </w:r>
          </w:p>
        </w:tc>
        <w:tc>
          <w:tcPr>
            <w:tcW w:w="149" w:type="pct"/>
          </w:tcPr>
          <w:p w:rsidR="003E68BC" w:rsidRPr="0002083E" w:rsidRDefault="003E68BC" w:rsidP="008C41F7">
            <w:pPr>
              <w:pStyle w:val="Textpoznpodarou"/>
              <w:jc w:val="both"/>
            </w:pPr>
          </w:p>
        </w:tc>
        <w:tc>
          <w:tcPr>
            <w:tcW w:w="3794" w:type="pct"/>
            <w:gridSpan w:val="4"/>
          </w:tcPr>
          <w:p w:rsidR="003E68BC" w:rsidRPr="0002083E" w:rsidRDefault="003E68BC" w:rsidP="008C41F7">
            <w:pPr>
              <w:pStyle w:val="Textpoznpodarou"/>
              <w:jc w:val="both"/>
            </w:pPr>
            <w:r w:rsidRPr="0002083E">
              <w:t>Proti roku 2004 narostly ceny tržních služeb o 7,9 %. V průmy</w:t>
            </w:r>
            <w:r w:rsidR="00E635DD">
              <w:t>slu za stejné období ale stouply</w:t>
            </w:r>
            <w:r w:rsidRPr="0002083E">
              <w:t xml:space="preserve"> o 20,4 %. Pokud vezmeme v potaz, jaký podíl z celkového výkonu české</w:t>
            </w:r>
            <w:r>
              <w:t xml:space="preserve"> ekonomiky vytváří služby (44,6</w:t>
            </w:r>
            <w:r w:rsidRPr="0002083E">
              <w:t xml:space="preserve"> % bez zahrnutí veřejné správy a obrany, vzdělávání, zdravotní a sociální péče, tedy bez CZ-NACE O-Q) a jaký průmysl (</w:t>
            </w:r>
            <w:r>
              <w:t>32,4</w:t>
            </w:r>
            <w:r w:rsidRPr="0002083E">
              <w:t xml:space="preserve"> %), a také, jaký podíl zaměstnanců v těchto segmentech pracuje (</w:t>
            </w:r>
            <w:r>
              <w:t>39,9</w:t>
            </w:r>
            <w:r w:rsidRPr="0002083E">
              <w:t xml:space="preserve"> % vs. 30,8 %), pak tato disproporce nevyznívá příliš příznivě. Zatímco v méně významném průmyslu moh</w:t>
            </w:r>
            <w:r w:rsidR="00FF0B85">
              <w:t>ly zisky díky vysokému růstu cen</w:t>
            </w:r>
            <w:r w:rsidRPr="0002083E">
              <w:t xml:space="preserve"> narůstat relativně dynamicky a projevovat se i ve značném zvyšování mezd zaměstnanců, ve službách k takto příznivým tendencím zřejmě docházet nemohlo.</w:t>
            </w:r>
          </w:p>
          <w:p w:rsidR="003E68BC" w:rsidRPr="0002083E" w:rsidRDefault="003E68BC" w:rsidP="008C41F7">
            <w:pPr>
              <w:pStyle w:val="Textpoznpodarou"/>
              <w:jc w:val="both"/>
              <w:rPr>
                <w:sz w:val="16"/>
                <w:szCs w:val="16"/>
              </w:rPr>
            </w:pPr>
          </w:p>
        </w:tc>
      </w:tr>
      <w:tr w:rsidR="003E68BC" w:rsidRPr="0002083E" w:rsidTr="008C41F7">
        <w:tblPrEx>
          <w:tblLook w:val="00A0"/>
        </w:tblPrEx>
        <w:trPr>
          <w:trHeight w:val="1795"/>
        </w:trPr>
        <w:tc>
          <w:tcPr>
            <w:tcW w:w="1057" w:type="pct"/>
            <w:gridSpan w:val="2"/>
          </w:tcPr>
          <w:p w:rsidR="003E68BC" w:rsidRPr="0002083E" w:rsidRDefault="003E68BC" w:rsidP="008C41F7">
            <w:pPr>
              <w:spacing w:line="240" w:lineRule="auto"/>
              <w:rPr>
                <w:sz w:val="16"/>
                <w:szCs w:val="16"/>
              </w:rPr>
            </w:pPr>
            <w:r w:rsidRPr="0002083E">
              <w:rPr>
                <w:sz w:val="16"/>
                <w:szCs w:val="16"/>
              </w:rPr>
              <w:t>Za zprostředkování zaměstnání si agentury v roce 2014 účtovaly ceny, které byly o 14,7 % vyšší než v roce 2012</w:t>
            </w:r>
          </w:p>
        </w:tc>
        <w:tc>
          <w:tcPr>
            <w:tcW w:w="149" w:type="pct"/>
          </w:tcPr>
          <w:p w:rsidR="003E68BC" w:rsidRPr="0002083E" w:rsidRDefault="003E68BC" w:rsidP="008C41F7">
            <w:pPr>
              <w:pStyle w:val="Textpoznpodarou"/>
              <w:jc w:val="both"/>
            </w:pPr>
          </w:p>
        </w:tc>
        <w:tc>
          <w:tcPr>
            <w:tcW w:w="3794" w:type="pct"/>
            <w:gridSpan w:val="4"/>
          </w:tcPr>
          <w:p w:rsidR="003E68BC" w:rsidRPr="0002083E" w:rsidRDefault="003E68BC" w:rsidP="00DF5343">
            <w:pPr>
              <w:pStyle w:val="Textpoznpodarou"/>
              <w:jc w:val="both"/>
            </w:pPr>
            <w:r w:rsidRPr="0002083E">
              <w:t>Z tržních služeb v roc</w:t>
            </w:r>
            <w:r w:rsidR="00DF5343">
              <w:t xml:space="preserve">e 2014 nejdynamičtěji narostly </w:t>
            </w:r>
            <w:r w:rsidRPr="0002083E">
              <w:t>ceny poštovních a kurýrních služeb (zdražení o 4,9 % bylo důsledkem skokového nárůstu cen „poštovních služeb poskytovaných na základě poštovní licence“ v srpnu 2013). V těsném závěsu je následovaly ceny služeb v oblasti zaměstnání (+4,8 %), tedy služeb pracovních agentur. Z nich podražily zejména služby agentur zprostředkujících zaměstnání (+5,6 %), příliš ovšem nezaostávaly ani služby agentur zprostředkujících pracovníky na přechodnou dobu (+4,6 %).</w:t>
            </w:r>
          </w:p>
        </w:tc>
      </w:tr>
    </w:tbl>
    <w:p w:rsidR="003E68BC" w:rsidRPr="006D05EE" w:rsidRDefault="003E68BC" w:rsidP="003E68BC">
      <w:pPr>
        <w:pStyle w:val="Nadpis2"/>
        <w:ind w:left="1080"/>
        <w:rPr>
          <w:sz w:val="16"/>
          <w:szCs w:val="16"/>
        </w:rPr>
      </w:pPr>
    </w:p>
    <w:p w:rsidR="003E68BC" w:rsidRPr="00AD306C" w:rsidRDefault="003E68BC" w:rsidP="008B0C8B">
      <w:pPr>
        <w:pStyle w:val="Nadpis2"/>
        <w:numPr>
          <w:ilvl w:val="1"/>
          <w:numId w:val="5"/>
        </w:numPr>
      </w:pPr>
      <w:bookmarkStart w:id="22" w:name="_Toc426017664"/>
      <w:r>
        <w:t>Ceny v zahraničním obchodě se zbožím</w:t>
      </w:r>
      <w:bookmarkEnd w:id="22"/>
    </w:p>
    <w:tbl>
      <w:tblPr>
        <w:tblW w:w="5000" w:type="pct"/>
        <w:tblLook w:val="00A0"/>
      </w:tblPr>
      <w:tblGrid>
        <w:gridCol w:w="2083"/>
        <w:gridCol w:w="294"/>
        <w:gridCol w:w="7477"/>
      </w:tblGrid>
      <w:tr w:rsidR="003E68BC" w:rsidRPr="0002083E" w:rsidTr="008C41F7">
        <w:tc>
          <w:tcPr>
            <w:tcW w:w="1057" w:type="pct"/>
          </w:tcPr>
          <w:p w:rsidR="003E68BC" w:rsidRPr="0002083E" w:rsidRDefault="003E68BC" w:rsidP="008C41F7">
            <w:pPr>
              <w:spacing w:line="240" w:lineRule="auto"/>
              <w:rPr>
                <w:sz w:val="16"/>
                <w:szCs w:val="16"/>
              </w:rPr>
            </w:pPr>
            <w:r w:rsidRPr="0002083E">
              <w:rPr>
                <w:sz w:val="16"/>
                <w:szCs w:val="16"/>
              </w:rPr>
              <w:t>Slabší koruna bránila dovozu deflace po celý rok 2014 …</w:t>
            </w:r>
          </w:p>
        </w:tc>
        <w:tc>
          <w:tcPr>
            <w:tcW w:w="149" w:type="pct"/>
          </w:tcPr>
          <w:p w:rsidR="003E68BC" w:rsidRPr="0002083E" w:rsidRDefault="003E68BC" w:rsidP="008C41F7">
            <w:pPr>
              <w:pStyle w:val="Textpoznpodarou"/>
              <w:jc w:val="both"/>
            </w:pPr>
          </w:p>
        </w:tc>
        <w:tc>
          <w:tcPr>
            <w:tcW w:w="3794" w:type="pct"/>
          </w:tcPr>
          <w:p w:rsidR="003E68BC" w:rsidRPr="0002083E" w:rsidRDefault="003E68BC" w:rsidP="008C41F7">
            <w:pPr>
              <w:pStyle w:val="Textpoznpodarou"/>
              <w:jc w:val="both"/>
            </w:pPr>
            <w:r w:rsidRPr="0002083E">
              <w:t>Jestli</w:t>
            </w:r>
            <w:r>
              <w:t>že v roce 2013 ceny dovozu</w:t>
            </w:r>
            <w:r w:rsidRPr="0002083E">
              <w:t xml:space="preserve"> o 0,2 % klesly a do ČR tak byla spolu se zbožím dovážena deflace, v roce 2014 </w:t>
            </w:r>
            <w:r>
              <w:t>už</w:t>
            </w:r>
            <w:r w:rsidRPr="0002083E">
              <w:t xml:space="preserve"> o 1,9 % stouply. Na jejich růstu měla zásadní podíl slabší koruna. Ta oslabila k oběma hlavním světovým měnám. K euru byla v roce 2014</w:t>
            </w:r>
            <w:r w:rsidR="000217F1">
              <w:t xml:space="preserve"> v důsledku devizové intervence ČNB slabší v průměru o 6,0 %, proti</w:t>
            </w:r>
            <w:r w:rsidRPr="0002083E">
              <w:t xml:space="preserve"> americkému dolaru </w:t>
            </w:r>
            <w:r w:rsidR="000217F1">
              <w:t>ztrácela</w:t>
            </w:r>
            <w:r w:rsidRPr="0002083E">
              <w:t xml:space="preserve"> 6,1 %.</w:t>
            </w:r>
          </w:p>
          <w:p w:rsidR="003E68BC" w:rsidRPr="0002083E" w:rsidRDefault="003E68BC" w:rsidP="008C41F7">
            <w:pPr>
              <w:pStyle w:val="Textpoznpodarou"/>
              <w:jc w:val="both"/>
              <w:rPr>
                <w:sz w:val="16"/>
                <w:szCs w:val="16"/>
              </w:rPr>
            </w:pPr>
          </w:p>
        </w:tc>
      </w:tr>
      <w:tr w:rsidR="003E68BC" w:rsidRPr="0002083E" w:rsidTr="008C41F7">
        <w:tc>
          <w:tcPr>
            <w:tcW w:w="1057" w:type="pct"/>
          </w:tcPr>
          <w:p w:rsidR="003E68BC" w:rsidRPr="0002083E" w:rsidRDefault="003E68BC" w:rsidP="000217F1">
            <w:pPr>
              <w:spacing w:line="240" w:lineRule="auto"/>
              <w:rPr>
                <w:sz w:val="16"/>
                <w:szCs w:val="16"/>
              </w:rPr>
            </w:pPr>
            <w:r w:rsidRPr="0002083E">
              <w:rPr>
                <w:sz w:val="16"/>
                <w:szCs w:val="16"/>
              </w:rPr>
              <w:t xml:space="preserve">… s výjimkou prosince, kdy efekt </w:t>
            </w:r>
            <w:r w:rsidR="000217F1">
              <w:rPr>
                <w:sz w:val="16"/>
                <w:szCs w:val="16"/>
              </w:rPr>
              <w:t>devizové intervence</w:t>
            </w:r>
            <w:r>
              <w:rPr>
                <w:sz w:val="16"/>
                <w:szCs w:val="16"/>
              </w:rPr>
              <w:t xml:space="preserve"> již vyprchal</w:t>
            </w:r>
          </w:p>
        </w:tc>
        <w:tc>
          <w:tcPr>
            <w:tcW w:w="149" w:type="pct"/>
          </w:tcPr>
          <w:p w:rsidR="003E68BC" w:rsidRPr="0002083E" w:rsidRDefault="003E68BC" w:rsidP="008C41F7">
            <w:pPr>
              <w:pStyle w:val="Textpoznpodarou"/>
              <w:jc w:val="both"/>
            </w:pPr>
          </w:p>
        </w:tc>
        <w:tc>
          <w:tcPr>
            <w:tcW w:w="3794" w:type="pct"/>
          </w:tcPr>
          <w:p w:rsidR="003E68BC" w:rsidRPr="0002083E" w:rsidRDefault="003E68BC" w:rsidP="008C41F7">
            <w:pPr>
              <w:pStyle w:val="Textpoznpodarou"/>
              <w:jc w:val="both"/>
            </w:pPr>
            <w:r w:rsidRPr="0002083E">
              <w:t>Ceny dovozu zboží byly v meziročním srovnání vyšší v průběhu celého roku 2014, vý</w:t>
            </w:r>
            <w:r>
              <w:t>jimkou byl jen prosinec, kdy</w:t>
            </w:r>
            <w:r w:rsidRPr="0002083E">
              <w:t xml:space="preserve"> o 1,9 % klesly. Efekt výrazného oslabení koruny k euru vyprchal (jestliže ještě v říjnu byla koruna k euru meziročně slabší o 7,5 %, v listopadu už jen o 2,8 % a v prosinci o pouhá 0,4 %), nadále posilující americky dolar sám o sobě poklesu dovozních cen zabránit nedokázal.</w:t>
            </w:r>
          </w:p>
        </w:tc>
      </w:tr>
    </w:tbl>
    <w:p w:rsidR="003E68BC" w:rsidRPr="006D05EE" w:rsidRDefault="003E68BC" w:rsidP="003E68BC">
      <w:pPr>
        <w:rPr>
          <w:sz w:val="16"/>
          <w:szCs w:val="16"/>
        </w:rPr>
      </w:pPr>
    </w:p>
    <w:tbl>
      <w:tblPr>
        <w:tblW w:w="5000" w:type="pct"/>
        <w:tblLook w:val="04A0"/>
      </w:tblPr>
      <w:tblGrid>
        <w:gridCol w:w="1105"/>
        <w:gridCol w:w="980"/>
        <w:gridCol w:w="299"/>
        <w:gridCol w:w="2544"/>
        <w:gridCol w:w="1152"/>
        <w:gridCol w:w="865"/>
        <w:gridCol w:w="2909"/>
      </w:tblGrid>
      <w:tr w:rsidR="003E68BC" w:rsidRPr="0002083E" w:rsidTr="008C41F7">
        <w:tc>
          <w:tcPr>
            <w:tcW w:w="561" w:type="pct"/>
          </w:tcPr>
          <w:p w:rsidR="003E68BC" w:rsidRPr="0002083E" w:rsidRDefault="003E68BC" w:rsidP="008C41F7">
            <w:pPr>
              <w:pStyle w:val="Textpoznpodarou"/>
            </w:pPr>
            <w:r w:rsidRPr="0002083E">
              <w:t>Graf č. 16</w:t>
            </w:r>
          </w:p>
        </w:tc>
        <w:tc>
          <w:tcPr>
            <w:tcW w:w="1940" w:type="pct"/>
            <w:gridSpan w:val="3"/>
          </w:tcPr>
          <w:p w:rsidR="003E68BC" w:rsidRPr="0002083E" w:rsidRDefault="003E68BC" w:rsidP="008C41F7">
            <w:pPr>
              <w:pStyle w:val="Textpoznpodarou"/>
              <w:rPr>
                <w:spacing w:val="-6"/>
              </w:rPr>
            </w:pPr>
            <w:r w:rsidRPr="0002083E">
              <w:rPr>
                <w:b/>
                <w:spacing w:val="-6"/>
              </w:rPr>
              <w:t xml:space="preserve">Ceny v zahraničním obchodě se zbožím </w:t>
            </w:r>
            <w:r w:rsidRPr="0002083E">
              <w:rPr>
                <w:spacing w:val="-6"/>
              </w:rPr>
              <w:t>(y/y v %)</w:t>
            </w:r>
          </w:p>
        </w:tc>
        <w:tc>
          <w:tcPr>
            <w:tcW w:w="584" w:type="pct"/>
          </w:tcPr>
          <w:p w:rsidR="003E68BC" w:rsidRPr="0002083E" w:rsidRDefault="003E68BC" w:rsidP="008C41F7">
            <w:pPr>
              <w:pStyle w:val="Textpoznpodarou"/>
            </w:pPr>
            <w:r w:rsidRPr="0002083E">
              <w:t>Graf č. 17</w:t>
            </w:r>
          </w:p>
        </w:tc>
        <w:tc>
          <w:tcPr>
            <w:tcW w:w="1915" w:type="pct"/>
            <w:gridSpan w:val="2"/>
          </w:tcPr>
          <w:p w:rsidR="003E68BC" w:rsidRPr="0002083E" w:rsidRDefault="003E68BC" w:rsidP="008C41F7">
            <w:pPr>
              <w:pStyle w:val="Textpoznpodarou"/>
            </w:pPr>
            <w:r w:rsidRPr="0002083E">
              <w:rPr>
                <w:b/>
                <w:spacing w:val="-6"/>
              </w:rPr>
              <w:t xml:space="preserve">Směnné relace v zahraničním obchodě se zbožím v roce 2014 </w:t>
            </w:r>
            <w:r w:rsidRPr="0002083E">
              <w:rPr>
                <w:spacing w:val="-6"/>
              </w:rPr>
              <w:t>(y/y v %)</w:t>
            </w:r>
          </w:p>
        </w:tc>
      </w:tr>
      <w:tr w:rsidR="003E68BC" w:rsidRPr="0002083E" w:rsidTr="008C41F7">
        <w:tc>
          <w:tcPr>
            <w:tcW w:w="2501" w:type="pct"/>
            <w:gridSpan w:val="4"/>
          </w:tcPr>
          <w:p w:rsidR="003E68BC" w:rsidRPr="0002083E" w:rsidRDefault="002A2083" w:rsidP="008C41F7">
            <w:pPr>
              <w:pStyle w:val="Textpoznpodarou"/>
              <w:jc w:val="both"/>
            </w:pPr>
            <w:r>
              <w:rPr>
                <w:noProof/>
              </w:rPr>
              <w:pict>
                <v:shape id="_x0000_i1078" type="#_x0000_t75" style="width:237.75pt;height:186pt;visibility:visible;mso-wrap-style:square">
                  <v:imagedata r:id="rId66" o:title=""/>
                </v:shape>
              </w:pict>
            </w:r>
          </w:p>
        </w:tc>
        <w:tc>
          <w:tcPr>
            <w:tcW w:w="2499" w:type="pct"/>
            <w:gridSpan w:val="3"/>
          </w:tcPr>
          <w:p w:rsidR="003E68BC" w:rsidRPr="0002083E" w:rsidRDefault="002A2083" w:rsidP="008C41F7">
            <w:pPr>
              <w:pStyle w:val="Textpoznpodarou"/>
              <w:jc w:val="both"/>
            </w:pPr>
            <w:r>
              <w:rPr>
                <w:noProof/>
              </w:rPr>
              <w:pict>
                <v:shape id="_x0000_i1079" type="#_x0000_t75" style="width:237.75pt;height:186pt;visibility:visible;mso-wrap-style:square">
                  <v:imagedata r:id="rId67" o:title=""/>
                </v:shape>
              </w:pict>
            </w:r>
          </w:p>
        </w:tc>
      </w:tr>
      <w:tr w:rsidR="003E68BC" w:rsidRPr="0002083E" w:rsidTr="008C41F7">
        <w:tc>
          <w:tcPr>
            <w:tcW w:w="3523" w:type="pct"/>
            <w:gridSpan w:val="6"/>
          </w:tcPr>
          <w:p w:rsidR="003E68BC" w:rsidRPr="0002083E" w:rsidRDefault="003E68BC" w:rsidP="008C41F7">
            <w:pPr>
              <w:pStyle w:val="Textpoznpodarou"/>
              <w:rPr>
                <w:noProof/>
                <w:sz w:val="18"/>
                <w:szCs w:val="18"/>
              </w:rPr>
            </w:pPr>
          </w:p>
        </w:tc>
        <w:tc>
          <w:tcPr>
            <w:tcW w:w="1477" w:type="pct"/>
          </w:tcPr>
          <w:p w:rsidR="003E68BC" w:rsidRPr="0002083E" w:rsidRDefault="003E68BC" w:rsidP="008C41F7">
            <w:pPr>
              <w:pStyle w:val="Textpoznpodarou"/>
              <w:jc w:val="right"/>
              <w:rPr>
                <w:noProof/>
              </w:rPr>
            </w:pPr>
            <w:r w:rsidRPr="0002083E">
              <w:rPr>
                <w:sz w:val="18"/>
                <w:szCs w:val="18"/>
              </w:rPr>
              <w:t>Zdroj: ČSÚ, vlastní výpočty</w:t>
            </w:r>
          </w:p>
        </w:tc>
      </w:tr>
      <w:tr w:rsidR="003E68BC" w:rsidRPr="0002083E" w:rsidTr="008C41F7">
        <w:tblPrEx>
          <w:tblLook w:val="00A0"/>
        </w:tblPrEx>
        <w:trPr>
          <w:trHeight w:val="851"/>
        </w:trPr>
        <w:tc>
          <w:tcPr>
            <w:tcW w:w="1058" w:type="pct"/>
            <w:gridSpan w:val="2"/>
          </w:tcPr>
          <w:p w:rsidR="003E68BC" w:rsidRPr="0002083E" w:rsidRDefault="003E68BC" w:rsidP="008C41F7">
            <w:pPr>
              <w:spacing w:line="240" w:lineRule="auto"/>
              <w:rPr>
                <w:sz w:val="16"/>
                <w:szCs w:val="16"/>
              </w:rPr>
            </w:pPr>
            <w:r w:rsidRPr="0002083E">
              <w:rPr>
                <w:sz w:val="16"/>
                <w:szCs w:val="16"/>
              </w:rPr>
              <w:lastRenderedPageBreak/>
              <w:t>Vyšší ceny dovozu v roce 2014 pod taktovkou strojů a dopravních prostředků, ale také polotovarů</w:t>
            </w:r>
          </w:p>
        </w:tc>
        <w:tc>
          <w:tcPr>
            <w:tcW w:w="151" w:type="pct"/>
          </w:tcPr>
          <w:p w:rsidR="003E68BC" w:rsidRPr="0002083E" w:rsidRDefault="003E68BC" w:rsidP="008C41F7">
            <w:pPr>
              <w:pStyle w:val="Textpoznpodarou"/>
              <w:jc w:val="both"/>
            </w:pPr>
          </w:p>
        </w:tc>
        <w:tc>
          <w:tcPr>
            <w:tcW w:w="3791" w:type="pct"/>
            <w:gridSpan w:val="4"/>
          </w:tcPr>
          <w:p w:rsidR="003E68BC" w:rsidRPr="0002083E" w:rsidRDefault="003E68BC" w:rsidP="008C41F7">
            <w:pPr>
              <w:pStyle w:val="Textpoznpodarou"/>
              <w:jc w:val="both"/>
            </w:pPr>
            <w:r w:rsidRPr="0002083E">
              <w:t>Z nomenklatury SITC je patrné, že v roce 2014 nejvíce narostly dovozní ceny potravin a živých zvířat (+4,4 %) a nápojů a tabáku (+4,1 %). Jejich dopad do celkových</w:t>
            </w:r>
            <w:r>
              <w:t xml:space="preserve"> dovozních</w:t>
            </w:r>
            <w:r w:rsidRPr="0002083E">
              <w:t xml:space="preserve"> cen, vhledem k jejich malému podílu na úhrnných dovozech zboží do ČR (společně mají zhruba 6 %), byl ovšem minimální. Naopak efekt umírněnějšího nárůstu cen dovozu strojů a dopravních prostředků (+3,5 %) a polotovarů (+3,2 %), které společně obstarávají zhruba šest desetin celkového dovozu zboží do ČR, byl značný.</w:t>
            </w:r>
          </w:p>
          <w:p w:rsidR="003E68BC" w:rsidRPr="0002083E" w:rsidRDefault="003E68BC" w:rsidP="008C41F7">
            <w:pPr>
              <w:pStyle w:val="Textpoznpodarou"/>
              <w:jc w:val="both"/>
            </w:pPr>
          </w:p>
        </w:tc>
      </w:tr>
      <w:tr w:rsidR="003E68BC" w:rsidRPr="0002083E" w:rsidTr="008C41F7">
        <w:tblPrEx>
          <w:tblLook w:val="00A0"/>
        </w:tblPrEx>
        <w:trPr>
          <w:trHeight w:val="851"/>
        </w:trPr>
        <w:tc>
          <w:tcPr>
            <w:tcW w:w="1058" w:type="pct"/>
            <w:gridSpan w:val="2"/>
          </w:tcPr>
          <w:p w:rsidR="003E68BC" w:rsidRPr="0002083E" w:rsidRDefault="003E68BC" w:rsidP="008C41F7">
            <w:pPr>
              <w:spacing w:line="240" w:lineRule="auto"/>
              <w:rPr>
                <w:sz w:val="16"/>
                <w:szCs w:val="16"/>
              </w:rPr>
            </w:pPr>
            <w:r>
              <w:rPr>
                <w:sz w:val="16"/>
                <w:szCs w:val="16"/>
              </w:rPr>
              <w:t xml:space="preserve">Z nižších dovozních cen </w:t>
            </w:r>
            <w:r w:rsidRPr="0002083E">
              <w:rPr>
                <w:sz w:val="16"/>
                <w:szCs w:val="16"/>
              </w:rPr>
              <w:t>profitovaly zejména podniky stojící na začátku výrobního řetězce</w:t>
            </w:r>
          </w:p>
        </w:tc>
        <w:tc>
          <w:tcPr>
            <w:tcW w:w="151" w:type="pct"/>
          </w:tcPr>
          <w:p w:rsidR="003E68BC" w:rsidRPr="0002083E" w:rsidRDefault="003E68BC" w:rsidP="008C41F7">
            <w:pPr>
              <w:pStyle w:val="Textpoznpodarou"/>
              <w:jc w:val="both"/>
            </w:pPr>
          </w:p>
        </w:tc>
        <w:tc>
          <w:tcPr>
            <w:tcW w:w="3791" w:type="pct"/>
            <w:gridSpan w:val="4"/>
          </w:tcPr>
          <w:p w:rsidR="003E68BC" w:rsidRPr="0002083E" w:rsidRDefault="003E68BC" w:rsidP="008C41F7">
            <w:pPr>
              <w:pStyle w:val="Textpoznpodarou"/>
              <w:jc w:val="both"/>
            </w:pPr>
            <w:r w:rsidRPr="0002083E">
              <w:t xml:space="preserve">Za nižší ceny než v roce 2013 se do ČR dovážely jen málo významné živočišné a rostlinné oleje (-7,8 %), ale také minerální paliva (-5,6 %) a tzv. ostatní suroviny (-3,3 %). Zatímco k poklesu cen minerálních paliv došlo zejména vlivem propadu cen ropy (posilující americký dolar pokles dovozních cen ropy jen mírnil), na snížení cen dovozu ostatních surovin </w:t>
            </w:r>
            <w:r>
              <w:t>se podílely především nižší ceny rud kovů a kovového odpadu, a také surového kaučuku.</w:t>
            </w:r>
          </w:p>
          <w:p w:rsidR="003E68BC" w:rsidRPr="0002083E" w:rsidRDefault="003E68BC" w:rsidP="008C41F7">
            <w:pPr>
              <w:pStyle w:val="Textpoznpodarou"/>
              <w:jc w:val="both"/>
            </w:pPr>
          </w:p>
        </w:tc>
      </w:tr>
      <w:tr w:rsidR="003E68BC" w:rsidRPr="0002083E" w:rsidTr="008C41F7">
        <w:tblPrEx>
          <w:tblLook w:val="00A0"/>
        </w:tblPrEx>
        <w:trPr>
          <w:trHeight w:val="851"/>
        </w:trPr>
        <w:tc>
          <w:tcPr>
            <w:tcW w:w="1058" w:type="pct"/>
            <w:gridSpan w:val="2"/>
          </w:tcPr>
          <w:p w:rsidR="003E68BC" w:rsidRPr="0002083E" w:rsidRDefault="003E68BC" w:rsidP="008C41F7">
            <w:pPr>
              <w:spacing w:line="240" w:lineRule="auto"/>
              <w:rPr>
                <w:sz w:val="16"/>
                <w:szCs w:val="16"/>
              </w:rPr>
            </w:pPr>
            <w:r w:rsidRPr="0002083E">
              <w:rPr>
                <w:sz w:val="16"/>
                <w:szCs w:val="16"/>
              </w:rPr>
              <w:t>Ceny vývozu vzrostly v roce 2014 o 3,5 %, nejvíce od vstupu ČR do Evropské unie</w:t>
            </w:r>
          </w:p>
        </w:tc>
        <w:tc>
          <w:tcPr>
            <w:tcW w:w="151" w:type="pct"/>
          </w:tcPr>
          <w:p w:rsidR="003E68BC" w:rsidRPr="0002083E" w:rsidRDefault="003E68BC" w:rsidP="008C41F7">
            <w:pPr>
              <w:pStyle w:val="Textpoznpodarou"/>
              <w:jc w:val="both"/>
            </w:pPr>
          </w:p>
        </w:tc>
        <w:tc>
          <w:tcPr>
            <w:tcW w:w="3791" w:type="pct"/>
            <w:gridSpan w:val="4"/>
          </w:tcPr>
          <w:p w:rsidR="003E68BC" w:rsidRPr="0002083E" w:rsidRDefault="003E68BC" w:rsidP="008C41F7">
            <w:pPr>
              <w:pStyle w:val="Textpoznpodarou"/>
              <w:jc w:val="both"/>
            </w:pPr>
            <w:r w:rsidRPr="0002083E">
              <w:t>Ceny vývozu zboží vzros</w:t>
            </w:r>
            <w:r>
              <w:t>tly v roce 2014 o 3,5 %, nejrychleji</w:t>
            </w:r>
            <w:r w:rsidRPr="0002083E">
              <w:t xml:space="preserve"> od roku 2004 (+3,7</w:t>
            </w:r>
            <w:r>
              <w:t> </w:t>
            </w:r>
            <w:r w:rsidRPr="0002083E">
              <w:t>%). Jestliže tehdy koruna k euru fakticky stagnovala a</w:t>
            </w:r>
            <w:r>
              <w:t xml:space="preserve"> k americkému dolaru posílila o 8,9 %, což znamená, že</w:t>
            </w:r>
            <w:r w:rsidRPr="0002083E">
              <w:t xml:space="preserve"> rů</w:t>
            </w:r>
            <w:r>
              <w:t>st cen vývozu zboží</w:t>
            </w:r>
            <w:r w:rsidRPr="0002083E">
              <w:t xml:space="preserve"> byl dán ryze </w:t>
            </w:r>
            <w:r>
              <w:t>schopností tuzemských exportérů, kterou podpořilo i začlenění</w:t>
            </w:r>
            <w:r w:rsidRPr="0002083E">
              <w:t xml:space="preserve"> ČR do EU, v roce 2014 </w:t>
            </w:r>
            <w:r>
              <w:t>vzrostly jen díky kurzu</w:t>
            </w:r>
            <w:r w:rsidRPr="0002083E">
              <w:t xml:space="preserve">. </w:t>
            </w:r>
            <w:r>
              <w:t>N</w:t>
            </w:r>
            <w:r w:rsidRPr="0002083E">
              <w:t>ebýt slabš</w:t>
            </w:r>
            <w:r>
              <w:t>í koruny, ceny vývozu by klesly, stejně jako by tomu bylo na straně cen dovozu.</w:t>
            </w:r>
          </w:p>
          <w:p w:rsidR="003E68BC" w:rsidRPr="0002083E" w:rsidRDefault="003E68BC" w:rsidP="008C41F7">
            <w:pPr>
              <w:pStyle w:val="Textpoznpodarou"/>
              <w:jc w:val="both"/>
            </w:pPr>
          </w:p>
        </w:tc>
      </w:tr>
      <w:tr w:rsidR="003E68BC" w:rsidRPr="0002083E" w:rsidTr="008C41F7">
        <w:tblPrEx>
          <w:tblLook w:val="00A0"/>
        </w:tblPrEx>
        <w:trPr>
          <w:trHeight w:val="851"/>
        </w:trPr>
        <w:tc>
          <w:tcPr>
            <w:tcW w:w="1058" w:type="pct"/>
            <w:gridSpan w:val="2"/>
          </w:tcPr>
          <w:p w:rsidR="003E68BC" w:rsidRPr="0002083E" w:rsidRDefault="003E68BC" w:rsidP="008C41F7">
            <w:pPr>
              <w:spacing w:line="240" w:lineRule="auto"/>
              <w:rPr>
                <w:sz w:val="16"/>
                <w:szCs w:val="16"/>
              </w:rPr>
            </w:pPr>
            <w:r w:rsidRPr="0002083E">
              <w:rPr>
                <w:sz w:val="16"/>
                <w:szCs w:val="16"/>
              </w:rPr>
              <w:t xml:space="preserve">Vysoký nárůst cen vývozu silničních vozidel </w:t>
            </w:r>
            <w:r>
              <w:rPr>
                <w:sz w:val="16"/>
                <w:szCs w:val="16"/>
              </w:rPr>
              <w:t>zvyšoval</w:t>
            </w:r>
            <w:r w:rsidRPr="0002083E">
              <w:rPr>
                <w:sz w:val="16"/>
                <w:szCs w:val="16"/>
              </w:rPr>
              <w:t xml:space="preserve"> zisky exportně orientovaného automobilového průmyslu</w:t>
            </w:r>
          </w:p>
        </w:tc>
        <w:tc>
          <w:tcPr>
            <w:tcW w:w="151" w:type="pct"/>
          </w:tcPr>
          <w:p w:rsidR="003E68BC" w:rsidRPr="0002083E" w:rsidRDefault="003E68BC" w:rsidP="008C41F7">
            <w:pPr>
              <w:pStyle w:val="Textpoznpodarou"/>
              <w:jc w:val="both"/>
            </w:pPr>
          </w:p>
        </w:tc>
        <w:tc>
          <w:tcPr>
            <w:tcW w:w="3791" w:type="pct"/>
            <w:gridSpan w:val="4"/>
          </w:tcPr>
          <w:p w:rsidR="003E68BC" w:rsidRPr="00B76D38" w:rsidRDefault="003E68BC" w:rsidP="008C41F7">
            <w:pPr>
              <w:pStyle w:val="Textpoznpodarou"/>
              <w:jc w:val="both"/>
            </w:pPr>
            <w:r w:rsidRPr="00B76D38">
              <w:t>Nejdynamičtěji v roce 2014 narostly vývozní ceny v případě nápojů a tabáku (+7,5 %). O 5,2 % stouply vývozní ceny polotovarů, o 4,4 % průmyslového spotřebního zboží. Shodně – o 3,7 % – podražil vývoz strojů a dopravních prostředků a ostatních surovin. Zatímco v případě strojů a dopravních prostředků stouply zejména ceny silničních vozidel</w:t>
            </w:r>
            <w:r>
              <w:t>, na vyšších cenách</w:t>
            </w:r>
            <w:r w:rsidRPr="00B76D38">
              <w:t xml:space="preserve"> ostatních surovin </w:t>
            </w:r>
            <w:r>
              <w:t>se podílel především nárůst cen korku</w:t>
            </w:r>
            <w:r w:rsidRPr="00B76D38">
              <w:t xml:space="preserve"> a dřeva, ale také vlákniny a sběrového papíru. Z jednotlivých tříd SITC vývozní ceny v roce 2014 klesly pouze u potravin a živých zvířat (-0,2 %) a živočišných a rostlinných olejů (-3,2 %), ale také v případě minerálních paliv (-5,0 %).</w:t>
            </w:r>
          </w:p>
          <w:p w:rsidR="003E68BC" w:rsidRPr="0002083E" w:rsidRDefault="003E68BC" w:rsidP="008C41F7">
            <w:pPr>
              <w:pStyle w:val="Textpoznpodarou"/>
              <w:jc w:val="both"/>
              <w:rPr>
                <w:spacing w:val="-2"/>
              </w:rPr>
            </w:pPr>
          </w:p>
        </w:tc>
      </w:tr>
      <w:tr w:rsidR="003E68BC" w:rsidRPr="0002083E" w:rsidTr="008C41F7">
        <w:tblPrEx>
          <w:tblLook w:val="00A0"/>
        </w:tblPrEx>
        <w:tc>
          <w:tcPr>
            <w:tcW w:w="1058" w:type="pct"/>
            <w:gridSpan w:val="2"/>
          </w:tcPr>
          <w:p w:rsidR="003E68BC" w:rsidRPr="0002083E" w:rsidRDefault="003E68BC" w:rsidP="008C41F7">
            <w:pPr>
              <w:spacing w:line="240" w:lineRule="auto"/>
              <w:rPr>
                <w:sz w:val="16"/>
                <w:szCs w:val="16"/>
              </w:rPr>
            </w:pPr>
            <w:r w:rsidRPr="0002083E">
              <w:rPr>
                <w:sz w:val="16"/>
                <w:szCs w:val="16"/>
              </w:rPr>
              <w:t>Směnné relace v zahraničním obchodě se zbožím se zlepšily i v roce 2014, …</w:t>
            </w:r>
          </w:p>
        </w:tc>
        <w:tc>
          <w:tcPr>
            <w:tcW w:w="151" w:type="pct"/>
          </w:tcPr>
          <w:p w:rsidR="003E68BC" w:rsidRPr="0002083E" w:rsidRDefault="003E68BC" w:rsidP="008C41F7">
            <w:pPr>
              <w:pStyle w:val="Textpoznpodarou"/>
              <w:jc w:val="both"/>
            </w:pPr>
          </w:p>
        </w:tc>
        <w:tc>
          <w:tcPr>
            <w:tcW w:w="3791" w:type="pct"/>
            <w:gridSpan w:val="4"/>
          </w:tcPr>
          <w:p w:rsidR="003E68BC" w:rsidRPr="0002083E" w:rsidRDefault="003E68BC" w:rsidP="008C41F7">
            <w:pPr>
              <w:pStyle w:val="Textpoznpodarou"/>
              <w:jc w:val="both"/>
            </w:pPr>
            <w:r w:rsidRPr="0002083E">
              <w:t xml:space="preserve">Příznivý vývoj cen v zahraničním obchodě se zbožím, ze kterého česká ekonomika těžila poprvé po třech letech již v roce 2013, pokračoval i v roce </w:t>
            </w:r>
            <w:r>
              <w:t>2014</w:t>
            </w:r>
            <w:r w:rsidRPr="0002083E">
              <w:t>. Zatímco v roce 2013 se směnné relace vlivem nárůstu cen vývozu (+1,2 %) ve</w:t>
            </w:r>
            <w:r>
              <w:t> </w:t>
            </w:r>
            <w:r w:rsidRPr="0002083E">
              <w:t>spojení s poklesem cen dovozu (-0,2 %) zlepšily o 1,4 %, v roce 2014 vlivem dynamičtějšího přírůstku cen vývozu oproti cenám dovozu dokonce o 1,6 %. Zlepšily se nejvíce od roku 2009 (+3,8 %), kdy</w:t>
            </w:r>
            <w:r>
              <w:t xml:space="preserve"> se</w:t>
            </w:r>
            <w:r w:rsidRPr="0002083E">
              <w:t xml:space="preserve"> na světovém trhu s komoditami propadly ceny ropy.</w:t>
            </w:r>
          </w:p>
          <w:p w:rsidR="003E68BC" w:rsidRPr="0002083E" w:rsidRDefault="003E68BC" w:rsidP="008C41F7">
            <w:pPr>
              <w:pStyle w:val="Textpoznpodarou"/>
              <w:jc w:val="both"/>
              <w:rPr>
                <w:spacing w:val="-2"/>
              </w:rPr>
            </w:pPr>
          </w:p>
        </w:tc>
      </w:tr>
      <w:tr w:rsidR="003E68BC" w:rsidRPr="0002083E" w:rsidTr="008C41F7">
        <w:tblPrEx>
          <w:tblLook w:val="00A0"/>
        </w:tblPrEx>
        <w:tc>
          <w:tcPr>
            <w:tcW w:w="1058" w:type="pct"/>
            <w:gridSpan w:val="2"/>
          </w:tcPr>
          <w:p w:rsidR="003E68BC" w:rsidRPr="0002083E" w:rsidRDefault="003E68BC" w:rsidP="008C41F7">
            <w:pPr>
              <w:spacing w:line="240" w:lineRule="auto"/>
              <w:rPr>
                <w:sz w:val="16"/>
                <w:szCs w:val="16"/>
              </w:rPr>
            </w:pPr>
            <w:r w:rsidRPr="0002083E">
              <w:rPr>
                <w:sz w:val="16"/>
                <w:szCs w:val="16"/>
              </w:rPr>
              <w:t>… přitom pozitivním aspektem bylo, že příznivý vývoj cen se dotýkal většiny tříd SITC</w:t>
            </w:r>
          </w:p>
        </w:tc>
        <w:tc>
          <w:tcPr>
            <w:tcW w:w="151" w:type="pct"/>
          </w:tcPr>
          <w:p w:rsidR="003E68BC" w:rsidRPr="0002083E" w:rsidRDefault="003E68BC" w:rsidP="008C41F7">
            <w:pPr>
              <w:pStyle w:val="Textpoznpodarou"/>
              <w:jc w:val="both"/>
            </w:pPr>
          </w:p>
        </w:tc>
        <w:tc>
          <w:tcPr>
            <w:tcW w:w="3791" w:type="pct"/>
            <w:gridSpan w:val="4"/>
          </w:tcPr>
          <w:p w:rsidR="003E68BC" w:rsidRPr="0002083E" w:rsidRDefault="003E68BC" w:rsidP="008C41F7">
            <w:pPr>
              <w:pStyle w:val="Textpoznpodarou"/>
              <w:jc w:val="both"/>
            </w:pPr>
            <w:r w:rsidRPr="0002083E">
              <w:t>Zlepšení směnných relací v roce 2014 se týkalo všech tříd SITC, výjimkou byly jen potraviny a živá zvířata. Zde se směnné relace vlivem vysokého nárůstu cen dovozu (+4,4 %), který však nebyl reflektován v cenách vývozu (-0,2 %), zhoršily o značných 4,4 %. Zhoršily se už potřetí, přitom jejich vývoj byl s každým rokem méně příznivý než v tom předchozím. Zatímco v roce 2012</w:t>
            </w:r>
            <w:r>
              <w:t xml:space="preserve"> se směnné relace v zahraničním obchodě s potravinami a živými zvířaty </w:t>
            </w:r>
            <w:r w:rsidRPr="0002083E">
              <w:t>zhoršily o 2,6 %, v roce 2013 už o 3,1 % a v roce 2014 dokonce o zmíněných 4,4 %. Zřejmě se v nich zrcadlila skutečnost, že zboží s vyšší přidanou hodnotou – které je do České republiky ve velké míře dováženo – zaznamenávalo příznivější vývoj cen než produkty s nižší přidanou hodnot</w:t>
            </w:r>
            <w:r>
              <w:t>o</w:t>
            </w:r>
            <w:r w:rsidRPr="0002083E">
              <w:t>u, které jsou naopak více zastoupeny na</w:t>
            </w:r>
            <w:r>
              <w:t> </w:t>
            </w:r>
            <w:r w:rsidRPr="0002083E">
              <w:t>straně vývozu.</w:t>
            </w:r>
          </w:p>
          <w:p w:rsidR="003E68BC" w:rsidRPr="0002083E" w:rsidRDefault="003E68BC" w:rsidP="008C41F7">
            <w:pPr>
              <w:pStyle w:val="Textpoznpodarou"/>
              <w:jc w:val="both"/>
            </w:pPr>
          </w:p>
        </w:tc>
      </w:tr>
      <w:tr w:rsidR="003E68BC" w:rsidRPr="0002083E" w:rsidTr="008C41F7">
        <w:tblPrEx>
          <w:tblLook w:val="00A0"/>
        </w:tblPrEx>
        <w:trPr>
          <w:trHeight w:val="1268"/>
        </w:trPr>
        <w:tc>
          <w:tcPr>
            <w:tcW w:w="1058" w:type="pct"/>
            <w:gridSpan w:val="2"/>
          </w:tcPr>
          <w:p w:rsidR="003E68BC" w:rsidRPr="0002083E" w:rsidRDefault="003E68BC" w:rsidP="008C41F7">
            <w:pPr>
              <w:spacing w:line="240" w:lineRule="auto"/>
              <w:rPr>
                <w:spacing w:val="-4"/>
                <w:sz w:val="16"/>
                <w:szCs w:val="16"/>
              </w:rPr>
            </w:pPr>
            <w:r w:rsidRPr="0002083E">
              <w:rPr>
                <w:spacing w:val="-4"/>
                <w:sz w:val="16"/>
                <w:szCs w:val="16"/>
              </w:rPr>
              <w:t>V kumulaci za roky 1996-2014 se směnné relace v zahraničním obchodě se zbožím zlepšily o 4,3 %, v samotném obchodě se stroji a dopravními prostředky</w:t>
            </w:r>
            <w:r>
              <w:rPr>
                <w:spacing w:val="-4"/>
                <w:sz w:val="16"/>
                <w:szCs w:val="16"/>
              </w:rPr>
              <w:t xml:space="preserve"> ale</w:t>
            </w:r>
            <w:r w:rsidRPr="0002083E">
              <w:rPr>
                <w:spacing w:val="-4"/>
                <w:sz w:val="16"/>
                <w:szCs w:val="16"/>
              </w:rPr>
              <w:t xml:space="preserve"> o 31,7 %</w:t>
            </w:r>
          </w:p>
        </w:tc>
        <w:tc>
          <w:tcPr>
            <w:tcW w:w="151" w:type="pct"/>
          </w:tcPr>
          <w:p w:rsidR="003E68BC" w:rsidRPr="0002083E" w:rsidRDefault="003E68BC" w:rsidP="008C41F7">
            <w:pPr>
              <w:pStyle w:val="Textpoznpodarou"/>
              <w:jc w:val="both"/>
            </w:pPr>
          </w:p>
        </w:tc>
        <w:tc>
          <w:tcPr>
            <w:tcW w:w="3791" w:type="pct"/>
            <w:gridSpan w:val="4"/>
          </w:tcPr>
          <w:p w:rsidR="003E68BC" w:rsidRPr="0002083E" w:rsidRDefault="003E68BC" w:rsidP="008C41F7">
            <w:pPr>
              <w:pStyle w:val="Textpoznpodarou"/>
              <w:jc w:val="both"/>
            </w:pPr>
            <w:r w:rsidRPr="0002083E">
              <w:t xml:space="preserve">Co se týče nejvýznamnější komodity v zahraničním obchodě ČR (na straně vývozu i dovozu), tedy strojů a dopravních prostředků, směnné relace se zde v roce 2014 zlepšily jen velmi málo, </w:t>
            </w:r>
            <w:r>
              <w:t xml:space="preserve">a to </w:t>
            </w:r>
            <w:r w:rsidRPr="0002083E">
              <w:t>pouze o 0,2 %. Na druhou stranu se zlepšily již počtvrté, a nebýt ojedinělého nepříznivého cenového vývoje v roce 2010, kdy se zhoršily o 2,0 %, zlepšovaly by se prakticky neustále (na dostupné časové řadě, tj. od roku 1996 včetně).</w:t>
            </w:r>
          </w:p>
        </w:tc>
      </w:tr>
    </w:tbl>
    <w:p w:rsidR="003E68BC" w:rsidRPr="008E2C4E" w:rsidRDefault="003E68BC" w:rsidP="003E68BC"/>
    <w:p w:rsidR="003E68BC" w:rsidRDefault="003E68BC" w:rsidP="00D34225"/>
    <w:p w:rsidR="003E68BC" w:rsidRDefault="003E68BC" w:rsidP="00D34225"/>
    <w:p w:rsidR="005D5A35" w:rsidRDefault="00981EC7" w:rsidP="008B0C8B">
      <w:pPr>
        <w:pStyle w:val="Nadpis1"/>
        <w:numPr>
          <w:ilvl w:val="0"/>
          <w:numId w:val="1"/>
        </w:numPr>
        <w:jc w:val="both"/>
      </w:pPr>
      <w:bookmarkStart w:id="23" w:name="_Toc426017665"/>
      <w:r>
        <w:lastRenderedPageBreak/>
        <w:t>Makroekonomická stabilita a ostatní n</w:t>
      </w:r>
      <w:r w:rsidR="005D5A35">
        <w:t>erovnováhy</w:t>
      </w:r>
      <w:bookmarkEnd w:id="23"/>
      <w:r w:rsidR="005D5A35">
        <w:t xml:space="preserve"> </w:t>
      </w:r>
    </w:p>
    <w:p w:rsidR="005D5A35" w:rsidRDefault="005D5A35" w:rsidP="00B93A86">
      <w:pPr>
        <w:spacing w:line="240" w:lineRule="auto"/>
        <w:jc w:val="both"/>
      </w:pPr>
      <w:r>
        <w:t xml:space="preserve">Česká ekonomika se vyznačuje dlouhodobě relativní stabilitou. Výrazné vychýlení z rovnovážných stavů nebylo patrné ani v letech krize v roce 2009 či recese v letech </w:t>
      </w:r>
      <w:smartTag w:uri="urn:schemas-microsoft-com:office:smarttags" w:element="metricconverter">
        <w:smartTagPr>
          <w:attr w:name="ProductID" w:val="2012 a"/>
        </w:smartTagPr>
        <w:r>
          <w:t>2012 a</w:t>
        </w:r>
      </w:smartTag>
      <w:r>
        <w:t xml:space="preserve"> 2013. Makroekonomická stabilita a</w:t>
      </w:r>
      <w:r w:rsidR="00915DFE">
        <w:t> </w:t>
      </w:r>
      <w:r>
        <w:t xml:space="preserve">relativně nízké nerovnováhy i v některých dalších důležitých indikátorech jsou </w:t>
      </w:r>
      <w:r w:rsidR="008C41F7">
        <w:t>cennou devizou české ekonomiky.</w:t>
      </w:r>
    </w:p>
    <w:p w:rsidR="008C41F7" w:rsidRPr="00915DFE" w:rsidRDefault="008C41F7" w:rsidP="00B93A86">
      <w:pPr>
        <w:spacing w:line="240" w:lineRule="auto"/>
        <w:jc w:val="both"/>
        <w:rPr>
          <w:szCs w:val="20"/>
        </w:rPr>
      </w:pPr>
    </w:p>
    <w:p w:rsidR="005D5A35" w:rsidRPr="006E15CB" w:rsidRDefault="005D5A35" w:rsidP="008B0C8B">
      <w:pPr>
        <w:pStyle w:val="Nadpis2"/>
        <w:numPr>
          <w:ilvl w:val="1"/>
          <w:numId w:val="6"/>
        </w:numPr>
      </w:pPr>
      <w:bookmarkStart w:id="24" w:name="_Toc426017666"/>
      <w:r w:rsidRPr="006E15CB">
        <w:t>Vnitřní nerovnováha</w:t>
      </w:r>
      <w:bookmarkEnd w:id="24"/>
    </w:p>
    <w:p w:rsidR="005D5A35" w:rsidRDefault="005D5A35" w:rsidP="008C41F7">
      <w:pPr>
        <w:spacing w:line="240" w:lineRule="auto"/>
        <w:jc w:val="both"/>
        <w:rPr>
          <w:color w:val="000000"/>
          <w:szCs w:val="20"/>
        </w:rPr>
      </w:pPr>
      <w:r>
        <w:rPr>
          <w:color w:val="000000"/>
          <w:szCs w:val="20"/>
        </w:rPr>
        <w:t xml:space="preserve">Vnitřní nerovnováhy hodnocené nejčastěji výsledkem hospodaření sektoru vládních institucí, resp. vývojem jejich hrubého konsolidovaného dluhu ukazují v případě České republiky, že podle výše ročních deficitů či zadluženosti patří k zemím Evropské unie, </w:t>
      </w:r>
      <w:r w:rsidR="00D57C38">
        <w:rPr>
          <w:color w:val="000000"/>
          <w:szCs w:val="20"/>
        </w:rPr>
        <w:t xml:space="preserve">kde </w:t>
      </w:r>
      <w:r>
        <w:rPr>
          <w:color w:val="000000"/>
          <w:szCs w:val="20"/>
        </w:rPr>
        <w:t>jsou problémy sektoru vládních inst</w:t>
      </w:r>
      <w:r w:rsidR="008C41F7">
        <w:rPr>
          <w:color w:val="000000"/>
          <w:szCs w:val="20"/>
        </w:rPr>
        <w:t>itucí spíše menší. Je to patrné</w:t>
      </w:r>
      <w:r>
        <w:rPr>
          <w:color w:val="000000"/>
          <w:szCs w:val="20"/>
        </w:rPr>
        <w:t xml:space="preserve"> jak </w:t>
      </w:r>
      <w:r w:rsidR="00214ED2">
        <w:rPr>
          <w:color w:val="000000"/>
          <w:szCs w:val="20"/>
        </w:rPr>
        <w:t xml:space="preserve">z </w:t>
      </w:r>
      <w:r>
        <w:rPr>
          <w:color w:val="000000"/>
          <w:szCs w:val="20"/>
        </w:rPr>
        <w:t xml:space="preserve">dlouhodobého pohledu (s výjimkou přelomu první a druhé poloviny 90. let), dále v krizovém roce </w:t>
      </w:r>
      <w:smartTag w:uri="urn:schemas-microsoft-com:office:smarttags" w:element="metricconverter">
        <w:smartTagPr>
          <w:attr w:name="ProductID" w:val="2009 a"/>
        </w:smartTagPr>
        <w:r>
          <w:rPr>
            <w:color w:val="000000"/>
            <w:szCs w:val="20"/>
          </w:rPr>
          <w:t>2009 a</w:t>
        </w:r>
      </w:smartTag>
      <w:r>
        <w:rPr>
          <w:color w:val="000000"/>
          <w:szCs w:val="20"/>
        </w:rPr>
        <w:t xml:space="preserve"> </w:t>
      </w:r>
      <w:proofErr w:type="gramStart"/>
      <w:r>
        <w:rPr>
          <w:color w:val="000000"/>
          <w:szCs w:val="20"/>
        </w:rPr>
        <w:t>letech</w:t>
      </w:r>
      <w:proofErr w:type="gramEnd"/>
      <w:r>
        <w:rPr>
          <w:color w:val="000000"/>
          <w:szCs w:val="20"/>
        </w:rPr>
        <w:t xml:space="preserve"> následujících, kdy deficit vládních institucí v ČR byl vesměs menší než průměr za země EU 28 či </w:t>
      </w:r>
      <w:proofErr w:type="spellStart"/>
      <w:r>
        <w:rPr>
          <w:color w:val="000000"/>
          <w:szCs w:val="20"/>
        </w:rPr>
        <w:t>eurozóny</w:t>
      </w:r>
      <w:proofErr w:type="spellEnd"/>
      <w:r>
        <w:rPr>
          <w:color w:val="000000"/>
          <w:szCs w:val="20"/>
        </w:rPr>
        <w:t>. S poměrem hrubého konsolidovaného dluhu vládních institucí k nominálnímu HDP je ČR zemí usazenou spolehlivě ve třetině zemí EU s nejnižší takto mě</w:t>
      </w:r>
      <w:r w:rsidR="008C41F7">
        <w:rPr>
          <w:color w:val="000000"/>
          <w:szCs w:val="20"/>
        </w:rPr>
        <w:t>řenou relativní zadlužeností.</w:t>
      </w:r>
    </w:p>
    <w:p w:rsidR="008C41F7" w:rsidRPr="00915DFE" w:rsidRDefault="008C41F7" w:rsidP="008C41F7">
      <w:pPr>
        <w:spacing w:line="240" w:lineRule="auto"/>
        <w:jc w:val="both"/>
        <w:rPr>
          <w:color w:val="000000"/>
          <w:sz w:val="26"/>
          <w:szCs w:val="26"/>
        </w:rPr>
      </w:pPr>
    </w:p>
    <w:p w:rsidR="005D5A35" w:rsidRPr="006E15CB" w:rsidRDefault="005D5A35" w:rsidP="008B0C8B">
      <w:pPr>
        <w:pStyle w:val="Nadpis3"/>
        <w:numPr>
          <w:ilvl w:val="2"/>
          <w:numId w:val="6"/>
        </w:numPr>
      </w:pPr>
      <w:bookmarkStart w:id="25" w:name="_Toc426017667"/>
      <w:r w:rsidRPr="006E15CB">
        <w:t>Deficity a hrubý konsolidovaný dluh sektoru vládních institucí</w:t>
      </w:r>
      <w:bookmarkEnd w:id="25"/>
    </w:p>
    <w:p w:rsidR="005D5A35" w:rsidRDefault="005D5A35" w:rsidP="0098358E">
      <w:pPr>
        <w:spacing w:line="240" w:lineRule="auto"/>
        <w:jc w:val="both"/>
        <w:rPr>
          <w:color w:val="000000"/>
          <w:szCs w:val="20"/>
        </w:rPr>
      </w:pPr>
      <w:r>
        <w:rPr>
          <w:color w:val="000000"/>
          <w:szCs w:val="20"/>
        </w:rPr>
        <w:t>Pro potřebné hodnocení vnitřní nerovnováhy rozeberme sektor vládních institucí ČR z pohledu jeho struktury, výdajových položek ústředních vládních institucí, náhrad zaměstnancům ústředních a místních vládních institucí oproti ostatním institucionálním sektorům, mezinárodní srovnání a především pozici ČR v</w:t>
      </w:r>
      <w:r w:rsidR="00915DFE">
        <w:rPr>
          <w:color w:val="000000"/>
          <w:szCs w:val="20"/>
        </w:rPr>
        <w:t> </w:t>
      </w:r>
      <w:r>
        <w:rPr>
          <w:color w:val="000000"/>
          <w:szCs w:val="20"/>
        </w:rPr>
        <w:t xml:space="preserve">žebříčku ostatních zemí EU. </w:t>
      </w:r>
    </w:p>
    <w:p w:rsidR="005D5A35" w:rsidRPr="00BB19EC" w:rsidRDefault="005D5A35" w:rsidP="008C41F7">
      <w:pPr>
        <w:spacing w:after="120" w:line="240" w:lineRule="auto"/>
        <w:rPr>
          <w:color w:val="000000"/>
          <w:sz w:val="16"/>
          <w:szCs w:val="16"/>
        </w:rPr>
      </w:pPr>
    </w:p>
    <w:p w:rsidR="005D5A35" w:rsidRPr="00C0165A" w:rsidRDefault="005D5A35" w:rsidP="008B0C8B">
      <w:pPr>
        <w:pStyle w:val="Nadpis3"/>
        <w:numPr>
          <w:ilvl w:val="3"/>
          <w:numId w:val="6"/>
        </w:numPr>
        <w:rPr>
          <w:color w:val="auto"/>
          <w:sz w:val="20"/>
          <w:szCs w:val="20"/>
        </w:rPr>
      </w:pPr>
      <w:bookmarkStart w:id="26" w:name="_Toc426017668"/>
      <w:r w:rsidRPr="00C0165A">
        <w:rPr>
          <w:color w:val="auto"/>
          <w:sz w:val="20"/>
          <w:szCs w:val="20"/>
        </w:rPr>
        <w:t>Salda hospodaření sektoru vládních institucí</w:t>
      </w:r>
      <w:bookmarkEnd w:id="26"/>
    </w:p>
    <w:tbl>
      <w:tblPr>
        <w:tblW w:w="5000" w:type="pct"/>
        <w:tblCellMar>
          <w:left w:w="28" w:type="dxa"/>
          <w:right w:w="28" w:type="dxa"/>
        </w:tblCellMar>
        <w:tblLook w:val="00A0"/>
      </w:tblPr>
      <w:tblGrid>
        <w:gridCol w:w="2115"/>
        <w:gridCol w:w="283"/>
        <w:gridCol w:w="7296"/>
      </w:tblGrid>
      <w:tr w:rsidR="005D5A35" w:rsidTr="000F401E">
        <w:tc>
          <w:tcPr>
            <w:tcW w:w="1091" w:type="pct"/>
          </w:tcPr>
          <w:p w:rsidR="005D5A35" w:rsidRPr="009C4DA1" w:rsidRDefault="005D5A35" w:rsidP="008C41F7">
            <w:pPr>
              <w:spacing w:line="240" w:lineRule="auto"/>
              <w:rPr>
                <w:sz w:val="16"/>
                <w:szCs w:val="16"/>
              </w:rPr>
            </w:pPr>
            <w:r>
              <w:rPr>
                <w:sz w:val="16"/>
                <w:szCs w:val="16"/>
              </w:rPr>
              <w:t>Zadluženost a ekonomický růst v Evropě po krizi v roce 2009…</w:t>
            </w:r>
          </w:p>
        </w:tc>
        <w:tc>
          <w:tcPr>
            <w:tcW w:w="146" w:type="pct"/>
          </w:tcPr>
          <w:p w:rsidR="005D5A35" w:rsidRDefault="005D5A35" w:rsidP="008C41F7">
            <w:pPr>
              <w:pStyle w:val="Textpoznpodarou"/>
              <w:jc w:val="both"/>
            </w:pPr>
          </w:p>
        </w:tc>
        <w:tc>
          <w:tcPr>
            <w:tcW w:w="3763" w:type="pct"/>
          </w:tcPr>
          <w:p w:rsidR="005D5A35" w:rsidRPr="000F401E" w:rsidRDefault="005D5A35" w:rsidP="008C41F7">
            <w:pPr>
              <w:pStyle w:val="Textpoznpodarou"/>
              <w:jc w:val="both"/>
              <w:rPr>
                <w:spacing w:val="-4"/>
              </w:rPr>
            </w:pPr>
            <w:r>
              <w:rPr>
                <w:spacing w:val="-4"/>
              </w:rPr>
              <w:t>Výsledky hospodaření sektorů vládních institucí se zejména během hospodářské krize v roce 2009, ale i v letech následných, staly v evropských zemích problémem ještě větším, než vůle po obnově hospo</w:t>
            </w:r>
            <w:r w:rsidR="009C7AE1">
              <w:rPr>
                <w:spacing w:val="-4"/>
              </w:rPr>
              <w:t>dářského růstu po krizi. Z logi</w:t>
            </w:r>
            <w:r>
              <w:rPr>
                <w:spacing w:val="-4"/>
              </w:rPr>
              <w:t xml:space="preserve">ky věci spolu však souvisely jak zadluženost zemí prohlubovaná rostoucím ročními deficity sektorů vládních institucí, tak i nedostatečný ekonomický růst podvazovaný úspornými opatřením ve snaze bránit dalšímu zadlužování.  </w:t>
            </w:r>
          </w:p>
          <w:p w:rsidR="005D5A35" w:rsidRPr="00BB19EC" w:rsidRDefault="005D5A35" w:rsidP="008C41F7">
            <w:pPr>
              <w:pStyle w:val="Textpoznpodarou"/>
              <w:jc w:val="both"/>
              <w:rPr>
                <w:spacing w:val="-4"/>
              </w:rPr>
            </w:pPr>
          </w:p>
        </w:tc>
      </w:tr>
      <w:tr w:rsidR="005D5A35" w:rsidRPr="000F401E" w:rsidTr="009C4DA1">
        <w:tc>
          <w:tcPr>
            <w:tcW w:w="1091" w:type="pct"/>
          </w:tcPr>
          <w:p w:rsidR="005D5A35" w:rsidRPr="009C4DA1" w:rsidRDefault="005D5A35" w:rsidP="008C41F7">
            <w:pPr>
              <w:spacing w:line="240" w:lineRule="auto"/>
              <w:rPr>
                <w:sz w:val="16"/>
                <w:szCs w:val="16"/>
              </w:rPr>
            </w:pPr>
            <w:r>
              <w:rPr>
                <w:sz w:val="16"/>
                <w:szCs w:val="16"/>
              </w:rPr>
              <w:t>…začaly od roku 2011 zaznamenávat významné zlepšování až na deficit ve</w:t>
            </w:r>
            <w:r w:rsidR="00DB01A2">
              <w:rPr>
                <w:sz w:val="16"/>
                <w:szCs w:val="16"/>
              </w:rPr>
              <w:t> </w:t>
            </w:r>
            <w:r>
              <w:rPr>
                <w:sz w:val="16"/>
                <w:szCs w:val="16"/>
              </w:rPr>
              <w:t xml:space="preserve">výši pouhých 2,9 % nominálního HDP za EU 28 v roce </w:t>
            </w:r>
            <w:smartTag w:uri="urn:schemas-microsoft-com:office:smarttags" w:element="metricconverter">
              <w:smartTagPr>
                <w:attr w:name="ProductID" w:val="2014 a"/>
              </w:smartTagPr>
              <w:r>
                <w:rPr>
                  <w:sz w:val="16"/>
                  <w:szCs w:val="16"/>
                </w:rPr>
                <w:t>2014 a</w:t>
              </w:r>
            </w:smartTag>
            <w:r>
              <w:rPr>
                <w:sz w:val="16"/>
                <w:szCs w:val="16"/>
              </w:rPr>
              <w:t xml:space="preserve"> 2,4 % za</w:t>
            </w:r>
            <w:r w:rsidR="00DB01A2">
              <w:rPr>
                <w:sz w:val="16"/>
                <w:szCs w:val="16"/>
              </w:rPr>
              <w:t> </w:t>
            </w:r>
            <w:proofErr w:type="spellStart"/>
            <w:r>
              <w:rPr>
                <w:sz w:val="16"/>
                <w:szCs w:val="16"/>
              </w:rPr>
              <w:t>eurozónu</w:t>
            </w:r>
            <w:proofErr w:type="spellEnd"/>
            <w:r>
              <w:rPr>
                <w:sz w:val="16"/>
                <w:szCs w:val="16"/>
              </w:rPr>
              <w:t xml:space="preserve"> </w:t>
            </w:r>
            <w:r w:rsidRPr="009C4DA1">
              <w:rPr>
                <w:sz w:val="16"/>
                <w:szCs w:val="16"/>
              </w:rPr>
              <w:t xml:space="preserve"> </w:t>
            </w:r>
          </w:p>
          <w:p w:rsidR="005D5A35" w:rsidRPr="009C4DA1" w:rsidRDefault="005D5A35" w:rsidP="008C41F7">
            <w:pPr>
              <w:spacing w:line="240" w:lineRule="auto"/>
              <w:rPr>
                <w:sz w:val="16"/>
                <w:szCs w:val="16"/>
              </w:rPr>
            </w:pPr>
          </w:p>
          <w:p w:rsidR="005D5A35" w:rsidRPr="009C4DA1" w:rsidRDefault="005D5A35" w:rsidP="008C41F7">
            <w:pPr>
              <w:spacing w:line="240" w:lineRule="auto"/>
              <w:rPr>
                <w:sz w:val="16"/>
                <w:szCs w:val="16"/>
              </w:rPr>
            </w:pPr>
          </w:p>
        </w:tc>
        <w:tc>
          <w:tcPr>
            <w:tcW w:w="146" w:type="pct"/>
          </w:tcPr>
          <w:p w:rsidR="005D5A35" w:rsidRDefault="005D5A35" w:rsidP="008C41F7">
            <w:pPr>
              <w:pStyle w:val="Textpoznpodarou"/>
              <w:jc w:val="both"/>
            </w:pPr>
          </w:p>
        </w:tc>
        <w:tc>
          <w:tcPr>
            <w:tcW w:w="3763" w:type="pct"/>
          </w:tcPr>
          <w:p w:rsidR="005D5A35" w:rsidRPr="000F401E" w:rsidRDefault="00D712E0" w:rsidP="008C41F7">
            <w:pPr>
              <w:pStyle w:val="Textpoznpodarou"/>
              <w:jc w:val="both"/>
              <w:rPr>
                <w:spacing w:val="-4"/>
              </w:rPr>
            </w:pPr>
            <w:r>
              <w:rPr>
                <w:spacing w:val="-4"/>
              </w:rPr>
              <w:t>Přesto se od roku 2011 –</w:t>
            </w:r>
            <w:r w:rsidR="005D5A35">
              <w:rPr>
                <w:spacing w:val="-4"/>
              </w:rPr>
              <w:t xml:space="preserve"> odkdy je za evropská uskupení k dispozici </w:t>
            </w:r>
            <w:r>
              <w:rPr>
                <w:spacing w:val="-4"/>
              </w:rPr>
              <w:t>časová řada v metodice ESA 2010 –</w:t>
            </w:r>
            <w:r w:rsidR="005D5A35">
              <w:rPr>
                <w:spacing w:val="-4"/>
              </w:rPr>
              <w:t xml:space="preserve"> schodky vládních </w:t>
            </w:r>
            <w:r w:rsidR="00DF5343">
              <w:rPr>
                <w:spacing w:val="-4"/>
              </w:rPr>
              <w:t>institucí</w:t>
            </w:r>
            <w:r w:rsidR="005D5A35">
              <w:rPr>
                <w:spacing w:val="-4"/>
              </w:rPr>
              <w:t xml:space="preserve"> počítaných za celou EU 28, resp. </w:t>
            </w:r>
            <w:r w:rsidR="0039268B">
              <w:rPr>
                <w:spacing w:val="-4"/>
              </w:rPr>
              <w:t>v</w:t>
            </w:r>
            <w:r w:rsidR="00DB01A2">
              <w:rPr>
                <w:spacing w:val="-4"/>
              </w:rPr>
              <w:t> </w:t>
            </w:r>
            <w:r w:rsidR="005D5A35">
              <w:rPr>
                <w:spacing w:val="-4"/>
              </w:rPr>
              <w:t>ú</w:t>
            </w:r>
            <w:r w:rsidR="00616CD8">
              <w:rPr>
                <w:spacing w:val="-4"/>
              </w:rPr>
              <w:t>hrnu za země platících</w:t>
            </w:r>
            <w:r w:rsidR="0039268B">
              <w:rPr>
                <w:spacing w:val="-4"/>
              </w:rPr>
              <w:t xml:space="preserve"> eurem, významně zlepšily</w:t>
            </w:r>
            <w:r w:rsidR="005D5A35">
              <w:rPr>
                <w:spacing w:val="-4"/>
              </w:rPr>
              <w:t>. V </w:t>
            </w:r>
            <w:proofErr w:type="spellStart"/>
            <w:r w:rsidR="005D5A35">
              <w:rPr>
                <w:spacing w:val="-4"/>
              </w:rPr>
              <w:t>eurozóně</w:t>
            </w:r>
            <w:proofErr w:type="spellEnd"/>
            <w:r w:rsidR="005D5A35">
              <w:rPr>
                <w:spacing w:val="-4"/>
              </w:rPr>
              <w:t xml:space="preserve"> se negativní saldo sektorů vládních institucí, tj. čisté výpůjčky, dostaly pod úroveň tří procent nomi</w:t>
            </w:r>
            <w:r w:rsidR="00214ED2">
              <w:rPr>
                <w:spacing w:val="-4"/>
              </w:rPr>
              <w:t>nálního HDP, jak je požadováno M</w:t>
            </w:r>
            <w:r w:rsidR="005D5A35">
              <w:rPr>
                <w:spacing w:val="-4"/>
              </w:rPr>
              <w:t>aastrichtskou smlouvou. Došlo k tomu poprvé od krize v roce 2009 již v roce 2013 (-2,9 % nominálního HDP), na rozdíl od celé EU 28, kde bylo výsledku nižšího než uvedený limit dosaženo až v roce 2014 (-2,9 %, v roce 2013 činil d</w:t>
            </w:r>
            <w:r w:rsidR="00D65B29">
              <w:rPr>
                <w:spacing w:val="-4"/>
              </w:rPr>
              <w:t>eficit za EU 28 ještě 3,2 % HDP</w:t>
            </w:r>
            <w:r w:rsidR="005D5A35">
              <w:rPr>
                <w:spacing w:val="-4"/>
              </w:rPr>
              <w:t xml:space="preserve">).  </w:t>
            </w:r>
            <w:r w:rsidR="005D5A35" w:rsidRPr="000F401E">
              <w:rPr>
                <w:spacing w:val="-4"/>
              </w:rPr>
              <w:t xml:space="preserve"> </w:t>
            </w:r>
          </w:p>
          <w:p w:rsidR="005D5A35" w:rsidRPr="00BB19EC" w:rsidRDefault="005D5A35" w:rsidP="008C41F7">
            <w:pPr>
              <w:pStyle w:val="Textpoznpodarou"/>
              <w:jc w:val="both"/>
              <w:rPr>
                <w:spacing w:val="-4"/>
              </w:rPr>
            </w:pPr>
          </w:p>
        </w:tc>
      </w:tr>
      <w:tr w:rsidR="005D5A35" w:rsidRPr="009C4DA1" w:rsidTr="003C6F0F">
        <w:tc>
          <w:tcPr>
            <w:tcW w:w="1091" w:type="pct"/>
          </w:tcPr>
          <w:p w:rsidR="005D5A35" w:rsidRPr="009C4DA1" w:rsidRDefault="005D5A35" w:rsidP="006158DF">
            <w:pPr>
              <w:spacing w:line="240" w:lineRule="auto"/>
              <w:rPr>
                <w:sz w:val="16"/>
                <w:szCs w:val="16"/>
              </w:rPr>
            </w:pPr>
            <w:r>
              <w:rPr>
                <w:sz w:val="16"/>
                <w:szCs w:val="16"/>
              </w:rPr>
              <w:t xml:space="preserve">Horší výsledek sektoru vládních institucí za EU 28 oproti </w:t>
            </w:r>
            <w:proofErr w:type="spellStart"/>
            <w:r>
              <w:rPr>
                <w:sz w:val="16"/>
                <w:szCs w:val="16"/>
              </w:rPr>
              <w:t>euroz</w:t>
            </w:r>
            <w:r w:rsidR="00DB01A2">
              <w:rPr>
                <w:sz w:val="16"/>
                <w:szCs w:val="16"/>
              </w:rPr>
              <w:t>óně</w:t>
            </w:r>
            <w:proofErr w:type="spellEnd"/>
            <w:r w:rsidR="00DB01A2">
              <w:rPr>
                <w:sz w:val="16"/>
                <w:szCs w:val="16"/>
              </w:rPr>
              <w:t xml:space="preserve"> vlivem hlubokého deficitu v </w:t>
            </w:r>
            <w:r>
              <w:rPr>
                <w:sz w:val="16"/>
                <w:szCs w:val="16"/>
              </w:rPr>
              <w:t>sektoru</w:t>
            </w:r>
            <w:r w:rsidR="00DB01A2">
              <w:rPr>
                <w:sz w:val="16"/>
                <w:szCs w:val="16"/>
              </w:rPr>
              <w:t> ve</w:t>
            </w:r>
            <w:r>
              <w:rPr>
                <w:sz w:val="16"/>
                <w:szCs w:val="16"/>
              </w:rPr>
              <w:t xml:space="preserve"> Spojeném království (-5,7</w:t>
            </w:r>
            <w:r w:rsidR="00DB01A2">
              <w:rPr>
                <w:sz w:val="16"/>
                <w:szCs w:val="16"/>
              </w:rPr>
              <w:t> </w:t>
            </w:r>
            <w:r>
              <w:rPr>
                <w:sz w:val="16"/>
                <w:szCs w:val="16"/>
              </w:rPr>
              <w:t xml:space="preserve">% HDP) jako nečlenské země </w:t>
            </w:r>
            <w:proofErr w:type="spellStart"/>
            <w:r>
              <w:rPr>
                <w:sz w:val="16"/>
                <w:szCs w:val="16"/>
              </w:rPr>
              <w:t>eurozóny</w:t>
            </w:r>
            <w:proofErr w:type="spellEnd"/>
            <w:r>
              <w:rPr>
                <w:sz w:val="16"/>
                <w:szCs w:val="16"/>
              </w:rPr>
              <w:t xml:space="preserve"> </w:t>
            </w:r>
            <w:r w:rsidRPr="009C4DA1">
              <w:rPr>
                <w:sz w:val="16"/>
                <w:szCs w:val="16"/>
              </w:rPr>
              <w:t xml:space="preserve"> </w:t>
            </w:r>
          </w:p>
          <w:p w:rsidR="005D5A35" w:rsidRPr="009C4DA1" w:rsidRDefault="005D5A35" w:rsidP="006158DF">
            <w:pPr>
              <w:spacing w:line="240" w:lineRule="auto"/>
              <w:rPr>
                <w:sz w:val="16"/>
                <w:szCs w:val="16"/>
              </w:rPr>
            </w:pPr>
          </w:p>
          <w:p w:rsidR="005D5A35" w:rsidRPr="009C4DA1" w:rsidRDefault="005D5A35" w:rsidP="006158DF">
            <w:pPr>
              <w:spacing w:line="240" w:lineRule="auto"/>
              <w:rPr>
                <w:sz w:val="16"/>
                <w:szCs w:val="16"/>
              </w:rPr>
            </w:pPr>
          </w:p>
        </w:tc>
        <w:tc>
          <w:tcPr>
            <w:tcW w:w="146" w:type="pct"/>
          </w:tcPr>
          <w:p w:rsidR="005D5A35" w:rsidRDefault="005D5A35" w:rsidP="006158DF">
            <w:pPr>
              <w:pStyle w:val="Textpoznpodarou"/>
              <w:jc w:val="both"/>
            </w:pPr>
          </w:p>
        </w:tc>
        <w:tc>
          <w:tcPr>
            <w:tcW w:w="3763" w:type="pct"/>
          </w:tcPr>
          <w:p w:rsidR="005D5A35" w:rsidRPr="002544F5" w:rsidRDefault="005D5A35" w:rsidP="00A11838">
            <w:pPr>
              <w:pStyle w:val="Textpoznpodarou"/>
              <w:jc w:val="both"/>
            </w:pPr>
            <w:r w:rsidRPr="002544F5">
              <w:t xml:space="preserve">Úspěšnější vývoj za </w:t>
            </w:r>
            <w:proofErr w:type="spellStart"/>
            <w:r w:rsidRPr="002544F5">
              <w:t>za</w:t>
            </w:r>
            <w:proofErr w:type="spellEnd"/>
            <w:r w:rsidRPr="002544F5">
              <w:t xml:space="preserve"> </w:t>
            </w:r>
            <w:proofErr w:type="spellStart"/>
            <w:r w:rsidRPr="002544F5">
              <w:t>eurozónu</w:t>
            </w:r>
            <w:proofErr w:type="spellEnd"/>
            <w:r w:rsidRPr="002544F5">
              <w:t xml:space="preserve"> lze přičíst skutečnosti, že jejím členem není jedna ze čtyř největších evropských ekonomik – Spojené království totiž nejenže v roce 2009 vykázalo v evropském kontextu jeden z největší deficitů svého hospodaření (-10,8 % HDP, když dvojciferný relativní schodek byl podle dat </w:t>
            </w:r>
            <w:proofErr w:type="spellStart"/>
            <w:r w:rsidRPr="002544F5">
              <w:t>Eurostatu</w:t>
            </w:r>
            <w:proofErr w:type="spellEnd"/>
            <w:r w:rsidRPr="002544F5">
              <w:t xml:space="preserve"> nezahrnující Řecko zaznamenán již jen v Irsku s -13,9 % a Španělsku s -11 % HDP).  Hlubo</w:t>
            </w:r>
            <w:r w:rsidR="00D65B29">
              <w:t>ké byly schodky sektoru vládních</w:t>
            </w:r>
            <w:r w:rsidRPr="002544F5">
              <w:t xml:space="preserve"> institucí Spojeného království i v dalších letech a počínaje rokem </w:t>
            </w:r>
            <w:r w:rsidR="00D65B29">
              <w:t>2013 jimi byl zčásti financován</w:t>
            </w:r>
            <w:r w:rsidRPr="002544F5">
              <w:t xml:space="preserve"> i</w:t>
            </w:r>
            <w:r w:rsidR="00DB01A2">
              <w:t> </w:t>
            </w:r>
            <w:r w:rsidRPr="002544F5">
              <w:t>výstup z tamější recese. V roce 2013 (-5,7 %) tak tento výsledek přispěl ke zhoršení vykázaného deficitu za EU 28 nad tříprocentní hranici v poměru k HDP.</w:t>
            </w:r>
          </w:p>
          <w:p w:rsidR="005D5A35" w:rsidRPr="009C4DA1" w:rsidRDefault="005D5A35" w:rsidP="002B3DAF">
            <w:pPr>
              <w:pStyle w:val="Textpoznpodarou"/>
              <w:jc w:val="both"/>
              <w:rPr>
                <w:spacing w:val="-4"/>
              </w:rPr>
            </w:pPr>
          </w:p>
        </w:tc>
      </w:tr>
      <w:tr w:rsidR="005D5A35" w:rsidRPr="009C4DA1" w:rsidTr="003C6F0F">
        <w:tc>
          <w:tcPr>
            <w:tcW w:w="1091" w:type="pct"/>
          </w:tcPr>
          <w:p w:rsidR="005D5A35" w:rsidRPr="009C4DA1" w:rsidRDefault="005D5A35" w:rsidP="00FE2A4F">
            <w:pPr>
              <w:spacing w:line="240" w:lineRule="auto"/>
              <w:rPr>
                <w:sz w:val="16"/>
                <w:szCs w:val="16"/>
              </w:rPr>
            </w:pPr>
            <w:r>
              <w:rPr>
                <w:sz w:val="16"/>
                <w:szCs w:val="16"/>
              </w:rPr>
              <w:t>Přebytkové hos</w:t>
            </w:r>
            <w:r w:rsidR="006E32B9">
              <w:rPr>
                <w:sz w:val="16"/>
                <w:szCs w:val="16"/>
              </w:rPr>
              <w:t>podaření sektoru vládních insti</w:t>
            </w:r>
            <w:r>
              <w:rPr>
                <w:sz w:val="16"/>
                <w:szCs w:val="16"/>
              </w:rPr>
              <w:t>tucí v Norsku, Německu, Dánsku, Lucembursku a</w:t>
            </w:r>
            <w:r w:rsidR="00FE2A4F">
              <w:rPr>
                <w:sz w:val="16"/>
                <w:szCs w:val="16"/>
              </w:rPr>
              <w:t> </w:t>
            </w:r>
            <w:r>
              <w:rPr>
                <w:sz w:val="16"/>
                <w:szCs w:val="16"/>
              </w:rPr>
              <w:t>Estonsku; ke zlepšení hospodaření v úhrnu za EU 28 však přispělo hlavně zlepšení Řecka</w:t>
            </w:r>
            <w:r w:rsidRPr="009C4DA1">
              <w:rPr>
                <w:sz w:val="16"/>
                <w:szCs w:val="16"/>
              </w:rPr>
              <w:t xml:space="preserve"> </w:t>
            </w:r>
            <w:r>
              <w:rPr>
                <w:sz w:val="16"/>
                <w:szCs w:val="16"/>
              </w:rPr>
              <w:t xml:space="preserve">a EU jako celek snížila v roce 2014 deficit hospodaření pod limit 3 % HDP, který stanovila jako limit „zdravých“ </w:t>
            </w:r>
            <w:r>
              <w:rPr>
                <w:sz w:val="16"/>
                <w:szCs w:val="16"/>
              </w:rPr>
              <w:lastRenderedPageBreak/>
              <w:t>veřejných financí pro své země již začátkem 90. let jako jedno z kritérií nominální konvergence podle Maastrichtské smlouvy</w:t>
            </w:r>
          </w:p>
        </w:tc>
        <w:tc>
          <w:tcPr>
            <w:tcW w:w="146" w:type="pct"/>
          </w:tcPr>
          <w:p w:rsidR="005D5A35" w:rsidRDefault="005D5A35" w:rsidP="006158DF">
            <w:pPr>
              <w:pStyle w:val="Textpoznpodarou"/>
              <w:jc w:val="both"/>
            </w:pPr>
          </w:p>
        </w:tc>
        <w:tc>
          <w:tcPr>
            <w:tcW w:w="3763" w:type="pct"/>
          </w:tcPr>
          <w:p w:rsidR="005D5A35" w:rsidRDefault="005D5A35" w:rsidP="002B3DAF">
            <w:pPr>
              <w:pStyle w:val="Textpoznpodarou"/>
              <w:jc w:val="both"/>
              <w:rPr>
                <w:spacing w:val="-4"/>
              </w:rPr>
            </w:pPr>
            <w:r>
              <w:rPr>
                <w:spacing w:val="-4"/>
              </w:rPr>
              <w:t>Nejlepší výsledek hospodaření vlády byl v roce 2014 patrný v Evropě v případě Norska (přebytek 9,1 % HDP), dále s velkým odstupem u ekonomik Dánska a</w:t>
            </w:r>
            <w:r w:rsidR="00DB01A2">
              <w:rPr>
                <w:spacing w:val="-4"/>
              </w:rPr>
              <w:t> </w:t>
            </w:r>
            <w:r>
              <w:rPr>
                <w:spacing w:val="-4"/>
              </w:rPr>
              <w:t>Německa (+1,2 % a +0,7 % HDP</w:t>
            </w:r>
            <w:r w:rsidR="002F7C73">
              <w:rPr>
                <w:spacing w:val="-4"/>
              </w:rPr>
              <w:t>)</w:t>
            </w:r>
            <w:r>
              <w:rPr>
                <w:spacing w:val="-4"/>
              </w:rPr>
              <w:t xml:space="preserve">. Přebytkové hospodaření vykázalo ještě Estonsko a Lucembursko. </w:t>
            </w:r>
          </w:p>
          <w:p w:rsidR="005D5A35" w:rsidRPr="00BB19EC" w:rsidRDefault="005D5A35" w:rsidP="002B3DAF">
            <w:pPr>
              <w:pStyle w:val="Textpoznpodarou"/>
              <w:jc w:val="both"/>
              <w:rPr>
                <w:spacing w:val="-4"/>
              </w:rPr>
            </w:pPr>
          </w:p>
          <w:p w:rsidR="00BB19EC" w:rsidRDefault="005D5A35" w:rsidP="002B3DAF">
            <w:pPr>
              <w:pStyle w:val="Textpoznpodarou"/>
              <w:jc w:val="both"/>
              <w:rPr>
                <w:spacing w:val="-4"/>
              </w:rPr>
            </w:pPr>
            <w:r>
              <w:rPr>
                <w:spacing w:val="-4"/>
              </w:rPr>
              <w:t xml:space="preserve">Ostatní země hospodařily s deficity – nejhlubší byl evidován u Slovinska (-4,9 % HDP), Chorvatska a již zmíněného Spojeného království (shodně -5,7 %), Španělska (-5,8 %) a Kypru (-8,8 %). Velmi problémové Řecko dokázalo vlivem úsporných opatření a mezinárodní pomoci snížit svůj deficit z -12,3 % v roce 2013 na -3,5 % v roce 2014. Ještě větší skok byl patrný ve zlepšení deficitu Slovinska, které </w:t>
            </w:r>
            <w:r>
              <w:rPr>
                <w:spacing w:val="-4"/>
              </w:rPr>
              <w:lastRenderedPageBreak/>
              <w:t xml:space="preserve">v předchozích letech sanovalo svůj bankovní sektor. Se schodkem hospodařilo v roce 2014 podle </w:t>
            </w:r>
            <w:proofErr w:type="spellStart"/>
            <w:r>
              <w:rPr>
                <w:spacing w:val="-4"/>
              </w:rPr>
              <w:t>Eurostatu</w:t>
            </w:r>
            <w:proofErr w:type="spellEnd"/>
            <w:r>
              <w:rPr>
                <w:spacing w:val="-4"/>
              </w:rPr>
              <w:t xml:space="preserve"> celkem 24 zemí Ev</w:t>
            </w:r>
            <w:r w:rsidR="00BB19EC">
              <w:rPr>
                <w:spacing w:val="-4"/>
              </w:rPr>
              <w:t>ropy, v roce 2013 jich bylo 26.</w:t>
            </w:r>
          </w:p>
          <w:p w:rsidR="005D5A35" w:rsidRDefault="005D5A35" w:rsidP="002B3DAF">
            <w:pPr>
              <w:pStyle w:val="Textpoznpodarou"/>
              <w:jc w:val="both"/>
              <w:rPr>
                <w:spacing w:val="-4"/>
              </w:rPr>
            </w:pPr>
            <w:r>
              <w:rPr>
                <w:spacing w:val="-4"/>
              </w:rPr>
              <w:t xml:space="preserve">   </w:t>
            </w:r>
          </w:p>
          <w:p w:rsidR="005D5A35" w:rsidRPr="009C4DA1" w:rsidRDefault="005D5A35" w:rsidP="00017315">
            <w:pPr>
              <w:pStyle w:val="Textpoznpodarou"/>
              <w:jc w:val="both"/>
              <w:rPr>
                <w:spacing w:val="-4"/>
              </w:rPr>
            </w:pPr>
            <w:r>
              <w:rPr>
                <w:spacing w:val="-4"/>
              </w:rPr>
              <w:t xml:space="preserve">Přesto však v roce 2014 dosáhla EU jako celek snížení deficitu pod hranici, kterou sama určila pro své </w:t>
            </w:r>
            <w:r w:rsidR="00214ED2">
              <w:rPr>
                <w:spacing w:val="-4"/>
              </w:rPr>
              <w:t>země podle fiskálního kritéria M</w:t>
            </w:r>
            <w:r>
              <w:rPr>
                <w:spacing w:val="-4"/>
              </w:rPr>
              <w:t xml:space="preserve">aastrichtské smlouvy (tj. 3 % nominálního HDP).  </w:t>
            </w:r>
          </w:p>
        </w:tc>
      </w:tr>
    </w:tbl>
    <w:p w:rsidR="005D5A35" w:rsidRPr="003C6F0F" w:rsidRDefault="005D5A35" w:rsidP="000F401E">
      <w:pPr>
        <w:pStyle w:val="Textpoznpodarou"/>
        <w:jc w:val="both"/>
        <w:rPr>
          <w:sz w:val="16"/>
          <w:szCs w:val="16"/>
        </w:rPr>
      </w:pPr>
    </w:p>
    <w:tbl>
      <w:tblPr>
        <w:tblW w:w="5073" w:type="pct"/>
        <w:tblInd w:w="-72" w:type="dxa"/>
        <w:tblCellMar>
          <w:left w:w="70" w:type="dxa"/>
          <w:right w:w="70" w:type="dxa"/>
        </w:tblCellMar>
        <w:tblLook w:val="0000"/>
      </w:tblPr>
      <w:tblGrid>
        <w:gridCol w:w="1136"/>
        <w:gridCol w:w="3701"/>
        <w:gridCol w:w="923"/>
        <w:gridCol w:w="4161"/>
      </w:tblGrid>
      <w:tr w:rsidR="005D5A35" w:rsidRPr="00EB30B6" w:rsidTr="003C6F0F">
        <w:tc>
          <w:tcPr>
            <w:tcW w:w="573" w:type="pct"/>
          </w:tcPr>
          <w:p w:rsidR="005D5A35" w:rsidRDefault="005D5A35" w:rsidP="00E10497">
            <w:pPr>
              <w:spacing w:line="240" w:lineRule="auto"/>
              <w:rPr>
                <w:color w:val="000000"/>
              </w:rPr>
            </w:pPr>
            <w:r>
              <w:rPr>
                <w:color w:val="000000"/>
              </w:rPr>
              <w:t>Graf č. 1</w:t>
            </w:r>
          </w:p>
        </w:tc>
        <w:tc>
          <w:tcPr>
            <w:tcW w:w="1865" w:type="pct"/>
          </w:tcPr>
          <w:p w:rsidR="005D5A35" w:rsidRPr="0062290D" w:rsidRDefault="005D5A35" w:rsidP="0062290D">
            <w:pPr>
              <w:pStyle w:val="Textpoznpodarou"/>
              <w:rPr>
                <w:spacing w:val="-6"/>
              </w:rPr>
            </w:pPr>
            <w:r>
              <w:rPr>
                <w:b/>
                <w:spacing w:val="-6"/>
              </w:rPr>
              <w:t xml:space="preserve">Deficit sektorů vládních institucí v poměru k nominálnímu HDP </w:t>
            </w:r>
            <w:r w:rsidRPr="00A11838">
              <w:rPr>
                <w:spacing w:val="-6"/>
              </w:rPr>
              <w:t>(v %)</w:t>
            </w:r>
          </w:p>
        </w:tc>
        <w:tc>
          <w:tcPr>
            <w:tcW w:w="465" w:type="pct"/>
          </w:tcPr>
          <w:p w:rsidR="005D5A35" w:rsidRDefault="005D5A35" w:rsidP="00E10497">
            <w:pPr>
              <w:spacing w:line="240" w:lineRule="auto"/>
              <w:rPr>
                <w:color w:val="000000"/>
              </w:rPr>
            </w:pPr>
            <w:r>
              <w:rPr>
                <w:color w:val="000000"/>
              </w:rPr>
              <w:t>Graf č. 2</w:t>
            </w:r>
          </w:p>
        </w:tc>
        <w:tc>
          <w:tcPr>
            <w:tcW w:w="2097" w:type="pct"/>
          </w:tcPr>
          <w:p w:rsidR="005D5A35" w:rsidRPr="00E10497" w:rsidRDefault="005D5A35" w:rsidP="008C41F7">
            <w:pPr>
              <w:pStyle w:val="Textpoznpodarou"/>
              <w:rPr>
                <w:spacing w:val="-6"/>
              </w:rPr>
            </w:pPr>
            <w:r>
              <w:rPr>
                <w:b/>
                <w:bCs/>
              </w:rPr>
              <w:t xml:space="preserve">ČR - </w:t>
            </w:r>
            <w:r>
              <w:rPr>
                <w:b/>
                <w:spacing w:val="-6"/>
              </w:rPr>
              <w:t>Defici</w:t>
            </w:r>
            <w:r w:rsidR="008C41F7">
              <w:rPr>
                <w:b/>
                <w:spacing w:val="-6"/>
              </w:rPr>
              <w:t>t sektoru vládních institucí k </w:t>
            </w:r>
            <w:r>
              <w:rPr>
                <w:b/>
                <w:spacing w:val="-6"/>
              </w:rPr>
              <w:t xml:space="preserve">nominálnímu HDP </w:t>
            </w:r>
            <w:r w:rsidRPr="00A11838">
              <w:rPr>
                <w:spacing w:val="-6"/>
              </w:rPr>
              <w:t>(v %</w:t>
            </w:r>
            <w:r>
              <w:rPr>
                <w:spacing w:val="-6"/>
              </w:rPr>
              <w:t>, 1995-2014</w:t>
            </w:r>
            <w:r w:rsidRPr="00A11838">
              <w:rPr>
                <w:spacing w:val="-6"/>
              </w:rPr>
              <w:t>)</w:t>
            </w:r>
          </w:p>
        </w:tc>
      </w:tr>
      <w:tr w:rsidR="005D5A35" w:rsidRPr="00862A7A" w:rsidTr="003C6F0F">
        <w:trPr>
          <w:trHeight w:val="3256"/>
        </w:trPr>
        <w:tc>
          <w:tcPr>
            <w:tcW w:w="2438" w:type="pct"/>
            <w:gridSpan w:val="2"/>
          </w:tcPr>
          <w:p w:rsidR="005D5A35" w:rsidRPr="001D47E5" w:rsidRDefault="002A2083" w:rsidP="003C6F0F">
            <w:pPr>
              <w:pStyle w:val="Zhlav"/>
              <w:tabs>
                <w:tab w:val="clear" w:pos="4536"/>
                <w:tab w:val="clear" w:pos="9072"/>
              </w:tabs>
              <w:ind w:right="-275"/>
              <w:rPr>
                <w:rFonts w:ascii="Arial" w:hAnsi="Arial" w:cs="Arial"/>
                <w:sz w:val="20"/>
              </w:rPr>
            </w:pPr>
            <w:r w:rsidRPr="00513C6F">
              <w:rPr>
                <w:szCs w:val="20"/>
              </w:rPr>
              <w:pict>
                <v:shape id="_x0000_i1080" type="#_x0000_t75" style="width:237.75pt;height:198.75pt">
                  <v:imagedata r:id="rId68" o:title=""/>
                </v:shape>
              </w:pict>
            </w:r>
          </w:p>
        </w:tc>
        <w:tc>
          <w:tcPr>
            <w:tcW w:w="2562" w:type="pct"/>
            <w:gridSpan w:val="2"/>
          </w:tcPr>
          <w:p w:rsidR="005D5A35" w:rsidRPr="00D00F76" w:rsidRDefault="002A2083" w:rsidP="00F16C0C">
            <w:pPr>
              <w:pStyle w:val="Zhlav"/>
              <w:tabs>
                <w:tab w:val="clear" w:pos="4536"/>
                <w:tab w:val="clear" w:pos="9072"/>
              </w:tabs>
              <w:spacing w:line="235" w:lineRule="auto"/>
              <w:jc w:val="right"/>
              <w:rPr>
                <w:rFonts w:ascii="Arial" w:hAnsi="Arial" w:cs="Arial"/>
                <w:noProof/>
                <w:sz w:val="20"/>
                <w:lang w:eastAsia="cs-CZ"/>
              </w:rPr>
            </w:pPr>
            <w:r w:rsidRPr="00513C6F">
              <w:rPr>
                <w:szCs w:val="20"/>
              </w:rPr>
              <w:pict>
                <v:shape id="_x0000_i1081" type="#_x0000_t75" style="width:243.75pt;height:198.75pt">
                  <v:imagedata r:id="rId69" o:title=""/>
                </v:shape>
              </w:pict>
            </w:r>
          </w:p>
        </w:tc>
      </w:tr>
    </w:tbl>
    <w:p w:rsidR="006E15CB" w:rsidRDefault="00132665" w:rsidP="006E15CB">
      <w:pPr>
        <w:jc w:val="right"/>
        <w:rPr>
          <w:sz w:val="18"/>
          <w:szCs w:val="18"/>
        </w:rPr>
      </w:pPr>
      <w:r>
        <w:rPr>
          <w:sz w:val="18"/>
          <w:szCs w:val="18"/>
        </w:rPr>
        <w:t>Zdroj</w:t>
      </w:r>
      <w:r w:rsidR="006E15CB" w:rsidRPr="006E15CB">
        <w:rPr>
          <w:sz w:val="18"/>
          <w:szCs w:val="18"/>
        </w:rPr>
        <w:t xml:space="preserve">: </w:t>
      </w:r>
      <w:proofErr w:type="spellStart"/>
      <w:r w:rsidR="006E15CB" w:rsidRPr="006E15CB">
        <w:rPr>
          <w:sz w:val="18"/>
          <w:szCs w:val="18"/>
        </w:rPr>
        <w:t>Eurostat</w:t>
      </w:r>
      <w:proofErr w:type="spellEnd"/>
    </w:p>
    <w:p w:rsidR="00F16C0C" w:rsidRPr="003C6F0F" w:rsidRDefault="00F16C0C" w:rsidP="006E15CB">
      <w:pPr>
        <w:spacing w:line="240" w:lineRule="auto"/>
        <w:jc w:val="right"/>
        <w:rPr>
          <w:sz w:val="16"/>
          <w:szCs w:val="16"/>
        </w:rPr>
      </w:pPr>
    </w:p>
    <w:tbl>
      <w:tblPr>
        <w:tblW w:w="5043" w:type="pct"/>
        <w:tblInd w:w="-42" w:type="dxa"/>
        <w:tblCellMar>
          <w:left w:w="28" w:type="dxa"/>
          <w:right w:w="28" w:type="dxa"/>
        </w:tblCellMar>
        <w:tblLook w:val="00A0"/>
      </w:tblPr>
      <w:tblGrid>
        <w:gridCol w:w="2037"/>
        <w:gridCol w:w="272"/>
        <w:gridCol w:w="7468"/>
      </w:tblGrid>
      <w:tr w:rsidR="005D5A35" w:rsidRPr="00602D1D" w:rsidTr="004701B6">
        <w:tc>
          <w:tcPr>
            <w:tcW w:w="1042" w:type="pct"/>
          </w:tcPr>
          <w:p w:rsidR="005D5A35" w:rsidRPr="00602D1D" w:rsidRDefault="005D5A35" w:rsidP="004701B6">
            <w:pPr>
              <w:spacing w:line="240" w:lineRule="auto"/>
              <w:rPr>
                <w:color w:val="000000"/>
                <w:sz w:val="16"/>
                <w:szCs w:val="16"/>
              </w:rPr>
            </w:pPr>
            <w:r>
              <w:rPr>
                <w:color w:val="000000"/>
                <w:sz w:val="16"/>
                <w:szCs w:val="16"/>
              </w:rPr>
              <w:t>V České republice byl rok 2014 z pohledu hospodaření vládního sektoru relativně úspěšný, přestože jeho s</w:t>
            </w:r>
            <w:r w:rsidR="00AF2E94">
              <w:rPr>
                <w:color w:val="000000"/>
                <w:sz w:val="16"/>
                <w:szCs w:val="16"/>
              </w:rPr>
              <w:t xml:space="preserve">chodek se meziročně prohloubil </w:t>
            </w:r>
            <w:r>
              <w:rPr>
                <w:color w:val="000000"/>
                <w:sz w:val="16"/>
                <w:szCs w:val="16"/>
              </w:rPr>
              <w:t>na</w:t>
            </w:r>
            <w:r w:rsidR="00AF2E94">
              <w:rPr>
                <w:color w:val="000000"/>
                <w:sz w:val="16"/>
                <w:szCs w:val="16"/>
              </w:rPr>
              <w:t> </w:t>
            </w:r>
            <w:r>
              <w:rPr>
                <w:color w:val="000000"/>
                <w:sz w:val="16"/>
                <w:szCs w:val="16"/>
              </w:rPr>
              <w:t>-2  %</w:t>
            </w:r>
            <w:r w:rsidRPr="00602D1D">
              <w:rPr>
                <w:color w:val="000000"/>
                <w:sz w:val="16"/>
                <w:szCs w:val="16"/>
              </w:rPr>
              <w:t xml:space="preserve"> </w:t>
            </w:r>
            <w:r>
              <w:rPr>
                <w:color w:val="000000"/>
                <w:sz w:val="16"/>
                <w:szCs w:val="16"/>
              </w:rPr>
              <w:t>nominálního HDP z -1,2 % v roce 2013</w:t>
            </w:r>
          </w:p>
          <w:p w:rsidR="005D5A35" w:rsidRPr="00602D1D" w:rsidRDefault="005D5A35" w:rsidP="004701B6">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4701B6">
            <w:pPr>
              <w:pStyle w:val="Textpoznpodarou"/>
              <w:jc w:val="both"/>
            </w:pPr>
          </w:p>
        </w:tc>
        <w:tc>
          <w:tcPr>
            <w:tcW w:w="3819" w:type="pct"/>
          </w:tcPr>
          <w:p w:rsidR="005D5A35" w:rsidRDefault="005D5A35" w:rsidP="004701B6">
            <w:pPr>
              <w:pStyle w:val="Textpoznpodarou"/>
              <w:jc w:val="both"/>
              <w:rPr>
                <w:color w:val="000000"/>
                <w:spacing w:val="-2"/>
              </w:rPr>
            </w:pPr>
            <w:r>
              <w:rPr>
                <w:color w:val="000000"/>
                <w:spacing w:val="-2"/>
              </w:rPr>
              <w:t>V případě České republiky patřil rok 2014, co se týká hospodaření sektoru vládních institucí, k letům relativně úspěšným. Deficit v poměru k HDP činil 2 %, což byl lepší výsledek než průměr za EU 28 (-2,9 %), ale horší než kterého bylo dosaženo v ČR o</w:t>
            </w:r>
            <w:r w:rsidR="007253C1">
              <w:rPr>
                <w:color w:val="000000"/>
                <w:spacing w:val="-2"/>
              </w:rPr>
              <w:t> </w:t>
            </w:r>
            <w:r>
              <w:rPr>
                <w:color w:val="000000"/>
                <w:spacing w:val="-2"/>
              </w:rPr>
              <w:t>rok dříve (-1,2 %). Došlo k tomu vlivem mírného zhoršení v celé struktuře deficitu vládního sektoru – schodek ústřední vlády se v roce 2014 proti deficitu z roku 2013 prohloubil na -2,1 % HDP z -1,5 % v roce 2013, ztenčil se ale i přebytek hospodaření místních vlád (na 0,2 % z </w:t>
            </w:r>
            <w:r w:rsidR="001C38BC">
              <w:rPr>
                <w:color w:val="000000"/>
                <w:spacing w:val="-2"/>
              </w:rPr>
              <w:t>0,4 %) a meziročně méně příznivé</w:t>
            </w:r>
            <w:r>
              <w:rPr>
                <w:color w:val="000000"/>
                <w:spacing w:val="-2"/>
              </w:rPr>
              <w:t xml:space="preserve"> bylo i hospodaření fondů sociálního zabezpečení (-0,1 % HDP z nulového deficitu v roce 2013).</w:t>
            </w:r>
          </w:p>
          <w:p w:rsidR="005D5A35" w:rsidRPr="003C6F0F" w:rsidRDefault="005D5A35" w:rsidP="00E10497">
            <w:pPr>
              <w:pStyle w:val="Textpoznpodarou"/>
              <w:jc w:val="both"/>
              <w:rPr>
                <w:color w:val="000000"/>
                <w:spacing w:val="-2"/>
                <w:sz w:val="16"/>
                <w:szCs w:val="16"/>
              </w:rPr>
            </w:pPr>
          </w:p>
        </w:tc>
      </w:tr>
      <w:tr w:rsidR="005D5A35" w:rsidRPr="00602D1D" w:rsidTr="00686D87">
        <w:tc>
          <w:tcPr>
            <w:tcW w:w="1042" w:type="pct"/>
          </w:tcPr>
          <w:p w:rsidR="005D5A35" w:rsidRPr="00602D1D" w:rsidRDefault="005D5A35" w:rsidP="004701B6">
            <w:pPr>
              <w:spacing w:line="240" w:lineRule="auto"/>
              <w:rPr>
                <w:color w:val="000000"/>
                <w:sz w:val="16"/>
                <w:szCs w:val="16"/>
              </w:rPr>
            </w:pPr>
            <w:r>
              <w:rPr>
                <w:color w:val="000000"/>
                <w:sz w:val="16"/>
                <w:szCs w:val="16"/>
              </w:rPr>
              <w:t xml:space="preserve">Rozhodující vliv hospodaření ústřední vlády na saldo celého sektoru vládních institucí </w:t>
            </w:r>
          </w:p>
          <w:p w:rsidR="005D5A35" w:rsidRPr="00602D1D" w:rsidRDefault="005D5A35" w:rsidP="004701B6">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4701B6">
            <w:pPr>
              <w:pStyle w:val="Textpoznpodarou"/>
              <w:jc w:val="both"/>
            </w:pPr>
          </w:p>
        </w:tc>
        <w:tc>
          <w:tcPr>
            <w:tcW w:w="3819" w:type="pct"/>
          </w:tcPr>
          <w:p w:rsidR="005D5A35" w:rsidRDefault="005D5A35" w:rsidP="004701B6">
            <w:pPr>
              <w:pStyle w:val="Textpoznpodarou"/>
              <w:jc w:val="both"/>
              <w:rPr>
                <w:color w:val="000000"/>
                <w:spacing w:val="-2"/>
              </w:rPr>
            </w:pPr>
            <w:r>
              <w:rPr>
                <w:color w:val="000000"/>
                <w:spacing w:val="-2"/>
              </w:rPr>
              <w:t>Saldo hospodaření ústřední vlády má v ČR rozhod</w:t>
            </w:r>
            <w:r w:rsidR="008C41F7">
              <w:rPr>
                <w:color w:val="000000"/>
                <w:spacing w:val="-2"/>
              </w:rPr>
              <w:t>ující vliv na výsledek za celý</w:t>
            </w:r>
            <w:r>
              <w:rPr>
                <w:color w:val="000000"/>
                <w:spacing w:val="-2"/>
              </w:rPr>
              <w:t xml:space="preserve"> </w:t>
            </w:r>
            <w:r w:rsidR="008C41F7">
              <w:rPr>
                <w:color w:val="000000"/>
                <w:spacing w:val="-2"/>
              </w:rPr>
              <w:t>sektor vládních institucí</w:t>
            </w:r>
            <w:r>
              <w:rPr>
                <w:color w:val="000000"/>
                <w:spacing w:val="-2"/>
              </w:rPr>
              <w:t xml:space="preserve"> (graf 3). V roce 2014 činila jeho úroveň 105 % výsledného deficitu a ČR tak patřila k zemím se „silným“ saldem sektoru ústřední vlády (v EU 28 jich byl</w:t>
            </w:r>
            <w:r w:rsidR="00214ED2">
              <w:rPr>
                <w:color w:val="000000"/>
                <w:spacing w:val="-2"/>
              </w:rPr>
              <w:t>a</w:t>
            </w:r>
            <w:r>
              <w:rPr>
                <w:color w:val="000000"/>
                <w:spacing w:val="-2"/>
              </w:rPr>
              <w:t xml:space="preserve"> více než polovina, tj. 15 zemí). Na podíl však má vliv i např. státoprávní uspořádání zemí (existence spolkových zemí).</w:t>
            </w:r>
          </w:p>
          <w:p w:rsidR="005D5A35" w:rsidRPr="003C6F0F" w:rsidRDefault="005D5A35" w:rsidP="003A2708">
            <w:pPr>
              <w:pStyle w:val="Textpoznpodarou"/>
              <w:jc w:val="both"/>
              <w:rPr>
                <w:color w:val="000000"/>
                <w:spacing w:val="-2"/>
                <w:sz w:val="18"/>
                <w:szCs w:val="18"/>
              </w:rPr>
            </w:pPr>
          </w:p>
        </w:tc>
      </w:tr>
      <w:tr w:rsidR="005D5A35" w:rsidRPr="00602D1D" w:rsidTr="00686D87">
        <w:tc>
          <w:tcPr>
            <w:tcW w:w="1042" w:type="pct"/>
          </w:tcPr>
          <w:p w:rsidR="005D5A35" w:rsidRDefault="005D5A35" w:rsidP="003A2708">
            <w:pPr>
              <w:spacing w:line="240" w:lineRule="auto"/>
              <w:rPr>
                <w:color w:val="000000"/>
                <w:sz w:val="16"/>
                <w:szCs w:val="16"/>
              </w:rPr>
            </w:pPr>
            <w:r>
              <w:rPr>
                <w:color w:val="000000"/>
                <w:sz w:val="16"/>
                <w:szCs w:val="16"/>
              </w:rPr>
              <w:t>Z celkových výdajů vládního sektoru ČR v roce 2014 ve výši 1 793,9 mld. korun připadlo na výdaje ústřední vlády 1 235,2 mld</w:t>
            </w:r>
            <w:r w:rsidR="008C41F7">
              <w:rPr>
                <w:color w:val="000000"/>
                <w:sz w:val="16"/>
                <w:szCs w:val="16"/>
              </w:rPr>
              <w:t>.</w:t>
            </w:r>
            <w:r>
              <w:rPr>
                <w:color w:val="000000"/>
                <w:sz w:val="16"/>
                <w:szCs w:val="16"/>
              </w:rPr>
              <w:t xml:space="preserve"> korun…</w:t>
            </w:r>
          </w:p>
          <w:p w:rsidR="005D5A35" w:rsidRPr="00602D1D" w:rsidRDefault="005D5A35" w:rsidP="003A2708">
            <w:pPr>
              <w:spacing w:line="240" w:lineRule="auto"/>
              <w:rPr>
                <w:color w:val="000000"/>
                <w:sz w:val="16"/>
                <w:szCs w:val="16"/>
              </w:rPr>
            </w:pPr>
          </w:p>
        </w:tc>
        <w:tc>
          <w:tcPr>
            <w:tcW w:w="139" w:type="pct"/>
          </w:tcPr>
          <w:p w:rsidR="005D5A35" w:rsidRDefault="005D5A35" w:rsidP="004701B6">
            <w:pPr>
              <w:pStyle w:val="Textpoznpodarou"/>
              <w:jc w:val="both"/>
            </w:pPr>
          </w:p>
        </w:tc>
        <w:tc>
          <w:tcPr>
            <w:tcW w:w="3819" w:type="pct"/>
          </w:tcPr>
          <w:p w:rsidR="005D5A35" w:rsidRDefault="005D5A35" w:rsidP="003A2708">
            <w:pPr>
              <w:pStyle w:val="Textpoznpodarou"/>
              <w:jc w:val="both"/>
              <w:rPr>
                <w:color w:val="000000"/>
                <w:spacing w:val="-2"/>
              </w:rPr>
            </w:pPr>
            <w:r>
              <w:rPr>
                <w:color w:val="000000"/>
                <w:spacing w:val="-2"/>
              </w:rPr>
              <w:t>Podle dosažitelných dat za rok 2013 činily výdaje ústřední vlády 1 196,7 mld. korun, což bylo 69,7 % výdajů sektoru vládních institucí jako celku (1 716,8 mld. korun)</w:t>
            </w:r>
            <w:r>
              <w:rPr>
                <w:rStyle w:val="Znakapoznpodarou"/>
                <w:color w:val="000000"/>
                <w:spacing w:val="-2"/>
              </w:rPr>
              <w:footnoteReference w:id="9"/>
            </w:r>
            <w:r>
              <w:rPr>
                <w:color w:val="000000"/>
                <w:spacing w:val="-2"/>
              </w:rPr>
              <w:t>. V roce 2014 podíl ústřední vlády mírně oslabil na 68,9 % při výdajích ve výši 1 235,2 mld. z celkových 1 793,9 mld. korun (68,9 %).</w:t>
            </w:r>
          </w:p>
          <w:p w:rsidR="005D5A35" w:rsidRPr="003C6F0F" w:rsidRDefault="005D5A35" w:rsidP="003A2708">
            <w:pPr>
              <w:pStyle w:val="Textpoznpodarou"/>
              <w:jc w:val="both"/>
              <w:rPr>
                <w:color w:val="000000"/>
                <w:spacing w:val="-2"/>
                <w:sz w:val="18"/>
                <w:szCs w:val="18"/>
              </w:rPr>
            </w:pPr>
          </w:p>
          <w:p w:rsidR="005D5A35" w:rsidRPr="008C41F7" w:rsidRDefault="005D5A35" w:rsidP="003A2708">
            <w:pPr>
              <w:pStyle w:val="Textpoznpodarou"/>
              <w:jc w:val="both"/>
              <w:rPr>
                <w:color w:val="000000"/>
              </w:rPr>
            </w:pPr>
            <w:r w:rsidRPr="008C41F7">
              <w:rPr>
                <w:color w:val="000000"/>
              </w:rPr>
              <w:t>Přes sedm desetin výdajů ústřední vlády připadá na položky COFOG „Sociální věci“ a „Stáří“. Velmi malým podílem, méně než 2 % z celkových výdajů sektoru vládních institucí, participuje sektor ústředních vládních institucí na ústavní zdravotní péči, civilní obraně, odstraňován</w:t>
            </w:r>
            <w:r w:rsidR="00214ED2">
              <w:rPr>
                <w:color w:val="000000"/>
              </w:rPr>
              <w:t>í</w:t>
            </w:r>
            <w:r w:rsidRPr="008C41F7">
              <w:rPr>
                <w:color w:val="000000"/>
              </w:rPr>
              <w:t xml:space="preserve"> pevných odpadů, ambulantní zdravotní péči nebo územním rozvoji obecně.    </w:t>
            </w:r>
          </w:p>
          <w:p w:rsidR="005D5A35" w:rsidRPr="003C6F0F" w:rsidRDefault="005D5A35" w:rsidP="004701B6">
            <w:pPr>
              <w:pStyle w:val="Textpoznpodarou"/>
              <w:jc w:val="both"/>
              <w:rPr>
                <w:color w:val="000000"/>
                <w:spacing w:val="-2"/>
                <w:sz w:val="18"/>
                <w:szCs w:val="18"/>
              </w:rPr>
            </w:pPr>
          </w:p>
        </w:tc>
      </w:tr>
      <w:tr w:rsidR="005D5A35" w:rsidRPr="00602D1D" w:rsidTr="00686D87">
        <w:tc>
          <w:tcPr>
            <w:tcW w:w="1042" w:type="pct"/>
          </w:tcPr>
          <w:p w:rsidR="005D5A35" w:rsidRPr="00602D1D" w:rsidRDefault="005D5A35" w:rsidP="00957164">
            <w:pPr>
              <w:spacing w:line="240" w:lineRule="auto"/>
              <w:rPr>
                <w:color w:val="000000"/>
                <w:sz w:val="16"/>
                <w:szCs w:val="16"/>
              </w:rPr>
            </w:pPr>
            <w:r>
              <w:rPr>
                <w:color w:val="000000"/>
                <w:sz w:val="16"/>
                <w:szCs w:val="16"/>
              </w:rPr>
              <w:t xml:space="preserve">…na výdaje místních vlád 439,4 mld. a výdaje fondů sociálního zabezpečení </w:t>
            </w:r>
            <w:r>
              <w:rPr>
                <w:color w:val="000000"/>
                <w:sz w:val="16"/>
                <w:szCs w:val="16"/>
              </w:rPr>
              <w:lastRenderedPageBreak/>
              <w:t xml:space="preserve">v roce 2014 činily 242,1 mld. korun </w:t>
            </w:r>
          </w:p>
        </w:tc>
        <w:tc>
          <w:tcPr>
            <w:tcW w:w="139" w:type="pct"/>
          </w:tcPr>
          <w:p w:rsidR="005D5A35" w:rsidRDefault="005D5A35" w:rsidP="004701B6">
            <w:pPr>
              <w:pStyle w:val="Textpoznpodarou"/>
              <w:jc w:val="both"/>
            </w:pPr>
          </w:p>
        </w:tc>
        <w:tc>
          <w:tcPr>
            <w:tcW w:w="3819" w:type="pct"/>
          </w:tcPr>
          <w:p w:rsidR="005D5A35" w:rsidRDefault="005D5A35" w:rsidP="00B04828">
            <w:pPr>
              <w:pStyle w:val="Textpoznpodarou"/>
              <w:jc w:val="both"/>
              <w:rPr>
                <w:color w:val="000000"/>
                <w:spacing w:val="-4"/>
              </w:rPr>
            </w:pPr>
            <w:r w:rsidRPr="008C41F7">
              <w:rPr>
                <w:color w:val="000000"/>
                <w:spacing w:val="-4"/>
              </w:rPr>
              <w:t xml:space="preserve">Co se týká hospodaření místních vlád (kraje, obce) byl přebytek v roce 2014 - meziročně s mírnou redukcí o 0,2 </w:t>
            </w:r>
            <w:proofErr w:type="spellStart"/>
            <w:r w:rsidRPr="008C41F7">
              <w:rPr>
                <w:color w:val="000000"/>
                <w:spacing w:val="-4"/>
              </w:rPr>
              <w:t>pb</w:t>
            </w:r>
            <w:proofErr w:type="spellEnd"/>
            <w:r w:rsidRPr="008C41F7">
              <w:rPr>
                <w:color w:val="000000"/>
                <w:spacing w:val="-4"/>
              </w:rPr>
              <w:t>., jak již bylo řečeno - ve  srovnání s </w:t>
            </w:r>
            <w:proofErr w:type="spellStart"/>
            <w:r w:rsidRPr="008C41F7">
              <w:rPr>
                <w:color w:val="000000"/>
                <w:spacing w:val="-4"/>
              </w:rPr>
              <w:t>bezdeficitním</w:t>
            </w:r>
            <w:proofErr w:type="spellEnd"/>
            <w:r w:rsidRPr="008C41F7">
              <w:rPr>
                <w:color w:val="000000"/>
                <w:spacing w:val="-4"/>
              </w:rPr>
              <w:t xml:space="preserve"> průměrem za EU 28 výsledkem příznivým, který navázal na přebytkové hospodaření </w:t>
            </w:r>
            <w:r w:rsidRPr="008C41F7">
              <w:rPr>
                <w:color w:val="000000"/>
                <w:spacing w:val="-4"/>
              </w:rPr>
              <w:lastRenderedPageBreak/>
              <w:t>místních vlád z předchozích dvou let. V Evropě si vedly nejlépe sektory místních vlád v Maďarsku (1,4 % HDP) a v Rumunsku a Španělsku (shodně s přebytky 0,5 % HDP). Většina zemí však v roce 2014 hospodařila se</w:t>
            </w:r>
            <w:r w:rsidR="008C41F7">
              <w:rPr>
                <w:color w:val="000000"/>
                <w:spacing w:val="-4"/>
              </w:rPr>
              <w:t xml:space="preserve"> schodky.</w:t>
            </w:r>
          </w:p>
          <w:p w:rsidR="00BB19EC" w:rsidRDefault="00BB19EC" w:rsidP="00B04828">
            <w:pPr>
              <w:pStyle w:val="Textpoznpodarou"/>
              <w:jc w:val="both"/>
              <w:rPr>
                <w:color w:val="000000"/>
                <w:spacing w:val="-4"/>
              </w:rPr>
            </w:pPr>
          </w:p>
          <w:p w:rsidR="005D5A35" w:rsidRPr="008C41F7" w:rsidRDefault="005D5A35" w:rsidP="00B04828">
            <w:pPr>
              <w:pStyle w:val="Textpoznpodarou"/>
              <w:jc w:val="both"/>
              <w:rPr>
                <w:color w:val="000000"/>
              </w:rPr>
            </w:pPr>
            <w:r w:rsidRPr="00DF6134">
              <w:rPr>
                <w:color w:val="000000"/>
                <w:spacing w:val="-2"/>
              </w:rPr>
              <w:t xml:space="preserve">Příjmy a výdaje ústřední vlády a místních vlád jsou v absolutních hodnotách výrazně vyšší, než je tomu u fondů sociálního zabezpečení. </w:t>
            </w:r>
            <w:r w:rsidR="00DF6134" w:rsidRPr="00DF6134">
              <w:rPr>
                <w:color w:val="000000"/>
                <w:spacing w:val="-2"/>
              </w:rPr>
              <w:t xml:space="preserve">I jejich výsledné saldo v </w:t>
            </w:r>
            <w:r w:rsidRPr="00DF6134">
              <w:rPr>
                <w:color w:val="000000"/>
                <w:spacing w:val="-2"/>
              </w:rPr>
              <w:t>poměru k HDP vykazuje zpravidla velmi nízký poměr. V roce 2014 bylo záporné (-0,1</w:t>
            </w:r>
            <w:r w:rsidR="00DF6134" w:rsidRPr="00DF6134">
              <w:rPr>
                <w:color w:val="000000"/>
                <w:spacing w:val="-2"/>
              </w:rPr>
              <w:t> </w:t>
            </w:r>
            <w:r w:rsidRPr="00DF6134">
              <w:rPr>
                <w:color w:val="000000"/>
                <w:spacing w:val="-2"/>
              </w:rPr>
              <w:t>% HDP),</w:t>
            </w:r>
            <w:r w:rsidRPr="008C41F7">
              <w:rPr>
                <w:color w:val="000000"/>
              </w:rPr>
              <w:t xml:space="preserve"> stejně jako v letech 2009-2012 v důsledku zhoršené situace v ekonomice. V roce 2013 činily výdaje fondů sociálního zabezpečení 228,6 mld., v roce 20</w:t>
            </w:r>
            <w:r w:rsidR="008C41F7" w:rsidRPr="008C41F7">
              <w:rPr>
                <w:color w:val="000000"/>
              </w:rPr>
              <w:t>14 pak 242,1 mld. korun.</w:t>
            </w:r>
          </w:p>
          <w:p w:rsidR="005D5A35" w:rsidRDefault="005D5A35" w:rsidP="004701B6">
            <w:pPr>
              <w:pStyle w:val="Textpoznpodarou"/>
              <w:jc w:val="both"/>
              <w:rPr>
                <w:color w:val="000000"/>
                <w:spacing w:val="-2"/>
              </w:rPr>
            </w:pPr>
          </w:p>
        </w:tc>
      </w:tr>
      <w:tr w:rsidR="005D5A35" w:rsidRPr="00602D1D" w:rsidTr="00686D87">
        <w:tc>
          <w:tcPr>
            <w:tcW w:w="1042" w:type="pct"/>
          </w:tcPr>
          <w:p w:rsidR="005D5A35" w:rsidRPr="00602D1D" w:rsidRDefault="005D5A35" w:rsidP="00E10497">
            <w:pPr>
              <w:spacing w:line="240" w:lineRule="auto"/>
              <w:rPr>
                <w:color w:val="000000"/>
                <w:sz w:val="16"/>
                <w:szCs w:val="16"/>
              </w:rPr>
            </w:pPr>
            <w:r>
              <w:rPr>
                <w:color w:val="000000"/>
                <w:sz w:val="16"/>
                <w:szCs w:val="16"/>
              </w:rPr>
              <w:lastRenderedPageBreak/>
              <w:t>V roce 2013 i 2014 schodek sektoru vládních institucí pod průměrnou úrovní posledních šesti let …</w:t>
            </w:r>
            <w:r w:rsidRPr="00602D1D">
              <w:rPr>
                <w:color w:val="000000"/>
                <w:sz w:val="16"/>
                <w:szCs w:val="16"/>
              </w:rPr>
              <w:t xml:space="preserve"> </w:t>
            </w:r>
          </w:p>
          <w:p w:rsidR="005D5A35" w:rsidRPr="00602D1D" w:rsidRDefault="005D5A35" w:rsidP="004701B6">
            <w:pPr>
              <w:spacing w:line="240" w:lineRule="auto"/>
              <w:rPr>
                <w:color w:val="000000"/>
                <w:sz w:val="16"/>
                <w:szCs w:val="16"/>
              </w:rPr>
            </w:pPr>
          </w:p>
        </w:tc>
        <w:tc>
          <w:tcPr>
            <w:tcW w:w="139" w:type="pct"/>
          </w:tcPr>
          <w:p w:rsidR="005D5A35" w:rsidRDefault="005D5A35" w:rsidP="004701B6">
            <w:pPr>
              <w:pStyle w:val="Textpoznpodarou"/>
              <w:jc w:val="both"/>
            </w:pPr>
          </w:p>
        </w:tc>
        <w:tc>
          <w:tcPr>
            <w:tcW w:w="3819" w:type="pct"/>
          </w:tcPr>
          <w:p w:rsidR="005D5A35" w:rsidRDefault="005D5A35" w:rsidP="00370362">
            <w:pPr>
              <w:pStyle w:val="Textpoznpodarou"/>
              <w:jc w:val="both"/>
              <w:rPr>
                <w:color w:val="000000"/>
                <w:spacing w:val="-2"/>
              </w:rPr>
            </w:pPr>
            <w:r>
              <w:rPr>
                <w:color w:val="000000"/>
                <w:spacing w:val="-2"/>
              </w:rPr>
              <w:t>V úhrnu byly relativní deficity hospodaření sektoru vládních institucí ČR v letech 2013 a 2014 lepší než průměr posledních šesti let (2009-2014), který činil -3,3 % HDP. Ani během relativně silné a dlouhé konjunktury české ekonomiky v době po vstupu do EU se nedařilo deficity významněji redukovat (za roky 2004-2008 činil schodek v</w:t>
            </w:r>
            <w:r w:rsidR="007253C1">
              <w:rPr>
                <w:color w:val="000000"/>
                <w:spacing w:val="-2"/>
              </w:rPr>
              <w:t> </w:t>
            </w:r>
            <w:r>
              <w:rPr>
                <w:color w:val="000000"/>
                <w:spacing w:val="-2"/>
              </w:rPr>
              <w:t xml:space="preserve">průměru 2,2 % HDP). Nejvyšší průměrné deficitní hospodaření však zaznamenával vládní sektor ČR v letech 1998-2003, kdy schodek v poměru k HDP činil ročně v průměru -4,9 %. V letech 2002 a 2003 se dokonce propadl pod 6 % nominálního HDP - rozpočtové příjmy například ovlivnila skutečnost, že i při relativně silných deficitech byla ještě snížena sazba DPH. </w:t>
            </w:r>
          </w:p>
          <w:p w:rsidR="005D5A35" w:rsidRPr="00602D1D" w:rsidRDefault="005D5A35" w:rsidP="00370362">
            <w:pPr>
              <w:pStyle w:val="Textpoznpodarou"/>
              <w:jc w:val="both"/>
              <w:rPr>
                <w:color w:val="000000"/>
                <w:spacing w:val="-2"/>
              </w:rPr>
            </w:pPr>
          </w:p>
        </w:tc>
      </w:tr>
      <w:tr w:rsidR="005D5A35" w:rsidRPr="00602D1D" w:rsidTr="00017315">
        <w:tc>
          <w:tcPr>
            <w:tcW w:w="1042" w:type="pct"/>
          </w:tcPr>
          <w:p w:rsidR="005D5A35" w:rsidRPr="00602D1D" w:rsidRDefault="005D5A35" w:rsidP="004701B6">
            <w:pPr>
              <w:spacing w:line="240" w:lineRule="auto"/>
              <w:rPr>
                <w:color w:val="000000"/>
                <w:sz w:val="16"/>
                <w:szCs w:val="16"/>
              </w:rPr>
            </w:pPr>
            <w:r>
              <w:rPr>
                <w:color w:val="000000"/>
                <w:sz w:val="16"/>
                <w:szCs w:val="16"/>
              </w:rPr>
              <w:t>… a v evropském žebříčku znamenal schodek 2 % HDP 10. pořadí těsně za</w:t>
            </w:r>
            <w:r w:rsidR="007253C1">
              <w:rPr>
                <w:color w:val="000000"/>
                <w:sz w:val="16"/>
                <w:szCs w:val="16"/>
              </w:rPr>
              <w:t> </w:t>
            </w:r>
            <w:r>
              <w:rPr>
                <w:color w:val="000000"/>
                <w:sz w:val="16"/>
                <w:szCs w:val="16"/>
              </w:rPr>
              <w:t>Švédskem (v roce 2013 se</w:t>
            </w:r>
            <w:r w:rsidR="007253C1">
              <w:rPr>
                <w:color w:val="000000"/>
                <w:sz w:val="16"/>
                <w:szCs w:val="16"/>
              </w:rPr>
              <w:t> </w:t>
            </w:r>
            <w:r>
              <w:rPr>
                <w:color w:val="000000"/>
                <w:sz w:val="16"/>
                <w:szCs w:val="16"/>
              </w:rPr>
              <w:t xml:space="preserve">schodkem 1,2 % to bylo 8. místo za Dánskem) </w:t>
            </w:r>
          </w:p>
          <w:p w:rsidR="005D5A35" w:rsidRPr="00602D1D" w:rsidRDefault="005D5A35" w:rsidP="004701B6">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4701B6">
            <w:pPr>
              <w:pStyle w:val="Textpoznpodarou"/>
              <w:jc w:val="both"/>
            </w:pPr>
          </w:p>
        </w:tc>
        <w:tc>
          <w:tcPr>
            <w:tcW w:w="3819" w:type="pct"/>
          </w:tcPr>
          <w:p w:rsidR="005D5A35" w:rsidRPr="00602D1D" w:rsidRDefault="005D5A35" w:rsidP="00214ED2">
            <w:pPr>
              <w:pStyle w:val="Textpoznpodarou"/>
              <w:jc w:val="both"/>
              <w:rPr>
                <w:color w:val="000000"/>
                <w:spacing w:val="-2"/>
              </w:rPr>
            </w:pPr>
            <w:r w:rsidRPr="003A180C">
              <w:rPr>
                <w:color w:val="000000"/>
              </w:rPr>
              <w:t>Pokud jde o pořadí v evropském žebříku, rok 2014 znamenal pro ČR v „úspěšnosti“ hospodaření vlád 10. příčku, se zhruba srovnatelným deficitem</w:t>
            </w:r>
            <w:r w:rsidR="00214ED2">
              <w:rPr>
                <w:color w:val="000000"/>
              </w:rPr>
              <w:t xml:space="preserve">, který </w:t>
            </w:r>
            <w:r w:rsidRPr="003A180C">
              <w:rPr>
                <w:color w:val="000000"/>
              </w:rPr>
              <w:t>mělo Švédsko (-1,9 % HDP).</w:t>
            </w:r>
            <w:r>
              <w:rPr>
                <w:color w:val="000000"/>
                <w:spacing w:val="-2"/>
              </w:rPr>
              <w:t xml:space="preserve"> Mírně lepší pořadí obsadila ČR i v roce předcházejícím s deficitem relativně o dost příznivějším (-1,2 % HDP). Lepšící se trend je však patrný nejen </w:t>
            </w:r>
            <w:r w:rsidR="00214ED2">
              <w:rPr>
                <w:color w:val="000000"/>
                <w:spacing w:val="-2"/>
              </w:rPr>
              <w:t>z</w:t>
            </w:r>
            <w:r>
              <w:rPr>
                <w:color w:val="000000"/>
                <w:spacing w:val="-2"/>
              </w:rPr>
              <w:t xml:space="preserve"> křivky grafu 3, ale i </w:t>
            </w:r>
            <w:r w:rsidR="00214ED2">
              <w:rPr>
                <w:color w:val="000000"/>
                <w:spacing w:val="-2"/>
              </w:rPr>
              <w:t>z</w:t>
            </w:r>
            <w:r>
              <w:rPr>
                <w:color w:val="000000"/>
                <w:spacing w:val="-2"/>
              </w:rPr>
              <w:t xml:space="preserve"> docilovaného pořadí. V roce 2004 byla ČR s deficitem -2,7 % HDP na 16. místě, v roce 2009 s -5,5 % na 13. místě a v roce 2011 (-2,7 %) na 11. místě. Uvedené proporce jasně ukazují i vývoj v řadě ostatních zemí.     </w:t>
            </w:r>
          </w:p>
        </w:tc>
      </w:tr>
    </w:tbl>
    <w:p w:rsidR="005D5A35" w:rsidRDefault="005D5A35" w:rsidP="00686D87"/>
    <w:tbl>
      <w:tblPr>
        <w:tblW w:w="5000" w:type="pct"/>
        <w:tblLook w:val="00A0"/>
      </w:tblPr>
      <w:tblGrid>
        <w:gridCol w:w="107"/>
        <w:gridCol w:w="950"/>
        <w:gridCol w:w="1350"/>
        <w:gridCol w:w="101"/>
        <w:gridCol w:w="2448"/>
        <w:gridCol w:w="974"/>
        <w:gridCol w:w="3924"/>
      </w:tblGrid>
      <w:tr w:rsidR="005D5A35" w:rsidRPr="003D4760" w:rsidTr="00D93A51">
        <w:tc>
          <w:tcPr>
            <w:tcW w:w="537" w:type="pct"/>
            <w:gridSpan w:val="2"/>
          </w:tcPr>
          <w:p w:rsidR="005D5A35" w:rsidRPr="003D34B4" w:rsidRDefault="005D5A35" w:rsidP="00E10497">
            <w:pPr>
              <w:pStyle w:val="Textpoznpodarou"/>
              <w:rPr>
                <w:lang w:eastAsia="en-US"/>
              </w:rPr>
            </w:pPr>
            <w:r w:rsidRPr="003D34B4">
              <w:rPr>
                <w:lang w:eastAsia="en-US"/>
              </w:rPr>
              <w:t>Graf č. 3</w:t>
            </w:r>
          </w:p>
        </w:tc>
        <w:tc>
          <w:tcPr>
            <w:tcW w:w="1978" w:type="pct"/>
            <w:gridSpan w:val="3"/>
          </w:tcPr>
          <w:p w:rsidR="00DF5343" w:rsidRDefault="005D5A35" w:rsidP="00DF5343">
            <w:pPr>
              <w:pStyle w:val="Textpoznpodarou"/>
              <w:rPr>
                <w:b/>
                <w:lang w:eastAsia="en-US"/>
              </w:rPr>
            </w:pPr>
            <w:r w:rsidRPr="003D34B4">
              <w:rPr>
                <w:b/>
                <w:lang w:eastAsia="en-US"/>
              </w:rPr>
              <w:t>ČR – defi</w:t>
            </w:r>
            <w:r w:rsidR="00DF5343">
              <w:rPr>
                <w:b/>
                <w:lang w:eastAsia="en-US"/>
              </w:rPr>
              <w:t>cit sektoru vládních institucí a </w:t>
            </w:r>
            <w:r w:rsidRPr="003D34B4">
              <w:rPr>
                <w:b/>
                <w:lang w:eastAsia="en-US"/>
              </w:rPr>
              <w:t>ústřední</w:t>
            </w:r>
            <w:r w:rsidR="00DF5343">
              <w:rPr>
                <w:b/>
                <w:lang w:eastAsia="en-US"/>
              </w:rPr>
              <w:t xml:space="preserve">ch vládních institucí </w:t>
            </w:r>
          </w:p>
          <w:p w:rsidR="005D5A35" w:rsidRPr="00DF5343" w:rsidRDefault="005D5A35" w:rsidP="00DF5343">
            <w:pPr>
              <w:pStyle w:val="Textpoznpodarou"/>
              <w:rPr>
                <w:b/>
                <w:lang w:eastAsia="en-US"/>
              </w:rPr>
            </w:pPr>
            <w:r w:rsidRPr="003D34B4">
              <w:rPr>
                <w:lang w:eastAsia="en-US"/>
              </w:rPr>
              <w:t>(</w:t>
            </w:r>
            <w:r w:rsidR="007253C1">
              <w:rPr>
                <w:lang w:eastAsia="en-US"/>
              </w:rPr>
              <w:t xml:space="preserve">v </w:t>
            </w:r>
            <w:r w:rsidRPr="003D34B4">
              <w:rPr>
                <w:lang w:eastAsia="en-US"/>
              </w:rPr>
              <w:t xml:space="preserve">% </w:t>
            </w:r>
            <w:proofErr w:type="spellStart"/>
            <w:r w:rsidRPr="003D34B4">
              <w:rPr>
                <w:lang w:eastAsia="en-US"/>
              </w:rPr>
              <w:t>nom</w:t>
            </w:r>
            <w:proofErr w:type="spellEnd"/>
            <w:r w:rsidRPr="003D34B4">
              <w:rPr>
                <w:lang w:eastAsia="en-US"/>
              </w:rPr>
              <w:t>. HDP)</w:t>
            </w:r>
          </w:p>
        </w:tc>
        <w:tc>
          <w:tcPr>
            <w:tcW w:w="494" w:type="pct"/>
          </w:tcPr>
          <w:p w:rsidR="005D5A35" w:rsidRPr="003D34B4" w:rsidRDefault="005D5A35" w:rsidP="00D2620E">
            <w:pPr>
              <w:pStyle w:val="Textpoznpodarou"/>
              <w:rPr>
                <w:lang w:eastAsia="en-US"/>
              </w:rPr>
            </w:pPr>
            <w:r w:rsidRPr="003D34B4">
              <w:rPr>
                <w:lang w:eastAsia="en-US"/>
              </w:rPr>
              <w:t>Graf č.</w:t>
            </w:r>
            <w:r w:rsidR="00D2620E">
              <w:rPr>
                <w:lang w:eastAsia="en-US"/>
              </w:rPr>
              <w:t> </w:t>
            </w:r>
            <w:r w:rsidRPr="003D34B4">
              <w:rPr>
                <w:lang w:eastAsia="en-US"/>
              </w:rPr>
              <w:t>4</w:t>
            </w:r>
          </w:p>
        </w:tc>
        <w:tc>
          <w:tcPr>
            <w:tcW w:w="1991" w:type="pct"/>
          </w:tcPr>
          <w:p w:rsidR="00DF5343" w:rsidRDefault="005D5A35" w:rsidP="00DF5343">
            <w:pPr>
              <w:pStyle w:val="Textpoznpodarou"/>
              <w:rPr>
                <w:b/>
                <w:spacing w:val="-2"/>
                <w:lang w:eastAsia="en-US"/>
              </w:rPr>
            </w:pPr>
            <w:r w:rsidRPr="003D34B4">
              <w:rPr>
                <w:b/>
                <w:spacing w:val="-2"/>
                <w:lang w:eastAsia="en-US"/>
              </w:rPr>
              <w:t xml:space="preserve">Evropa – salda hospodaření </w:t>
            </w:r>
            <w:r w:rsidR="00DF5343">
              <w:rPr>
                <w:b/>
                <w:spacing w:val="-2"/>
                <w:lang w:eastAsia="en-US"/>
              </w:rPr>
              <w:t xml:space="preserve">sektorů </w:t>
            </w:r>
            <w:r w:rsidRPr="003D34B4">
              <w:rPr>
                <w:b/>
                <w:spacing w:val="-2"/>
                <w:lang w:eastAsia="en-US"/>
              </w:rPr>
              <w:t xml:space="preserve">vládních </w:t>
            </w:r>
            <w:r w:rsidR="00DF5343">
              <w:rPr>
                <w:b/>
                <w:spacing w:val="-2"/>
                <w:lang w:eastAsia="en-US"/>
              </w:rPr>
              <w:t>institucí</w:t>
            </w:r>
            <w:r w:rsidRPr="003D34B4">
              <w:rPr>
                <w:b/>
                <w:spacing w:val="-2"/>
                <w:lang w:eastAsia="en-US"/>
              </w:rPr>
              <w:t xml:space="preserve"> v roce 2014 </w:t>
            </w:r>
          </w:p>
          <w:p w:rsidR="005D5A35" w:rsidRPr="003D34B4" w:rsidRDefault="005D5A35" w:rsidP="00DF5343">
            <w:pPr>
              <w:pStyle w:val="Textpoznpodarou"/>
              <w:rPr>
                <w:spacing w:val="-2"/>
                <w:lang w:eastAsia="en-US"/>
              </w:rPr>
            </w:pPr>
            <w:r w:rsidRPr="003D34B4">
              <w:rPr>
                <w:spacing w:val="-2"/>
                <w:lang w:eastAsia="en-US"/>
              </w:rPr>
              <w:t>(</w:t>
            </w:r>
            <w:r w:rsidR="007253C1">
              <w:rPr>
                <w:spacing w:val="-2"/>
                <w:lang w:eastAsia="en-US"/>
              </w:rPr>
              <w:t xml:space="preserve">v </w:t>
            </w:r>
            <w:r w:rsidRPr="003D34B4">
              <w:rPr>
                <w:spacing w:val="-2"/>
                <w:lang w:eastAsia="en-US"/>
              </w:rPr>
              <w:t xml:space="preserve">% </w:t>
            </w:r>
            <w:proofErr w:type="spellStart"/>
            <w:r w:rsidRPr="003D34B4">
              <w:rPr>
                <w:spacing w:val="-2"/>
                <w:lang w:eastAsia="en-US"/>
              </w:rPr>
              <w:t>nom</w:t>
            </w:r>
            <w:proofErr w:type="spellEnd"/>
            <w:r w:rsidRPr="003D34B4">
              <w:rPr>
                <w:spacing w:val="-2"/>
                <w:lang w:eastAsia="en-US"/>
              </w:rPr>
              <w:t>. HDP)</w:t>
            </w:r>
          </w:p>
        </w:tc>
      </w:tr>
      <w:tr w:rsidR="005D5A35" w:rsidRPr="007D44C3" w:rsidTr="00D93A51">
        <w:trPr>
          <w:trHeight w:val="3508"/>
        </w:trPr>
        <w:tc>
          <w:tcPr>
            <w:tcW w:w="2515" w:type="pct"/>
            <w:gridSpan w:val="5"/>
          </w:tcPr>
          <w:p w:rsidR="005D5A35" w:rsidRPr="003D34B4" w:rsidRDefault="00D93A51" w:rsidP="003D34B4">
            <w:pPr>
              <w:pStyle w:val="Textpoznpodarou"/>
              <w:jc w:val="both"/>
              <w:rPr>
                <w:sz w:val="22"/>
                <w:lang w:eastAsia="en-US"/>
              </w:rPr>
            </w:pPr>
            <w:r>
              <w:object w:dxaOrig="6855" w:dyaOrig="4950">
                <v:shape id="_x0000_i1082" type="#_x0000_t75" style="width:234pt;height:185.25pt" o:ole="">
                  <v:imagedata r:id="rId70" o:title=""/>
                </v:shape>
                <o:OLEObject Type="Embed" ProgID="PBrush" ShapeID="_x0000_i1082" DrawAspect="Content" ObjectID="_1499759840" r:id="rId71"/>
              </w:object>
            </w:r>
          </w:p>
        </w:tc>
        <w:tc>
          <w:tcPr>
            <w:tcW w:w="2485" w:type="pct"/>
            <w:gridSpan w:val="2"/>
          </w:tcPr>
          <w:p w:rsidR="005D5A35" w:rsidRPr="003D34B4" w:rsidRDefault="00D93A51" w:rsidP="00D2620E">
            <w:pPr>
              <w:pStyle w:val="Textpoznpodarou"/>
              <w:jc w:val="right"/>
              <w:rPr>
                <w:sz w:val="22"/>
                <w:lang w:eastAsia="en-US"/>
              </w:rPr>
            </w:pPr>
            <w:r>
              <w:object w:dxaOrig="6390" w:dyaOrig="5100">
                <v:shape id="_x0000_i1083" type="#_x0000_t75" style="width:233.25pt;height:185.25pt" o:ole="">
                  <v:imagedata r:id="rId72" o:title=""/>
                </v:shape>
                <o:OLEObject Type="Embed" ProgID="PBrush" ShapeID="_x0000_i1083" DrawAspect="Content" ObjectID="_1499759841" r:id="rId73"/>
              </w:object>
            </w:r>
          </w:p>
        </w:tc>
      </w:tr>
      <w:tr w:rsidR="005D5A35" w:rsidRPr="007D44C3" w:rsidTr="00D93A51">
        <w:tc>
          <w:tcPr>
            <w:tcW w:w="5000" w:type="pct"/>
            <w:gridSpan w:val="7"/>
          </w:tcPr>
          <w:p w:rsidR="00D93A51" w:rsidRDefault="00132665" w:rsidP="00D93A51">
            <w:pPr>
              <w:jc w:val="right"/>
              <w:rPr>
                <w:sz w:val="18"/>
                <w:szCs w:val="18"/>
                <w:lang w:eastAsia="en-US"/>
              </w:rPr>
            </w:pPr>
            <w:r>
              <w:rPr>
                <w:sz w:val="18"/>
                <w:szCs w:val="18"/>
                <w:lang w:eastAsia="en-US"/>
              </w:rPr>
              <w:t>Zdroj</w:t>
            </w:r>
            <w:r w:rsidR="006E15CB" w:rsidRPr="006E15CB">
              <w:rPr>
                <w:sz w:val="18"/>
                <w:szCs w:val="18"/>
                <w:lang w:eastAsia="en-US"/>
              </w:rPr>
              <w:t xml:space="preserve">: </w:t>
            </w:r>
            <w:proofErr w:type="spellStart"/>
            <w:r w:rsidR="006E15CB" w:rsidRPr="006E15CB">
              <w:rPr>
                <w:sz w:val="18"/>
                <w:szCs w:val="18"/>
                <w:lang w:eastAsia="en-US"/>
              </w:rPr>
              <w:t>Eurostat</w:t>
            </w:r>
            <w:proofErr w:type="spellEnd"/>
          </w:p>
          <w:p w:rsidR="00D93A51" w:rsidRPr="006E15CB" w:rsidRDefault="00D93A51" w:rsidP="00D93A51">
            <w:pPr>
              <w:jc w:val="right"/>
              <w:rPr>
                <w:sz w:val="18"/>
                <w:szCs w:val="18"/>
                <w:lang w:eastAsia="en-US"/>
              </w:rPr>
            </w:pPr>
          </w:p>
        </w:tc>
      </w:tr>
      <w:tr w:rsidR="005D5A35" w:rsidRPr="00602D1D" w:rsidTr="00D93A51">
        <w:tblPrEx>
          <w:tblCellMar>
            <w:left w:w="28" w:type="dxa"/>
            <w:right w:w="28" w:type="dxa"/>
          </w:tblCellMar>
        </w:tblPrEx>
        <w:trPr>
          <w:gridBefore w:val="1"/>
          <w:wBefore w:w="55" w:type="pct"/>
        </w:trPr>
        <w:tc>
          <w:tcPr>
            <w:tcW w:w="1167" w:type="pct"/>
            <w:gridSpan w:val="2"/>
          </w:tcPr>
          <w:p w:rsidR="005D5A35" w:rsidRPr="00602D1D" w:rsidRDefault="005D5A35" w:rsidP="004701B6">
            <w:pPr>
              <w:spacing w:line="240" w:lineRule="auto"/>
              <w:rPr>
                <w:color w:val="000000"/>
                <w:sz w:val="16"/>
                <w:szCs w:val="16"/>
              </w:rPr>
            </w:pPr>
            <w:r>
              <w:rPr>
                <w:color w:val="000000"/>
                <w:sz w:val="16"/>
                <w:szCs w:val="16"/>
              </w:rPr>
              <w:t>U zemí ekonomicky i</w:t>
            </w:r>
            <w:r w:rsidR="008F41F7">
              <w:rPr>
                <w:color w:val="000000"/>
                <w:sz w:val="16"/>
                <w:szCs w:val="16"/>
              </w:rPr>
              <w:t> </w:t>
            </w:r>
            <w:r>
              <w:rPr>
                <w:color w:val="000000"/>
                <w:sz w:val="16"/>
                <w:szCs w:val="16"/>
              </w:rPr>
              <w:t>teritoriálně blízkých docházelo</w:t>
            </w:r>
            <w:r w:rsidR="008F41F7">
              <w:rPr>
                <w:color w:val="000000"/>
                <w:sz w:val="16"/>
                <w:szCs w:val="16"/>
              </w:rPr>
              <w:t> </w:t>
            </w:r>
            <w:r>
              <w:rPr>
                <w:color w:val="000000"/>
                <w:sz w:val="16"/>
                <w:szCs w:val="16"/>
              </w:rPr>
              <w:t>po krizi v roce 2009</w:t>
            </w:r>
            <w:r w:rsidR="008F41F7">
              <w:rPr>
                <w:color w:val="000000"/>
                <w:sz w:val="16"/>
                <w:szCs w:val="16"/>
              </w:rPr>
              <w:t> </w:t>
            </w:r>
            <w:r>
              <w:rPr>
                <w:color w:val="000000"/>
                <w:sz w:val="16"/>
                <w:szCs w:val="16"/>
              </w:rPr>
              <w:t>ke zlepšování hospodaření jejich vládních sektorů, a to vesměs ve</w:t>
            </w:r>
            <w:r w:rsidR="008F41F7">
              <w:rPr>
                <w:color w:val="000000"/>
                <w:sz w:val="16"/>
                <w:szCs w:val="16"/>
              </w:rPr>
              <w:t> </w:t>
            </w:r>
            <w:r>
              <w:rPr>
                <w:color w:val="000000"/>
                <w:sz w:val="16"/>
                <w:szCs w:val="16"/>
              </w:rPr>
              <w:t xml:space="preserve">srovnatelném měřítku </w:t>
            </w:r>
          </w:p>
          <w:p w:rsidR="005D5A35" w:rsidRPr="00602D1D" w:rsidRDefault="005D5A35" w:rsidP="004701B6">
            <w:pPr>
              <w:spacing w:line="240" w:lineRule="auto"/>
              <w:rPr>
                <w:color w:val="000000"/>
                <w:sz w:val="16"/>
                <w:szCs w:val="16"/>
              </w:rPr>
            </w:pPr>
            <w:r w:rsidRPr="00602D1D">
              <w:rPr>
                <w:color w:val="000000"/>
                <w:sz w:val="16"/>
                <w:szCs w:val="16"/>
              </w:rPr>
              <w:t xml:space="preserve"> </w:t>
            </w:r>
          </w:p>
        </w:tc>
        <w:tc>
          <w:tcPr>
            <w:tcW w:w="51" w:type="pct"/>
          </w:tcPr>
          <w:p w:rsidR="005D5A35" w:rsidRDefault="005D5A35" w:rsidP="004701B6">
            <w:pPr>
              <w:pStyle w:val="Textpoznpodarou"/>
              <w:jc w:val="both"/>
            </w:pPr>
          </w:p>
        </w:tc>
        <w:tc>
          <w:tcPr>
            <w:tcW w:w="3727" w:type="pct"/>
            <w:gridSpan w:val="3"/>
          </w:tcPr>
          <w:p w:rsidR="005D5A35" w:rsidRDefault="005D5A35" w:rsidP="00DA7613">
            <w:pPr>
              <w:pStyle w:val="Textpoznpodarou"/>
              <w:jc w:val="both"/>
            </w:pPr>
            <w:r w:rsidRPr="00DA7613">
              <w:t xml:space="preserve">Obvyklá srovnání </w:t>
            </w:r>
            <w:r>
              <w:t xml:space="preserve">ČR se </w:t>
            </w:r>
            <w:r w:rsidRPr="00DA7613">
              <w:t>zem</w:t>
            </w:r>
            <w:r>
              <w:t>ěmi</w:t>
            </w:r>
            <w:r w:rsidRPr="00DA7613">
              <w:t xml:space="preserve"> sousední</w:t>
            </w:r>
            <w:r>
              <w:t>mi</w:t>
            </w:r>
            <w:r w:rsidRPr="00DA7613">
              <w:t xml:space="preserve"> anebo </w:t>
            </w:r>
            <w:r>
              <w:t>ekono</w:t>
            </w:r>
            <w:r w:rsidRPr="00DA7613">
              <w:t>micky „příbuzný</w:t>
            </w:r>
            <w:r>
              <w:t>mi</w:t>
            </w:r>
            <w:r w:rsidRPr="00DA7613">
              <w:t>“ ukazují</w:t>
            </w:r>
            <w:r>
              <w:t xml:space="preserve"> během dvou posledních dekád podobný vývoj hospodaření sektorů vládních institucí ČR, Polska a po převážnou část zvoleného období i Slovinska (z</w:t>
            </w:r>
            <w:r w:rsidR="008F41F7">
              <w:t> </w:t>
            </w:r>
            <w:r>
              <w:t>grafu 5 je patrný tento exces zapříčiněný sanací slovinských komerčních bank). Poněkud odlišné byly však deficity sektorů vládních institucí v poměru k HDP u</w:t>
            </w:r>
            <w:r w:rsidR="008F41F7">
              <w:t> </w:t>
            </w:r>
            <w:r>
              <w:t xml:space="preserve">Maďarska a Slovenska, které se oproti ostatním zemím uvedeným v grafu 5 vyznačovaly obecně větší hloubkou. Je to patné zejména v případě Slovenska s propady v letech 1998-2000. Poté se až do roku 2007 tato vnitřní nerovnováha na Slovensku velmi významně zredukovala, zřejmě i v důsledku reforem. </w:t>
            </w:r>
          </w:p>
          <w:p w:rsidR="005D5A35" w:rsidRPr="007910AE" w:rsidRDefault="005D5A35" w:rsidP="00DA7613">
            <w:pPr>
              <w:pStyle w:val="Textpoznpodarou"/>
              <w:jc w:val="both"/>
              <w:rPr>
                <w:sz w:val="12"/>
                <w:szCs w:val="12"/>
              </w:rPr>
            </w:pPr>
          </w:p>
          <w:p w:rsidR="005D5A35" w:rsidRPr="00602D1D" w:rsidRDefault="005D5A35" w:rsidP="00AA0A14">
            <w:pPr>
              <w:pStyle w:val="Textpoznpodarou"/>
              <w:jc w:val="both"/>
              <w:rPr>
                <w:color w:val="000000"/>
                <w:spacing w:val="-2"/>
              </w:rPr>
            </w:pPr>
            <w:r>
              <w:t xml:space="preserve">V období po krizi roku 2009 je </w:t>
            </w:r>
            <w:r w:rsidRPr="00DA7613">
              <w:t>trend ke zlepšování</w:t>
            </w:r>
            <w:r>
              <w:t xml:space="preserve"> deficitů sektorů vládních institucí středoevropských zemí </w:t>
            </w:r>
            <w:r w:rsidRPr="00DA7613">
              <w:t>obecným jevem</w:t>
            </w:r>
            <w:r>
              <w:t xml:space="preserve"> (graf 6). </w:t>
            </w:r>
            <w:r>
              <w:rPr>
                <w:color w:val="000000"/>
                <w:spacing w:val="-2"/>
              </w:rPr>
              <w:t xml:space="preserve"> </w:t>
            </w:r>
          </w:p>
        </w:tc>
      </w:tr>
    </w:tbl>
    <w:p w:rsidR="005D5A35" w:rsidRDefault="005D5A35" w:rsidP="00686D87">
      <w:r w:rsidRPr="00D2620E">
        <w:lastRenderedPageBreak/>
        <w:t>Graf č. 5:</w:t>
      </w:r>
      <w:r w:rsidRPr="00DA7613">
        <w:rPr>
          <w:b/>
        </w:rPr>
        <w:t xml:space="preserve"> Deficity sektorů vládních </w:t>
      </w:r>
      <w:r>
        <w:rPr>
          <w:b/>
        </w:rPr>
        <w:t xml:space="preserve">institucí </w:t>
      </w:r>
      <w:r w:rsidRPr="00DA7613">
        <w:rPr>
          <w:b/>
        </w:rPr>
        <w:t>vybraných zemí</w:t>
      </w:r>
      <w:r>
        <w:t xml:space="preserve"> (% nominálního HDP)</w:t>
      </w:r>
    </w:p>
    <w:p w:rsidR="005D5A35" w:rsidRPr="006D41A6" w:rsidRDefault="005D5A35" w:rsidP="00686D87">
      <w:pPr>
        <w:rPr>
          <w:sz w:val="4"/>
          <w:szCs w:val="4"/>
        </w:rPr>
      </w:pPr>
    </w:p>
    <w:p w:rsidR="005D5A35" w:rsidRDefault="002A2083" w:rsidP="00DA7613">
      <w:pPr>
        <w:jc w:val="center"/>
      </w:pPr>
      <w:r>
        <w:rPr>
          <w:noProof/>
        </w:rPr>
        <w:pict>
          <v:shape id="Graf 19" o:spid="_x0000_i1084" type="#_x0000_t75" style="width:427.5pt;height:17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">
            <v:imagedata r:id="rId74" o:title=""/>
            <o:lock v:ext="edit" aspectratio="f"/>
          </v:shape>
        </w:pict>
      </w:r>
    </w:p>
    <w:p w:rsidR="006E15CB" w:rsidRDefault="00132665" w:rsidP="006E15CB">
      <w:pPr>
        <w:jc w:val="right"/>
        <w:rPr>
          <w:sz w:val="18"/>
          <w:szCs w:val="18"/>
        </w:rPr>
      </w:pPr>
      <w:r>
        <w:rPr>
          <w:sz w:val="18"/>
          <w:szCs w:val="18"/>
        </w:rPr>
        <w:t>Zdroj</w:t>
      </w:r>
      <w:r w:rsidR="006E15CB" w:rsidRPr="006E15CB">
        <w:rPr>
          <w:sz w:val="18"/>
          <w:szCs w:val="18"/>
        </w:rPr>
        <w:t xml:space="preserve">: </w:t>
      </w:r>
      <w:proofErr w:type="spellStart"/>
      <w:r w:rsidR="006E15CB" w:rsidRPr="006E15CB">
        <w:rPr>
          <w:sz w:val="18"/>
          <w:szCs w:val="18"/>
        </w:rPr>
        <w:t>Eurostat</w:t>
      </w:r>
      <w:proofErr w:type="spellEnd"/>
    </w:p>
    <w:p w:rsidR="006E15CB" w:rsidRPr="00BB19EC" w:rsidRDefault="006E15CB" w:rsidP="006E15CB">
      <w:pPr>
        <w:spacing w:line="240" w:lineRule="auto"/>
        <w:jc w:val="right"/>
        <w:rPr>
          <w:sz w:val="16"/>
          <w:szCs w:val="16"/>
        </w:rPr>
      </w:pPr>
    </w:p>
    <w:tbl>
      <w:tblPr>
        <w:tblW w:w="5043" w:type="pct"/>
        <w:tblInd w:w="-42" w:type="dxa"/>
        <w:tblCellMar>
          <w:left w:w="28" w:type="dxa"/>
          <w:right w:w="28" w:type="dxa"/>
        </w:tblCellMar>
        <w:tblLook w:val="00A0"/>
      </w:tblPr>
      <w:tblGrid>
        <w:gridCol w:w="2037"/>
        <w:gridCol w:w="272"/>
        <w:gridCol w:w="7468"/>
      </w:tblGrid>
      <w:tr w:rsidR="005D5A35" w:rsidRPr="00602D1D" w:rsidTr="008C41F7">
        <w:tc>
          <w:tcPr>
            <w:tcW w:w="1042" w:type="pct"/>
          </w:tcPr>
          <w:p w:rsidR="005D5A35" w:rsidRPr="008F41F7" w:rsidRDefault="005D5A35" w:rsidP="004701B6">
            <w:pPr>
              <w:spacing w:line="240" w:lineRule="auto"/>
              <w:rPr>
                <w:color w:val="000000"/>
                <w:spacing w:val="-4"/>
                <w:sz w:val="16"/>
                <w:szCs w:val="16"/>
              </w:rPr>
            </w:pPr>
            <w:r w:rsidRPr="008F41F7">
              <w:rPr>
                <w:color w:val="000000"/>
                <w:spacing w:val="-4"/>
                <w:sz w:val="16"/>
                <w:szCs w:val="16"/>
              </w:rPr>
              <w:t>Výrazná sezónnost výdajů vlády v ČR patrná vždy v</w:t>
            </w:r>
            <w:r w:rsidR="008F41F7">
              <w:rPr>
                <w:color w:val="000000"/>
                <w:spacing w:val="-4"/>
                <w:sz w:val="16"/>
                <w:szCs w:val="16"/>
              </w:rPr>
              <w:t> </w:t>
            </w:r>
            <w:r w:rsidRPr="008F41F7">
              <w:rPr>
                <w:color w:val="000000"/>
                <w:spacing w:val="-4"/>
                <w:sz w:val="16"/>
                <w:szCs w:val="16"/>
              </w:rPr>
              <w:t>posledních čtvrtletích roku</w:t>
            </w:r>
          </w:p>
          <w:p w:rsidR="005D5A35" w:rsidRPr="00602D1D" w:rsidRDefault="005D5A35" w:rsidP="004701B6">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4701B6">
            <w:pPr>
              <w:pStyle w:val="Textpoznpodarou"/>
              <w:jc w:val="both"/>
            </w:pPr>
          </w:p>
        </w:tc>
        <w:tc>
          <w:tcPr>
            <w:tcW w:w="3819" w:type="pct"/>
          </w:tcPr>
          <w:p w:rsidR="005D5A35" w:rsidRPr="00FF21B9" w:rsidRDefault="005D5A35" w:rsidP="007910AE">
            <w:pPr>
              <w:pStyle w:val="Textpoznpodarou"/>
              <w:jc w:val="both"/>
            </w:pPr>
            <w:r>
              <w:t>Sezónnost především u celkových výdajů sektoru vládních institucí, projevující se vysokými výdaji hlavně v posledním čtvrtletí, je patrná i z vývoje v roce 2014 (graf 7). Je však vidět i nárůst příjmů v té době.</w:t>
            </w:r>
          </w:p>
        </w:tc>
      </w:tr>
    </w:tbl>
    <w:p w:rsidR="005D5A35" w:rsidRPr="00266591" w:rsidRDefault="005D5A35" w:rsidP="00686D87">
      <w:pPr>
        <w:rPr>
          <w:sz w:val="16"/>
          <w:szCs w:val="16"/>
        </w:rPr>
      </w:pPr>
    </w:p>
    <w:tbl>
      <w:tblPr>
        <w:tblW w:w="4946" w:type="pct"/>
        <w:tblLook w:val="00A0"/>
      </w:tblPr>
      <w:tblGrid>
        <w:gridCol w:w="920"/>
        <w:gridCol w:w="153"/>
        <w:gridCol w:w="1023"/>
        <w:gridCol w:w="299"/>
        <w:gridCol w:w="2530"/>
        <w:gridCol w:w="96"/>
        <w:gridCol w:w="880"/>
        <w:gridCol w:w="100"/>
        <w:gridCol w:w="3842"/>
      </w:tblGrid>
      <w:tr w:rsidR="005D5A35" w:rsidRPr="003D4760" w:rsidTr="00266591">
        <w:tc>
          <w:tcPr>
            <w:tcW w:w="553" w:type="pct"/>
            <w:gridSpan w:val="2"/>
          </w:tcPr>
          <w:p w:rsidR="005D5A35" w:rsidRPr="003D34B4" w:rsidRDefault="005D5A35" w:rsidP="004701B6">
            <w:pPr>
              <w:pStyle w:val="Textpoznpodarou"/>
              <w:rPr>
                <w:lang w:eastAsia="en-US"/>
              </w:rPr>
            </w:pPr>
            <w:r w:rsidRPr="003D34B4">
              <w:rPr>
                <w:lang w:eastAsia="en-US"/>
              </w:rPr>
              <w:t>Graf č. 6</w:t>
            </w:r>
          </w:p>
        </w:tc>
        <w:tc>
          <w:tcPr>
            <w:tcW w:w="2035" w:type="pct"/>
            <w:gridSpan w:val="4"/>
          </w:tcPr>
          <w:p w:rsidR="005D5A35" w:rsidRPr="003D34B4" w:rsidRDefault="005D5A35" w:rsidP="00BF1D58">
            <w:pPr>
              <w:pStyle w:val="Textpoznpodarou"/>
              <w:rPr>
                <w:lang w:eastAsia="en-US"/>
              </w:rPr>
            </w:pPr>
            <w:r w:rsidRPr="003D34B4">
              <w:rPr>
                <w:b/>
                <w:lang w:eastAsia="en-US"/>
              </w:rPr>
              <w:t>Deficity sektorů vládních</w:t>
            </w:r>
            <w:r>
              <w:rPr>
                <w:b/>
                <w:lang w:eastAsia="en-US"/>
              </w:rPr>
              <w:t xml:space="preserve"> institucí</w:t>
            </w:r>
            <w:r w:rsidRPr="003D34B4">
              <w:rPr>
                <w:b/>
                <w:lang w:eastAsia="en-US"/>
              </w:rPr>
              <w:t xml:space="preserve"> středoevropských zemí </w:t>
            </w:r>
            <w:r w:rsidRPr="003D34B4">
              <w:rPr>
                <w:lang w:eastAsia="en-US"/>
              </w:rPr>
              <w:t xml:space="preserve">(% </w:t>
            </w:r>
            <w:proofErr w:type="spellStart"/>
            <w:r w:rsidRPr="003D34B4">
              <w:rPr>
                <w:lang w:eastAsia="en-US"/>
              </w:rPr>
              <w:t>nom</w:t>
            </w:r>
            <w:proofErr w:type="spellEnd"/>
            <w:r w:rsidRPr="003D34B4">
              <w:rPr>
                <w:lang w:eastAsia="en-US"/>
              </w:rPr>
              <w:t>. HDP)</w:t>
            </w:r>
          </w:p>
        </w:tc>
        <w:tc>
          <w:tcPr>
            <w:tcW w:w="490" w:type="pct"/>
            <w:gridSpan w:val="2"/>
          </w:tcPr>
          <w:p w:rsidR="005D5A35" w:rsidRPr="003D34B4" w:rsidRDefault="005D5A35" w:rsidP="00D2620E">
            <w:pPr>
              <w:pStyle w:val="Textpoznpodarou"/>
              <w:rPr>
                <w:lang w:eastAsia="en-US"/>
              </w:rPr>
            </w:pPr>
            <w:r w:rsidRPr="003D34B4">
              <w:rPr>
                <w:lang w:eastAsia="en-US"/>
              </w:rPr>
              <w:t>Graf č.</w:t>
            </w:r>
            <w:r w:rsidR="00D2620E">
              <w:rPr>
                <w:lang w:eastAsia="en-US"/>
              </w:rPr>
              <w:t> </w:t>
            </w:r>
            <w:r w:rsidRPr="003D34B4">
              <w:rPr>
                <w:lang w:eastAsia="en-US"/>
              </w:rPr>
              <w:t>7</w:t>
            </w:r>
          </w:p>
        </w:tc>
        <w:tc>
          <w:tcPr>
            <w:tcW w:w="1922" w:type="pct"/>
          </w:tcPr>
          <w:p w:rsidR="005D5A35" w:rsidRPr="003D34B4" w:rsidRDefault="005D5A35" w:rsidP="00DF5343">
            <w:pPr>
              <w:pStyle w:val="Textpoznpodarou"/>
              <w:rPr>
                <w:spacing w:val="-2"/>
                <w:lang w:eastAsia="en-US"/>
              </w:rPr>
            </w:pPr>
            <w:r w:rsidRPr="003D34B4">
              <w:rPr>
                <w:b/>
                <w:spacing w:val="-2"/>
                <w:lang w:eastAsia="en-US"/>
              </w:rPr>
              <w:t>2014 - Příjmy a výdaje sektoru vládní</w:t>
            </w:r>
            <w:r>
              <w:rPr>
                <w:b/>
                <w:spacing w:val="-2"/>
                <w:lang w:eastAsia="en-US"/>
              </w:rPr>
              <w:t>c</w:t>
            </w:r>
            <w:r w:rsidRPr="003D34B4">
              <w:rPr>
                <w:b/>
                <w:spacing w:val="-2"/>
                <w:lang w:eastAsia="en-US"/>
              </w:rPr>
              <w:t>h</w:t>
            </w:r>
            <w:r>
              <w:rPr>
                <w:b/>
                <w:spacing w:val="-2"/>
                <w:lang w:eastAsia="en-US"/>
              </w:rPr>
              <w:t xml:space="preserve"> institucí</w:t>
            </w:r>
            <w:r w:rsidRPr="003D34B4">
              <w:rPr>
                <w:b/>
                <w:spacing w:val="-2"/>
                <w:lang w:eastAsia="en-US"/>
              </w:rPr>
              <w:t xml:space="preserve"> a ústřední</w:t>
            </w:r>
            <w:r w:rsidR="00DF5343">
              <w:rPr>
                <w:b/>
                <w:spacing w:val="-2"/>
                <w:lang w:eastAsia="en-US"/>
              </w:rPr>
              <w:t xml:space="preserve">ch </w:t>
            </w:r>
            <w:r w:rsidRPr="003D34B4">
              <w:rPr>
                <w:b/>
                <w:spacing w:val="-2"/>
                <w:lang w:eastAsia="en-US"/>
              </w:rPr>
              <w:t>vlád</w:t>
            </w:r>
            <w:r w:rsidR="00DF5343">
              <w:rPr>
                <w:b/>
                <w:spacing w:val="-2"/>
                <w:lang w:eastAsia="en-US"/>
              </w:rPr>
              <w:t>ních institucí</w:t>
            </w:r>
            <w:r w:rsidRPr="003D34B4">
              <w:rPr>
                <w:b/>
                <w:spacing w:val="-2"/>
                <w:lang w:eastAsia="en-US"/>
              </w:rPr>
              <w:t xml:space="preserve"> </w:t>
            </w:r>
            <w:r w:rsidRPr="003D34B4">
              <w:rPr>
                <w:spacing w:val="-2"/>
                <w:lang w:eastAsia="en-US"/>
              </w:rPr>
              <w:t>(v mil. korun)</w:t>
            </w:r>
          </w:p>
        </w:tc>
      </w:tr>
      <w:tr w:rsidR="005D5A35" w:rsidRPr="007D44C3" w:rsidTr="00266591">
        <w:trPr>
          <w:trHeight w:val="3728"/>
        </w:trPr>
        <w:tc>
          <w:tcPr>
            <w:tcW w:w="2588" w:type="pct"/>
            <w:gridSpan w:val="6"/>
          </w:tcPr>
          <w:p w:rsidR="005D5A35" w:rsidRPr="003D34B4" w:rsidRDefault="00266591" w:rsidP="00D2620E">
            <w:pPr>
              <w:pStyle w:val="Textpoznpodarou"/>
              <w:rPr>
                <w:sz w:val="22"/>
                <w:lang w:eastAsia="en-US"/>
              </w:rPr>
            </w:pPr>
            <w:r>
              <w:object w:dxaOrig="6810" w:dyaOrig="5160">
                <v:shape id="_x0000_i1085" type="#_x0000_t75" style="width:232.5pt;height:186pt" o:ole="">
                  <v:imagedata r:id="rId75" o:title=""/>
                </v:shape>
                <o:OLEObject Type="Embed" ProgID="PBrush" ShapeID="_x0000_i1085" DrawAspect="Content" ObjectID="_1499759842" r:id="rId76"/>
              </w:object>
            </w:r>
          </w:p>
        </w:tc>
        <w:tc>
          <w:tcPr>
            <w:tcW w:w="2412" w:type="pct"/>
            <w:gridSpan w:val="3"/>
          </w:tcPr>
          <w:p w:rsidR="005D5A35" w:rsidRPr="003D34B4" w:rsidRDefault="00266591" w:rsidP="00266591">
            <w:pPr>
              <w:pStyle w:val="Textpoznpodarou"/>
              <w:jc w:val="right"/>
              <w:rPr>
                <w:sz w:val="22"/>
                <w:lang w:eastAsia="en-US"/>
              </w:rPr>
            </w:pPr>
            <w:r>
              <w:object w:dxaOrig="6570" w:dyaOrig="5205">
                <v:shape id="_x0000_i1086" type="#_x0000_t75" style="width:230.25pt;height:186pt" o:ole="">
                  <v:imagedata r:id="rId77" o:title=""/>
                </v:shape>
                <o:OLEObject Type="Embed" ProgID="PBrush" ShapeID="_x0000_i1086" DrawAspect="Content" ObjectID="_1499759843" r:id="rId78"/>
              </w:object>
            </w:r>
          </w:p>
        </w:tc>
      </w:tr>
      <w:tr w:rsidR="005D5A35" w:rsidRPr="007D44C3" w:rsidTr="00266591">
        <w:tc>
          <w:tcPr>
            <w:tcW w:w="5000" w:type="pct"/>
            <w:gridSpan w:val="9"/>
          </w:tcPr>
          <w:p w:rsidR="00D2620E" w:rsidRDefault="00132665" w:rsidP="003D34B4">
            <w:pPr>
              <w:pStyle w:val="Textpoznpodarou"/>
              <w:jc w:val="right"/>
              <w:rPr>
                <w:sz w:val="18"/>
                <w:szCs w:val="18"/>
                <w:lang w:eastAsia="en-US"/>
              </w:rPr>
            </w:pPr>
            <w:r>
              <w:rPr>
                <w:sz w:val="18"/>
                <w:szCs w:val="18"/>
                <w:lang w:eastAsia="en-US"/>
              </w:rPr>
              <w:t>Zdroj</w:t>
            </w:r>
            <w:r w:rsidR="005D5A35" w:rsidRPr="003D34B4">
              <w:rPr>
                <w:sz w:val="18"/>
                <w:szCs w:val="18"/>
                <w:lang w:eastAsia="en-US"/>
              </w:rPr>
              <w:t xml:space="preserve">: </w:t>
            </w:r>
            <w:proofErr w:type="spellStart"/>
            <w:r w:rsidR="005D5A35" w:rsidRPr="003D34B4">
              <w:rPr>
                <w:sz w:val="18"/>
                <w:szCs w:val="18"/>
                <w:lang w:eastAsia="en-US"/>
              </w:rPr>
              <w:t>Eurostat</w:t>
            </w:r>
            <w:proofErr w:type="spellEnd"/>
            <w:r w:rsidR="005D5A35" w:rsidRPr="003D34B4">
              <w:rPr>
                <w:sz w:val="18"/>
                <w:szCs w:val="18"/>
                <w:lang w:eastAsia="en-US"/>
              </w:rPr>
              <w:t>, ČSÚ</w:t>
            </w:r>
          </w:p>
          <w:p w:rsidR="00D2620E" w:rsidRPr="00D2620E" w:rsidRDefault="00D2620E" w:rsidP="003D34B4">
            <w:pPr>
              <w:pStyle w:val="Textpoznpodarou"/>
              <w:jc w:val="right"/>
              <w:rPr>
                <w:sz w:val="14"/>
                <w:szCs w:val="14"/>
                <w:lang w:eastAsia="en-US"/>
              </w:rPr>
            </w:pPr>
          </w:p>
        </w:tc>
      </w:tr>
      <w:tr w:rsidR="005D5A35" w:rsidRPr="00602D1D" w:rsidTr="00266591">
        <w:tblPrEx>
          <w:tblCellMar>
            <w:left w:w="28" w:type="dxa"/>
            <w:right w:w="28" w:type="dxa"/>
          </w:tblCellMar>
        </w:tblPrEx>
        <w:tc>
          <w:tcPr>
            <w:tcW w:w="1080" w:type="pct"/>
            <w:gridSpan w:val="3"/>
          </w:tcPr>
          <w:p w:rsidR="005D5A35" w:rsidRPr="00602D1D" w:rsidRDefault="005D5A35" w:rsidP="0051266C">
            <w:pPr>
              <w:spacing w:line="240" w:lineRule="auto"/>
              <w:rPr>
                <w:color w:val="000000"/>
                <w:sz w:val="16"/>
                <w:szCs w:val="16"/>
              </w:rPr>
            </w:pPr>
            <w:r>
              <w:rPr>
                <w:color w:val="000000"/>
                <w:sz w:val="16"/>
                <w:szCs w:val="16"/>
              </w:rPr>
              <w:t>Vý</w:t>
            </w:r>
            <w:r w:rsidR="008C41F7">
              <w:rPr>
                <w:color w:val="000000"/>
                <w:sz w:val="16"/>
                <w:szCs w:val="16"/>
              </w:rPr>
              <w:t>daje sektoru vládních institucí</w:t>
            </w:r>
            <w:r>
              <w:rPr>
                <w:color w:val="000000"/>
                <w:sz w:val="16"/>
                <w:szCs w:val="16"/>
              </w:rPr>
              <w:t xml:space="preserve"> ČR v roce 2014 stouply meziročně o 4,7 %, když v roce 2013 o 3,3 % poklesly – zatímco tehdy se</w:t>
            </w:r>
            <w:r w:rsidR="0051266C">
              <w:rPr>
                <w:color w:val="000000"/>
                <w:sz w:val="16"/>
                <w:szCs w:val="16"/>
              </w:rPr>
              <w:t> </w:t>
            </w:r>
            <w:r>
              <w:rPr>
                <w:color w:val="000000"/>
                <w:sz w:val="16"/>
                <w:szCs w:val="16"/>
              </w:rPr>
              <w:t>na jejich snížení podílel</w:t>
            </w:r>
            <w:r w:rsidR="0051266C">
              <w:rPr>
                <w:color w:val="000000"/>
                <w:sz w:val="16"/>
                <w:szCs w:val="16"/>
              </w:rPr>
              <w:t> </w:t>
            </w:r>
            <w:proofErr w:type="spellStart"/>
            <w:r>
              <w:rPr>
                <w:color w:val="000000"/>
                <w:sz w:val="16"/>
                <w:szCs w:val="16"/>
              </w:rPr>
              <w:t>subsektor</w:t>
            </w:r>
            <w:proofErr w:type="spellEnd"/>
            <w:r>
              <w:rPr>
                <w:color w:val="000000"/>
                <w:sz w:val="16"/>
                <w:szCs w:val="16"/>
              </w:rPr>
              <w:t xml:space="preserve"> ústřední vlády (-4,9 % y/y), v roce 2014 se nejvíce meziročně zvedly výdaje místních vlád (+6,4 %) a fondů sociálního zabezpečení (+5,9 %)</w:t>
            </w:r>
            <w:r w:rsidRPr="00602D1D">
              <w:rPr>
                <w:color w:val="000000"/>
                <w:sz w:val="16"/>
                <w:szCs w:val="16"/>
              </w:rPr>
              <w:t xml:space="preserve"> </w:t>
            </w:r>
          </w:p>
        </w:tc>
        <w:tc>
          <w:tcPr>
            <w:tcW w:w="154" w:type="pct"/>
          </w:tcPr>
          <w:p w:rsidR="005D5A35" w:rsidRDefault="005D5A35" w:rsidP="00D26579">
            <w:pPr>
              <w:pStyle w:val="Textpoznpodarou"/>
              <w:jc w:val="both"/>
            </w:pPr>
          </w:p>
        </w:tc>
        <w:tc>
          <w:tcPr>
            <w:tcW w:w="3765" w:type="pct"/>
            <w:gridSpan w:val="5"/>
          </w:tcPr>
          <w:p w:rsidR="005D5A35" w:rsidRDefault="005D5A35" w:rsidP="0080798B">
            <w:pPr>
              <w:pStyle w:val="Textpoznpodarou"/>
              <w:jc w:val="both"/>
            </w:pPr>
            <w:r>
              <w:t>Pokud jde o celkové výdaje a data o meziročních tempech v jejich struktuře</w:t>
            </w:r>
            <w:r w:rsidR="008C41F7">
              <w:t>, pak sektor vládních institucí</w:t>
            </w:r>
            <w:r>
              <w:t xml:space="preserve"> ČR vydal v roce 2014 celkem proti roku 2013 více o 4,7 %, přičemž nejrychleji rostly výdaje místních vlád (+6,4 %, tj. o 25 mld. korun) a fondů sociálního zabezpečení (+5,9 %, tj. o 13,5 mld. korun). I když zvětšení výdajů ústředních vládních institucí bylo co </w:t>
            </w:r>
            <w:r w:rsidR="00214ED2">
              <w:t xml:space="preserve">do </w:t>
            </w:r>
            <w:r>
              <w:t xml:space="preserve">procentní dynamiky nižší (+3,6 % meziročně), vzhledem k proporci tohoto </w:t>
            </w:r>
            <w:proofErr w:type="spellStart"/>
            <w:r>
              <w:t>subsektoru</w:t>
            </w:r>
            <w:proofErr w:type="spellEnd"/>
            <w:r>
              <w:t xml:space="preserve"> na celkových výdajích sektoru vládních institucí ČR byl jejich nominální přírůstek vysoký (+42,4 mld. korun). Participoval tak na celkovém zvýšení (+81 mld.) více než polovinou (z 52,3 %).</w:t>
            </w:r>
          </w:p>
          <w:p w:rsidR="005D5A35" w:rsidRPr="00266591" w:rsidRDefault="005D5A35" w:rsidP="0080798B">
            <w:pPr>
              <w:pStyle w:val="Textpoznpodarou"/>
              <w:jc w:val="both"/>
            </w:pPr>
          </w:p>
          <w:p w:rsidR="005D5A35" w:rsidRDefault="005D5A35" w:rsidP="0080798B">
            <w:pPr>
              <w:pStyle w:val="Textpoznpodarou"/>
              <w:jc w:val="both"/>
            </w:pPr>
            <w:r>
              <w:t>Vývoj výdajů sektoru vládních institucí ČR v roce 2014 nebyl tak příznivý jako v roce 2013, neboť tehdy celkové výdaje klesly o 3,3 % vlivem jejich poklesu v </w:t>
            </w:r>
            <w:proofErr w:type="spellStart"/>
            <w:r>
              <w:t>subsektoru</w:t>
            </w:r>
            <w:proofErr w:type="spellEnd"/>
            <w:r>
              <w:t xml:space="preserve"> ústřední vlády (-4,9 %). Mírné zvýšení tehdy zaznamenaly výdaje místních vlád (+2% proti roku 2012). </w:t>
            </w:r>
          </w:p>
          <w:p w:rsidR="005D5A35" w:rsidRPr="00D2620E" w:rsidRDefault="005D5A35" w:rsidP="0080798B">
            <w:pPr>
              <w:pStyle w:val="Textpoznpodarou"/>
              <w:jc w:val="both"/>
              <w:rPr>
                <w:color w:val="000000"/>
                <w:spacing w:val="-2"/>
                <w:sz w:val="14"/>
                <w:szCs w:val="14"/>
              </w:rPr>
            </w:pPr>
            <w:r>
              <w:t xml:space="preserve"> </w:t>
            </w:r>
          </w:p>
        </w:tc>
      </w:tr>
      <w:tr w:rsidR="005D5A35" w:rsidRPr="00602D1D" w:rsidTr="00266591">
        <w:tblPrEx>
          <w:tblCellMar>
            <w:left w:w="28" w:type="dxa"/>
            <w:right w:w="28" w:type="dxa"/>
          </w:tblCellMar>
        </w:tblPrEx>
        <w:tc>
          <w:tcPr>
            <w:tcW w:w="1080" w:type="pct"/>
            <w:gridSpan w:val="3"/>
          </w:tcPr>
          <w:p w:rsidR="005D5A35" w:rsidRPr="00602D1D" w:rsidRDefault="005D5A35" w:rsidP="00BB19EC">
            <w:pPr>
              <w:spacing w:line="240" w:lineRule="auto"/>
              <w:rPr>
                <w:color w:val="000000"/>
                <w:sz w:val="16"/>
                <w:szCs w:val="16"/>
              </w:rPr>
            </w:pPr>
            <w:r>
              <w:rPr>
                <w:color w:val="000000"/>
                <w:sz w:val="16"/>
                <w:szCs w:val="16"/>
              </w:rPr>
              <w:t>Nejvíce se na výdajích sektoru vládních institucí podílí sociální sféra - z</w:t>
            </w:r>
            <w:r w:rsidR="00BB19EC">
              <w:rPr>
                <w:color w:val="000000"/>
                <w:sz w:val="16"/>
                <w:szCs w:val="16"/>
              </w:rPr>
              <w:t> </w:t>
            </w:r>
            <w:r>
              <w:rPr>
                <w:color w:val="000000"/>
                <w:sz w:val="16"/>
                <w:szCs w:val="16"/>
              </w:rPr>
              <w:t>32</w:t>
            </w:r>
            <w:r w:rsidR="00BB19EC">
              <w:rPr>
                <w:color w:val="000000"/>
                <w:sz w:val="16"/>
                <w:szCs w:val="16"/>
              </w:rPr>
              <w:t> </w:t>
            </w:r>
            <w:r>
              <w:rPr>
                <w:color w:val="000000"/>
                <w:sz w:val="16"/>
                <w:szCs w:val="16"/>
              </w:rPr>
              <w:t xml:space="preserve">% v roce 2013, její podíl na výdajích samotné ústřední </w:t>
            </w:r>
            <w:r>
              <w:rPr>
                <w:color w:val="000000"/>
                <w:sz w:val="16"/>
                <w:szCs w:val="16"/>
              </w:rPr>
              <w:lastRenderedPageBreak/>
              <w:t>vlády však činil 44 %</w:t>
            </w:r>
          </w:p>
        </w:tc>
        <w:tc>
          <w:tcPr>
            <w:tcW w:w="154" w:type="pct"/>
          </w:tcPr>
          <w:p w:rsidR="005D5A35" w:rsidRDefault="005D5A35" w:rsidP="000A4B3E">
            <w:pPr>
              <w:pStyle w:val="Textpoznpodarou"/>
              <w:jc w:val="both"/>
            </w:pPr>
          </w:p>
        </w:tc>
        <w:tc>
          <w:tcPr>
            <w:tcW w:w="3765" w:type="pct"/>
            <w:gridSpan w:val="5"/>
          </w:tcPr>
          <w:p w:rsidR="005D5A35" w:rsidRDefault="005D5A35" w:rsidP="00D2620E">
            <w:pPr>
              <w:pStyle w:val="Textpoznpodarou"/>
              <w:jc w:val="both"/>
            </w:pPr>
            <w:r>
              <w:t>Co se hlavních položek výdajů sektoru vládních institucí týká, data v klasifikaci COFOG dostupná za rok 2013 uvádějí nejvyšší vý</w:t>
            </w:r>
            <w:r w:rsidR="00214ED2">
              <w:t xml:space="preserve">daje v položce „Sociální věci“ </w:t>
            </w:r>
            <w:r>
              <w:t>32</w:t>
            </w:r>
            <w:r w:rsidR="0051266C">
              <w:t> </w:t>
            </w:r>
            <w:r>
              <w:t>%, tj. 544 mld. (z toho s</w:t>
            </w:r>
            <w:r w:rsidR="0051266C">
              <w:t>amotn</w:t>
            </w:r>
            <w:r w:rsidR="00DF5343">
              <w:t xml:space="preserve">é </w:t>
            </w:r>
            <w:r w:rsidR="0051266C">
              <w:t>ústřední vlád</w:t>
            </w:r>
            <w:r w:rsidR="00DF5343">
              <w:t>ní instituce</w:t>
            </w:r>
            <w:r w:rsidR="0051266C">
              <w:t xml:space="preserve"> 522,8 mld.</w:t>
            </w:r>
            <w:r>
              <w:t xml:space="preserve"> korun). Na </w:t>
            </w:r>
            <w:r w:rsidR="00DF5343">
              <w:t>n</w:t>
            </w:r>
            <w:r>
              <w:t xml:space="preserve">ich se položka „Stáří“ podílí 325 miliardami (ústřední vláda 317 mld. korun), </w:t>
            </w:r>
            <w:r>
              <w:lastRenderedPageBreak/>
              <w:t xml:space="preserve">položka „Nemoc a invalidita“ 90 mld. (resp. 84 mld. korun) a položka „Rodina a děti“ 54 mld. (resp. 48 miliardami korun vydávaných </w:t>
            </w:r>
            <w:proofErr w:type="spellStart"/>
            <w:r>
              <w:t>subsektorem</w:t>
            </w:r>
            <w:proofErr w:type="spellEnd"/>
            <w:r>
              <w:t xml:space="preserve"> ústřední vlády).</w:t>
            </w:r>
          </w:p>
          <w:p w:rsidR="00266591" w:rsidRPr="00960239" w:rsidRDefault="00266591" w:rsidP="00D2620E">
            <w:pPr>
              <w:pStyle w:val="Textpoznpodarou"/>
              <w:jc w:val="both"/>
            </w:pPr>
          </w:p>
        </w:tc>
      </w:tr>
      <w:tr w:rsidR="005D5A35" w:rsidRPr="00960239" w:rsidTr="00266591">
        <w:tblPrEx>
          <w:tblCellMar>
            <w:left w:w="28" w:type="dxa"/>
            <w:right w:w="28" w:type="dxa"/>
          </w:tblCellMar>
        </w:tblPrEx>
        <w:tc>
          <w:tcPr>
            <w:tcW w:w="1080" w:type="pct"/>
            <w:gridSpan w:val="3"/>
          </w:tcPr>
          <w:p w:rsidR="005D5A35" w:rsidRPr="00602D1D" w:rsidRDefault="005D5A35" w:rsidP="00A82A03">
            <w:pPr>
              <w:spacing w:line="240" w:lineRule="auto"/>
              <w:rPr>
                <w:color w:val="000000"/>
                <w:sz w:val="16"/>
                <w:szCs w:val="16"/>
              </w:rPr>
            </w:pPr>
            <w:r>
              <w:rPr>
                <w:color w:val="000000"/>
                <w:sz w:val="16"/>
                <w:szCs w:val="16"/>
              </w:rPr>
              <w:lastRenderedPageBreak/>
              <w:t>Objemy mezd (náhrad zaměstnancům) vyplacené v </w:t>
            </w:r>
            <w:proofErr w:type="spellStart"/>
            <w:r>
              <w:rPr>
                <w:color w:val="000000"/>
                <w:sz w:val="16"/>
                <w:szCs w:val="16"/>
              </w:rPr>
              <w:t>subsektoru</w:t>
            </w:r>
            <w:proofErr w:type="spellEnd"/>
            <w:r>
              <w:rPr>
                <w:color w:val="000000"/>
                <w:sz w:val="16"/>
                <w:szCs w:val="16"/>
              </w:rPr>
              <w:t xml:space="preserve"> ústřední vlády byly v roce 2014 (154 mld. korun) prakticky totožné s objemy vyplácenými na úrovni místních vládních institucí (obcí, krajů), tj. 146 mld. korun</w:t>
            </w:r>
          </w:p>
        </w:tc>
        <w:tc>
          <w:tcPr>
            <w:tcW w:w="154" w:type="pct"/>
          </w:tcPr>
          <w:p w:rsidR="005D5A35" w:rsidRDefault="005D5A35" w:rsidP="000A4B3E">
            <w:pPr>
              <w:pStyle w:val="Textpoznpodarou"/>
              <w:jc w:val="both"/>
            </w:pPr>
          </w:p>
        </w:tc>
        <w:tc>
          <w:tcPr>
            <w:tcW w:w="3765" w:type="pct"/>
            <w:gridSpan w:val="5"/>
          </w:tcPr>
          <w:p w:rsidR="005D5A35" w:rsidRPr="005D5B8F" w:rsidRDefault="005D5A35" w:rsidP="000A4B3E">
            <w:pPr>
              <w:pStyle w:val="Textpoznpodarou"/>
              <w:jc w:val="both"/>
              <w:rPr>
                <w:spacing w:val="-2"/>
              </w:rPr>
            </w:pPr>
            <w:r w:rsidRPr="005D5B8F">
              <w:rPr>
                <w:spacing w:val="-2"/>
              </w:rPr>
              <w:t>Ačkoli se má za to, že velká většina lidí pracujících ve vládním sektoru jsou zaměstnanci státu (sektoru ústřední vlády), z objemu vyplácených náhrad zaměstnancům plyne, že rozdíl není příliš veliký. V roce 2014 totiž vyplatila ústřední vláda v náhradách zaměstnancům 154 mld. korun (tj. zhruba 12 % svých celkových výdajů), ale místní vlády prakticky totéž, tj. 146 mld. korun představujících 34 % jejich celkových výdajů. Nepoměr v procentním zastoupení je logický, neboť ústřední vláda má na starosti mj. výdaje sociálního charakteru jako nejsilnější výdajové položky, výdaje na obranu a jiné položky soustředěné na centrální úrovni, což modifikuje výsledný procentní podíl. Z a</w:t>
            </w:r>
            <w:r w:rsidR="005D5B8F" w:rsidRPr="005D5B8F">
              <w:rPr>
                <w:spacing w:val="-2"/>
              </w:rPr>
              <w:t>bsolutních hodnot je však patrný rozsah</w:t>
            </w:r>
            <w:r w:rsidRPr="005D5B8F">
              <w:rPr>
                <w:spacing w:val="-2"/>
              </w:rPr>
              <w:t xml:space="preserve"> „personální</w:t>
            </w:r>
            <w:r w:rsidR="005D5B8F" w:rsidRPr="005D5B8F">
              <w:rPr>
                <w:spacing w:val="-2"/>
              </w:rPr>
              <w:t>ho</w:t>
            </w:r>
            <w:r w:rsidRPr="005D5B8F">
              <w:rPr>
                <w:spacing w:val="-2"/>
              </w:rPr>
              <w:t xml:space="preserve"> zajištění“ fungování sektoru místních vlád</w:t>
            </w:r>
            <w:r w:rsidR="005D5B8F" w:rsidRPr="005D5B8F">
              <w:rPr>
                <w:spacing w:val="-2"/>
              </w:rPr>
              <w:t>ních institucí</w:t>
            </w:r>
            <w:r w:rsidRPr="005D5B8F">
              <w:rPr>
                <w:spacing w:val="-2"/>
              </w:rPr>
              <w:t>.</w:t>
            </w:r>
          </w:p>
          <w:p w:rsidR="005D5A35" w:rsidRPr="008C41F7" w:rsidRDefault="005D5A35" w:rsidP="000A4B3E">
            <w:pPr>
              <w:pStyle w:val="Textpoznpodarou"/>
              <w:jc w:val="both"/>
            </w:pPr>
          </w:p>
          <w:p w:rsidR="005D5A35" w:rsidRPr="00960239" w:rsidRDefault="005D5A35" w:rsidP="000A4B3E">
            <w:pPr>
              <w:pStyle w:val="Textpoznpodarou"/>
              <w:jc w:val="both"/>
            </w:pPr>
            <w:r>
              <w:t xml:space="preserve">Zaměstnanci fondů sociálního zabezpečení získali v roce 2014 v podobě náhrad 3,8 mld. korun, což spolu s výše zmíněnými </w:t>
            </w:r>
            <w:proofErr w:type="spellStart"/>
            <w:r>
              <w:t>subsektory</w:t>
            </w:r>
            <w:proofErr w:type="spellEnd"/>
            <w:r>
              <w:t xml:space="preserve"> představovalo celkové náhrady zaměstnancům v uvedeném roce ve výši 304 mld. korun. Bylo to necelých 17 % celkových výdajů sektoru vládních institucí ČR v daném roce. </w:t>
            </w:r>
            <w:r w:rsidRPr="00960239">
              <w:t xml:space="preserve"> </w:t>
            </w:r>
          </w:p>
          <w:p w:rsidR="005D5A35" w:rsidRPr="00960239" w:rsidRDefault="005D5A35" w:rsidP="000A4B3E">
            <w:pPr>
              <w:pStyle w:val="Textpoznpodarou"/>
              <w:jc w:val="both"/>
            </w:pPr>
          </w:p>
        </w:tc>
      </w:tr>
      <w:tr w:rsidR="005D5A35" w:rsidRPr="00960239" w:rsidTr="00266591">
        <w:tblPrEx>
          <w:tblCellMar>
            <w:left w:w="28" w:type="dxa"/>
            <w:right w:w="28" w:type="dxa"/>
          </w:tblCellMar>
        </w:tblPrEx>
        <w:tc>
          <w:tcPr>
            <w:tcW w:w="1080" w:type="pct"/>
            <w:gridSpan w:val="3"/>
          </w:tcPr>
          <w:p w:rsidR="005D5A35" w:rsidRDefault="005D5A35" w:rsidP="00F35395">
            <w:pPr>
              <w:spacing w:line="240" w:lineRule="auto"/>
              <w:rPr>
                <w:color w:val="000000"/>
                <w:sz w:val="16"/>
                <w:szCs w:val="16"/>
              </w:rPr>
            </w:pPr>
            <w:r>
              <w:rPr>
                <w:color w:val="000000"/>
                <w:sz w:val="16"/>
                <w:szCs w:val="16"/>
              </w:rPr>
              <w:t>Od roku 1993 do roku 2014 se objem vyplácených náhrad zaměstnancům sektoru vládních institucí</w:t>
            </w:r>
            <w:r w:rsidR="00F62807">
              <w:rPr>
                <w:color w:val="000000"/>
                <w:sz w:val="16"/>
                <w:szCs w:val="16"/>
              </w:rPr>
              <w:t xml:space="preserve"> zvýšil</w:t>
            </w:r>
            <w:r>
              <w:rPr>
                <w:color w:val="000000"/>
                <w:sz w:val="16"/>
                <w:szCs w:val="16"/>
              </w:rPr>
              <w:t xml:space="preserve"> více než čtyřikrát, což bylo mírně více než za</w:t>
            </w:r>
            <w:r w:rsidR="00F35395">
              <w:rPr>
                <w:color w:val="000000"/>
                <w:sz w:val="16"/>
                <w:szCs w:val="16"/>
              </w:rPr>
              <w:t> </w:t>
            </w:r>
            <w:r>
              <w:rPr>
                <w:color w:val="000000"/>
                <w:sz w:val="16"/>
                <w:szCs w:val="16"/>
              </w:rPr>
              <w:t>českou ekonomiku jako celek</w:t>
            </w:r>
          </w:p>
        </w:tc>
        <w:tc>
          <w:tcPr>
            <w:tcW w:w="154" w:type="pct"/>
          </w:tcPr>
          <w:p w:rsidR="005D5A35" w:rsidRDefault="005D5A35" w:rsidP="000A4B3E">
            <w:pPr>
              <w:pStyle w:val="Textpoznpodarou"/>
              <w:jc w:val="both"/>
            </w:pPr>
          </w:p>
        </w:tc>
        <w:tc>
          <w:tcPr>
            <w:tcW w:w="3765" w:type="pct"/>
            <w:gridSpan w:val="5"/>
          </w:tcPr>
          <w:p w:rsidR="005D5A35" w:rsidRDefault="005D5A35" w:rsidP="00DC0BB4">
            <w:pPr>
              <w:pStyle w:val="Textpoznpodarou"/>
              <w:jc w:val="both"/>
            </w:pPr>
            <w:r>
              <w:t>Porovnáme-li vývoj vyplácených náhrad zaměstnancům vládního sektoru v dosažitelné časové řadě, tj. od roku 1993, je zřejmé, že jejich výše stoupla za</w:t>
            </w:r>
            <w:r w:rsidR="00F35395">
              <w:t> </w:t>
            </w:r>
            <w:r>
              <w:t>uvedené období 4,05krát, zatímco</w:t>
            </w:r>
            <w:r w:rsidR="00C93679">
              <w:t xml:space="preserve"> za</w:t>
            </w:r>
            <w:r>
              <w:t xml:space="preserve"> ekonomiku jako celek jen 3,73krát. Tuto skutečnost je však třeba korigovat faktem, že přírůstek za celou ekonomiku byl významně ovlivněn přírůstkem vyplácených náhrad v sektoru domácností (živnosti). Ten se totiž za období 1993-2014 zvýšil jen 1,36krát. Přitom nefinanční podniky vyplatily zaměstnancům v podobě náhrad téměř čtyřikrát více (3,87krát) než v roce 1993 a finanční instituce dokonce skoro pětkrát více (4,82 krát více). V těchto přírůstcích a proporcích hraje samozřejmě roli, kromě průměrné mzdy, i</w:t>
            </w:r>
            <w:r w:rsidR="00F35395">
              <w:t> </w:t>
            </w:r>
            <w:r>
              <w:t>vývoj počtu</w:t>
            </w:r>
            <w:r w:rsidR="00D2620E">
              <w:t> </w:t>
            </w:r>
            <w:r>
              <w:t xml:space="preserve">zaměstnanců.   </w:t>
            </w:r>
          </w:p>
          <w:p w:rsidR="005D5A35" w:rsidRDefault="005D5A35" w:rsidP="006D41A6">
            <w:pPr>
              <w:pStyle w:val="Textpoznpodarou"/>
              <w:jc w:val="both"/>
            </w:pPr>
          </w:p>
        </w:tc>
      </w:tr>
      <w:tr w:rsidR="005D5A35" w:rsidRPr="00960239" w:rsidTr="00266591">
        <w:tblPrEx>
          <w:tblCellMar>
            <w:left w:w="28" w:type="dxa"/>
            <w:right w:w="28" w:type="dxa"/>
          </w:tblCellMar>
        </w:tblPrEx>
        <w:tc>
          <w:tcPr>
            <w:tcW w:w="1080" w:type="pct"/>
            <w:gridSpan w:val="3"/>
          </w:tcPr>
          <w:p w:rsidR="005D5A35" w:rsidRPr="00602D1D" w:rsidRDefault="005D5A35" w:rsidP="00CB5B25">
            <w:pPr>
              <w:spacing w:line="240" w:lineRule="auto"/>
              <w:rPr>
                <w:color w:val="000000"/>
                <w:sz w:val="16"/>
                <w:szCs w:val="16"/>
              </w:rPr>
            </w:pPr>
            <w:r>
              <w:rPr>
                <w:color w:val="000000"/>
                <w:sz w:val="16"/>
                <w:szCs w:val="16"/>
              </w:rPr>
              <w:t xml:space="preserve">Teprve v roce 2013 získali zaměstnanci sektoru vládních institucí na mzdách (v podobě náhrad zaměstnancům) více peněz než v roce 2009, a to nepatrně </w:t>
            </w:r>
          </w:p>
          <w:p w:rsidR="005D5A35" w:rsidRDefault="005D5A35" w:rsidP="00A82A03">
            <w:pPr>
              <w:spacing w:line="240" w:lineRule="auto"/>
              <w:rPr>
                <w:color w:val="000000"/>
                <w:sz w:val="16"/>
                <w:szCs w:val="16"/>
              </w:rPr>
            </w:pPr>
          </w:p>
        </w:tc>
        <w:tc>
          <w:tcPr>
            <w:tcW w:w="154" w:type="pct"/>
          </w:tcPr>
          <w:p w:rsidR="005D5A35" w:rsidRDefault="005D5A35" w:rsidP="000A4B3E">
            <w:pPr>
              <w:pStyle w:val="Textpoznpodarou"/>
              <w:jc w:val="both"/>
            </w:pPr>
          </w:p>
        </w:tc>
        <w:tc>
          <w:tcPr>
            <w:tcW w:w="3765" w:type="pct"/>
            <w:gridSpan w:val="5"/>
          </w:tcPr>
          <w:p w:rsidR="005D5A35" w:rsidRDefault="005D5A35" w:rsidP="00C53F31">
            <w:pPr>
              <w:pStyle w:val="Textpoznpodarou"/>
              <w:jc w:val="both"/>
            </w:pPr>
            <w:r>
              <w:t>Nepříznivý ekonomický vývoj zasáhl po roce 2009 výplaty náhrad zaměstnancům v</w:t>
            </w:r>
            <w:r w:rsidR="00F35395">
              <w:t> </w:t>
            </w:r>
            <w:r>
              <w:t xml:space="preserve">sektoru vládních institucí do té míry, že teprve v roce 2013 dosáhly úrovně roku 2009 (293,6 mld. korun proti 293 mld. korun v roce 2009), jak je vidět z grafu 8. V roce 2014 byly náhrady zaměstnancům meziročně vyšší o 3,9 % v největším meziročním růstu od roku 2009. V něm totiž vyplacené náhrady zaměstnancům </w:t>
            </w:r>
            <w:r w:rsidR="00C93679">
              <w:t>vzrostly, i přes krizi, o 4,7 %</w:t>
            </w:r>
            <w:r>
              <w:t xml:space="preserve"> - s přičiněním legislativních změn v sociální </w:t>
            </w:r>
            <w:r w:rsidR="008C41F7">
              <w:t>oblasti. Za</w:t>
            </w:r>
            <w:r w:rsidR="00C93679">
              <w:t> </w:t>
            </w:r>
            <w:r w:rsidR="008C41F7">
              <w:t>posledních pět let,</w:t>
            </w:r>
            <w:r>
              <w:t xml:space="preserve"> v období 2010-2014, činil přírůstek náhrad v průměru ročně jen +1 % (bez zahrnutí roku 2014</w:t>
            </w:r>
            <w:r w:rsidR="008C41F7">
              <w:t xml:space="preserve"> ale pouze stagnoval na +0,1 %</w:t>
            </w:r>
            <w:r>
              <w:t xml:space="preserve">). </w:t>
            </w:r>
          </w:p>
          <w:p w:rsidR="005D5A35" w:rsidRPr="008C41F7" w:rsidRDefault="005D5A35" w:rsidP="00C53F31">
            <w:pPr>
              <w:pStyle w:val="Textpoznpodarou"/>
              <w:jc w:val="both"/>
            </w:pPr>
          </w:p>
          <w:p w:rsidR="005D5A35" w:rsidRDefault="005D5A35" w:rsidP="00C53F31">
            <w:pPr>
              <w:pStyle w:val="Textpoznpodarou"/>
              <w:jc w:val="both"/>
            </w:pPr>
            <w:r>
              <w:t xml:space="preserve">To ostře kontrastovalo s vývojem </w:t>
            </w:r>
            <w:r w:rsidR="00214ED2">
              <w:t xml:space="preserve">v </w:t>
            </w:r>
            <w:r>
              <w:t>let</w:t>
            </w:r>
            <w:r w:rsidR="00214ED2">
              <w:t>ech</w:t>
            </w:r>
            <w:r>
              <w:t xml:space="preserve"> 2005-2009, kdy vyplacené náhrady rostly v</w:t>
            </w:r>
            <w:r w:rsidR="00F35395">
              <w:t> </w:t>
            </w:r>
            <w:r>
              <w:t xml:space="preserve">průměru ročně o 7,1 % anebo s obdobím 2000-2004, kdy byl růst mezd v sektoru vládních institucí </w:t>
            </w:r>
            <w:r w:rsidR="00214ED2">
              <w:t xml:space="preserve">velmi </w:t>
            </w:r>
            <w:r>
              <w:t>v</w:t>
            </w:r>
            <w:r w:rsidR="00214ED2">
              <w:t>ysoký</w:t>
            </w:r>
            <w:r>
              <w:t xml:space="preserve"> (ročně v průměru o více než desetinu, tj. +10,1 %). </w:t>
            </w:r>
          </w:p>
          <w:p w:rsidR="005D5A35" w:rsidRPr="008C41F7" w:rsidRDefault="005D5A35" w:rsidP="00C53F31">
            <w:pPr>
              <w:pStyle w:val="Textpoznpodarou"/>
              <w:jc w:val="both"/>
            </w:pPr>
          </w:p>
          <w:p w:rsidR="005D5A35" w:rsidRDefault="005D5A35" w:rsidP="00C53F31">
            <w:pPr>
              <w:pStyle w:val="Textpoznpodarou"/>
              <w:jc w:val="both"/>
            </w:pPr>
            <w:r>
              <w:t>Zatímco ve dvou obdobích předchozí dekády rostly náhrady zaměstnancům vládního sektoru (tj. zmíněných +10,1 %, resp. +7,1 %) vesměs rychleji než za</w:t>
            </w:r>
            <w:r w:rsidR="00F35395">
              <w:t> </w:t>
            </w:r>
            <w:r>
              <w:t>ekonomiku jako celek (+8,8 %, resp. +6,7 %), v období po krizi 2009 tomu bylo</w:t>
            </w:r>
            <w:r w:rsidR="00F35395">
              <w:t> </w:t>
            </w:r>
            <w:r>
              <w:t>naopak (graf 9). Jestliže pracovníkům sektoru v</w:t>
            </w:r>
            <w:r w:rsidR="00F35395">
              <w:t>ládních insti</w:t>
            </w:r>
            <w:r>
              <w:t>t</w:t>
            </w:r>
            <w:r w:rsidR="00F35395">
              <w:t>u</w:t>
            </w:r>
            <w:r>
              <w:t xml:space="preserve">cí rostly za roky 2010-2014  náhrady v průměru ročně o 1 %, v ekonomice jako celku o 2,2 %. Příčinou byly snahy o konsolidaci veřejných rozpočtů v ČR.    </w:t>
            </w:r>
          </w:p>
          <w:p w:rsidR="005D5A35" w:rsidRDefault="005D5A35" w:rsidP="00C53F31">
            <w:pPr>
              <w:pStyle w:val="Textpoznpodarou"/>
              <w:jc w:val="both"/>
            </w:pPr>
          </w:p>
        </w:tc>
      </w:tr>
      <w:tr w:rsidR="005D5A35" w:rsidRPr="00960239" w:rsidTr="00266591">
        <w:tblPrEx>
          <w:tblCellMar>
            <w:left w:w="28" w:type="dxa"/>
            <w:right w:w="28" w:type="dxa"/>
          </w:tblCellMar>
        </w:tblPrEx>
        <w:tc>
          <w:tcPr>
            <w:tcW w:w="1080" w:type="pct"/>
            <w:gridSpan w:val="3"/>
          </w:tcPr>
          <w:p w:rsidR="005D5A35" w:rsidRPr="00602D1D" w:rsidRDefault="005D5A35" w:rsidP="000A4B3E">
            <w:pPr>
              <w:spacing w:line="240" w:lineRule="auto"/>
              <w:rPr>
                <w:color w:val="000000"/>
                <w:sz w:val="16"/>
                <w:szCs w:val="16"/>
              </w:rPr>
            </w:pPr>
            <w:r>
              <w:rPr>
                <w:color w:val="000000"/>
                <w:sz w:val="16"/>
                <w:szCs w:val="16"/>
              </w:rPr>
              <w:t>Čisté příjmy z majetku vládního sektoru záporné</w:t>
            </w:r>
            <w:r w:rsidRPr="00602D1D">
              <w:rPr>
                <w:color w:val="000000"/>
                <w:sz w:val="16"/>
                <w:szCs w:val="16"/>
              </w:rPr>
              <w:t xml:space="preserve"> </w:t>
            </w:r>
          </w:p>
          <w:p w:rsidR="005D5A35" w:rsidRPr="00602D1D" w:rsidRDefault="005D5A35" w:rsidP="000A4B3E">
            <w:pPr>
              <w:spacing w:line="240" w:lineRule="auto"/>
              <w:rPr>
                <w:color w:val="000000"/>
                <w:sz w:val="16"/>
                <w:szCs w:val="16"/>
              </w:rPr>
            </w:pPr>
            <w:r w:rsidRPr="00602D1D">
              <w:rPr>
                <w:color w:val="000000"/>
                <w:sz w:val="16"/>
                <w:szCs w:val="16"/>
              </w:rPr>
              <w:t xml:space="preserve"> </w:t>
            </w:r>
          </w:p>
        </w:tc>
        <w:tc>
          <w:tcPr>
            <w:tcW w:w="154" w:type="pct"/>
          </w:tcPr>
          <w:p w:rsidR="005D5A35" w:rsidRDefault="005D5A35" w:rsidP="000A4B3E">
            <w:pPr>
              <w:pStyle w:val="Textpoznpodarou"/>
              <w:jc w:val="both"/>
            </w:pPr>
          </w:p>
        </w:tc>
        <w:tc>
          <w:tcPr>
            <w:tcW w:w="3765" w:type="pct"/>
            <w:gridSpan w:val="5"/>
          </w:tcPr>
          <w:p w:rsidR="009F408C" w:rsidRDefault="005D5A35" w:rsidP="00A82A03">
            <w:pPr>
              <w:pStyle w:val="Textpoznpodarou"/>
              <w:jc w:val="both"/>
            </w:pPr>
            <w:r>
              <w:t xml:space="preserve">Otázka, zda sektor </w:t>
            </w:r>
            <w:r w:rsidR="005D5B8F">
              <w:t xml:space="preserve">vládních institucí </w:t>
            </w:r>
            <w:r>
              <w:t>získává příjmy z majetku v rozsahu, který může významnější měrou ovlivnit jeho prvotní důchody, je podle dat za rok 2014 bohužel zodpověditelná v záporném slova smyslu. Přijaté důchody z vlastnictví sice činily téměř 37 mld. korun (z toho u ústřední</w:t>
            </w:r>
            <w:r w:rsidR="005D5B8F">
              <w:t>ch</w:t>
            </w:r>
            <w:r>
              <w:t xml:space="preserve"> </w:t>
            </w:r>
            <w:r w:rsidR="005D5B8F">
              <w:t>vládních institucí</w:t>
            </w:r>
            <w:r>
              <w:t xml:space="preserve"> 29 mld.), ovšem placené důchody z vlastnictví - především placené úroky – převýšily v uved</w:t>
            </w:r>
            <w:r w:rsidR="008C41F7">
              <w:t>eném roce 56 mld. korun. Čisté</w:t>
            </w:r>
            <w:r>
              <w:t xml:space="preserve"> příjmy z majetku vládních institucí tak byly záporné (-20,4 mld.). Jen místní vládní instituce a fondy sociálního zabezpečení zaznamenaly čisté kladné příjmy ve výši 5,8 mld., resp. 0,2 mld. korun. </w:t>
            </w:r>
          </w:p>
          <w:p w:rsidR="005D5A35" w:rsidRDefault="005D5A35" w:rsidP="00A82A03">
            <w:pPr>
              <w:pStyle w:val="Textpoznpodarou"/>
              <w:jc w:val="both"/>
            </w:pPr>
            <w:r>
              <w:t xml:space="preserve">  </w:t>
            </w:r>
            <w:r w:rsidRPr="00960239">
              <w:t xml:space="preserve"> </w:t>
            </w:r>
          </w:p>
          <w:p w:rsidR="00C9531C" w:rsidRDefault="00C9531C" w:rsidP="00A82A03">
            <w:pPr>
              <w:pStyle w:val="Textpoznpodarou"/>
              <w:jc w:val="both"/>
            </w:pPr>
          </w:p>
          <w:p w:rsidR="00D2620E" w:rsidRDefault="00D2620E" w:rsidP="00A82A03">
            <w:pPr>
              <w:pStyle w:val="Textpoznpodarou"/>
              <w:jc w:val="both"/>
            </w:pPr>
          </w:p>
          <w:p w:rsidR="00D2620E" w:rsidRPr="00960239" w:rsidRDefault="00D2620E" w:rsidP="00A82A03">
            <w:pPr>
              <w:pStyle w:val="Textpoznpodarou"/>
              <w:jc w:val="both"/>
            </w:pPr>
          </w:p>
        </w:tc>
      </w:tr>
      <w:tr w:rsidR="005D5A35" w:rsidRPr="00C53F31" w:rsidTr="00266591">
        <w:tc>
          <w:tcPr>
            <w:tcW w:w="474" w:type="pct"/>
          </w:tcPr>
          <w:p w:rsidR="005D5A35" w:rsidRPr="003D34B4" w:rsidRDefault="005D5A35" w:rsidP="00D2620E">
            <w:pPr>
              <w:pStyle w:val="Textpoznpodarou"/>
              <w:rPr>
                <w:lang w:eastAsia="en-US"/>
              </w:rPr>
            </w:pPr>
            <w:r w:rsidRPr="003D34B4">
              <w:rPr>
                <w:lang w:eastAsia="en-US"/>
              </w:rPr>
              <w:lastRenderedPageBreak/>
              <w:t>Graf č.</w:t>
            </w:r>
            <w:r w:rsidR="00D2620E">
              <w:rPr>
                <w:lang w:eastAsia="en-US"/>
              </w:rPr>
              <w:t> </w:t>
            </w:r>
            <w:r w:rsidRPr="003D34B4">
              <w:rPr>
                <w:lang w:eastAsia="en-US"/>
              </w:rPr>
              <w:t>8</w:t>
            </w:r>
          </w:p>
        </w:tc>
        <w:tc>
          <w:tcPr>
            <w:tcW w:w="2063" w:type="pct"/>
            <w:gridSpan w:val="4"/>
          </w:tcPr>
          <w:p w:rsidR="005D5A35" w:rsidRPr="003D34B4" w:rsidRDefault="005D5A35" w:rsidP="002B28A4">
            <w:pPr>
              <w:pStyle w:val="Textpoznpodarou"/>
              <w:rPr>
                <w:lang w:eastAsia="en-US"/>
              </w:rPr>
            </w:pPr>
            <w:r w:rsidRPr="003D34B4">
              <w:rPr>
                <w:b/>
                <w:lang w:eastAsia="en-US"/>
              </w:rPr>
              <w:t>Náhrady zaměstnancům sektoru vládní</w:t>
            </w:r>
            <w:r>
              <w:rPr>
                <w:b/>
                <w:lang w:eastAsia="en-US"/>
              </w:rPr>
              <w:t>c</w:t>
            </w:r>
            <w:r w:rsidRPr="003D34B4">
              <w:rPr>
                <w:b/>
                <w:lang w:eastAsia="en-US"/>
              </w:rPr>
              <w:t>h</w:t>
            </w:r>
            <w:r>
              <w:rPr>
                <w:b/>
                <w:lang w:eastAsia="en-US"/>
              </w:rPr>
              <w:t xml:space="preserve"> institucí</w:t>
            </w:r>
            <w:r w:rsidRPr="003D34B4">
              <w:rPr>
                <w:lang w:eastAsia="en-US"/>
              </w:rPr>
              <w:t xml:space="preserve"> (v mil. korun)</w:t>
            </w:r>
          </w:p>
        </w:tc>
        <w:tc>
          <w:tcPr>
            <w:tcW w:w="491" w:type="pct"/>
            <w:gridSpan w:val="2"/>
          </w:tcPr>
          <w:p w:rsidR="005D5A35" w:rsidRPr="003D34B4" w:rsidRDefault="005D5A35" w:rsidP="00D2620E">
            <w:pPr>
              <w:pStyle w:val="Textpoznpodarou"/>
              <w:rPr>
                <w:lang w:eastAsia="en-US"/>
              </w:rPr>
            </w:pPr>
            <w:r w:rsidRPr="003D34B4">
              <w:rPr>
                <w:lang w:eastAsia="en-US"/>
              </w:rPr>
              <w:t>Graf č.</w:t>
            </w:r>
            <w:r w:rsidR="00D2620E">
              <w:rPr>
                <w:lang w:eastAsia="en-US"/>
              </w:rPr>
              <w:t> </w:t>
            </w:r>
            <w:r w:rsidRPr="003D34B4">
              <w:rPr>
                <w:lang w:eastAsia="en-US"/>
              </w:rPr>
              <w:t>9</w:t>
            </w:r>
          </w:p>
        </w:tc>
        <w:tc>
          <w:tcPr>
            <w:tcW w:w="1971" w:type="pct"/>
            <w:gridSpan w:val="2"/>
          </w:tcPr>
          <w:p w:rsidR="005D5A35" w:rsidRPr="003D34B4" w:rsidRDefault="005D5A35" w:rsidP="002B28A4">
            <w:pPr>
              <w:pStyle w:val="Textpoznpodarou"/>
              <w:rPr>
                <w:b/>
                <w:spacing w:val="-2"/>
                <w:lang w:eastAsia="en-US"/>
              </w:rPr>
            </w:pPr>
            <w:r w:rsidRPr="003D34B4">
              <w:rPr>
                <w:b/>
                <w:spacing w:val="-2"/>
                <w:lang w:eastAsia="en-US"/>
              </w:rPr>
              <w:t xml:space="preserve">Náhrady zaměstnancům </w:t>
            </w:r>
            <w:r w:rsidRPr="003D34B4">
              <w:rPr>
                <w:spacing w:val="-2"/>
                <w:lang w:eastAsia="en-US"/>
              </w:rPr>
              <w:t>(sektor vládní</w:t>
            </w:r>
            <w:r>
              <w:rPr>
                <w:spacing w:val="-2"/>
                <w:lang w:eastAsia="en-US"/>
              </w:rPr>
              <w:t>ch institucí</w:t>
            </w:r>
            <w:r w:rsidRPr="003D34B4">
              <w:rPr>
                <w:spacing w:val="-2"/>
                <w:lang w:eastAsia="en-US"/>
              </w:rPr>
              <w:t>, ekonomika celkem, y/y v %)</w:t>
            </w:r>
            <w:r w:rsidRPr="003D34B4">
              <w:rPr>
                <w:b/>
                <w:spacing w:val="-2"/>
                <w:lang w:eastAsia="en-US"/>
              </w:rPr>
              <w:t xml:space="preserve"> </w:t>
            </w:r>
          </w:p>
        </w:tc>
      </w:tr>
      <w:tr w:rsidR="005D5A35" w:rsidRPr="007D44C3" w:rsidTr="00266591">
        <w:tc>
          <w:tcPr>
            <w:tcW w:w="2537" w:type="pct"/>
            <w:gridSpan w:val="5"/>
          </w:tcPr>
          <w:p w:rsidR="005D5A35" w:rsidRPr="003D34B4" w:rsidRDefault="00513C6F" w:rsidP="003D34B4">
            <w:pPr>
              <w:pStyle w:val="Textpoznpodarou"/>
              <w:jc w:val="both"/>
              <w:rPr>
                <w:sz w:val="22"/>
                <w:lang w:eastAsia="en-US"/>
              </w:rPr>
            </w:pPr>
            <w:r w:rsidRPr="00513C6F">
              <w:rPr>
                <w:noProof/>
                <w:sz w:val="22"/>
              </w:rPr>
              <w:pict>
                <v:shape id="_x0000_i1087" type="#_x0000_t75" style="width:235.5pt;height:192pt;visibility:visible">
                  <v:imagedata r:id="rId79" o:title=""/>
                </v:shape>
              </w:pict>
            </w:r>
          </w:p>
        </w:tc>
        <w:tc>
          <w:tcPr>
            <w:tcW w:w="2463" w:type="pct"/>
            <w:gridSpan w:val="4"/>
          </w:tcPr>
          <w:p w:rsidR="005D5A35" w:rsidRPr="003D34B4" w:rsidRDefault="00513C6F" w:rsidP="003D34B4">
            <w:pPr>
              <w:pStyle w:val="Textpoznpodarou"/>
              <w:jc w:val="both"/>
              <w:rPr>
                <w:sz w:val="22"/>
                <w:lang w:eastAsia="en-US"/>
              </w:rPr>
            </w:pPr>
            <w:r w:rsidRPr="00513C6F">
              <w:rPr>
                <w:noProof/>
                <w:sz w:val="22"/>
              </w:rPr>
              <w:pict>
                <v:shape id="_x0000_i1088" type="#_x0000_t75" style="width:234.75pt;height:192pt;visibility:visible">
                  <v:imagedata r:id="rId80" o:title=""/>
                </v:shape>
              </w:pict>
            </w:r>
          </w:p>
        </w:tc>
      </w:tr>
      <w:tr w:rsidR="005D5A35" w:rsidRPr="007D44C3" w:rsidTr="00266591">
        <w:tc>
          <w:tcPr>
            <w:tcW w:w="5000" w:type="pct"/>
            <w:gridSpan w:val="9"/>
          </w:tcPr>
          <w:p w:rsidR="005D5A35" w:rsidRPr="003D34B4" w:rsidRDefault="005D5A35" w:rsidP="003D34B4">
            <w:pPr>
              <w:pStyle w:val="Textpoznpodarou"/>
              <w:jc w:val="right"/>
              <w:rPr>
                <w:sz w:val="18"/>
                <w:szCs w:val="18"/>
                <w:lang w:eastAsia="en-US"/>
              </w:rPr>
            </w:pPr>
            <w:r w:rsidRPr="003D34B4">
              <w:rPr>
                <w:sz w:val="18"/>
                <w:szCs w:val="18"/>
                <w:lang w:eastAsia="en-US"/>
              </w:rPr>
              <w:t xml:space="preserve">Zdroj: ČSÚ, </w:t>
            </w:r>
            <w:proofErr w:type="spellStart"/>
            <w:r w:rsidRPr="003D34B4">
              <w:rPr>
                <w:sz w:val="18"/>
                <w:szCs w:val="18"/>
                <w:lang w:eastAsia="en-US"/>
              </w:rPr>
              <w:t>Eurostat</w:t>
            </w:r>
            <w:proofErr w:type="spellEnd"/>
          </w:p>
          <w:p w:rsidR="005D5A35" w:rsidRPr="003D34B4" w:rsidRDefault="005D5A35" w:rsidP="003D34B4">
            <w:pPr>
              <w:pStyle w:val="Textpoznpodarou"/>
              <w:jc w:val="both"/>
              <w:rPr>
                <w:sz w:val="18"/>
                <w:szCs w:val="18"/>
                <w:lang w:eastAsia="en-US"/>
              </w:rPr>
            </w:pPr>
          </w:p>
        </w:tc>
      </w:tr>
    </w:tbl>
    <w:p w:rsidR="005D5A35" w:rsidRPr="000A4B3E" w:rsidRDefault="005D5A35" w:rsidP="00686D87">
      <w:pPr>
        <w:rPr>
          <w:sz w:val="4"/>
          <w:szCs w:val="4"/>
        </w:rPr>
      </w:pPr>
    </w:p>
    <w:p w:rsidR="005D5A35" w:rsidRPr="00C0165A" w:rsidRDefault="005D5A35" w:rsidP="008B0C8B">
      <w:pPr>
        <w:pStyle w:val="Nadpis3"/>
        <w:numPr>
          <w:ilvl w:val="3"/>
          <w:numId w:val="6"/>
        </w:numPr>
        <w:rPr>
          <w:color w:val="auto"/>
          <w:sz w:val="20"/>
          <w:szCs w:val="20"/>
        </w:rPr>
      </w:pPr>
      <w:bookmarkStart w:id="27" w:name="_Toc426017669"/>
      <w:r w:rsidRPr="00C0165A">
        <w:rPr>
          <w:color w:val="auto"/>
          <w:sz w:val="20"/>
          <w:szCs w:val="20"/>
        </w:rPr>
        <w:t>Hrubý konsolidovaný dluh sektoru</w:t>
      </w:r>
      <w:r w:rsidR="005D5B8F" w:rsidRPr="005D5B8F">
        <w:rPr>
          <w:color w:val="auto"/>
          <w:sz w:val="20"/>
          <w:szCs w:val="20"/>
        </w:rPr>
        <w:t xml:space="preserve"> </w:t>
      </w:r>
      <w:r w:rsidR="005D5B8F" w:rsidRPr="00C0165A">
        <w:rPr>
          <w:color w:val="auto"/>
          <w:sz w:val="20"/>
          <w:szCs w:val="20"/>
        </w:rPr>
        <w:t>vládní</w:t>
      </w:r>
      <w:r w:rsidR="005D5B8F">
        <w:rPr>
          <w:color w:val="auto"/>
          <w:sz w:val="20"/>
          <w:szCs w:val="20"/>
        </w:rPr>
        <w:t>c</w:t>
      </w:r>
      <w:r w:rsidR="005D5B8F" w:rsidRPr="00C0165A">
        <w:rPr>
          <w:color w:val="auto"/>
          <w:sz w:val="20"/>
          <w:szCs w:val="20"/>
        </w:rPr>
        <w:t>h</w:t>
      </w:r>
      <w:r w:rsidR="005D5B8F">
        <w:rPr>
          <w:color w:val="auto"/>
          <w:sz w:val="20"/>
          <w:szCs w:val="20"/>
        </w:rPr>
        <w:t xml:space="preserve"> institucí</w:t>
      </w:r>
      <w:bookmarkEnd w:id="27"/>
    </w:p>
    <w:tbl>
      <w:tblPr>
        <w:tblW w:w="5043" w:type="pct"/>
        <w:tblInd w:w="-42" w:type="dxa"/>
        <w:tblCellMar>
          <w:left w:w="28" w:type="dxa"/>
          <w:right w:w="28" w:type="dxa"/>
        </w:tblCellMar>
        <w:tblLook w:val="00A0"/>
      </w:tblPr>
      <w:tblGrid>
        <w:gridCol w:w="2037"/>
        <w:gridCol w:w="272"/>
        <w:gridCol w:w="7468"/>
      </w:tblGrid>
      <w:tr w:rsidR="005D5A35" w:rsidRPr="00602D1D" w:rsidTr="008E30AD">
        <w:tc>
          <w:tcPr>
            <w:tcW w:w="1042" w:type="pct"/>
          </w:tcPr>
          <w:p w:rsidR="005D5A35" w:rsidRPr="00602D1D" w:rsidRDefault="005D5A35" w:rsidP="00D26579">
            <w:pPr>
              <w:spacing w:line="240" w:lineRule="auto"/>
              <w:rPr>
                <w:color w:val="000000"/>
                <w:sz w:val="16"/>
                <w:szCs w:val="16"/>
              </w:rPr>
            </w:pPr>
            <w:r>
              <w:rPr>
                <w:color w:val="000000"/>
                <w:sz w:val="16"/>
                <w:szCs w:val="16"/>
              </w:rPr>
              <w:t>Zadluženost sektoru vládních institucí ČR se v roce 2014 po sedmnácti letech růstu meziročně snížila o 23,6 mld. korun na</w:t>
            </w:r>
            <w:r w:rsidR="00E03BFF">
              <w:rPr>
                <w:color w:val="000000"/>
                <w:sz w:val="16"/>
                <w:szCs w:val="16"/>
              </w:rPr>
              <w:t> </w:t>
            </w:r>
            <w:r>
              <w:rPr>
                <w:color w:val="000000"/>
                <w:sz w:val="16"/>
                <w:szCs w:val="16"/>
              </w:rPr>
              <w:t xml:space="preserve">1 816,1 mld. korun </w:t>
            </w:r>
            <w:r w:rsidRPr="00602D1D">
              <w:rPr>
                <w:color w:val="000000"/>
                <w:sz w:val="16"/>
                <w:szCs w:val="16"/>
              </w:rPr>
              <w:t xml:space="preserve"> </w:t>
            </w:r>
          </w:p>
          <w:p w:rsidR="005D5A35" w:rsidRPr="00602D1D" w:rsidRDefault="005D5A35" w:rsidP="00D26579">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D26579">
            <w:pPr>
              <w:pStyle w:val="Textpoznpodarou"/>
              <w:jc w:val="both"/>
            </w:pPr>
          </w:p>
        </w:tc>
        <w:tc>
          <w:tcPr>
            <w:tcW w:w="3819" w:type="pct"/>
          </w:tcPr>
          <w:p w:rsidR="005D5A35" w:rsidRDefault="005D5A35" w:rsidP="008E30AD">
            <w:pPr>
              <w:pStyle w:val="Textpoznpodarou"/>
              <w:jc w:val="both"/>
              <w:rPr>
                <w:color w:val="000000"/>
                <w:spacing w:val="-2"/>
              </w:rPr>
            </w:pPr>
            <w:r>
              <w:rPr>
                <w:color w:val="000000"/>
                <w:spacing w:val="-2"/>
              </w:rPr>
              <w:t xml:space="preserve">Dynamika zadlužování sektoru vládních institucí České </w:t>
            </w:r>
            <w:r w:rsidR="006E15CB">
              <w:rPr>
                <w:color w:val="000000"/>
                <w:spacing w:val="-2"/>
              </w:rPr>
              <w:t>republiky zaznamenala poprvé po</w:t>
            </w:r>
            <w:r>
              <w:rPr>
                <w:color w:val="000000"/>
                <w:spacing w:val="-2"/>
              </w:rPr>
              <w:t xml:space="preserve"> sedmnácti letech významně pozitivní posun. Celkový hrubý konsolidovaný dluh vládního sektoru se v roce 2014 poprvé od roku 1997 meziročně snížil (graf </w:t>
            </w:r>
            <w:r w:rsidR="009F408C">
              <w:rPr>
                <w:color w:val="000000"/>
                <w:spacing w:val="-2"/>
              </w:rPr>
              <w:t>10</w:t>
            </w:r>
            <w:r>
              <w:rPr>
                <w:color w:val="000000"/>
                <w:spacing w:val="-2"/>
              </w:rPr>
              <w:t xml:space="preserve">). Koncem roku činil v nominálním vyjádření 1 816,1 mld. korun, zatímco v závěru roku 2013 to bylo 1 839,7 mld. korun. Snížení výše nominální zadluženosti o 1,3 % představovalo v absolutním vyjádření pokles o 23,6 mld. korun. </w:t>
            </w:r>
          </w:p>
          <w:p w:rsidR="005D5A35" w:rsidRPr="00E03E80" w:rsidRDefault="005D5A35" w:rsidP="008E30AD">
            <w:pPr>
              <w:pStyle w:val="Textpoznpodarou"/>
              <w:jc w:val="both"/>
              <w:rPr>
                <w:color w:val="000000"/>
                <w:spacing w:val="-2"/>
                <w:sz w:val="16"/>
                <w:szCs w:val="16"/>
              </w:rPr>
            </w:pPr>
          </w:p>
        </w:tc>
      </w:tr>
      <w:tr w:rsidR="005D5A35" w:rsidRPr="00602D1D" w:rsidTr="008E30AD">
        <w:tc>
          <w:tcPr>
            <w:tcW w:w="1042" w:type="pct"/>
          </w:tcPr>
          <w:p w:rsidR="005D5A35" w:rsidRPr="00602D1D" w:rsidRDefault="005D5A35" w:rsidP="00D26579">
            <w:pPr>
              <w:spacing w:line="240" w:lineRule="auto"/>
              <w:rPr>
                <w:color w:val="000000"/>
                <w:sz w:val="16"/>
                <w:szCs w:val="16"/>
              </w:rPr>
            </w:pPr>
            <w:r>
              <w:rPr>
                <w:color w:val="000000"/>
                <w:sz w:val="16"/>
                <w:szCs w:val="16"/>
              </w:rPr>
              <w:t>Úrokové náklady na obsluhu dluhu byly meziročně vyšší o 2,4 % a</w:t>
            </w:r>
            <w:r w:rsidR="00E03BFF">
              <w:rPr>
                <w:color w:val="000000"/>
                <w:sz w:val="16"/>
                <w:szCs w:val="16"/>
              </w:rPr>
              <w:t> </w:t>
            </w:r>
            <w:r>
              <w:rPr>
                <w:color w:val="000000"/>
                <w:sz w:val="16"/>
                <w:szCs w:val="16"/>
              </w:rPr>
              <w:t xml:space="preserve">dosáhly 56,3 mld. korun </w:t>
            </w:r>
            <w:r w:rsidRPr="00602D1D">
              <w:rPr>
                <w:color w:val="000000"/>
                <w:sz w:val="16"/>
                <w:szCs w:val="16"/>
              </w:rPr>
              <w:t xml:space="preserve"> </w:t>
            </w:r>
          </w:p>
          <w:p w:rsidR="005D5A35" w:rsidRPr="00602D1D" w:rsidRDefault="005D5A35" w:rsidP="00D26579">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D26579">
            <w:pPr>
              <w:pStyle w:val="Textpoznpodarou"/>
              <w:jc w:val="both"/>
            </w:pPr>
          </w:p>
        </w:tc>
        <w:tc>
          <w:tcPr>
            <w:tcW w:w="3819" w:type="pct"/>
          </w:tcPr>
          <w:p w:rsidR="005D5A35" w:rsidRDefault="005D5A35" w:rsidP="00284F79">
            <w:pPr>
              <w:pStyle w:val="Textpoznpodarou"/>
              <w:jc w:val="both"/>
              <w:rPr>
                <w:color w:val="000000"/>
                <w:spacing w:val="-2"/>
              </w:rPr>
            </w:pPr>
            <w:r>
              <w:rPr>
                <w:color w:val="000000"/>
                <w:spacing w:val="-2"/>
              </w:rPr>
              <w:t xml:space="preserve">I přes meziroční pokles zadluženosti činily náklady na obsluhu dluhu v podobě placených úroků v konsolidovaném vyjádření více než v roce předešlém (graf 12). Zatímco v roce 2013 zaplatila ČR na úrocích z dluhu necelých 55 mld. korun (rok předtím 57,8 mld.), v roce 2014 se nákladové úroky opět o více než miliardu zvýšily na 56,3 mld. korun (+2,4 %).  </w:t>
            </w:r>
          </w:p>
          <w:p w:rsidR="005D5A35" w:rsidRPr="00C408C3" w:rsidRDefault="005D5A35" w:rsidP="00284F79">
            <w:pPr>
              <w:pStyle w:val="Textpoznpodarou"/>
              <w:jc w:val="both"/>
              <w:rPr>
                <w:color w:val="000000"/>
                <w:spacing w:val="-2"/>
                <w:sz w:val="12"/>
                <w:szCs w:val="12"/>
              </w:rPr>
            </w:pPr>
          </w:p>
          <w:p w:rsidR="005D5A35" w:rsidRDefault="005D5A35" w:rsidP="00284F79">
            <w:pPr>
              <w:pStyle w:val="Textpoznpodarou"/>
              <w:jc w:val="both"/>
              <w:rPr>
                <w:color w:val="000000"/>
                <w:spacing w:val="-2"/>
              </w:rPr>
            </w:pPr>
            <w:r>
              <w:rPr>
                <w:color w:val="000000"/>
                <w:spacing w:val="-2"/>
              </w:rPr>
              <w:t xml:space="preserve">Ke snížení dluhu došlo i přesto, že deficit sektoru </w:t>
            </w:r>
            <w:r w:rsidR="005D5B8F">
              <w:rPr>
                <w:color w:val="000000"/>
                <w:spacing w:val="-2"/>
              </w:rPr>
              <w:t xml:space="preserve">vládních institucí </w:t>
            </w:r>
            <w:r>
              <w:rPr>
                <w:color w:val="000000"/>
                <w:spacing w:val="-2"/>
              </w:rPr>
              <w:t>stou</w:t>
            </w:r>
            <w:r w:rsidR="00214ED2">
              <w:rPr>
                <w:color w:val="000000"/>
                <w:spacing w:val="-2"/>
              </w:rPr>
              <w:t>pl. I když je tato skutečnost zdánlivě</w:t>
            </w:r>
            <w:r>
              <w:rPr>
                <w:color w:val="000000"/>
                <w:spacing w:val="-2"/>
              </w:rPr>
              <w:t xml:space="preserve"> nelogická, lze ji vysvětlit např. využitím úspor či prodejem majetku - v roce 2014 šlo o čerpání zůstatků na účtech vládních institucí</w:t>
            </w:r>
            <w:r>
              <w:rPr>
                <w:rStyle w:val="Znakapoznpodarou"/>
                <w:color w:val="000000"/>
                <w:spacing w:val="-2"/>
              </w:rPr>
              <w:footnoteReference w:id="10"/>
            </w:r>
            <w:r>
              <w:rPr>
                <w:color w:val="000000"/>
                <w:spacing w:val="-2"/>
              </w:rPr>
              <w:t xml:space="preserve">   </w:t>
            </w:r>
          </w:p>
          <w:p w:rsidR="005D5A35" w:rsidRPr="00602D1D" w:rsidRDefault="005D5A35" w:rsidP="00284F79">
            <w:pPr>
              <w:pStyle w:val="Textpoznpodarou"/>
              <w:jc w:val="both"/>
              <w:rPr>
                <w:color w:val="000000"/>
                <w:spacing w:val="-2"/>
              </w:rPr>
            </w:pPr>
            <w:r>
              <w:rPr>
                <w:color w:val="000000"/>
                <w:spacing w:val="-2"/>
              </w:rPr>
              <w:t xml:space="preserve"> </w:t>
            </w:r>
          </w:p>
        </w:tc>
      </w:tr>
    </w:tbl>
    <w:p w:rsidR="005D5A35" w:rsidRPr="00350B0A" w:rsidRDefault="005D5A35" w:rsidP="00350B0A">
      <w:pPr>
        <w:spacing w:after="120"/>
        <w:rPr>
          <w:szCs w:val="20"/>
        </w:rPr>
      </w:pPr>
      <w:r w:rsidRPr="00535A51">
        <w:rPr>
          <w:szCs w:val="20"/>
        </w:rPr>
        <w:t>Graf 10:</w:t>
      </w:r>
      <w:r>
        <w:rPr>
          <w:b/>
          <w:szCs w:val="20"/>
        </w:rPr>
        <w:t xml:space="preserve"> Hrubý konso</w:t>
      </w:r>
      <w:r w:rsidRPr="00350B0A">
        <w:rPr>
          <w:b/>
          <w:szCs w:val="20"/>
        </w:rPr>
        <w:t>lidovaný dluh sektoru vládní</w:t>
      </w:r>
      <w:r>
        <w:rPr>
          <w:b/>
          <w:szCs w:val="20"/>
        </w:rPr>
        <w:t>c</w:t>
      </w:r>
      <w:r w:rsidRPr="00350B0A">
        <w:rPr>
          <w:b/>
          <w:szCs w:val="20"/>
        </w:rPr>
        <w:t>h</w:t>
      </w:r>
      <w:r>
        <w:rPr>
          <w:b/>
          <w:szCs w:val="20"/>
        </w:rPr>
        <w:t xml:space="preserve"> institucí </w:t>
      </w:r>
      <w:r w:rsidRPr="00350B0A">
        <w:rPr>
          <w:b/>
          <w:szCs w:val="20"/>
        </w:rPr>
        <w:t>ČR</w:t>
      </w:r>
      <w:r>
        <w:rPr>
          <w:b/>
          <w:szCs w:val="20"/>
        </w:rPr>
        <w:t xml:space="preserve"> </w:t>
      </w:r>
      <w:r>
        <w:rPr>
          <w:szCs w:val="20"/>
        </w:rPr>
        <w:t>(v mil. korun l. osa, y/y v % p. osa)</w:t>
      </w:r>
    </w:p>
    <w:p w:rsidR="005D5A35" w:rsidRDefault="00513C6F" w:rsidP="00350B0A">
      <w:pPr>
        <w:spacing w:after="120"/>
        <w:jc w:val="center"/>
        <w:rPr>
          <w:b/>
          <w:color w:val="A6A6A6"/>
          <w:sz w:val="24"/>
        </w:rPr>
      </w:pPr>
      <w:r w:rsidRPr="00513C6F">
        <w:rPr>
          <w:b/>
          <w:noProof/>
          <w:color w:val="A6A6A6"/>
          <w:sz w:val="24"/>
        </w:rPr>
        <w:pict>
          <v:shape id="Graf 12" o:spid="_x0000_i1089" type="#_x0000_t75" style="width:414.75pt;height:17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">
            <v:imagedata r:id="rId81" o:title=""/>
            <o:lock v:ext="edit" aspectratio="f"/>
          </v:shape>
        </w:pict>
      </w:r>
    </w:p>
    <w:p w:rsidR="00C9531C" w:rsidRPr="00871002" w:rsidRDefault="00871002" w:rsidP="007657B9">
      <w:pPr>
        <w:spacing w:after="120"/>
        <w:jc w:val="right"/>
        <w:rPr>
          <w:sz w:val="18"/>
          <w:szCs w:val="18"/>
        </w:rPr>
      </w:pPr>
      <w:r w:rsidRPr="00871002">
        <w:rPr>
          <w:sz w:val="18"/>
          <w:szCs w:val="18"/>
        </w:rPr>
        <w:t>Zdroj</w:t>
      </w:r>
      <w:r w:rsidR="005D5A35" w:rsidRPr="00871002">
        <w:rPr>
          <w:sz w:val="18"/>
          <w:szCs w:val="18"/>
        </w:rPr>
        <w:t>: ČSÚ</w:t>
      </w:r>
    </w:p>
    <w:tbl>
      <w:tblPr>
        <w:tblW w:w="5043" w:type="pct"/>
        <w:tblInd w:w="-42" w:type="dxa"/>
        <w:tblCellMar>
          <w:left w:w="28" w:type="dxa"/>
          <w:right w:w="28" w:type="dxa"/>
        </w:tblCellMar>
        <w:tblLook w:val="00A0"/>
      </w:tblPr>
      <w:tblGrid>
        <w:gridCol w:w="2037"/>
        <w:gridCol w:w="272"/>
        <w:gridCol w:w="7468"/>
      </w:tblGrid>
      <w:tr w:rsidR="005D5A35" w:rsidRPr="00602D1D" w:rsidTr="00D26579">
        <w:tc>
          <w:tcPr>
            <w:tcW w:w="1042" w:type="pct"/>
          </w:tcPr>
          <w:p w:rsidR="005D5A35" w:rsidRPr="00602D1D" w:rsidRDefault="005D5A35" w:rsidP="00C408C3">
            <w:pPr>
              <w:spacing w:line="240" w:lineRule="auto"/>
              <w:rPr>
                <w:color w:val="000000"/>
                <w:sz w:val="16"/>
                <w:szCs w:val="16"/>
              </w:rPr>
            </w:pPr>
            <w:r>
              <w:rPr>
                <w:color w:val="000000"/>
                <w:sz w:val="16"/>
                <w:szCs w:val="16"/>
              </w:rPr>
              <w:lastRenderedPageBreak/>
              <w:t>Jiný způsob řízení zadluženost vedl k nižší potřebě využívání emisí dluhopisů, půjčky činily jen 11 % výše emitovaných cenných papírů vládních institucí</w:t>
            </w:r>
          </w:p>
        </w:tc>
        <w:tc>
          <w:tcPr>
            <w:tcW w:w="139" w:type="pct"/>
          </w:tcPr>
          <w:p w:rsidR="005D5A35" w:rsidRDefault="005D5A35" w:rsidP="00D26579">
            <w:pPr>
              <w:pStyle w:val="Textpoznpodarou"/>
              <w:jc w:val="both"/>
            </w:pPr>
          </w:p>
        </w:tc>
        <w:tc>
          <w:tcPr>
            <w:tcW w:w="3819" w:type="pct"/>
          </w:tcPr>
          <w:p w:rsidR="005D5A35" w:rsidRDefault="005D5A35" w:rsidP="000047B7">
            <w:pPr>
              <w:pStyle w:val="Textpoznpodarou"/>
              <w:jc w:val="both"/>
              <w:rPr>
                <w:color w:val="000000"/>
                <w:spacing w:val="-2"/>
              </w:rPr>
            </w:pPr>
            <w:r>
              <w:rPr>
                <w:color w:val="000000"/>
                <w:spacing w:val="-2"/>
              </w:rPr>
              <w:t xml:space="preserve">Nižší potřeba emitovat dluhové cenné papíry se projevila v jejich meziročně nižším objemu (-1 %). V poměru k půjčkám jsou však emise cenných papírů vládního sektoru ČR stále vyšší - jestliže v roce 1995 činil poměr půjček k dluhopisům 61 %, v roce 2004 už jen 33 % a v roce 2014 činily půjčky vládního sektoru co do objemu jen 11 % výše emitovaných dluhových cenných papírů (graf 11). V absolutních hodnotách šlo o 181,6 mld. korun proti 1 624,6 mld. korun emitovaných dluhových cenných papírů. </w:t>
            </w:r>
          </w:p>
          <w:p w:rsidR="005D5A35" w:rsidRPr="00602D1D" w:rsidRDefault="005D5A35" w:rsidP="00D45046">
            <w:pPr>
              <w:pStyle w:val="Textpoznpodarou"/>
              <w:jc w:val="both"/>
              <w:rPr>
                <w:color w:val="000000"/>
                <w:spacing w:val="-2"/>
              </w:rPr>
            </w:pPr>
          </w:p>
        </w:tc>
      </w:tr>
      <w:tr w:rsidR="005D5A35" w:rsidRPr="00602D1D" w:rsidTr="007655B1">
        <w:tc>
          <w:tcPr>
            <w:tcW w:w="1042" w:type="pct"/>
          </w:tcPr>
          <w:p w:rsidR="005D5A35" w:rsidRPr="00602D1D" w:rsidRDefault="005D5A35" w:rsidP="00FA5557">
            <w:pPr>
              <w:spacing w:line="240" w:lineRule="auto"/>
              <w:rPr>
                <w:color w:val="000000"/>
                <w:sz w:val="16"/>
                <w:szCs w:val="16"/>
              </w:rPr>
            </w:pPr>
            <w:r>
              <w:rPr>
                <w:color w:val="000000"/>
                <w:sz w:val="16"/>
                <w:szCs w:val="16"/>
              </w:rPr>
              <w:t>K poklesu emisí cenných papírů vládních institucí došlo poprvé od roku 1995</w:t>
            </w:r>
          </w:p>
        </w:tc>
        <w:tc>
          <w:tcPr>
            <w:tcW w:w="139" w:type="pct"/>
          </w:tcPr>
          <w:p w:rsidR="005D5A35" w:rsidRDefault="005D5A35" w:rsidP="00D26579">
            <w:pPr>
              <w:pStyle w:val="Textpoznpodarou"/>
              <w:jc w:val="both"/>
            </w:pPr>
          </w:p>
        </w:tc>
        <w:tc>
          <w:tcPr>
            <w:tcW w:w="3819" w:type="pct"/>
          </w:tcPr>
          <w:p w:rsidR="005D5A35" w:rsidRPr="00602D1D" w:rsidRDefault="005D5A35" w:rsidP="00E603A8">
            <w:pPr>
              <w:pStyle w:val="Textpoznpodarou"/>
              <w:jc w:val="both"/>
              <w:rPr>
                <w:color w:val="000000"/>
                <w:spacing w:val="-2"/>
              </w:rPr>
            </w:pPr>
            <w:r>
              <w:rPr>
                <w:color w:val="000000"/>
                <w:spacing w:val="-2"/>
              </w:rPr>
              <w:t>Zatímco v případě půjček bylo patrné během posledních dvou dekád meziroční kolísání dynamiky, k poklesu objemu emitovaných cenných papírů došlo poprvé od roku 1995 (graf 13). Je však třeba mít na paměti, že snižování zadluženosti tímto způsobem má „technický“ c</w:t>
            </w:r>
            <w:r w:rsidR="007E1E50">
              <w:rPr>
                <w:color w:val="000000"/>
                <w:spacing w:val="-2"/>
              </w:rPr>
              <w:t>harakter (o faktické snížení jít</w:t>
            </w:r>
            <w:r>
              <w:rPr>
                <w:color w:val="000000"/>
                <w:spacing w:val="-2"/>
              </w:rPr>
              <w:t xml:space="preserve"> nemusí, neboť se „odložení“ dluhu přesouvá do dalšího období).   </w:t>
            </w:r>
          </w:p>
        </w:tc>
      </w:tr>
    </w:tbl>
    <w:p w:rsidR="005D5A35" w:rsidRDefault="005D5A35" w:rsidP="00686D87"/>
    <w:tbl>
      <w:tblPr>
        <w:tblW w:w="5000" w:type="pct"/>
        <w:tblLook w:val="00A0"/>
      </w:tblPr>
      <w:tblGrid>
        <w:gridCol w:w="817"/>
        <w:gridCol w:w="4124"/>
        <w:gridCol w:w="1112"/>
        <w:gridCol w:w="3801"/>
      </w:tblGrid>
      <w:tr w:rsidR="005D5A35" w:rsidRPr="00CD6FC4" w:rsidTr="005D5B8F">
        <w:tc>
          <w:tcPr>
            <w:tcW w:w="415" w:type="pct"/>
          </w:tcPr>
          <w:p w:rsidR="005D5A35" w:rsidRPr="003D34B4" w:rsidRDefault="005D5A35" w:rsidP="005D5B8F">
            <w:pPr>
              <w:pStyle w:val="Textpoznpodarou"/>
              <w:rPr>
                <w:lang w:eastAsia="en-US"/>
              </w:rPr>
            </w:pPr>
            <w:r w:rsidRPr="003D34B4">
              <w:rPr>
                <w:lang w:eastAsia="en-US"/>
              </w:rPr>
              <w:t>Graf č.</w:t>
            </w:r>
            <w:r w:rsidR="005D5B8F">
              <w:rPr>
                <w:lang w:eastAsia="en-US"/>
              </w:rPr>
              <w:t> </w:t>
            </w:r>
            <w:r w:rsidRPr="003D34B4">
              <w:rPr>
                <w:lang w:eastAsia="en-US"/>
              </w:rPr>
              <w:t>11</w:t>
            </w:r>
          </w:p>
        </w:tc>
        <w:tc>
          <w:tcPr>
            <w:tcW w:w="2093" w:type="pct"/>
          </w:tcPr>
          <w:p w:rsidR="005D5A35" w:rsidRPr="005D5B8F" w:rsidRDefault="005D5A35" w:rsidP="00D26579">
            <w:pPr>
              <w:pStyle w:val="Textpoznpodarou"/>
              <w:rPr>
                <w:lang w:eastAsia="en-US"/>
              </w:rPr>
            </w:pPr>
            <w:r w:rsidRPr="005D5B8F">
              <w:rPr>
                <w:b/>
                <w:lang w:eastAsia="en-US"/>
              </w:rPr>
              <w:t xml:space="preserve">Struktura dluhu sektoru vládních institucí podle instrumentů </w:t>
            </w:r>
            <w:r w:rsidRPr="005D5B8F">
              <w:rPr>
                <w:lang w:eastAsia="en-US"/>
              </w:rPr>
              <w:t>(v mil. korun)</w:t>
            </w:r>
          </w:p>
        </w:tc>
        <w:tc>
          <w:tcPr>
            <w:tcW w:w="564" w:type="pct"/>
          </w:tcPr>
          <w:p w:rsidR="005D5A35" w:rsidRPr="003D34B4" w:rsidRDefault="005D5A35" w:rsidP="00F25568">
            <w:pPr>
              <w:pStyle w:val="Textpoznpodarou"/>
              <w:rPr>
                <w:lang w:eastAsia="en-US"/>
              </w:rPr>
            </w:pPr>
            <w:r w:rsidRPr="003D34B4">
              <w:rPr>
                <w:lang w:eastAsia="en-US"/>
              </w:rPr>
              <w:t>Graf č. 12</w:t>
            </w:r>
          </w:p>
        </w:tc>
        <w:tc>
          <w:tcPr>
            <w:tcW w:w="1929" w:type="pct"/>
          </w:tcPr>
          <w:p w:rsidR="005D5A35" w:rsidRPr="003D34B4" w:rsidRDefault="005D5A35" w:rsidP="00D26579">
            <w:pPr>
              <w:pStyle w:val="Textpoznpodarou"/>
              <w:rPr>
                <w:b/>
                <w:spacing w:val="-2"/>
                <w:lang w:eastAsia="en-US"/>
              </w:rPr>
            </w:pPr>
            <w:r w:rsidRPr="003D34B4">
              <w:rPr>
                <w:b/>
                <w:spacing w:val="-2"/>
                <w:lang w:eastAsia="en-US"/>
              </w:rPr>
              <w:t>Vývoj úroků z dluhu sektoru vl</w:t>
            </w:r>
            <w:r w:rsidR="00935835">
              <w:rPr>
                <w:b/>
                <w:spacing w:val="-2"/>
                <w:lang w:eastAsia="en-US"/>
              </w:rPr>
              <w:t>ádních</w:t>
            </w:r>
            <w:r>
              <w:rPr>
                <w:b/>
                <w:spacing w:val="-2"/>
                <w:lang w:eastAsia="en-US"/>
              </w:rPr>
              <w:t xml:space="preserve"> institucí</w:t>
            </w:r>
            <w:r w:rsidRPr="003D34B4">
              <w:rPr>
                <w:b/>
                <w:spacing w:val="-2"/>
                <w:lang w:eastAsia="en-US"/>
              </w:rPr>
              <w:t xml:space="preserve"> </w:t>
            </w:r>
            <w:r w:rsidRPr="003D34B4">
              <w:rPr>
                <w:spacing w:val="-2"/>
                <w:lang w:eastAsia="en-US"/>
              </w:rPr>
              <w:t>(v mil. korun, dynamika y/y v %)</w:t>
            </w:r>
          </w:p>
        </w:tc>
      </w:tr>
      <w:tr w:rsidR="005D5A35" w:rsidRPr="007D44C3" w:rsidTr="005D5B8F">
        <w:tc>
          <w:tcPr>
            <w:tcW w:w="2507" w:type="pct"/>
            <w:gridSpan w:val="2"/>
          </w:tcPr>
          <w:p w:rsidR="005D5A35" w:rsidRPr="003D34B4" w:rsidRDefault="002A2083" w:rsidP="003D34B4">
            <w:pPr>
              <w:pStyle w:val="Textpoznpodarou"/>
              <w:jc w:val="both"/>
              <w:rPr>
                <w:sz w:val="22"/>
                <w:lang w:eastAsia="en-US"/>
              </w:rPr>
            </w:pPr>
            <w:r w:rsidRPr="00513C6F">
              <w:rPr>
                <w:noProof/>
                <w:sz w:val="22"/>
              </w:rPr>
              <w:pict>
                <v:shape id="_x0000_i1090" type="#_x0000_t75" style="width:234pt;height:187.5pt;visibility:visible">
                  <v:imagedata r:id="rId82" o:title=""/>
                </v:shape>
              </w:pict>
            </w:r>
          </w:p>
        </w:tc>
        <w:tc>
          <w:tcPr>
            <w:tcW w:w="2493" w:type="pct"/>
            <w:gridSpan w:val="2"/>
          </w:tcPr>
          <w:p w:rsidR="005D5A35" w:rsidRPr="003D34B4" w:rsidRDefault="002A2083" w:rsidP="003D34B4">
            <w:pPr>
              <w:pStyle w:val="Textpoznpodarou"/>
              <w:jc w:val="both"/>
              <w:rPr>
                <w:sz w:val="22"/>
                <w:lang w:eastAsia="en-US"/>
              </w:rPr>
            </w:pPr>
            <w:r w:rsidRPr="00513C6F">
              <w:rPr>
                <w:noProof/>
                <w:sz w:val="22"/>
              </w:rPr>
              <w:pict>
                <v:shape id="Graf 9" o:spid="_x0000_i1091" type="#_x0000_t75" style="width:234.75pt;height:1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">
                  <v:imagedata r:id="rId83" o:title=""/>
                  <o:lock v:ext="edit" aspectratio="f"/>
                </v:shape>
              </w:pict>
            </w:r>
          </w:p>
        </w:tc>
      </w:tr>
      <w:tr w:rsidR="005D5A35" w:rsidRPr="007D44C3" w:rsidTr="003D34B4">
        <w:tc>
          <w:tcPr>
            <w:tcW w:w="5000" w:type="pct"/>
            <w:gridSpan w:val="4"/>
          </w:tcPr>
          <w:p w:rsidR="005D5A35" w:rsidRPr="003D34B4" w:rsidRDefault="005D5A35" w:rsidP="003D34B4">
            <w:pPr>
              <w:pStyle w:val="Textpoznpodarou"/>
              <w:jc w:val="right"/>
              <w:rPr>
                <w:sz w:val="18"/>
                <w:szCs w:val="18"/>
                <w:lang w:eastAsia="en-US"/>
              </w:rPr>
            </w:pPr>
            <w:r w:rsidRPr="003D34B4">
              <w:rPr>
                <w:sz w:val="18"/>
                <w:szCs w:val="18"/>
                <w:lang w:eastAsia="en-US"/>
              </w:rPr>
              <w:t xml:space="preserve">Zdroj: ČSÚ, </w:t>
            </w:r>
            <w:proofErr w:type="spellStart"/>
            <w:r w:rsidRPr="003D34B4">
              <w:rPr>
                <w:sz w:val="18"/>
                <w:szCs w:val="18"/>
                <w:lang w:eastAsia="en-US"/>
              </w:rPr>
              <w:t>Eurostat</w:t>
            </w:r>
            <w:proofErr w:type="spellEnd"/>
          </w:p>
        </w:tc>
      </w:tr>
    </w:tbl>
    <w:p w:rsidR="005D5A35" w:rsidRDefault="005D5A35" w:rsidP="00686D87"/>
    <w:p w:rsidR="005D5A35" w:rsidRPr="006E15CB" w:rsidRDefault="005D5A35" w:rsidP="008B0C8B">
      <w:pPr>
        <w:pStyle w:val="Nadpis3"/>
        <w:numPr>
          <w:ilvl w:val="2"/>
          <w:numId w:val="6"/>
        </w:numPr>
      </w:pPr>
      <w:bookmarkStart w:id="28" w:name="_Toc426017670"/>
      <w:r w:rsidRPr="006E15CB">
        <w:t>Soukromá zadluženost</w:t>
      </w:r>
      <w:bookmarkEnd w:id="28"/>
    </w:p>
    <w:tbl>
      <w:tblPr>
        <w:tblW w:w="5043" w:type="pct"/>
        <w:tblInd w:w="-42" w:type="dxa"/>
        <w:tblCellMar>
          <w:left w:w="28" w:type="dxa"/>
          <w:right w:w="28" w:type="dxa"/>
        </w:tblCellMar>
        <w:tblLook w:val="00A0"/>
      </w:tblPr>
      <w:tblGrid>
        <w:gridCol w:w="2037"/>
        <w:gridCol w:w="272"/>
        <w:gridCol w:w="7468"/>
      </w:tblGrid>
      <w:tr w:rsidR="005D5A35" w:rsidRPr="00602D1D" w:rsidTr="00DA5CAB">
        <w:tc>
          <w:tcPr>
            <w:tcW w:w="1042" w:type="pct"/>
          </w:tcPr>
          <w:p w:rsidR="005D5A35" w:rsidRPr="00602D1D" w:rsidRDefault="005D5A35" w:rsidP="00157990">
            <w:pPr>
              <w:spacing w:line="240" w:lineRule="auto"/>
              <w:rPr>
                <w:color w:val="000000"/>
                <w:sz w:val="16"/>
                <w:szCs w:val="16"/>
              </w:rPr>
            </w:pPr>
            <w:r>
              <w:rPr>
                <w:color w:val="000000"/>
                <w:sz w:val="16"/>
                <w:szCs w:val="16"/>
              </w:rPr>
              <w:t>Nutnost používání vnějších zdrojů ze strany nefinančních podniků a</w:t>
            </w:r>
            <w:r w:rsidR="00157990">
              <w:rPr>
                <w:color w:val="000000"/>
                <w:sz w:val="16"/>
                <w:szCs w:val="16"/>
              </w:rPr>
              <w:t> </w:t>
            </w:r>
            <w:r>
              <w:rPr>
                <w:color w:val="000000"/>
                <w:sz w:val="16"/>
                <w:szCs w:val="16"/>
              </w:rPr>
              <w:t>domácností</w:t>
            </w:r>
          </w:p>
        </w:tc>
        <w:tc>
          <w:tcPr>
            <w:tcW w:w="139" w:type="pct"/>
          </w:tcPr>
          <w:p w:rsidR="005D5A35" w:rsidRDefault="005D5A35" w:rsidP="00DA5CAB">
            <w:pPr>
              <w:pStyle w:val="Textpoznpodarou"/>
              <w:jc w:val="both"/>
            </w:pPr>
          </w:p>
        </w:tc>
        <w:tc>
          <w:tcPr>
            <w:tcW w:w="3819" w:type="pct"/>
          </w:tcPr>
          <w:p w:rsidR="005D5A35" w:rsidRPr="00D2620E" w:rsidRDefault="005D5A35" w:rsidP="00FA5557">
            <w:pPr>
              <w:pStyle w:val="Textpoznpodarou"/>
              <w:jc w:val="both"/>
              <w:rPr>
                <w:color w:val="000000"/>
              </w:rPr>
            </w:pPr>
            <w:r w:rsidRPr="00D2620E">
              <w:rPr>
                <w:color w:val="000000"/>
              </w:rPr>
              <w:t>Kromě dluhu vládních institucí jsou vnějšími zdroji uspokojovány i finanční potřeby soukromého sektoru. Především nefinanční podniky z podstaty používají úvěr jak na provozní financování, tak i na investice. Rozšiřování dluhové zátěže domácností pak v českých podmínkách souviselo především s úvěry na bydlení, kterých si lidé brali nejvíce - a s nejvyšší meziroční dynamikou - zejména v období 2004-2008. Souviselo to s mimořádně příznivými po</w:t>
            </w:r>
            <w:r w:rsidR="009F408C" w:rsidRPr="00D2620E">
              <w:rPr>
                <w:color w:val="000000"/>
              </w:rPr>
              <w:t xml:space="preserve">dmínkami pro růst jejich příjmů </w:t>
            </w:r>
            <w:r w:rsidRPr="00D2620E">
              <w:rPr>
                <w:color w:val="000000"/>
              </w:rPr>
              <w:t xml:space="preserve">a příznivým vnímáním budoucnosti.  </w:t>
            </w:r>
          </w:p>
          <w:p w:rsidR="005D5A35" w:rsidRPr="00602D1D" w:rsidRDefault="005D5A35" w:rsidP="00FA5557">
            <w:pPr>
              <w:pStyle w:val="Textpoznpodarou"/>
              <w:jc w:val="both"/>
              <w:rPr>
                <w:color w:val="000000"/>
                <w:spacing w:val="-2"/>
              </w:rPr>
            </w:pPr>
          </w:p>
        </w:tc>
      </w:tr>
      <w:tr w:rsidR="005D5A35" w:rsidRPr="00602D1D" w:rsidTr="00DA5CAB">
        <w:tc>
          <w:tcPr>
            <w:tcW w:w="1042" w:type="pct"/>
          </w:tcPr>
          <w:p w:rsidR="005D5A35" w:rsidRPr="00602D1D" w:rsidRDefault="005D5A35" w:rsidP="00DA5CAB">
            <w:pPr>
              <w:spacing w:line="240" w:lineRule="auto"/>
              <w:rPr>
                <w:color w:val="000000"/>
                <w:sz w:val="16"/>
                <w:szCs w:val="16"/>
              </w:rPr>
            </w:pPr>
            <w:r>
              <w:rPr>
                <w:color w:val="000000"/>
                <w:sz w:val="16"/>
                <w:szCs w:val="16"/>
              </w:rPr>
              <w:t xml:space="preserve">Součet dluhů domácností vč. institucí sloužících domácnostem </w:t>
            </w:r>
            <w:r w:rsidR="00157990">
              <w:rPr>
                <w:color w:val="000000"/>
                <w:sz w:val="16"/>
                <w:szCs w:val="16"/>
              </w:rPr>
              <w:t>a půjček nefinančním podnikům v</w:t>
            </w:r>
            <w:r>
              <w:rPr>
                <w:color w:val="000000"/>
                <w:sz w:val="16"/>
                <w:szCs w:val="16"/>
              </w:rPr>
              <w:t>č. emitovaných cenných</w:t>
            </w:r>
            <w:r w:rsidR="00157990">
              <w:rPr>
                <w:color w:val="000000"/>
                <w:sz w:val="16"/>
                <w:szCs w:val="16"/>
              </w:rPr>
              <w:t xml:space="preserve"> </w:t>
            </w:r>
            <w:r>
              <w:rPr>
                <w:color w:val="000000"/>
                <w:sz w:val="16"/>
                <w:szCs w:val="16"/>
              </w:rPr>
              <w:t>papírů b</w:t>
            </w:r>
            <w:r w:rsidR="001D234F">
              <w:rPr>
                <w:color w:val="000000"/>
                <w:sz w:val="16"/>
                <w:szCs w:val="16"/>
              </w:rPr>
              <w:t>yl v relaci k HDP v ČR třetí</w:t>
            </w:r>
            <w:r>
              <w:rPr>
                <w:color w:val="000000"/>
                <w:sz w:val="16"/>
                <w:szCs w:val="16"/>
              </w:rPr>
              <w:t xml:space="preserve"> nejnižší v žebříčku zemí EU - v roce 2013 činil 73</w:t>
            </w:r>
            <w:r w:rsidR="001D234F">
              <w:rPr>
                <w:color w:val="000000"/>
                <w:sz w:val="16"/>
                <w:szCs w:val="16"/>
              </w:rPr>
              <w:t>,7</w:t>
            </w:r>
            <w:r>
              <w:rPr>
                <w:color w:val="000000"/>
                <w:sz w:val="16"/>
                <w:szCs w:val="16"/>
              </w:rPr>
              <w:t xml:space="preserve"> % nominálního HDP,</w:t>
            </w:r>
            <w:r w:rsidRPr="00602D1D">
              <w:rPr>
                <w:color w:val="000000"/>
                <w:sz w:val="16"/>
                <w:szCs w:val="16"/>
              </w:rPr>
              <w:t xml:space="preserve"> </w:t>
            </w:r>
            <w:r w:rsidR="00157990">
              <w:rPr>
                <w:color w:val="000000"/>
                <w:sz w:val="16"/>
                <w:szCs w:val="16"/>
              </w:rPr>
              <w:t>…</w:t>
            </w:r>
          </w:p>
          <w:p w:rsidR="005D5A35" w:rsidRPr="00602D1D" w:rsidRDefault="005D5A35" w:rsidP="00DA5CAB">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DA5CAB">
            <w:pPr>
              <w:pStyle w:val="Textpoznpodarou"/>
              <w:jc w:val="both"/>
            </w:pPr>
          </w:p>
        </w:tc>
        <w:tc>
          <w:tcPr>
            <w:tcW w:w="3819" w:type="pct"/>
          </w:tcPr>
          <w:p w:rsidR="005D5A35" w:rsidRPr="00D2620E" w:rsidRDefault="005D5A35" w:rsidP="005A6E4A">
            <w:pPr>
              <w:pStyle w:val="Textpoznpodarou"/>
              <w:jc w:val="both"/>
              <w:rPr>
                <w:color w:val="000000"/>
              </w:rPr>
            </w:pPr>
            <w:r w:rsidRPr="00D2620E">
              <w:rPr>
                <w:color w:val="000000"/>
              </w:rPr>
              <w:t>V relaci k HDP -  která umožňuje zhodnotit míru „</w:t>
            </w:r>
            <w:proofErr w:type="spellStart"/>
            <w:r w:rsidRPr="00D2620E">
              <w:rPr>
                <w:color w:val="000000"/>
              </w:rPr>
              <w:t>ufinancovatelnosti</w:t>
            </w:r>
            <w:proofErr w:type="spellEnd"/>
            <w:r w:rsidRPr="00D2620E">
              <w:rPr>
                <w:color w:val="000000"/>
              </w:rPr>
              <w:t xml:space="preserve">“ dluhů a také pro potřeby mezinárodního srovnání - se pozice České republiky v rámci zemí EU jeví v relativní výši soukromého dluhu jako velmi příznivá. </w:t>
            </w:r>
          </w:p>
          <w:p w:rsidR="005D5A35" w:rsidRPr="00D2620E" w:rsidRDefault="005D5A35" w:rsidP="005A6E4A">
            <w:pPr>
              <w:pStyle w:val="Textpoznpodarou"/>
              <w:jc w:val="both"/>
              <w:rPr>
                <w:color w:val="000000"/>
                <w:spacing w:val="-2"/>
              </w:rPr>
            </w:pPr>
          </w:p>
          <w:p w:rsidR="005D5A35" w:rsidRPr="00D2620E" w:rsidRDefault="005D5A35" w:rsidP="005A6E4A">
            <w:pPr>
              <w:pStyle w:val="Textpoznpodarou"/>
              <w:jc w:val="both"/>
              <w:rPr>
                <w:color w:val="000000"/>
              </w:rPr>
            </w:pPr>
            <w:r w:rsidRPr="00D2620E">
              <w:rPr>
                <w:color w:val="000000"/>
              </w:rPr>
              <w:t>Poměr půjček domácnostem vč. dluhu neziskových institucí sloužících domácnostem (NISD) a také úvěrů firmám vč. emito</w:t>
            </w:r>
            <w:r w:rsidR="00B155A3">
              <w:rPr>
                <w:color w:val="000000"/>
              </w:rPr>
              <w:t>vaných cenných papírů dosahoval</w:t>
            </w:r>
            <w:r w:rsidRPr="00D2620E">
              <w:rPr>
                <w:color w:val="000000"/>
              </w:rPr>
              <w:t xml:space="preserve"> v roce 2013 (za který byla v době zpracování této analýzy k dispozici poslední dat</w:t>
            </w:r>
            <w:r w:rsidR="00C41233">
              <w:rPr>
                <w:color w:val="000000"/>
              </w:rPr>
              <w:t>a</w:t>
            </w:r>
            <w:r w:rsidRPr="00D2620E">
              <w:rPr>
                <w:color w:val="000000"/>
              </w:rPr>
              <w:t xml:space="preserve">) celkem 73,7 % nominálního HDP. Z toho přitom samotná zadluženost domácností vč. NISD představovala 31,6 % HDP a půjčky nefinančním podnikům 34,5 % HDP a jimi emitované cenné papíry 8 % HDP. </w:t>
            </w:r>
          </w:p>
          <w:p w:rsidR="005D5A35" w:rsidRPr="00D2620E" w:rsidRDefault="005D5A35" w:rsidP="005A6E4A">
            <w:pPr>
              <w:pStyle w:val="Textpoznpodarou"/>
              <w:jc w:val="both"/>
              <w:rPr>
                <w:color w:val="000000"/>
                <w:spacing w:val="-2"/>
                <w:sz w:val="16"/>
                <w:szCs w:val="16"/>
              </w:rPr>
            </w:pPr>
          </w:p>
          <w:p w:rsidR="005D5A35" w:rsidRDefault="005D5A35" w:rsidP="00186915">
            <w:pPr>
              <w:pStyle w:val="Textpoznpodarou"/>
              <w:jc w:val="both"/>
              <w:rPr>
                <w:color w:val="000000"/>
                <w:spacing w:val="-2"/>
              </w:rPr>
            </w:pPr>
            <w:r>
              <w:rPr>
                <w:color w:val="000000"/>
                <w:spacing w:val="-2"/>
              </w:rPr>
              <w:t>Data jsou na konsolidované bázi, to znamená, že neberou v úvahu transakce uvnitř daného sektoru.</w:t>
            </w:r>
          </w:p>
          <w:p w:rsidR="005D5A35" w:rsidRPr="00602D1D" w:rsidRDefault="005D5A35" w:rsidP="00186915">
            <w:pPr>
              <w:pStyle w:val="Textpoznpodarou"/>
              <w:jc w:val="both"/>
              <w:rPr>
                <w:color w:val="000000"/>
                <w:spacing w:val="-2"/>
              </w:rPr>
            </w:pPr>
            <w:r>
              <w:rPr>
                <w:color w:val="000000"/>
                <w:spacing w:val="-2"/>
              </w:rPr>
              <w:t xml:space="preserve"> </w:t>
            </w:r>
          </w:p>
        </w:tc>
      </w:tr>
      <w:tr w:rsidR="005D5A35" w:rsidRPr="00602D1D" w:rsidTr="005A6E4A">
        <w:tc>
          <w:tcPr>
            <w:tcW w:w="1042" w:type="pct"/>
          </w:tcPr>
          <w:p w:rsidR="005D5A35" w:rsidRPr="00602D1D" w:rsidRDefault="005D5A35" w:rsidP="00C662C1">
            <w:pPr>
              <w:spacing w:line="240" w:lineRule="auto"/>
              <w:rPr>
                <w:color w:val="000000"/>
                <w:sz w:val="16"/>
                <w:szCs w:val="16"/>
              </w:rPr>
            </w:pPr>
            <w:r>
              <w:rPr>
                <w:color w:val="000000"/>
                <w:sz w:val="16"/>
                <w:szCs w:val="16"/>
              </w:rPr>
              <w:t>… což bylo pod hranicí relativního soukro</w:t>
            </w:r>
            <w:r w:rsidR="001D234F">
              <w:rPr>
                <w:color w:val="000000"/>
                <w:sz w:val="16"/>
                <w:szCs w:val="16"/>
              </w:rPr>
              <w:t>mého dluhu za EU jako celek</w:t>
            </w:r>
            <w:r w:rsidRPr="00602D1D">
              <w:rPr>
                <w:color w:val="000000"/>
                <w:sz w:val="16"/>
                <w:szCs w:val="16"/>
              </w:rPr>
              <w:t xml:space="preserve"> </w:t>
            </w:r>
          </w:p>
          <w:p w:rsidR="005D5A35" w:rsidRPr="00602D1D" w:rsidRDefault="005D5A35" w:rsidP="00C662C1">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C662C1">
            <w:pPr>
              <w:pStyle w:val="Textpoznpodarou"/>
              <w:jc w:val="both"/>
            </w:pPr>
          </w:p>
        </w:tc>
        <w:tc>
          <w:tcPr>
            <w:tcW w:w="3819" w:type="pct"/>
          </w:tcPr>
          <w:p w:rsidR="005D5A35" w:rsidRDefault="005D5A35" w:rsidP="00186915">
            <w:pPr>
              <w:pStyle w:val="Textpoznpodarou"/>
              <w:jc w:val="both"/>
              <w:rPr>
                <w:color w:val="000000"/>
                <w:spacing w:val="-2"/>
              </w:rPr>
            </w:pPr>
            <w:r>
              <w:rPr>
                <w:color w:val="000000"/>
                <w:spacing w:val="-2"/>
              </w:rPr>
              <w:t xml:space="preserve">Soukromý konsolidovaný dluh privátního sektoru ČR tak byl ve výši 73,7 % nominálního HDP podstatně nižší než průměr za EU 28. Srovnatelná data nejsou k dispozici, neboť </w:t>
            </w:r>
            <w:proofErr w:type="spellStart"/>
            <w:r>
              <w:rPr>
                <w:color w:val="000000"/>
                <w:spacing w:val="-2"/>
              </w:rPr>
              <w:t>Eurostat</w:t>
            </w:r>
            <w:proofErr w:type="spellEnd"/>
            <w:r>
              <w:rPr>
                <w:color w:val="000000"/>
                <w:spacing w:val="-2"/>
              </w:rPr>
              <w:t xml:space="preserve"> zadlužení domácností ve svých tabulkách neuvádí. Jsou však k dispozici data za sektor nefinančních podniků, který samotný se svou </w:t>
            </w:r>
            <w:r>
              <w:rPr>
                <w:color w:val="000000"/>
                <w:spacing w:val="-2"/>
              </w:rPr>
              <w:lastRenderedPageBreak/>
              <w:t>zadlužeností ve výši 65,6 % HDP v případě firemních úvěrů a 12,4 % HDP v případě firemních dluhopisů ukazuje při sloučení zadluženost nefinančních podniků v EU 28 na úrovni 78 % HDP. V ČR přitom při zahrnutí úvěrů domácnostem, které spolu s úvěry NISD tvoří téměř třetinu nominálního HDP, činí tato celková proporce 73,7 %.</w:t>
            </w:r>
          </w:p>
          <w:p w:rsidR="005D5A35" w:rsidRPr="00D2620E" w:rsidRDefault="005D5A35" w:rsidP="00186915">
            <w:pPr>
              <w:pStyle w:val="Textpoznpodarou"/>
              <w:jc w:val="both"/>
              <w:rPr>
                <w:color w:val="000000"/>
                <w:spacing w:val="-2"/>
              </w:rPr>
            </w:pPr>
          </w:p>
          <w:p w:rsidR="005D5A35" w:rsidRDefault="005D5A35" w:rsidP="00186915">
            <w:pPr>
              <w:pStyle w:val="Textpoznpodarou"/>
              <w:jc w:val="both"/>
              <w:rPr>
                <w:color w:val="000000"/>
                <w:spacing w:val="-2"/>
              </w:rPr>
            </w:pPr>
            <w:r>
              <w:rPr>
                <w:color w:val="000000"/>
                <w:spacing w:val="-2"/>
              </w:rPr>
              <w:t>Znamená to, že soukromý dluh v relaci k HDP je v ČR výrazně pod průměrnou úrovní v EU 28 (graf 13).</w:t>
            </w:r>
          </w:p>
          <w:p w:rsidR="005D5A35" w:rsidRPr="00602D1D" w:rsidRDefault="005D5A35" w:rsidP="00186915">
            <w:pPr>
              <w:pStyle w:val="Textpoznpodarou"/>
              <w:jc w:val="both"/>
              <w:rPr>
                <w:color w:val="000000"/>
                <w:spacing w:val="-2"/>
              </w:rPr>
            </w:pPr>
          </w:p>
        </w:tc>
      </w:tr>
      <w:tr w:rsidR="005D5A35" w:rsidRPr="00602D1D" w:rsidTr="005A6E4A">
        <w:tc>
          <w:tcPr>
            <w:tcW w:w="1042" w:type="pct"/>
          </w:tcPr>
          <w:p w:rsidR="005D5A35" w:rsidRPr="00B13619" w:rsidRDefault="005D5A35" w:rsidP="00B13619">
            <w:pPr>
              <w:spacing w:line="240" w:lineRule="auto"/>
              <w:rPr>
                <w:sz w:val="16"/>
                <w:szCs w:val="16"/>
              </w:rPr>
            </w:pPr>
            <w:r w:rsidRPr="00B13619">
              <w:rPr>
                <w:sz w:val="16"/>
                <w:szCs w:val="16"/>
              </w:rPr>
              <w:lastRenderedPageBreak/>
              <w:t xml:space="preserve">Příznivější proporce soukromého </w:t>
            </w:r>
            <w:r w:rsidR="00B13619" w:rsidRPr="00B13619">
              <w:rPr>
                <w:sz w:val="16"/>
                <w:szCs w:val="16"/>
              </w:rPr>
              <w:t xml:space="preserve">dluhu k HDP než </w:t>
            </w:r>
            <w:r w:rsidRPr="00B13619">
              <w:rPr>
                <w:sz w:val="16"/>
                <w:szCs w:val="16"/>
              </w:rPr>
              <w:t>ČR měla v roce 2013 jen Litva a Rumunsko - v roce 2012 byla ČR na</w:t>
            </w:r>
            <w:r w:rsidR="009A3909" w:rsidRPr="00B13619">
              <w:rPr>
                <w:sz w:val="16"/>
                <w:szCs w:val="16"/>
              </w:rPr>
              <w:t> </w:t>
            </w:r>
            <w:r w:rsidRPr="00B13619">
              <w:rPr>
                <w:sz w:val="16"/>
                <w:szCs w:val="16"/>
              </w:rPr>
              <w:t>2.</w:t>
            </w:r>
            <w:r w:rsidR="009A3909" w:rsidRPr="00B13619">
              <w:rPr>
                <w:sz w:val="16"/>
                <w:szCs w:val="16"/>
              </w:rPr>
              <w:t> </w:t>
            </w:r>
            <w:r w:rsidRPr="00B13619">
              <w:rPr>
                <w:sz w:val="16"/>
                <w:szCs w:val="16"/>
              </w:rPr>
              <w:t>místě</w:t>
            </w:r>
          </w:p>
        </w:tc>
        <w:tc>
          <w:tcPr>
            <w:tcW w:w="139" w:type="pct"/>
          </w:tcPr>
          <w:p w:rsidR="005D5A35" w:rsidRDefault="005D5A35" w:rsidP="00C662C1">
            <w:pPr>
              <w:pStyle w:val="Textpoznpodarou"/>
              <w:jc w:val="both"/>
            </w:pPr>
          </w:p>
        </w:tc>
        <w:tc>
          <w:tcPr>
            <w:tcW w:w="3819" w:type="pct"/>
          </w:tcPr>
          <w:p w:rsidR="005D5A35" w:rsidRPr="00D2620E" w:rsidRDefault="005D5A35" w:rsidP="00187C76">
            <w:pPr>
              <w:pStyle w:val="Textpoznpodarou"/>
              <w:jc w:val="both"/>
              <w:rPr>
                <w:color w:val="000000"/>
              </w:rPr>
            </w:pPr>
            <w:r w:rsidRPr="00B13619">
              <w:t>Jen dvě země EU, tj. Litva (56,3 %) a Rumunsko (66,5 %), měly v roce 2013 nižší soukromý dluh v relaci k HDP než Česká republika (73,7 %). Ve srovnání</w:t>
            </w:r>
            <w:r w:rsidRPr="00D2620E">
              <w:rPr>
                <w:color w:val="000000"/>
              </w:rPr>
              <w:t xml:space="preserve"> s nimi však byla v ČR vyšší relace úvěrů domácnostem, a to významně (již zmíněných 31,6 % HDP proti 22,3 %, resp. 19,1 % v těchto zemích). Lze to zřejmě přičíst rozvinutějšímu bankovnímu systému s nabídkou půjček, ale právě i silné dynamice úvěrů na bydlení v konjunkturním období (pořizování a vybavování nových, ale i</w:t>
            </w:r>
            <w:r w:rsidR="00594EAA">
              <w:rPr>
                <w:color w:val="000000"/>
              </w:rPr>
              <w:t> </w:t>
            </w:r>
            <w:r w:rsidRPr="00D2620E">
              <w:rPr>
                <w:color w:val="000000"/>
              </w:rPr>
              <w:t xml:space="preserve">starších bytů a jejich postupné privatizaci). V neposlední řadě pak i vyšší kupní síle českých domácností, která je důležitá právě u půjček na bydlení spojených zpravidla s nutnou participací vlastních naspořených prostředků (alespoň zčásti). </w:t>
            </w:r>
          </w:p>
          <w:p w:rsidR="005D5A35" w:rsidRPr="00602D1D" w:rsidRDefault="005D5A35" w:rsidP="00187C76">
            <w:pPr>
              <w:pStyle w:val="Textpoznpodarou"/>
              <w:jc w:val="both"/>
              <w:rPr>
                <w:color w:val="000000"/>
                <w:spacing w:val="-2"/>
              </w:rPr>
            </w:pPr>
          </w:p>
        </w:tc>
      </w:tr>
      <w:tr w:rsidR="005D5A35" w:rsidRPr="00602D1D" w:rsidTr="0031223A">
        <w:tc>
          <w:tcPr>
            <w:tcW w:w="1042" w:type="pct"/>
          </w:tcPr>
          <w:p w:rsidR="005D5A35" w:rsidRPr="00602D1D" w:rsidRDefault="005D5A35" w:rsidP="00C662C1">
            <w:pPr>
              <w:spacing w:line="240" w:lineRule="auto"/>
              <w:rPr>
                <w:color w:val="000000"/>
                <w:sz w:val="16"/>
                <w:szCs w:val="16"/>
              </w:rPr>
            </w:pPr>
            <w:r w:rsidRPr="00602D1D">
              <w:rPr>
                <w:color w:val="000000"/>
                <w:sz w:val="16"/>
                <w:szCs w:val="16"/>
              </w:rPr>
              <w:t>N</w:t>
            </w:r>
            <w:r>
              <w:rPr>
                <w:color w:val="000000"/>
                <w:sz w:val="16"/>
                <w:szCs w:val="16"/>
              </w:rPr>
              <w:t>ízkou relaci dluhu firem k</w:t>
            </w:r>
            <w:r w:rsidR="00594EAA">
              <w:rPr>
                <w:color w:val="000000"/>
                <w:sz w:val="16"/>
                <w:szCs w:val="16"/>
              </w:rPr>
              <w:t> </w:t>
            </w:r>
            <w:r>
              <w:rPr>
                <w:color w:val="000000"/>
                <w:sz w:val="16"/>
                <w:szCs w:val="16"/>
              </w:rPr>
              <w:t>HDP ovlivnila recese let 2012 a 2013, historicky pak i čištění bankovních portfolií od špatných půjček v předchozí dekádě</w:t>
            </w:r>
            <w:r w:rsidRPr="00602D1D">
              <w:rPr>
                <w:color w:val="000000"/>
                <w:sz w:val="16"/>
                <w:szCs w:val="16"/>
              </w:rPr>
              <w:t xml:space="preserve"> </w:t>
            </w:r>
          </w:p>
          <w:p w:rsidR="005D5A35" w:rsidRPr="00602D1D" w:rsidRDefault="005D5A35" w:rsidP="00C662C1">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C662C1">
            <w:pPr>
              <w:pStyle w:val="Textpoznpodarou"/>
              <w:jc w:val="both"/>
            </w:pPr>
          </w:p>
        </w:tc>
        <w:tc>
          <w:tcPr>
            <w:tcW w:w="3819" w:type="pct"/>
          </w:tcPr>
          <w:p w:rsidR="005D5A35" w:rsidRDefault="005D5A35" w:rsidP="00887AEB">
            <w:pPr>
              <w:pStyle w:val="Textpoznpodarou"/>
              <w:jc w:val="both"/>
              <w:rPr>
                <w:color w:val="000000"/>
                <w:spacing w:val="-2"/>
              </w:rPr>
            </w:pPr>
            <w:r>
              <w:rPr>
                <w:color w:val="000000"/>
                <w:spacing w:val="-2"/>
              </w:rPr>
              <w:t xml:space="preserve">Naopak </w:t>
            </w:r>
            <w:r w:rsidR="00B155A3">
              <w:rPr>
                <w:color w:val="000000"/>
                <w:spacing w:val="-2"/>
              </w:rPr>
              <w:t>poměrně</w:t>
            </w:r>
            <w:r>
              <w:rPr>
                <w:color w:val="000000"/>
                <w:spacing w:val="-2"/>
              </w:rPr>
              <w:t xml:space="preserve"> nízkou relativní zadluženost samotných firem pokud jde o</w:t>
            </w:r>
            <w:r w:rsidR="00F631EA">
              <w:rPr>
                <w:color w:val="000000"/>
                <w:spacing w:val="-2"/>
              </w:rPr>
              <w:t> </w:t>
            </w:r>
            <w:r>
              <w:rPr>
                <w:color w:val="000000"/>
                <w:spacing w:val="-2"/>
              </w:rPr>
              <w:t>poskytnuté úvěry lz</w:t>
            </w:r>
            <w:r w:rsidR="00F52B67">
              <w:rPr>
                <w:color w:val="000000"/>
                <w:spacing w:val="-2"/>
              </w:rPr>
              <w:t>e v roce 2013 přičíst podmínkám</w:t>
            </w:r>
            <w:r>
              <w:rPr>
                <w:color w:val="000000"/>
                <w:spacing w:val="-2"/>
              </w:rPr>
              <w:t xml:space="preserve"> roku recese s nižší potřebou financování při slabé poptávce, což však platilo i pro rok 2012. Roli jistě hrálo i</w:t>
            </w:r>
            <w:r w:rsidR="00F631EA">
              <w:rPr>
                <w:color w:val="000000"/>
                <w:spacing w:val="-2"/>
              </w:rPr>
              <w:t> </w:t>
            </w:r>
            <w:r>
              <w:rPr>
                <w:color w:val="000000"/>
                <w:spacing w:val="-2"/>
              </w:rPr>
              <w:t>z</w:t>
            </w:r>
            <w:r w:rsidR="00F631EA">
              <w:rPr>
                <w:color w:val="000000"/>
                <w:spacing w:val="-2"/>
              </w:rPr>
              <w:t> </w:t>
            </w:r>
            <w:r>
              <w:rPr>
                <w:color w:val="000000"/>
                <w:spacing w:val="-2"/>
              </w:rPr>
              <w:t>„historického“ hlediska vyčištění bankovních portfolií zejména velkých bank od</w:t>
            </w:r>
            <w:r w:rsidR="00F631EA">
              <w:rPr>
                <w:color w:val="000000"/>
                <w:spacing w:val="-2"/>
              </w:rPr>
              <w:t> </w:t>
            </w:r>
            <w:r>
              <w:rPr>
                <w:color w:val="000000"/>
                <w:spacing w:val="-2"/>
              </w:rPr>
              <w:t xml:space="preserve">špatných půjček před jejich privatizací už v předchozí dekádě a převedení významné části úvěrů do speciálních entit (Konsolidační banka, ale i jiné). </w:t>
            </w:r>
          </w:p>
          <w:p w:rsidR="005D5A35" w:rsidRPr="00602D1D" w:rsidRDefault="005D5A35" w:rsidP="00C662C1">
            <w:pPr>
              <w:pStyle w:val="Textpoznpodarou"/>
              <w:jc w:val="both"/>
              <w:rPr>
                <w:color w:val="000000"/>
                <w:spacing w:val="-2"/>
              </w:rPr>
            </w:pPr>
          </w:p>
        </w:tc>
      </w:tr>
      <w:tr w:rsidR="005D5A35" w:rsidRPr="00602D1D" w:rsidTr="0031223A">
        <w:tc>
          <w:tcPr>
            <w:tcW w:w="1042" w:type="pct"/>
          </w:tcPr>
          <w:p w:rsidR="005D5A35" w:rsidRPr="00602D1D" w:rsidRDefault="005D5A35" w:rsidP="00C662C1">
            <w:pPr>
              <w:spacing w:line="240" w:lineRule="auto"/>
              <w:rPr>
                <w:color w:val="000000"/>
                <w:sz w:val="16"/>
                <w:szCs w:val="16"/>
              </w:rPr>
            </w:pPr>
            <w:r>
              <w:rPr>
                <w:color w:val="000000"/>
                <w:sz w:val="16"/>
                <w:szCs w:val="16"/>
              </w:rPr>
              <w:t>Dlouhodobá averze k dluhům: vůbec nejnižší relativní soukromý dluh ze</w:t>
            </w:r>
            <w:r w:rsidR="00470CC7">
              <w:rPr>
                <w:color w:val="000000"/>
                <w:sz w:val="16"/>
                <w:szCs w:val="16"/>
              </w:rPr>
              <w:t> </w:t>
            </w:r>
            <w:r>
              <w:rPr>
                <w:color w:val="000000"/>
                <w:sz w:val="16"/>
                <w:szCs w:val="16"/>
              </w:rPr>
              <w:t>zemí EU měla ČR v letech 2008 a 2009, v roce 2012 pak druhý nejnižší</w:t>
            </w:r>
          </w:p>
          <w:p w:rsidR="005D5A35" w:rsidRPr="00602D1D" w:rsidRDefault="005D5A35" w:rsidP="00C662C1">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C662C1">
            <w:pPr>
              <w:pStyle w:val="Textpoznpodarou"/>
              <w:jc w:val="both"/>
            </w:pPr>
          </w:p>
        </w:tc>
        <w:tc>
          <w:tcPr>
            <w:tcW w:w="3819" w:type="pct"/>
          </w:tcPr>
          <w:p w:rsidR="005D5A35" w:rsidRPr="00D2620E" w:rsidRDefault="005D5A35" w:rsidP="00F52B67">
            <w:pPr>
              <w:pStyle w:val="Textpoznpodarou"/>
              <w:jc w:val="both"/>
              <w:rPr>
                <w:color w:val="000000"/>
              </w:rPr>
            </w:pPr>
            <w:r w:rsidRPr="00D2620E">
              <w:rPr>
                <w:color w:val="000000"/>
              </w:rPr>
              <w:t>„Dluhová averze“ je přitom charakteristická pro české ekonomické subjekty dlouhodobě. Mimořádné nízká relativní soukromá zadluženost se projevovala i</w:t>
            </w:r>
            <w:r w:rsidR="00F631EA">
              <w:rPr>
                <w:color w:val="000000"/>
              </w:rPr>
              <w:t> </w:t>
            </w:r>
            <w:r w:rsidRPr="00D2620E">
              <w:rPr>
                <w:color w:val="000000"/>
              </w:rPr>
              <w:t>v letech 2008 a 2009, kdy byla relace soukromého dluhu k nominál</w:t>
            </w:r>
            <w:r w:rsidR="00F52B67">
              <w:rPr>
                <w:color w:val="000000"/>
              </w:rPr>
              <w:t>nímu HDP v České republice</w:t>
            </w:r>
            <w:r w:rsidRPr="00D2620E">
              <w:rPr>
                <w:color w:val="000000"/>
              </w:rPr>
              <w:t xml:space="preserve"> nejmenší v EU (66,8 %, resp. 68,8 % HDP). V roce 2012 pak byla po Litvě druhá nejnižší (72,4 %). Její zvyšování je relativně pomalé (graf 14) -  mezi lety 2011 až 2013 šlo dokonce o snížení o 4,9 </w:t>
            </w:r>
            <w:proofErr w:type="spellStart"/>
            <w:r w:rsidRPr="00D2620E">
              <w:rPr>
                <w:color w:val="000000"/>
              </w:rPr>
              <w:t>pb</w:t>
            </w:r>
            <w:proofErr w:type="spellEnd"/>
            <w:r w:rsidRPr="00D2620E">
              <w:rPr>
                <w:color w:val="000000"/>
              </w:rPr>
              <w:t>. (což však bylo typické i</w:t>
            </w:r>
            <w:r w:rsidR="00F52B67">
              <w:rPr>
                <w:color w:val="000000"/>
              </w:rPr>
              <w:t> </w:t>
            </w:r>
            <w:r w:rsidRPr="00D2620E">
              <w:rPr>
                <w:color w:val="000000"/>
              </w:rPr>
              <w:t>pro</w:t>
            </w:r>
            <w:r w:rsidR="00F52B67">
              <w:rPr>
                <w:color w:val="000000"/>
              </w:rPr>
              <w:t> </w:t>
            </w:r>
            <w:r w:rsidRPr="00D2620E">
              <w:rPr>
                <w:color w:val="000000"/>
              </w:rPr>
              <w:t xml:space="preserve">další země EU, jak je patrné z grafu 15). V ČR ovlivnila slabší tempo úvěrování v této době ekonomická recese, v mnoha dalších zemích EU pak zřejmě dopad, který měly i na soukromý sektor problémy hospodaření vládních sektorů.   </w:t>
            </w:r>
          </w:p>
        </w:tc>
      </w:tr>
    </w:tbl>
    <w:p w:rsidR="005D5A35" w:rsidRDefault="005D5A35" w:rsidP="00686D87"/>
    <w:p w:rsidR="005D5A35" w:rsidRDefault="005D5A35" w:rsidP="0031223A">
      <w:pPr>
        <w:jc w:val="both"/>
      </w:pPr>
      <w:r w:rsidRPr="00F631EA">
        <w:t>Graf č. 13:</w:t>
      </w:r>
      <w:r w:rsidRPr="001E48E5">
        <w:rPr>
          <w:b/>
        </w:rPr>
        <w:t xml:space="preserve"> Pozice ČR v relativní zadluženosti soukromého sektoru* ve srovnání se zeměmi EU 28</w:t>
      </w:r>
      <w:r w:rsidR="0031223A">
        <w:rPr>
          <w:b/>
        </w:rPr>
        <w:t xml:space="preserve"> </w:t>
      </w:r>
      <w:r w:rsidRPr="001E48E5">
        <w:rPr>
          <w:b/>
        </w:rPr>
        <w:t>v roce 2013</w:t>
      </w:r>
      <w:r>
        <w:t xml:space="preserve"> (hrubý konsolidovaný </w:t>
      </w:r>
      <w:proofErr w:type="gramStart"/>
      <w:r>
        <w:t>dluh v % nominálního</w:t>
      </w:r>
      <w:proofErr w:type="gramEnd"/>
      <w:r>
        <w:t xml:space="preserve"> HDP) </w:t>
      </w:r>
    </w:p>
    <w:p w:rsidR="005D5A35" w:rsidRDefault="002A2083" w:rsidP="001E48E5">
      <w:pPr>
        <w:jc w:val="center"/>
      </w:pPr>
      <w:r>
        <w:rPr>
          <w:noProof/>
        </w:rPr>
        <w:pict>
          <v:shape id="_x0000_i1092" type="#_x0000_t75" style="width:388.5pt;height:16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">
            <v:imagedata r:id="rId84" o:title=""/>
            <o:lock v:ext="edit" aspectratio="f"/>
          </v:shape>
        </w:pict>
      </w:r>
    </w:p>
    <w:p w:rsidR="0031223A" w:rsidRDefault="0031223A" w:rsidP="00BF36F6">
      <w:pPr>
        <w:pStyle w:val="Odstavecseseznamem"/>
        <w:spacing w:line="240" w:lineRule="auto"/>
        <w:ind w:left="505"/>
      </w:pPr>
    </w:p>
    <w:p w:rsidR="005D5A35" w:rsidRPr="0031223A" w:rsidRDefault="005D5A35" w:rsidP="0031223A">
      <w:pPr>
        <w:pStyle w:val="Odstavecseseznamem"/>
        <w:spacing w:line="240" w:lineRule="auto"/>
        <w:ind w:left="0"/>
        <w:jc w:val="both"/>
        <w:rPr>
          <w:sz w:val="18"/>
          <w:szCs w:val="18"/>
        </w:rPr>
      </w:pPr>
      <w:r w:rsidRPr="0031223A">
        <w:rPr>
          <w:sz w:val="18"/>
          <w:szCs w:val="18"/>
        </w:rPr>
        <w:t>*Pozn.: soukromý dluh dom</w:t>
      </w:r>
      <w:r w:rsidR="0031223A">
        <w:rPr>
          <w:sz w:val="18"/>
          <w:szCs w:val="18"/>
        </w:rPr>
        <w:t xml:space="preserve">ácností vč. NISD a soukromý dluh </w:t>
      </w:r>
      <w:r w:rsidR="0031223A" w:rsidRPr="0031223A">
        <w:rPr>
          <w:sz w:val="18"/>
          <w:szCs w:val="18"/>
        </w:rPr>
        <w:t>nefinančních podniků vč. cenných papírů vyjádřený jako %</w:t>
      </w:r>
      <w:r w:rsidR="0031223A">
        <w:rPr>
          <w:sz w:val="18"/>
          <w:szCs w:val="18"/>
        </w:rPr>
        <w:t> </w:t>
      </w:r>
      <w:r w:rsidR="0031223A" w:rsidRPr="0031223A">
        <w:rPr>
          <w:sz w:val="18"/>
          <w:szCs w:val="18"/>
        </w:rPr>
        <w:t>nominálního HDP</w:t>
      </w:r>
    </w:p>
    <w:p w:rsidR="005D5A35" w:rsidRDefault="007A155D" w:rsidP="0031223A">
      <w:pPr>
        <w:jc w:val="right"/>
      </w:pPr>
      <w:r>
        <w:rPr>
          <w:sz w:val="18"/>
          <w:szCs w:val="18"/>
        </w:rPr>
        <w:t>Zdroj</w:t>
      </w:r>
      <w:r w:rsidR="005550E9">
        <w:rPr>
          <w:sz w:val="18"/>
          <w:szCs w:val="18"/>
        </w:rPr>
        <w:t xml:space="preserve">: </w:t>
      </w:r>
      <w:proofErr w:type="spellStart"/>
      <w:r w:rsidR="005550E9">
        <w:rPr>
          <w:sz w:val="18"/>
          <w:szCs w:val="18"/>
        </w:rPr>
        <w:t>Eurostat</w:t>
      </w:r>
      <w:proofErr w:type="spellEnd"/>
      <w:r w:rsidR="005550E9">
        <w:rPr>
          <w:sz w:val="18"/>
          <w:szCs w:val="18"/>
        </w:rPr>
        <w:t>, vlastní vý</w:t>
      </w:r>
      <w:r w:rsidR="0031223A" w:rsidRPr="0031223A">
        <w:rPr>
          <w:sz w:val="18"/>
          <w:szCs w:val="18"/>
        </w:rPr>
        <w:t>počty</w:t>
      </w:r>
    </w:p>
    <w:p w:rsidR="00D2620E" w:rsidRDefault="00D2620E" w:rsidP="0031223A">
      <w:pPr>
        <w:jc w:val="center"/>
      </w:pPr>
    </w:p>
    <w:p w:rsidR="00997EEB" w:rsidRDefault="00997EEB" w:rsidP="0031223A">
      <w:pPr>
        <w:jc w:val="center"/>
      </w:pPr>
    </w:p>
    <w:p w:rsidR="00D2620E" w:rsidRDefault="00D2620E" w:rsidP="001E48E5">
      <w:pPr>
        <w:jc w:val="center"/>
      </w:pPr>
    </w:p>
    <w:p w:rsidR="00D2620E" w:rsidRDefault="00D2620E" w:rsidP="001E48E5">
      <w:pPr>
        <w:jc w:val="center"/>
      </w:pPr>
    </w:p>
    <w:p w:rsidR="00D2620E" w:rsidRDefault="00D2620E" w:rsidP="001E48E5">
      <w:pPr>
        <w:jc w:val="center"/>
      </w:pPr>
    </w:p>
    <w:tbl>
      <w:tblPr>
        <w:tblW w:w="5000" w:type="pct"/>
        <w:tblLook w:val="00A0"/>
      </w:tblPr>
      <w:tblGrid>
        <w:gridCol w:w="971"/>
        <w:gridCol w:w="3836"/>
        <w:gridCol w:w="692"/>
        <w:gridCol w:w="4355"/>
      </w:tblGrid>
      <w:tr w:rsidR="005D5A35" w:rsidRPr="00C53F31" w:rsidTr="003D34B4">
        <w:tc>
          <w:tcPr>
            <w:tcW w:w="492" w:type="pct"/>
          </w:tcPr>
          <w:p w:rsidR="005D5A35" w:rsidRPr="003D34B4" w:rsidRDefault="005D5A35" w:rsidP="000666E0">
            <w:pPr>
              <w:pStyle w:val="Textpoznpodarou"/>
              <w:rPr>
                <w:lang w:eastAsia="en-US"/>
              </w:rPr>
            </w:pPr>
            <w:r w:rsidRPr="003D34B4">
              <w:rPr>
                <w:lang w:eastAsia="en-US"/>
              </w:rPr>
              <w:lastRenderedPageBreak/>
              <w:t>Graf č.</w:t>
            </w:r>
            <w:r w:rsidR="000666E0">
              <w:rPr>
                <w:lang w:eastAsia="en-US"/>
              </w:rPr>
              <w:t> </w:t>
            </w:r>
            <w:r w:rsidRPr="003D34B4">
              <w:rPr>
                <w:lang w:eastAsia="en-US"/>
              </w:rPr>
              <w:t>14</w:t>
            </w:r>
          </w:p>
        </w:tc>
        <w:tc>
          <w:tcPr>
            <w:tcW w:w="1948" w:type="pct"/>
          </w:tcPr>
          <w:p w:rsidR="00834996" w:rsidRDefault="005D5A35" w:rsidP="001306B1">
            <w:pPr>
              <w:pStyle w:val="Textpoznpodarou"/>
              <w:rPr>
                <w:b/>
                <w:lang w:eastAsia="en-US"/>
              </w:rPr>
            </w:pPr>
            <w:r w:rsidRPr="003D34B4">
              <w:rPr>
                <w:b/>
                <w:lang w:eastAsia="en-US"/>
              </w:rPr>
              <w:t>Vývoj soukromého dluhu v ČR podle sektorů*</w:t>
            </w:r>
          </w:p>
          <w:p w:rsidR="005D5A35" w:rsidRPr="003D34B4" w:rsidRDefault="005D5A35" w:rsidP="001306B1">
            <w:pPr>
              <w:pStyle w:val="Textpoznpodarou"/>
              <w:rPr>
                <w:lang w:eastAsia="en-US"/>
              </w:rPr>
            </w:pPr>
            <w:r>
              <w:rPr>
                <w:lang w:eastAsia="en-US"/>
              </w:rPr>
              <w:t>(</w:t>
            </w:r>
            <w:r w:rsidR="00834996">
              <w:rPr>
                <w:lang w:eastAsia="en-US"/>
              </w:rPr>
              <w:t xml:space="preserve">v </w:t>
            </w:r>
            <w:r>
              <w:rPr>
                <w:lang w:eastAsia="en-US"/>
              </w:rPr>
              <w:t xml:space="preserve">% </w:t>
            </w:r>
            <w:proofErr w:type="spellStart"/>
            <w:r>
              <w:rPr>
                <w:lang w:eastAsia="en-US"/>
              </w:rPr>
              <w:t>nom</w:t>
            </w:r>
            <w:proofErr w:type="spellEnd"/>
            <w:r>
              <w:rPr>
                <w:lang w:eastAsia="en-US"/>
              </w:rPr>
              <w:t xml:space="preserve">. HDP, </w:t>
            </w:r>
            <w:r w:rsidRPr="003D34B4">
              <w:rPr>
                <w:lang w:eastAsia="en-US"/>
              </w:rPr>
              <w:t>konsolidováno)</w:t>
            </w:r>
            <w:r w:rsidRPr="003D34B4">
              <w:rPr>
                <w:b/>
                <w:lang w:eastAsia="en-US"/>
              </w:rPr>
              <w:t xml:space="preserve"> </w:t>
            </w:r>
          </w:p>
        </w:tc>
        <w:tc>
          <w:tcPr>
            <w:tcW w:w="350" w:type="pct"/>
          </w:tcPr>
          <w:p w:rsidR="005D5A35" w:rsidRPr="003D34B4" w:rsidRDefault="005D5A35" w:rsidP="001E48E5">
            <w:pPr>
              <w:pStyle w:val="Textpoznpodarou"/>
              <w:rPr>
                <w:lang w:eastAsia="en-US"/>
              </w:rPr>
            </w:pPr>
            <w:r w:rsidRPr="003D34B4">
              <w:rPr>
                <w:lang w:eastAsia="en-US"/>
              </w:rPr>
              <w:t>Graf č. 15</w:t>
            </w:r>
          </w:p>
          <w:p w:rsidR="005D5A35" w:rsidRPr="003D34B4" w:rsidRDefault="005D5A35" w:rsidP="001E48E5">
            <w:pPr>
              <w:pStyle w:val="Textpoznpodarou"/>
              <w:rPr>
                <w:sz w:val="18"/>
                <w:szCs w:val="18"/>
                <w:lang w:eastAsia="en-US"/>
              </w:rPr>
            </w:pPr>
          </w:p>
        </w:tc>
        <w:tc>
          <w:tcPr>
            <w:tcW w:w="2210" w:type="pct"/>
          </w:tcPr>
          <w:p w:rsidR="005D5A35" w:rsidRPr="003D34B4" w:rsidRDefault="005D5A35" w:rsidP="001306B1">
            <w:pPr>
              <w:pStyle w:val="Textpoznpodarou"/>
              <w:rPr>
                <w:b/>
                <w:spacing w:val="-2"/>
                <w:lang w:eastAsia="en-US"/>
              </w:rPr>
            </w:pPr>
            <w:r w:rsidRPr="003D34B4">
              <w:rPr>
                <w:b/>
                <w:spacing w:val="-2"/>
                <w:lang w:eastAsia="en-US"/>
              </w:rPr>
              <w:t xml:space="preserve">Změna relativního soukromého dluhu zemí EU </w:t>
            </w:r>
            <w:r w:rsidRPr="003D34B4">
              <w:rPr>
                <w:spacing w:val="-2"/>
                <w:sz w:val="19"/>
                <w:szCs w:val="19"/>
                <w:lang w:eastAsia="en-US"/>
              </w:rPr>
              <w:t>(rozdíl let 2013 a 2011 v</w:t>
            </w:r>
            <w:r w:rsidR="000666E0">
              <w:rPr>
                <w:spacing w:val="-2"/>
                <w:sz w:val="19"/>
                <w:szCs w:val="19"/>
                <w:lang w:eastAsia="en-US"/>
              </w:rPr>
              <w:t> </w:t>
            </w:r>
            <w:proofErr w:type="spellStart"/>
            <w:r w:rsidRPr="003D34B4">
              <w:rPr>
                <w:spacing w:val="-2"/>
                <w:sz w:val="19"/>
                <w:szCs w:val="19"/>
                <w:lang w:eastAsia="en-US"/>
              </w:rPr>
              <w:t>pb</w:t>
            </w:r>
            <w:proofErr w:type="spellEnd"/>
            <w:r w:rsidR="000666E0">
              <w:rPr>
                <w:spacing w:val="-2"/>
                <w:sz w:val="19"/>
                <w:szCs w:val="19"/>
                <w:lang w:eastAsia="en-US"/>
              </w:rPr>
              <w:t>.</w:t>
            </w:r>
            <w:r w:rsidRPr="003D34B4">
              <w:rPr>
                <w:spacing w:val="-2"/>
                <w:sz w:val="19"/>
                <w:szCs w:val="19"/>
                <w:lang w:eastAsia="en-US"/>
              </w:rPr>
              <w:t xml:space="preserve">; + =zvětšení dluhu, - =zmenšení dluhu; </w:t>
            </w:r>
            <w:r w:rsidRPr="003D34B4">
              <w:rPr>
                <w:spacing w:val="-2"/>
                <w:sz w:val="18"/>
                <w:szCs w:val="18"/>
                <w:lang w:eastAsia="en-US"/>
              </w:rPr>
              <w:t>z dat dluhu jako %</w:t>
            </w:r>
            <w:r w:rsidRPr="003D34B4">
              <w:rPr>
                <w:spacing w:val="-2"/>
                <w:sz w:val="19"/>
                <w:szCs w:val="19"/>
                <w:lang w:eastAsia="en-US"/>
              </w:rPr>
              <w:t xml:space="preserve"> </w:t>
            </w:r>
            <w:r w:rsidRPr="003D34B4">
              <w:rPr>
                <w:spacing w:val="-2"/>
                <w:sz w:val="18"/>
                <w:szCs w:val="18"/>
                <w:lang w:eastAsia="en-US"/>
              </w:rPr>
              <w:t>HDP)</w:t>
            </w:r>
            <w:r w:rsidRPr="003D34B4">
              <w:rPr>
                <w:b/>
                <w:spacing w:val="-2"/>
                <w:lang w:eastAsia="en-US"/>
              </w:rPr>
              <w:t xml:space="preserve"> </w:t>
            </w:r>
          </w:p>
        </w:tc>
      </w:tr>
      <w:tr w:rsidR="005D5A35" w:rsidRPr="007D44C3" w:rsidTr="003D34B4">
        <w:tc>
          <w:tcPr>
            <w:tcW w:w="2440" w:type="pct"/>
            <w:gridSpan w:val="2"/>
          </w:tcPr>
          <w:p w:rsidR="005D5A35" w:rsidRPr="003D34B4" w:rsidRDefault="00513C6F" w:rsidP="003D34B4">
            <w:pPr>
              <w:pStyle w:val="Textpoznpodarou"/>
              <w:jc w:val="both"/>
              <w:rPr>
                <w:sz w:val="22"/>
                <w:lang w:eastAsia="en-US"/>
              </w:rPr>
            </w:pPr>
            <w:r w:rsidRPr="00513C6F">
              <w:rPr>
                <w:noProof/>
                <w:sz w:val="22"/>
              </w:rPr>
              <w:pict>
                <v:shape id="Graf 4" o:spid="_x0000_i1093" type="#_x0000_t75" style="width:232.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">
                  <v:imagedata r:id="rId85" o:title=""/>
                  <o:lock v:ext="edit" aspectratio="f"/>
                </v:shape>
              </w:pict>
            </w:r>
          </w:p>
        </w:tc>
        <w:tc>
          <w:tcPr>
            <w:tcW w:w="2560" w:type="pct"/>
            <w:gridSpan w:val="2"/>
          </w:tcPr>
          <w:p w:rsidR="005D5A35" w:rsidRPr="003D34B4" w:rsidRDefault="00513C6F" w:rsidP="003D34B4">
            <w:pPr>
              <w:pStyle w:val="Textpoznpodarou"/>
              <w:jc w:val="both"/>
              <w:rPr>
                <w:sz w:val="22"/>
                <w:lang w:eastAsia="en-US"/>
              </w:rPr>
            </w:pPr>
            <w:r w:rsidRPr="00513C6F">
              <w:rPr>
                <w:noProof/>
                <w:sz w:val="22"/>
              </w:rPr>
              <w:pict>
                <v:shape id="Graf 5" o:spid="_x0000_i1094" type="#_x0000_t75" style="width:244.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">
                  <v:imagedata r:id="rId86" o:title=""/>
                  <o:lock v:ext="edit" aspectratio="f"/>
                </v:shape>
              </w:pict>
            </w:r>
          </w:p>
        </w:tc>
      </w:tr>
    </w:tbl>
    <w:p w:rsidR="005D5A35" w:rsidRPr="00CC4DDF" w:rsidRDefault="005D5A35" w:rsidP="00CC4DDF">
      <w:pPr>
        <w:rPr>
          <w:sz w:val="4"/>
          <w:szCs w:val="4"/>
        </w:rPr>
      </w:pPr>
    </w:p>
    <w:p w:rsidR="005D5A35" w:rsidRDefault="005D5A35" w:rsidP="00CC4DDF">
      <w:pPr>
        <w:rPr>
          <w:sz w:val="18"/>
          <w:szCs w:val="18"/>
        </w:rPr>
      </w:pPr>
      <w:r>
        <w:rPr>
          <w:sz w:val="18"/>
          <w:szCs w:val="18"/>
        </w:rPr>
        <w:t>*Pozn.: NISD jsou neziskové instituce sloužící domácnostem.</w:t>
      </w:r>
      <w:r>
        <w:rPr>
          <w:sz w:val="18"/>
          <w:szCs w:val="18"/>
        </w:rPr>
        <w:tab/>
      </w:r>
      <w:r>
        <w:rPr>
          <w:sz w:val="18"/>
          <w:szCs w:val="18"/>
        </w:rPr>
        <w:tab/>
      </w:r>
      <w:r>
        <w:rPr>
          <w:sz w:val="18"/>
          <w:szCs w:val="18"/>
        </w:rPr>
        <w:tab/>
        <w:t xml:space="preserve">         </w:t>
      </w:r>
      <w:r w:rsidR="007A155D">
        <w:rPr>
          <w:sz w:val="18"/>
          <w:szCs w:val="18"/>
        </w:rPr>
        <w:t xml:space="preserve">    </w:t>
      </w:r>
      <w:r>
        <w:rPr>
          <w:sz w:val="18"/>
          <w:szCs w:val="18"/>
        </w:rPr>
        <w:t xml:space="preserve"> </w:t>
      </w:r>
      <w:r w:rsidR="00786303">
        <w:rPr>
          <w:sz w:val="18"/>
          <w:szCs w:val="18"/>
        </w:rPr>
        <w:t xml:space="preserve">  </w:t>
      </w:r>
      <w:r w:rsidR="007A155D">
        <w:rPr>
          <w:sz w:val="18"/>
          <w:szCs w:val="18"/>
        </w:rPr>
        <w:t>Zdroj:</w:t>
      </w:r>
      <w:r w:rsidR="00786303">
        <w:rPr>
          <w:sz w:val="18"/>
          <w:szCs w:val="18"/>
        </w:rPr>
        <w:t xml:space="preserve"> </w:t>
      </w:r>
      <w:proofErr w:type="spellStart"/>
      <w:r w:rsidR="00786303">
        <w:rPr>
          <w:sz w:val="18"/>
          <w:szCs w:val="18"/>
        </w:rPr>
        <w:t>Eurostat</w:t>
      </w:r>
      <w:proofErr w:type="spellEnd"/>
      <w:r w:rsidR="00786303">
        <w:rPr>
          <w:sz w:val="18"/>
          <w:szCs w:val="18"/>
        </w:rPr>
        <w:t>, vlastní vý</w:t>
      </w:r>
      <w:r w:rsidRPr="007563E7">
        <w:rPr>
          <w:sz w:val="18"/>
          <w:szCs w:val="18"/>
        </w:rPr>
        <w:t>počty</w:t>
      </w:r>
    </w:p>
    <w:p w:rsidR="005D5A35" w:rsidRPr="0098358E" w:rsidRDefault="005D5A35" w:rsidP="001306B1">
      <w:pPr>
        <w:jc w:val="right"/>
        <w:rPr>
          <w:sz w:val="16"/>
          <w:szCs w:val="16"/>
        </w:rPr>
      </w:pPr>
    </w:p>
    <w:tbl>
      <w:tblPr>
        <w:tblW w:w="5043" w:type="pct"/>
        <w:tblInd w:w="-42" w:type="dxa"/>
        <w:tblCellMar>
          <w:left w:w="28" w:type="dxa"/>
          <w:right w:w="28" w:type="dxa"/>
        </w:tblCellMar>
        <w:tblLook w:val="00A0"/>
      </w:tblPr>
      <w:tblGrid>
        <w:gridCol w:w="2037"/>
        <w:gridCol w:w="272"/>
        <w:gridCol w:w="7468"/>
      </w:tblGrid>
      <w:tr w:rsidR="005D5A35" w:rsidRPr="00602D1D" w:rsidTr="009F19BA">
        <w:tc>
          <w:tcPr>
            <w:tcW w:w="1042" w:type="pct"/>
          </w:tcPr>
          <w:p w:rsidR="005D5A35" w:rsidRPr="00602D1D" w:rsidRDefault="005D5A35" w:rsidP="00004BDD">
            <w:pPr>
              <w:spacing w:line="240" w:lineRule="auto"/>
              <w:rPr>
                <w:color w:val="000000"/>
                <w:sz w:val="16"/>
                <w:szCs w:val="16"/>
              </w:rPr>
            </w:pPr>
            <w:r>
              <w:rPr>
                <w:color w:val="000000"/>
                <w:sz w:val="16"/>
                <w:szCs w:val="16"/>
              </w:rPr>
              <w:t>V Evropě začala klesat nejen zadluženost sektoru vládních in</w:t>
            </w:r>
            <w:r w:rsidR="00004BDD">
              <w:rPr>
                <w:color w:val="000000"/>
                <w:sz w:val="16"/>
                <w:szCs w:val="16"/>
              </w:rPr>
              <w:t>stitucí, ale v některých zemích</w:t>
            </w:r>
            <w:r>
              <w:rPr>
                <w:color w:val="000000"/>
                <w:sz w:val="16"/>
                <w:szCs w:val="16"/>
              </w:rPr>
              <w:t xml:space="preserve"> i</w:t>
            </w:r>
            <w:r w:rsidR="00004BDD">
              <w:rPr>
                <w:color w:val="000000"/>
                <w:sz w:val="16"/>
                <w:szCs w:val="16"/>
              </w:rPr>
              <w:t> </w:t>
            </w:r>
            <w:r>
              <w:rPr>
                <w:color w:val="000000"/>
                <w:sz w:val="16"/>
                <w:szCs w:val="16"/>
              </w:rPr>
              <w:t>soukromá zadluženost</w:t>
            </w:r>
            <w:r w:rsidRPr="00602D1D">
              <w:rPr>
                <w:color w:val="000000"/>
                <w:sz w:val="16"/>
                <w:szCs w:val="16"/>
              </w:rPr>
              <w:t xml:space="preserve"> </w:t>
            </w:r>
            <w:r>
              <w:rPr>
                <w:color w:val="000000"/>
                <w:sz w:val="16"/>
                <w:szCs w:val="16"/>
              </w:rPr>
              <w:t>– výrazně však stoupla např. na Kypru…,</w:t>
            </w:r>
          </w:p>
        </w:tc>
        <w:tc>
          <w:tcPr>
            <w:tcW w:w="139" w:type="pct"/>
          </w:tcPr>
          <w:p w:rsidR="005D5A35" w:rsidRDefault="005D5A35" w:rsidP="009F19BA">
            <w:pPr>
              <w:pStyle w:val="Textpoznpodarou"/>
              <w:jc w:val="both"/>
            </w:pPr>
          </w:p>
        </w:tc>
        <w:tc>
          <w:tcPr>
            <w:tcW w:w="3819" w:type="pct"/>
          </w:tcPr>
          <w:p w:rsidR="005D5A35" w:rsidRDefault="005D5A35" w:rsidP="00591A22">
            <w:pPr>
              <w:pStyle w:val="Textpoznpodarou"/>
              <w:jc w:val="both"/>
              <w:rPr>
                <w:color w:val="000000"/>
                <w:spacing w:val="-2"/>
              </w:rPr>
            </w:pPr>
            <w:r>
              <w:rPr>
                <w:color w:val="000000"/>
                <w:spacing w:val="-2"/>
              </w:rPr>
              <w:t xml:space="preserve">Snaha mírnit zadluženost svých veřejných sektorů je patrná </w:t>
            </w:r>
            <w:r w:rsidR="00B155A3">
              <w:rPr>
                <w:color w:val="000000"/>
                <w:spacing w:val="-2"/>
              </w:rPr>
              <w:t>u</w:t>
            </w:r>
            <w:r>
              <w:rPr>
                <w:color w:val="000000"/>
                <w:spacing w:val="-2"/>
              </w:rPr>
              <w:t xml:space="preserve"> většin</w:t>
            </w:r>
            <w:r w:rsidR="00B155A3">
              <w:rPr>
                <w:color w:val="000000"/>
                <w:spacing w:val="-2"/>
              </w:rPr>
              <w:t>y</w:t>
            </w:r>
            <w:r>
              <w:rPr>
                <w:color w:val="000000"/>
                <w:spacing w:val="-2"/>
              </w:rPr>
              <w:t xml:space="preserve"> zemí EU, klesá však i relace soukromého dluhu k HDP jak je vidět z grafu 15. Mezi roky 2011 a</w:t>
            </w:r>
            <w:r w:rsidR="00004BDD">
              <w:rPr>
                <w:color w:val="000000"/>
                <w:spacing w:val="-2"/>
              </w:rPr>
              <w:t> </w:t>
            </w:r>
            <w:r>
              <w:rPr>
                <w:color w:val="000000"/>
                <w:spacing w:val="-2"/>
              </w:rPr>
              <w:t>2013 došlo k jejímu zmenšení nejv</w:t>
            </w:r>
            <w:r w:rsidR="00B155A3">
              <w:rPr>
                <w:color w:val="000000"/>
                <w:spacing w:val="-2"/>
              </w:rPr>
              <w:t>ýznamnější m</w:t>
            </w:r>
            <w:r>
              <w:rPr>
                <w:color w:val="000000"/>
                <w:spacing w:val="-2"/>
              </w:rPr>
              <w:t>ěrou v Litvě, Polsku a Itál</w:t>
            </w:r>
            <w:r w:rsidR="009F408C">
              <w:rPr>
                <w:color w:val="000000"/>
                <w:spacing w:val="-2"/>
              </w:rPr>
              <w:t>i</w:t>
            </w:r>
            <w:r>
              <w:rPr>
                <w:color w:val="000000"/>
                <w:spacing w:val="-2"/>
              </w:rPr>
              <w:t>i. Naopak na</w:t>
            </w:r>
            <w:r w:rsidR="00004BDD">
              <w:rPr>
                <w:color w:val="000000"/>
                <w:spacing w:val="-2"/>
              </w:rPr>
              <w:t> </w:t>
            </w:r>
            <w:r>
              <w:rPr>
                <w:color w:val="000000"/>
                <w:spacing w:val="-2"/>
              </w:rPr>
              <w:t>Kypru převýšila zadluženost tamějšího soukromého sektoru 200 % nominálního HDP poprvé v roce 2011 a v roce 2013 činila 218 % (zatímco v roce 2011 činil dluh 125 %, v roce 2013 již 349 % kyperského HDP).</w:t>
            </w:r>
          </w:p>
          <w:p w:rsidR="005D5A35" w:rsidRPr="0098358E" w:rsidRDefault="005D5A35" w:rsidP="00591A22">
            <w:pPr>
              <w:pStyle w:val="Textpoznpodarou"/>
              <w:jc w:val="both"/>
              <w:rPr>
                <w:color w:val="000000"/>
                <w:spacing w:val="-2"/>
                <w:sz w:val="16"/>
                <w:szCs w:val="16"/>
              </w:rPr>
            </w:pPr>
          </w:p>
        </w:tc>
      </w:tr>
      <w:tr w:rsidR="005D5A35" w:rsidRPr="00602D1D" w:rsidTr="00591A22">
        <w:tc>
          <w:tcPr>
            <w:tcW w:w="1042" w:type="pct"/>
          </w:tcPr>
          <w:p w:rsidR="005D5A35" w:rsidRPr="00602D1D" w:rsidRDefault="005D5A35" w:rsidP="007351BA">
            <w:pPr>
              <w:spacing w:line="240" w:lineRule="auto"/>
              <w:rPr>
                <w:color w:val="000000"/>
                <w:sz w:val="16"/>
                <w:szCs w:val="16"/>
              </w:rPr>
            </w:pPr>
            <w:r>
              <w:rPr>
                <w:color w:val="000000"/>
                <w:sz w:val="16"/>
                <w:szCs w:val="16"/>
              </w:rPr>
              <w:t>… ale celkově došlo ke</w:t>
            </w:r>
            <w:r w:rsidR="00004BDD">
              <w:rPr>
                <w:color w:val="000000"/>
                <w:sz w:val="16"/>
                <w:szCs w:val="16"/>
              </w:rPr>
              <w:t> </w:t>
            </w:r>
            <w:r>
              <w:rPr>
                <w:color w:val="000000"/>
                <w:sz w:val="16"/>
                <w:szCs w:val="16"/>
              </w:rPr>
              <w:t>zhoršení v osmi zemích EU 27 podle posledních dat za roku 2013</w:t>
            </w:r>
            <w:r w:rsidRPr="00602D1D">
              <w:rPr>
                <w:color w:val="000000"/>
                <w:sz w:val="16"/>
                <w:szCs w:val="16"/>
              </w:rPr>
              <w:t xml:space="preserve"> </w:t>
            </w:r>
          </w:p>
          <w:p w:rsidR="005D5A35" w:rsidRPr="00602D1D" w:rsidRDefault="005D5A35" w:rsidP="007351BA">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7351BA">
            <w:pPr>
              <w:pStyle w:val="Textpoznpodarou"/>
              <w:jc w:val="both"/>
            </w:pPr>
          </w:p>
        </w:tc>
        <w:tc>
          <w:tcPr>
            <w:tcW w:w="3819" w:type="pct"/>
          </w:tcPr>
          <w:p w:rsidR="005D5A35" w:rsidRPr="00602D1D" w:rsidRDefault="005D5A35" w:rsidP="00004BDD">
            <w:pPr>
              <w:pStyle w:val="Textpoznpodarou"/>
              <w:jc w:val="both"/>
              <w:rPr>
                <w:color w:val="000000"/>
                <w:spacing w:val="-2"/>
              </w:rPr>
            </w:pPr>
            <w:r>
              <w:rPr>
                <w:color w:val="000000"/>
                <w:spacing w:val="-2"/>
              </w:rPr>
              <w:t>Soukromá zadluženost se v posledních dvou letech (do roku 2013 včetně, za nějž jsou v době zpracování této analýzy k dispozici posledn</w:t>
            </w:r>
            <w:r w:rsidR="00B155A3">
              <w:rPr>
                <w:color w:val="000000"/>
                <w:spacing w:val="-2"/>
              </w:rPr>
              <w:t>í data) zhoršila v osmi zemích U</w:t>
            </w:r>
            <w:r>
              <w:rPr>
                <w:color w:val="000000"/>
                <w:spacing w:val="-2"/>
              </w:rPr>
              <w:t>nie z 27 sledovaných. Jistě zajímavý by byl údaj za Spojené království. Není však k</w:t>
            </w:r>
            <w:r w:rsidR="00004BDD">
              <w:rPr>
                <w:color w:val="000000"/>
                <w:spacing w:val="-2"/>
              </w:rPr>
              <w:t> </w:t>
            </w:r>
            <w:r>
              <w:rPr>
                <w:color w:val="000000"/>
                <w:spacing w:val="-2"/>
              </w:rPr>
              <w:t>dispozici, protože chybí údaj o zadluženost britských domácností, která nepochybně není nízká vzhledem k tradici pořizování vlastního bydlení a s tím spojeným hypotečním úvěrováním – tyto půjčky byly navíc v posledních dvou letech podporovány opatření</w:t>
            </w:r>
            <w:r w:rsidR="00B155A3">
              <w:rPr>
                <w:color w:val="000000"/>
                <w:spacing w:val="-2"/>
              </w:rPr>
              <w:t>mi</w:t>
            </w:r>
            <w:r>
              <w:rPr>
                <w:color w:val="000000"/>
                <w:spacing w:val="-2"/>
              </w:rPr>
              <w:t xml:space="preserve"> přijatými ke zmírnění recese, jíž předtím ekonomika Spojeného království procházela. </w:t>
            </w:r>
          </w:p>
        </w:tc>
      </w:tr>
    </w:tbl>
    <w:p w:rsidR="005D5A35" w:rsidRPr="0098358E" w:rsidRDefault="005D5A35" w:rsidP="00686D87">
      <w:pPr>
        <w:rPr>
          <w:b/>
          <w:sz w:val="16"/>
          <w:szCs w:val="16"/>
        </w:rPr>
      </w:pPr>
    </w:p>
    <w:p w:rsidR="005D5A35" w:rsidRPr="006E15CB" w:rsidRDefault="005D5A35" w:rsidP="008B0C8B">
      <w:pPr>
        <w:pStyle w:val="Nadpis3"/>
        <w:numPr>
          <w:ilvl w:val="2"/>
          <w:numId w:val="6"/>
        </w:numPr>
      </w:pPr>
      <w:bookmarkStart w:id="29" w:name="_Toc426017671"/>
      <w:r w:rsidRPr="006E15CB">
        <w:t>„Komplexní dluh“ – zadluženost vládních institucí a soukromého sektoru</w:t>
      </w:r>
      <w:bookmarkEnd w:id="29"/>
    </w:p>
    <w:tbl>
      <w:tblPr>
        <w:tblW w:w="5043" w:type="pct"/>
        <w:tblInd w:w="-42" w:type="dxa"/>
        <w:tblCellMar>
          <w:left w:w="28" w:type="dxa"/>
          <w:right w:w="28" w:type="dxa"/>
        </w:tblCellMar>
        <w:tblLook w:val="00A0"/>
      </w:tblPr>
      <w:tblGrid>
        <w:gridCol w:w="2037"/>
        <w:gridCol w:w="272"/>
        <w:gridCol w:w="7468"/>
      </w:tblGrid>
      <w:tr w:rsidR="005D5A35" w:rsidRPr="00602D1D" w:rsidTr="00DA5CAB">
        <w:tc>
          <w:tcPr>
            <w:tcW w:w="1042" w:type="pct"/>
          </w:tcPr>
          <w:p w:rsidR="005D5A35" w:rsidRPr="00602D1D" w:rsidRDefault="005D5A35" w:rsidP="00DA5CAB">
            <w:pPr>
              <w:spacing w:line="240" w:lineRule="auto"/>
              <w:rPr>
                <w:color w:val="000000"/>
                <w:sz w:val="16"/>
                <w:szCs w:val="16"/>
              </w:rPr>
            </w:pPr>
            <w:r>
              <w:rPr>
                <w:color w:val="000000"/>
                <w:sz w:val="16"/>
                <w:szCs w:val="16"/>
              </w:rPr>
              <w:t>ČR má dlouhodobě velmi nízké „komplex</w:t>
            </w:r>
            <w:r w:rsidR="009F408C">
              <w:rPr>
                <w:color w:val="000000"/>
                <w:sz w:val="16"/>
                <w:szCs w:val="16"/>
              </w:rPr>
              <w:t>n</w:t>
            </w:r>
            <w:r>
              <w:rPr>
                <w:color w:val="000000"/>
                <w:sz w:val="16"/>
                <w:szCs w:val="16"/>
              </w:rPr>
              <w:t>í“ zadlužení v relaci k HDP, tj.</w:t>
            </w:r>
            <w:r w:rsidR="00004BDD">
              <w:rPr>
                <w:color w:val="000000"/>
                <w:sz w:val="16"/>
                <w:szCs w:val="16"/>
              </w:rPr>
              <w:t> </w:t>
            </w:r>
            <w:r>
              <w:rPr>
                <w:color w:val="000000"/>
                <w:sz w:val="16"/>
                <w:szCs w:val="16"/>
              </w:rPr>
              <w:t>sloučené dluhy čtyř institucionálních sektorů</w:t>
            </w:r>
            <w:r w:rsidRPr="00602D1D">
              <w:rPr>
                <w:color w:val="000000"/>
                <w:sz w:val="16"/>
                <w:szCs w:val="16"/>
              </w:rPr>
              <w:t xml:space="preserve"> </w:t>
            </w:r>
          </w:p>
          <w:p w:rsidR="005D5A35" w:rsidRPr="00602D1D" w:rsidRDefault="005D5A35" w:rsidP="00DA5CAB">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DA5CAB">
            <w:pPr>
              <w:pStyle w:val="Textpoznpodarou"/>
              <w:jc w:val="both"/>
            </w:pPr>
          </w:p>
        </w:tc>
        <w:tc>
          <w:tcPr>
            <w:tcW w:w="3819" w:type="pct"/>
          </w:tcPr>
          <w:p w:rsidR="005D5A35" w:rsidRDefault="005D5A35" w:rsidP="00DC344C">
            <w:pPr>
              <w:pStyle w:val="Textpoznpodarou"/>
              <w:jc w:val="both"/>
              <w:rPr>
                <w:color w:val="000000"/>
                <w:spacing w:val="-2"/>
              </w:rPr>
            </w:pPr>
            <w:r>
              <w:rPr>
                <w:color w:val="000000"/>
                <w:spacing w:val="-2"/>
              </w:rPr>
              <w:t>Sloučením zadluženosti čtyř institucionálních sektorů české ekonomiky, tj. kromě finančního</w:t>
            </w:r>
            <w:r>
              <w:rPr>
                <w:rStyle w:val="Znakapoznpodarou"/>
                <w:color w:val="000000"/>
                <w:spacing w:val="-2"/>
              </w:rPr>
              <w:footnoteReference w:id="11"/>
            </w:r>
            <w:r>
              <w:rPr>
                <w:color w:val="000000"/>
                <w:spacing w:val="-2"/>
              </w:rPr>
              <w:t xml:space="preserve"> především sektor nefinančních podniků, vládních institucí, domácností a</w:t>
            </w:r>
            <w:r w:rsidR="00004BDD">
              <w:rPr>
                <w:color w:val="000000"/>
                <w:spacing w:val="-2"/>
              </w:rPr>
              <w:t> </w:t>
            </w:r>
            <w:r>
              <w:rPr>
                <w:color w:val="000000"/>
                <w:spacing w:val="-2"/>
              </w:rPr>
              <w:t xml:space="preserve">neziskových institucí sloužících domácnostem, se lze dobrat ke „komplexní“ zadluženosti těchto sektorů. Ta je v případě České republiky v evropském srovnání opět velmi nízká, a to dlouhodobě. </w:t>
            </w:r>
          </w:p>
          <w:p w:rsidR="005D5A35" w:rsidRPr="00997EEB" w:rsidRDefault="005D5A35" w:rsidP="00F636E3">
            <w:pPr>
              <w:pStyle w:val="Textpoznpodarou"/>
              <w:jc w:val="both"/>
              <w:rPr>
                <w:color w:val="000000"/>
                <w:spacing w:val="-2"/>
                <w:sz w:val="16"/>
                <w:szCs w:val="16"/>
              </w:rPr>
            </w:pPr>
          </w:p>
        </w:tc>
      </w:tr>
      <w:tr w:rsidR="005D5A35" w:rsidRPr="00602D1D" w:rsidTr="00DA5CAB">
        <w:tc>
          <w:tcPr>
            <w:tcW w:w="1042" w:type="pct"/>
          </w:tcPr>
          <w:p w:rsidR="005D5A35" w:rsidRPr="00602D1D" w:rsidRDefault="005D5A35" w:rsidP="00DA5CAB">
            <w:pPr>
              <w:spacing w:line="240" w:lineRule="auto"/>
              <w:rPr>
                <w:color w:val="000000"/>
                <w:sz w:val="16"/>
                <w:szCs w:val="16"/>
              </w:rPr>
            </w:pPr>
            <w:r>
              <w:rPr>
                <w:color w:val="000000"/>
                <w:sz w:val="16"/>
                <w:szCs w:val="16"/>
              </w:rPr>
              <w:t>„Komplexní“ zadlužení ČR je tak nízké, že ve většině zemí EU dosahuje vyšší relace jen samotná soukromá zadluženost a</w:t>
            </w:r>
            <w:r w:rsidR="00004BDD">
              <w:rPr>
                <w:color w:val="000000"/>
                <w:sz w:val="16"/>
                <w:szCs w:val="16"/>
              </w:rPr>
              <w:t> </w:t>
            </w:r>
            <w:r>
              <w:rPr>
                <w:color w:val="000000"/>
                <w:sz w:val="16"/>
                <w:szCs w:val="16"/>
              </w:rPr>
              <w:t>ve</w:t>
            </w:r>
            <w:r w:rsidR="00004BDD">
              <w:rPr>
                <w:color w:val="000000"/>
                <w:sz w:val="16"/>
                <w:szCs w:val="16"/>
              </w:rPr>
              <w:t> </w:t>
            </w:r>
            <w:r>
              <w:rPr>
                <w:color w:val="000000"/>
                <w:sz w:val="16"/>
                <w:szCs w:val="16"/>
              </w:rPr>
              <w:t>čtyřech zemích dokonce i zadluženost vlád</w:t>
            </w:r>
            <w:r w:rsidRPr="00602D1D">
              <w:rPr>
                <w:color w:val="000000"/>
                <w:sz w:val="16"/>
                <w:szCs w:val="16"/>
              </w:rPr>
              <w:t xml:space="preserve"> </w:t>
            </w:r>
          </w:p>
          <w:p w:rsidR="005D5A35" w:rsidRPr="00602D1D" w:rsidRDefault="005D5A35" w:rsidP="00DA5CAB">
            <w:pPr>
              <w:spacing w:line="240" w:lineRule="auto"/>
              <w:rPr>
                <w:color w:val="000000"/>
                <w:sz w:val="16"/>
                <w:szCs w:val="16"/>
              </w:rPr>
            </w:pPr>
            <w:r w:rsidRPr="00602D1D">
              <w:rPr>
                <w:color w:val="000000"/>
                <w:sz w:val="16"/>
                <w:szCs w:val="16"/>
              </w:rPr>
              <w:t xml:space="preserve"> </w:t>
            </w:r>
          </w:p>
        </w:tc>
        <w:tc>
          <w:tcPr>
            <w:tcW w:w="139" w:type="pct"/>
          </w:tcPr>
          <w:p w:rsidR="005D5A35" w:rsidRDefault="005D5A35" w:rsidP="00DA5CAB">
            <w:pPr>
              <w:pStyle w:val="Textpoznpodarou"/>
              <w:jc w:val="both"/>
            </w:pPr>
          </w:p>
        </w:tc>
        <w:tc>
          <w:tcPr>
            <w:tcW w:w="3819" w:type="pct"/>
          </w:tcPr>
          <w:p w:rsidR="005D5A35" w:rsidRDefault="005D5A35" w:rsidP="00736EB6">
            <w:pPr>
              <w:pStyle w:val="Textpoznpodarou"/>
              <w:jc w:val="both"/>
              <w:rPr>
                <w:color w:val="000000"/>
                <w:spacing w:val="-2"/>
              </w:rPr>
            </w:pPr>
            <w:r>
              <w:rPr>
                <w:color w:val="000000"/>
                <w:spacing w:val="-2"/>
              </w:rPr>
              <w:t>Takto definovaná sektorová zadluženost byla v ČR rovněž velmi nízká ve srovnání se zadluženost</w:t>
            </w:r>
            <w:r w:rsidR="00DB7969">
              <w:rPr>
                <w:color w:val="000000"/>
                <w:spacing w:val="-2"/>
              </w:rPr>
              <w:t>í</w:t>
            </w:r>
            <w:r>
              <w:rPr>
                <w:color w:val="000000"/>
                <w:spacing w:val="-2"/>
              </w:rPr>
              <w:t xml:space="preserve"> většiny zemí EU, přičemž velmi pozitivní je, </w:t>
            </w:r>
            <w:r w:rsidR="00BE572B">
              <w:rPr>
                <w:color w:val="000000"/>
                <w:spacing w:val="-2"/>
              </w:rPr>
              <w:t xml:space="preserve">že </w:t>
            </w:r>
            <w:r>
              <w:rPr>
                <w:color w:val="000000"/>
                <w:spacing w:val="-2"/>
              </w:rPr>
              <w:t>jde o dlouhodobou záležitost. V samotném v roce 2013 činila takto vyjádřen</w:t>
            </w:r>
            <w:r w:rsidR="00B155A3">
              <w:rPr>
                <w:color w:val="000000"/>
                <w:spacing w:val="-2"/>
              </w:rPr>
              <w:t>á</w:t>
            </w:r>
            <w:r>
              <w:rPr>
                <w:color w:val="000000"/>
                <w:spacing w:val="-2"/>
              </w:rPr>
              <w:t xml:space="preserve"> sektorová zadluženost 118,7 % nominálního HDP. Bylo to </w:t>
            </w:r>
            <w:r w:rsidR="00B155A3">
              <w:rPr>
                <w:color w:val="000000"/>
                <w:spacing w:val="-2"/>
              </w:rPr>
              <w:t>natolik</w:t>
            </w:r>
            <w:r>
              <w:rPr>
                <w:color w:val="000000"/>
                <w:spacing w:val="-2"/>
              </w:rPr>
              <w:t xml:space="preserve"> nízké zadlužení, že v nadpoloviční většině</w:t>
            </w:r>
            <w:r w:rsidR="009F408C">
              <w:rPr>
                <w:color w:val="000000"/>
                <w:spacing w:val="-2"/>
              </w:rPr>
              <w:t xml:space="preserve"> zemí EU (celkem v 15 státech) </w:t>
            </w:r>
            <w:r>
              <w:rPr>
                <w:color w:val="000000"/>
                <w:spacing w:val="-2"/>
              </w:rPr>
              <w:t>byla vyšší než tento výsledek dokonce jen samotná sou</w:t>
            </w:r>
            <w:r w:rsidR="00B155A3">
              <w:rPr>
                <w:color w:val="000000"/>
                <w:spacing w:val="-2"/>
              </w:rPr>
              <w:t>kromá zadluženost a čtyři země U</w:t>
            </w:r>
            <w:r>
              <w:rPr>
                <w:color w:val="000000"/>
                <w:spacing w:val="-2"/>
              </w:rPr>
              <w:t>nie měly - oproti komplexní zadluženosti ČR - vyšší i zadluženost svých vládních sektorů.</w:t>
            </w:r>
          </w:p>
          <w:p w:rsidR="005D5A35" w:rsidRPr="003E193E" w:rsidRDefault="005D5A35" w:rsidP="00736EB6">
            <w:pPr>
              <w:pStyle w:val="Textpoznpodarou"/>
              <w:jc w:val="both"/>
              <w:rPr>
                <w:color w:val="000000"/>
                <w:spacing w:val="-2"/>
                <w:sz w:val="16"/>
                <w:szCs w:val="16"/>
              </w:rPr>
            </w:pPr>
            <w:r>
              <w:rPr>
                <w:color w:val="000000"/>
                <w:spacing w:val="-2"/>
              </w:rPr>
              <w:t xml:space="preserve"> </w:t>
            </w:r>
          </w:p>
        </w:tc>
      </w:tr>
      <w:tr w:rsidR="005D5A35" w:rsidRPr="00602D1D" w:rsidTr="00DA5CAB">
        <w:tc>
          <w:tcPr>
            <w:tcW w:w="1042" w:type="pct"/>
          </w:tcPr>
          <w:p w:rsidR="005D5A35" w:rsidRPr="00602D1D" w:rsidRDefault="00004BDD" w:rsidP="009F408C">
            <w:pPr>
              <w:spacing w:line="240" w:lineRule="auto"/>
              <w:rPr>
                <w:color w:val="000000"/>
                <w:sz w:val="16"/>
                <w:szCs w:val="16"/>
              </w:rPr>
            </w:pPr>
            <w:r>
              <w:rPr>
                <w:color w:val="000000"/>
                <w:sz w:val="16"/>
                <w:szCs w:val="16"/>
              </w:rPr>
              <w:t>Lepší než</w:t>
            </w:r>
            <w:r w:rsidR="009F408C">
              <w:rPr>
                <w:color w:val="000000"/>
                <w:sz w:val="16"/>
                <w:szCs w:val="16"/>
              </w:rPr>
              <w:t xml:space="preserve"> ČR byla, </w:t>
            </w:r>
            <w:r w:rsidR="005D5A35">
              <w:rPr>
                <w:color w:val="000000"/>
                <w:sz w:val="16"/>
                <w:szCs w:val="16"/>
              </w:rPr>
              <w:t>pokud jde o“komplexní“ zadluženost k</w:t>
            </w:r>
            <w:r w:rsidR="009F408C">
              <w:rPr>
                <w:color w:val="000000"/>
                <w:sz w:val="16"/>
                <w:szCs w:val="16"/>
              </w:rPr>
              <w:t> </w:t>
            </w:r>
            <w:r w:rsidR="005D5A35">
              <w:rPr>
                <w:color w:val="000000"/>
                <w:sz w:val="16"/>
                <w:szCs w:val="16"/>
              </w:rPr>
              <w:t>HDP</w:t>
            </w:r>
            <w:r w:rsidR="009F408C">
              <w:rPr>
                <w:color w:val="000000"/>
                <w:sz w:val="16"/>
                <w:szCs w:val="16"/>
              </w:rPr>
              <w:t>,</w:t>
            </w:r>
            <w:r w:rsidR="005D5A35">
              <w:rPr>
                <w:color w:val="000000"/>
                <w:sz w:val="16"/>
                <w:szCs w:val="16"/>
              </w:rPr>
              <w:t xml:space="preserve"> jen Litva a Rumunsko </w:t>
            </w:r>
          </w:p>
        </w:tc>
        <w:tc>
          <w:tcPr>
            <w:tcW w:w="139" w:type="pct"/>
          </w:tcPr>
          <w:p w:rsidR="005D5A35" w:rsidRDefault="005D5A35" w:rsidP="00DA5CAB">
            <w:pPr>
              <w:pStyle w:val="Textpoznpodarou"/>
              <w:jc w:val="both"/>
            </w:pPr>
          </w:p>
        </w:tc>
        <w:tc>
          <w:tcPr>
            <w:tcW w:w="3819" w:type="pct"/>
          </w:tcPr>
          <w:p w:rsidR="005D5A35" w:rsidRPr="00997EEB" w:rsidRDefault="005D5A35" w:rsidP="0098358E">
            <w:pPr>
              <w:pStyle w:val="Textpoznpodarou"/>
              <w:jc w:val="both"/>
              <w:rPr>
                <w:color w:val="000000"/>
                <w:spacing w:val="-6"/>
              </w:rPr>
            </w:pPr>
            <w:r w:rsidRPr="00997EEB">
              <w:rPr>
                <w:color w:val="000000"/>
                <w:spacing w:val="-6"/>
              </w:rPr>
              <w:t xml:space="preserve">Příznivější výsledek v „komplexní“ zadluženosti než měla v roce 2013 </w:t>
            </w:r>
            <w:r w:rsidR="00997EEB">
              <w:rPr>
                <w:color w:val="000000"/>
                <w:spacing w:val="-6"/>
              </w:rPr>
              <w:t>ČR</w:t>
            </w:r>
            <w:r w:rsidRPr="00997EEB">
              <w:rPr>
                <w:color w:val="000000"/>
                <w:spacing w:val="-6"/>
              </w:rPr>
              <w:t xml:space="preserve"> (118,1 %), dosáhl</w:t>
            </w:r>
            <w:r w:rsidR="00B155A3">
              <w:rPr>
                <w:color w:val="000000"/>
                <w:spacing w:val="-6"/>
              </w:rPr>
              <w:t>y</w:t>
            </w:r>
            <w:r w:rsidRPr="00997EEB">
              <w:rPr>
                <w:color w:val="000000"/>
                <w:spacing w:val="-6"/>
              </w:rPr>
              <w:t xml:space="preserve"> ze zemí EU jen Litva (95,1 % HDP) a Rumunsko (104,5 %). Jde</w:t>
            </w:r>
            <w:r w:rsidR="005172F4">
              <w:rPr>
                <w:color w:val="000000"/>
                <w:spacing w:val="-6"/>
              </w:rPr>
              <w:t xml:space="preserve"> o</w:t>
            </w:r>
            <w:r w:rsidRPr="00997EEB">
              <w:rPr>
                <w:color w:val="000000"/>
                <w:spacing w:val="-6"/>
              </w:rPr>
              <w:t xml:space="preserve"> země méně ekonomicky vyspělé, porovnáme-li je podle HDP na</w:t>
            </w:r>
            <w:r w:rsidR="0098358E" w:rsidRPr="00997EEB">
              <w:rPr>
                <w:color w:val="000000"/>
                <w:spacing w:val="-6"/>
              </w:rPr>
              <w:t xml:space="preserve"> obyvatele v paritě kupní síly.</w:t>
            </w:r>
            <w:r w:rsidRPr="00997EEB">
              <w:rPr>
                <w:color w:val="000000"/>
                <w:spacing w:val="-6"/>
              </w:rPr>
              <w:t xml:space="preserve"> </w:t>
            </w:r>
          </w:p>
          <w:p w:rsidR="00997EEB" w:rsidRPr="00997EEB" w:rsidRDefault="00997EEB" w:rsidP="0098358E">
            <w:pPr>
              <w:pStyle w:val="Textpoznpodarou"/>
              <w:jc w:val="both"/>
              <w:rPr>
                <w:color w:val="000000"/>
                <w:spacing w:val="-2"/>
                <w:sz w:val="16"/>
                <w:szCs w:val="16"/>
              </w:rPr>
            </w:pPr>
          </w:p>
        </w:tc>
      </w:tr>
      <w:tr w:rsidR="005D5A35" w:rsidRPr="00602D1D" w:rsidTr="00DA5CAB">
        <w:tc>
          <w:tcPr>
            <w:tcW w:w="1042" w:type="pct"/>
          </w:tcPr>
          <w:p w:rsidR="005D5A35" w:rsidRDefault="005D5A35" w:rsidP="00004BDD">
            <w:pPr>
              <w:spacing w:line="240" w:lineRule="auto"/>
              <w:rPr>
                <w:color w:val="000000"/>
                <w:sz w:val="16"/>
                <w:szCs w:val="16"/>
              </w:rPr>
            </w:pPr>
            <w:r>
              <w:rPr>
                <w:color w:val="000000"/>
                <w:sz w:val="16"/>
                <w:szCs w:val="16"/>
              </w:rPr>
              <w:t>Ambivalentní vliv dluhů na</w:t>
            </w:r>
            <w:r w:rsidR="00004BDD">
              <w:rPr>
                <w:color w:val="000000"/>
                <w:sz w:val="16"/>
                <w:szCs w:val="16"/>
              </w:rPr>
              <w:t> </w:t>
            </w:r>
            <w:r>
              <w:rPr>
                <w:color w:val="000000"/>
                <w:sz w:val="16"/>
                <w:szCs w:val="16"/>
              </w:rPr>
              <w:t xml:space="preserve">ekonomický růst  </w:t>
            </w:r>
          </w:p>
        </w:tc>
        <w:tc>
          <w:tcPr>
            <w:tcW w:w="139" w:type="pct"/>
          </w:tcPr>
          <w:p w:rsidR="005D5A35" w:rsidRDefault="005D5A35" w:rsidP="00DA5CAB">
            <w:pPr>
              <w:pStyle w:val="Textpoznpodarou"/>
              <w:jc w:val="both"/>
            </w:pPr>
          </w:p>
        </w:tc>
        <w:tc>
          <w:tcPr>
            <w:tcW w:w="3819" w:type="pct"/>
          </w:tcPr>
          <w:p w:rsidR="005D5A35" w:rsidRDefault="005D5A35" w:rsidP="00004BDD">
            <w:pPr>
              <w:pStyle w:val="Textpoznpodarou"/>
              <w:jc w:val="both"/>
              <w:rPr>
                <w:color w:val="000000"/>
                <w:spacing w:val="-2"/>
              </w:rPr>
            </w:pPr>
            <w:r>
              <w:rPr>
                <w:color w:val="000000"/>
                <w:spacing w:val="-2"/>
              </w:rPr>
              <w:t>Ovšem jak se ukázalo, z obecného hlediska právě dluhová angažovanost - kdy za</w:t>
            </w:r>
            <w:r w:rsidR="00004BDD">
              <w:rPr>
                <w:color w:val="000000"/>
                <w:spacing w:val="-2"/>
              </w:rPr>
              <w:t> </w:t>
            </w:r>
            <w:r>
              <w:rPr>
                <w:color w:val="000000"/>
                <w:spacing w:val="-2"/>
              </w:rPr>
              <w:t xml:space="preserve">pomoci dluhů byl po velmi dlouhou dobu fakticky financován ekonomický růst vyspělého světa  -  stála za finanční krizí v roce 2008 a následnou hospodářskou </w:t>
            </w:r>
            <w:r>
              <w:rPr>
                <w:color w:val="000000"/>
                <w:spacing w:val="-2"/>
              </w:rPr>
              <w:lastRenderedPageBreak/>
              <w:t>recesí, jíž prošla většina vyspělých ekonomik. Lze tedy s opatrností soudit, že méně vyspělé ekonomiky tak byly svou malou relativní zadlužeností jistým způsobem před</w:t>
            </w:r>
            <w:r w:rsidR="00004BDD">
              <w:rPr>
                <w:color w:val="000000"/>
                <w:spacing w:val="-2"/>
              </w:rPr>
              <w:t> </w:t>
            </w:r>
            <w:r>
              <w:rPr>
                <w:color w:val="000000"/>
                <w:spacing w:val="-2"/>
              </w:rPr>
              <w:t>výkyvem „chráněny“. Jejich dluhy se nestačily během relativně krátké doby fungování tržního modelu ekonomiky nakumulovat.</w:t>
            </w:r>
            <w:r w:rsidRPr="00553225">
              <w:rPr>
                <w:i/>
                <w:color w:val="000000"/>
                <w:spacing w:val="-2"/>
              </w:rPr>
              <w:t xml:space="preserve"> </w:t>
            </w:r>
          </w:p>
        </w:tc>
      </w:tr>
    </w:tbl>
    <w:p w:rsidR="005D5A35" w:rsidRPr="00997EEB" w:rsidRDefault="005D5A35" w:rsidP="00686D87">
      <w:pPr>
        <w:rPr>
          <w:sz w:val="12"/>
          <w:szCs w:val="12"/>
        </w:rPr>
      </w:pPr>
    </w:p>
    <w:p w:rsidR="005D5A35" w:rsidRDefault="005D5A35" w:rsidP="00686D87">
      <w:r w:rsidRPr="000458C6">
        <w:t>Graf 16:</w:t>
      </w:r>
      <w:r w:rsidRPr="00D06438">
        <w:rPr>
          <w:b/>
        </w:rPr>
        <w:t xml:space="preserve"> Úhrn soukromé zadluženosti a hrubého konsolidovaného dluhu sektoru vládní</w:t>
      </w:r>
      <w:r>
        <w:rPr>
          <w:b/>
        </w:rPr>
        <w:t>c</w:t>
      </w:r>
      <w:r w:rsidRPr="00D06438">
        <w:rPr>
          <w:b/>
        </w:rPr>
        <w:t xml:space="preserve">h </w:t>
      </w:r>
      <w:r w:rsidRPr="00E767BA">
        <w:rPr>
          <w:b/>
        </w:rPr>
        <w:t xml:space="preserve">institucí </w:t>
      </w:r>
      <w:r w:rsidRPr="00D06438">
        <w:rPr>
          <w:b/>
        </w:rPr>
        <w:t>v EU</w:t>
      </w:r>
      <w:r w:rsidR="00C9531C">
        <w:t xml:space="preserve"> (</w:t>
      </w:r>
      <w:proofErr w:type="gramStart"/>
      <w:r w:rsidR="00C9531C">
        <w:t>2013,</w:t>
      </w:r>
      <w:r w:rsidR="005D5B8F">
        <w:t xml:space="preserve"> </w:t>
      </w:r>
      <w:r>
        <w:t>v % nominálního</w:t>
      </w:r>
      <w:proofErr w:type="gramEnd"/>
      <w:r>
        <w:t xml:space="preserve"> HDP)</w:t>
      </w:r>
    </w:p>
    <w:p w:rsidR="005D5A35" w:rsidRPr="005339BC" w:rsidRDefault="005D5A35" w:rsidP="00686D87">
      <w:pPr>
        <w:rPr>
          <w:sz w:val="6"/>
          <w:szCs w:val="6"/>
        </w:rPr>
      </w:pPr>
    </w:p>
    <w:p w:rsidR="005D5A35" w:rsidRDefault="00513C6F" w:rsidP="00E82428">
      <w:pPr>
        <w:jc w:val="center"/>
      </w:pPr>
      <w:r>
        <w:rPr>
          <w:noProof/>
        </w:rPr>
        <w:pict>
          <v:shape id="Graf 1" o:spid="_x0000_i1095" type="#_x0000_t75" style="width:438.75pt;height:16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">
            <v:imagedata r:id="rId87" o:title="" cropbottom="-36f"/>
            <o:lock v:ext="edit" aspectratio="f"/>
          </v:shape>
        </w:pict>
      </w:r>
    </w:p>
    <w:p w:rsidR="005D5A35" w:rsidRPr="00F90D12" w:rsidRDefault="00451A03" w:rsidP="00F90D12">
      <w:pPr>
        <w:jc w:val="right"/>
        <w:rPr>
          <w:sz w:val="18"/>
          <w:szCs w:val="18"/>
        </w:rPr>
      </w:pPr>
      <w:r>
        <w:rPr>
          <w:sz w:val="18"/>
          <w:szCs w:val="18"/>
        </w:rPr>
        <w:t>Zdroj:</w:t>
      </w:r>
      <w:r w:rsidR="00871782">
        <w:rPr>
          <w:sz w:val="18"/>
          <w:szCs w:val="18"/>
        </w:rPr>
        <w:t xml:space="preserve"> </w:t>
      </w:r>
      <w:proofErr w:type="spellStart"/>
      <w:r w:rsidR="00871782">
        <w:rPr>
          <w:sz w:val="18"/>
          <w:szCs w:val="18"/>
        </w:rPr>
        <w:t>Eurostat</w:t>
      </w:r>
      <w:proofErr w:type="spellEnd"/>
      <w:r w:rsidR="00871782">
        <w:rPr>
          <w:sz w:val="18"/>
          <w:szCs w:val="18"/>
        </w:rPr>
        <w:t>, vlastní vý</w:t>
      </w:r>
      <w:r w:rsidR="005D5A35" w:rsidRPr="007563E7">
        <w:rPr>
          <w:sz w:val="18"/>
          <w:szCs w:val="18"/>
        </w:rPr>
        <w:t>počty</w:t>
      </w:r>
    </w:p>
    <w:p w:rsidR="005D5A35" w:rsidRPr="00997EEB" w:rsidRDefault="005D5A35" w:rsidP="00686D87">
      <w:pPr>
        <w:rPr>
          <w:sz w:val="12"/>
          <w:szCs w:val="12"/>
        </w:rPr>
      </w:pPr>
    </w:p>
    <w:tbl>
      <w:tblPr>
        <w:tblW w:w="5043" w:type="pct"/>
        <w:tblInd w:w="-42" w:type="dxa"/>
        <w:tblCellMar>
          <w:left w:w="28" w:type="dxa"/>
          <w:right w:w="28" w:type="dxa"/>
        </w:tblCellMar>
        <w:tblLook w:val="00A0"/>
      </w:tblPr>
      <w:tblGrid>
        <w:gridCol w:w="2037"/>
        <w:gridCol w:w="272"/>
        <w:gridCol w:w="7468"/>
      </w:tblGrid>
      <w:tr w:rsidR="005D5A35" w:rsidRPr="00602D1D" w:rsidTr="007351BA">
        <w:tc>
          <w:tcPr>
            <w:tcW w:w="1042" w:type="pct"/>
          </w:tcPr>
          <w:p w:rsidR="005D5A35" w:rsidRPr="00602D1D" w:rsidRDefault="005D5A35" w:rsidP="00E767BA">
            <w:pPr>
              <w:spacing w:line="240" w:lineRule="auto"/>
              <w:rPr>
                <w:color w:val="000000"/>
                <w:sz w:val="16"/>
                <w:szCs w:val="16"/>
              </w:rPr>
            </w:pPr>
            <w:r>
              <w:rPr>
                <w:color w:val="000000"/>
                <w:sz w:val="16"/>
                <w:szCs w:val="16"/>
              </w:rPr>
              <w:t>Z obvykle srovnávaných zemí středoevropského regionu je relativní zadluženost vládních institucí nejnižší, a to významně; u soukromého dluhu není odstup tak značný</w:t>
            </w:r>
            <w:r w:rsidRPr="00602D1D">
              <w:rPr>
                <w:color w:val="000000"/>
                <w:sz w:val="16"/>
                <w:szCs w:val="16"/>
              </w:rPr>
              <w:t xml:space="preserve"> </w:t>
            </w:r>
          </w:p>
        </w:tc>
        <w:tc>
          <w:tcPr>
            <w:tcW w:w="139" w:type="pct"/>
          </w:tcPr>
          <w:p w:rsidR="005D5A35" w:rsidRDefault="005D5A35" w:rsidP="007351BA">
            <w:pPr>
              <w:pStyle w:val="Textpoznpodarou"/>
              <w:jc w:val="both"/>
            </w:pPr>
          </w:p>
        </w:tc>
        <w:tc>
          <w:tcPr>
            <w:tcW w:w="3819" w:type="pct"/>
          </w:tcPr>
          <w:p w:rsidR="005D5A35" w:rsidRDefault="005D5A35" w:rsidP="00237819">
            <w:pPr>
              <w:pStyle w:val="Textpoznpodarou"/>
              <w:jc w:val="both"/>
              <w:rPr>
                <w:color w:val="000000"/>
                <w:spacing w:val="-2"/>
              </w:rPr>
            </w:pPr>
            <w:r>
              <w:rPr>
                <w:color w:val="000000"/>
                <w:spacing w:val="-2"/>
              </w:rPr>
              <w:t>Ze zemí zpravidla nejčastěji srovnávaných je Česká republika opět zemí s velmi příznivým výsledkem (graf 18). Oproti Slovensku, Polsku, Maďarsku, Slovinsku a</w:t>
            </w:r>
            <w:r w:rsidR="003E193E">
              <w:rPr>
                <w:color w:val="000000"/>
                <w:spacing w:val="-2"/>
              </w:rPr>
              <w:t> </w:t>
            </w:r>
            <w:r>
              <w:rPr>
                <w:color w:val="000000"/>
                <w:spacing w:val="-2"/>
              </w:rPr>
              <w:t>zejména Německu je hrubý konsolidovaný dluh vládního sektoru nejnižší. Pokud se jedná o dluhy soukromého sektoru, není odstup ostatních zemí od této zadluženosti v</w:t>
            </w:r>
            <w:r w:rsidR="003E193E">
              <w:rPr>
                <w:color w:val="000000"/>
                <w:spacing w:val="-2"/>
              </w:rPr>
              <w:t> </w:t>
            </w:r>
            <w:r>
              <w:rPr>
                <w:color w:val="000000"/>
                <w:spacing w:val="-2"/>
              </w:rPr>
              <w:t>ČR tak významný – ve srovnání s dluhy soukr</w:t>
            </w:r>
            <w:r w:rsidR="00B06EE6">
              <w:rPr>
                <w:color w:val="000000"/>
                <w:spacing w:val="-2"/>
              </w:rPr>
              <w:t>omých sektorů v Polsku (74,8 %</w:t>
            </w:r>
            <w:r w:rsidR="009773AE">
              <w:rPr>
                <w:color w:val="000000"/>
                <w:spacing w:val="-2"/>
              </w:rPr>
              <w:t>)</w:t>
            </w:r>
            <w:r w:rsidR="00B06EE6">
              <w:rPr>
                <w:color w:val="000000"/>
                <w:spacing w:val="-2"/>
              </w:rPr>
              <w:t xml:space="preserve"> </w:t>
            </w:r>
            <w:r>
              <w:rPr>
                <w:color w:val="000000"/>
                <w:spacing w:val="-2"/>
              </w:rPr>
              <w:t>a</w:t>
            </w:r>
            <w:r w:rsidR="003E193E">
              <w:rPr>
                <w:color w:val="000000"/>
                <w:spacing w:val="-2"/>
              </w:rPr>
              <w:t> </w:t>
            </w:r>
            <w:r>
              <w:rPr>
                <w:color w:val="000000"/>
                <w:spacing w:val="-2"/>
              </w:rPr>
              <w:t>na Slovensku (74 % nominálního HDP) je výsledek za ČR (73,7 %) téměř totožný. Německé nakumulované dluhy naproti tomu</w:t>
            </w:r>
            <w:r w:rsidR="009773AE">
              <w:rPr>
                <w:color w:val="000000"/>
                <w:spacing w:val="-2"/>
              </w:rPr>
              <w:t xml:space="preserve"> dosahují</w:t>
            </w:r>
            <w:r>
              <w:rPr>
                <w:color w:val="000000"/>
                <w:spacing w:val="-2"/>
              </w:rPr>
              <w:t xml:space="preserve"> 77,1 % HDP v případě dluhu vládních institucí a 180 % u dluhu soukromého. </w:t>
            </w:r>
          </w:p>
          <w:p w:rsidR="005D5A35" w:rsidRPr="00997EEB" w:rsidRDefault="005D5A35" w:rsidP="00237819">
            <w:pPr>
              <w:pStyle w:val="Textpoznpodarou"/>
              <w:jc w:val="both"/>
              <w:rPr>
                <w:color w:val="000000"/>
                <w:spacing w:val="-2"/>
                <w:sz w:val="12"/>
                <w:szCs w:val="12"/>
              </w:rPr>
            </w:pPr>
            <w:r>
              <w:rPr>
                <w:color w:val="000000"/>
                <w:spacing w:val="-2"/>
              </w:rPr>
              <w:t xml:space="preserve"> </w:t>
            </w:r>
          </w:p>
        </w:tc>
      </w:tr>
      <w:tr w:rsidR="005D5A35" w:rsidRPr="00602D1D" w:rsidTr="007351BA">
        <w:tc>
          <w:tcPr>
            <w:tcW w:w="1042" w:type="pct"/>
          </w:tcPr>
          <w:p w:rsidR="005D5A35" w:rsidRPr="00602D1D" w:rsidRDefault="005D5A35" w:rsidP="003E193E">
            <w:pPr>
              <w:spacing w:line="240" w:lineRule="auto"/>
              <w:rPr>
                <w:color w:val="000000"/>
                <w:sz w:val="16"/>
                <w:szCs w:val="16"/>
              </w:rPr>
            </w:pPr>
            <w:r>
              <w:rPr>
                <w:color w:val="000000"/>
                <w:sz w:val="16"/>
                <w:szCs w:val="16"/>
              </w:rPr>
              <w:t>Slabý růst ekonomiky a</w:t>
            </w:r>
            <w:r w:rsidR="003E193E">
              <w:rPr>
                <w:color w:val="000000"/>
                <w:sz w:val="16"/>
                <w:szCs w:val="16"/>
              </w:rPr>
              <w:t> </w:t>
            </w:r>
            <w:r>
              <w:rPr>
                <w:color w:val="000000"/>
                <w:sz w:val="16"/>
                <w:szCs w:val="16"/>
              </w:rPr>
              <w:t>vědomí obtížné udržitelnosti dluhů vedl v EU v letech 2011-2013 k významnému poklesu relace „komplexní“ zadluženosti k HDP</w:t>
            </w:r>
          </w:p>
        </w:tc>
        <w:tc>
          <w:tcPr>
            <w:tcW w:w="139" w:type="pct"/>
          </w:tcPr>
          <w:p w:rsidR="005D5A35" w:rsidRDefault="005D5A35" w:rsidP="007351BA">
            <w:pPr>
              <w:pStyle w:val="Textpoznpodarou"/>
              <w:jc w:val="both"/>
            </w:pPr>
          </w:p>
        </w:tc>
        <w:tc>
          <w:tcPr>
            <w:tcW w:w="3819" w:type="pct"/>
          </w:tcPr>
          <w:p w:rsidR="005D5A35" w:rsidRDefault="005D5A35" w:rsidP="00A651DB">
            <w:pPr>
              <w:pStyle w:val="Textpoznpodarou"/>
              <w:jc w:val="both"/>
              <w:rPr>
                <w:color w:val="000000"/>
                <w:spacing w:val="-2"/>
              </w:rPr>
            </w:pPr>
            <w:r>
              <w:rPr>
                <w:color w:val="000000"/>
                <w:spacing w:val="-2"/>
              </w:rPr>
              <w:t xml:space="preserve">Obtížná udržitelnost dluhů (zřejmě však i v kombinaci se slabým ekonomickým růstem, který zejména u soukromého dluh nevyvolává potřebu výraznějšího úvěrování jak investičního tak i provozního charakteru) vedla během let 2011-2013 k významnému poklesu „komplexní“ zadluženosti v relaci k nominálnímu HDP. Tento relativní dluh se zvýšil za uvedené dva roky pouze na Kypru, v Lucembursku, v Řecku, na Slovensku a v Nizozemí (graf 17). ČR je pokud jde o změnu v procentních bodech na šestém místě za touto skupinou, kdy její dluh fakticky stagnoval (-0,7 </w:t>
            </w:r>
            <w:proofErr w:type="spellStart"/>
            <w:r>
              <w:rPr>
                <w:color w:val="000000"/>
                <w:spacing w:val="-2"/>
              </w:rPr>
              <w:t>pb</w:t>
            </w:r>
            <w:proofErr w:type="spellEnd"/>
            <w:r>
              <w:rPr>
                <w:color w:val="000000"/>
                <w:spacing w:val="-2"/>
              </w:rPr>
              <w:t xml:space="preserve">.) a zůstává, jak již bylo řečeno, třetí nejnižší v EU.  </w:t>
            </w:r>
          </w:p>
        </w:tc>
      </w:tr>
    </w:tbl>
    <w:p w:rsidR="005D5A35" w:rsidRPr="00997EEB" w:rsidRDefault="005D5A35" w:rsidP="00686D87">
      <w:pPr>
        <w:rPr>
          <w:sz w:val="16"/>
          <w:szCs w:val="16"/>
        </w:rPr>
      </w:pPr>
    </w:p>
    <w:tbl>
      <w:tblPr>
        <w:tblW w:w="5021" w:type="pct"/>
        <w:tblLayout w:type="fixed"/>
        <w:tblCellMar>
          <w:left w:w="28" w:type="dxa"/>
          <w:right w:w="28" w:type="dxa"/>
        </w:tblCellMar>
        <w:tblLook w:val="00A0"/>
      </w:tblPr>
      <w:tblGrid>
        <w:gridCol w:w="732"/>
        <w:gridCol w:w="4079"/>
        <w:gridCol w:w="705"/>
        <w:gridCol w:w="4219"/>
      </w:tblGrid>
      <w:tr w:rsidR="005D5A35" w:rsidRPr="00817C98" w:rsidTr="00D26579">
        <w:tc>
          <w:tcPr>
            <w:tcW w:w="373" w:type="pct"/>
          </w:tcPr>
          <w:p w:rsidR="005D5A35" w:rsidRDefault="005D5A35" w:rsidP="000458C6">
            <w:pPr>
              <w:spacing w:line="240" w:lineRule="auto"/>
            </w:pPr>
            <w:r>
              <w:t>Graf č.</w:t>
            </w:r>
            <w:r w:rsidR="000458C6">
              <w:t> </w:t>
            </w:r>
            <w:r>
              <w:t>17</w:t>
            </w:r>
          </w:p>
        </w:tc>
        <w:tc>
          <w:tcPr>
            <w:tcW w:w="2077" w:type="pct"/>
          </w:tcPr>
          <w:p w:rsidR="005D5B8F" w:rsidRDefault="005D5A35" w:rsidP="005D5B8F">
            <w:pPr>
              <w:pStyle w:val="Textpoznpodarou"/>
              <w:rPr>
                <w:rFonts w:cs="Arial"/>
                <w:bCs/>
              </w:rPr>
            </w:pPr>
            <w:r>
              <w:rPr>
                <w:rFonts w:cs="Arial"/>
                <w:b/>
                <w:bCs/>
              </w:rPr>
              <w:t xml:space="preserve">Změny v „komplexní“ zadluženosti zemí EU v relaci k HDP, 2011-2013 </w:t>
            </w:r>
            <w:r>
              <w:rPr>
                <w:rFonts w:cs="Arial"/>
                <w:bCs/>
              </w:rPr>
              <w:t>(</w:t>
            </w:r>
            <w:r w:rsidR="005D5B8F">
              <w:rPr>
                <w:rFonts w:cs="Arial"/>
                <w:bCs/>
              </w:rPr>
              <w:t xml:space="preserve">v </w:t>
            </w:r>
            <w:proofErr w:type="spellStart"/>
            <w:r w:rsidR="005D5B8F">
              <w:rPr>
                <w:rFonts w:cs="Arial"/>
                <w:bCs/>
              </w:rPr>
              <w:t>pb</w:t>
            </w:r>
            <w:proofErr w:type="spellEnd"/>
            <w:r w:rsidR="005D5B8F">
              <w:rPr>
                <w:rFonts w:cs="Arial"/>
                <w:bCs/>
              </w:rPr>
              <w:t>.</w:t>
            </w:r>
          </w:p>
          <w:p w:rsidR="005D5A35" w:rsidRPr="005339BC" w:rsidRDefault="005D5B8F" w:rsidP="005D5B8F">
            <w:pPr>
              <w:pStyle w:val="Textpoznpodarou"/>
              <w:rPr>
                <w:rFonts w:cs="Arial"/>
                <w:szCs w:val="24"/>
              </w:rPr>
            </w:pPr>
            <w:r>
              <w:rPr>
                <w:rFonts w:cs="Arial"/>
                <w:bCs/>
              </w:rPr>
              <w:t xml:space="preserve"> </w:t>
            </w:r>
            <w:r w:rsidR="005D5A35">
              <w:rPr>
                <w:rFonts w:cs="Arial"/>
                <w:bCs/>
              </w:rPr>
              <w:t xml:space="preserve">- =zlepšení, + = zhoršení) </w:t>
            </w:r>
          </w:p>
        </w:tc>
        <w:tc>
          <w:tcPr>
            <w:tcW w:w="359" w:type="pct"/>
          </w:tcPr>
          <w:p w:rsidR="005D5A35" w:rsidRDefault="005D5A35" w:rsidP="000458C6">
            <w:pPr>
              <w:spacing w:line="240" w:lineRule="auto"/>
            </w:pPr>
            <w:r>
              <w:t>Graf č.</w:t>
            </w:r>
            <w:r w:rsidR="000458C6">
              <w:t> </w:t>
            </w:r>
            <w:r>
              <w:t>18</w:t>
            </w:r>
          </w:p>
        </w:tc>
        <w:tc>
          <w:tcPr>
            <w:tcW w:w="2148" w:type="pct"/>
          </w:tcPr>
          <w:p w:rsidR="005D5A35" w:rsidRPr="00817C98" w:rsidRDefault="005D5A35" w:rsidP="003E193E">
            <w:pPr>
              <w:spacing w:line="240" w:lineRule="auto"/>
              <w:rPr>
                <w:rFonts w:cs="Arial"/>
                <w:b/>
                <w:bCs/>
              </w:rPr>
            </w:pPr>
            <w:r>
              <w:rPr>
                <w:rFonts w:cs="Arial"/>
                <w:b/>
                <w:bCs/>
              </w:rPr>
              <w:t>Srovnání dluhu vládních institucí a</w:t>
            </w:r>
            <w:r w:rsidR="000458C6">
              <w:rPr>
                <w:rFonts w:cs="Arial"/>
                <w:b/>
                <w:bCs/>
              </w:rPr>
              <w:t> </w:t>
            </w:r>
            <w:r>
              <w:rPr>
                <w:rFonts w:cs="Arial"/>
                <w:b/>
                <w:bCs/>
              </w:rPr>
              <w:t xml:space="preserve">soukromého dluhu u vybraných zemí </w:t>
            </w:r>
            <w:r w:rsidRPr="00DB06E9">
              <w:rPr>
                <w:rFonts w:cs="Arial"/>
                <w:bCs/>
              </w:rPr>
              <w:t>(v</w:t>
            </w:r>
            <w:r w:rsidR="000458C6">
              <w:rPr>
                <w:rFonts w:cs="Arial"/>
                <w:bCs/>
              </w:rPr>
              <w:t> </w:t>
            </w:r>
            <w:r>
              <w:rPr>
                <w:rFonts w:cs="Arial"/>
                <w:bCs/>
              </w:rPr>
              <w:t>%</w:t>
            </w:r>
            <w:r w:rsidR="000458C6">
              <w:rPr>
                <w:rFonts w:cs="Arial"/>
                <w:bCs/>
              </w:rPr>
              <w:t> </w:t>
            </w:r>
            <w:proofErr w:type="spellStart"/>
            <w:r>
              <w:rPr>
                <w:rFonts w:cs="Arial"/>
                <w:bCs/>
              </w:rPr>
              <w:t>nom</w:t>
            </w:r>
            <w:proofErr w:type="spellEnd"/>
            <w:r>
              <w:rPr>
                <w:rFonts w:cs="Arial"/>
                <w:bCs/>
              </w:rPr>
              <w:t>. HDP)</w:t>
            </w:r>
          </w:p>
        </w:tc>
      </w:tr>
      <w:tr w:rsidR="005D5A35" w:rsidTr="00D26579">
        <w:tc>
          <w:tcPr>
            <w:tcW w:w="2450" w:type="pct"/>
            <w:gridSpan w:val="2"/>
          </w:tcPr>
          <w:p w:rsidR="005D5A35" w:rsidRDefault="00513C6F" w:rsidP="00D26579">
            <w:pPr>
              <w:pStyle w:val="Textpoznpodarou"/>
              <w:jc w:val="both"/>
            </w:pPr>
            <w:r>
              <w:rPr>
                <w:noProof/>
              </w:rPr>
              <w:pict>
                <v:shape id="_x0000_i1096" type="#_x0000_t75" style="width:234.75pt;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">
                  <v:imagedata r:id="rId88" o:title="" cropbottom="-68f"/>
                  <o:lock v:ext="edit" aspectratio="f"/>
                </v:shape>
              </w:pict>
            </w:r>
          </w:p>
        </w:tc>
        <w:tc>
          <w:tcPr>
            <w:tcW w:w="2507" w:type="pct"/>
            <w:gridSpan w:val="2"/>
          </w:tcPr>
          <w:p w:rsidR="005D5A35" w:rsidRDefault="00513C6F" w:rsidP="00D26579">
            <w:pPr>
              <w:pStyle w:val="Textpoznpodarou"/>
              <w:jc w:val="both"/>
            </w:pPr>
            <w:r>
              <w:rPr>
                <w:noProof/>
              </w:rPr>
              <w:pict>
                <v:shape id="_x0000_i1097" type="#_x0000_t75" style="width:236.25pt;height:19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">
                  <v:imagedata r:id="rId89" o:title=""/>
                  <o:lock v:ext="edit" aspectratio="f"/>
                </v:shape>
              </w:pict>
            </w:r>
          </w:p>
        </w:tc>
      </w:tr>
    </w:tbl>
    <w:p w:rsidR="005D5A35" w:rsidRPr="007563E7" w:rsidRDefault="004168FC" w:rsidP="007563E7">
      <w:pPr>
        <w:jc w:val="right"/>
        <w:rPr>
          <w:sz w:val="18"/>
          <w:szCs w:val="18"/>
        </w:rPr>
      </w:pPr>
      <w:r>
        <w:rPr>
          <w:sz w:val="18"/>
          <w:szCs w:val="18"/>
        </w:rPr>
        <w:t>Zdroj:</w:t>
      </w:r>
      <w:r w:rsidR="005D5A35" w:rsidRPr="007563E7">
        <w:rPr>
          <w:sz w:val="18"/>
          <w:szCs w:val="18"/>
        </w:rPr>
        <w:t xml:space="preserve"> </w:t>
      </w:r>
      <w:proofErr w:type="spellStart"/>
      <w:r w:rsidR="005D5A35" w:rsidRPr="007563E7">
        <w:rPr>
          <w:sz w:val="18"/>
          <w:szCs w:val="18"/>
        </w:rPr>
        <w:t>Eurostat</w:t>
      </w:r>
      <w:proofErr w:type="spellEnd"/>
      <w:r w:rsidR="005D5A35" w:rsidRPr="007563E7">
        <w:rPr>
          <w:sz w:val="18"/>
          <w:szCs w:val="18"/>
        </w:rPr>
        <w:t xml:space="preserve">, </w:t>
      </w:r>
      <w:r w:rsidR="00871782">
        <w:rPr>
          <w:sz w:val="18"/>
          <w:szCs w:val="18"/>
        </w:rPr>
        <w:t>vlastní vý</w:t>
      </w:r>
      <w:r w:rsidR="005D5A35" w:rsidRPr="007563E7">
        <w:rPr>
          <w:sz w:val="18"/>
          <w:szCs w:val="18"/>
        </w:rPr>
        <w:t>počty</w:t>
      </w:r>
    </w:p>
    <w:p w:rsidR="005D5A35" w:rsidRPr="006E15CB" w:rsidRDefault="005D5A35" w:rsidP="008B0C8B">
      <w:pPr>
        <w:pStyle w:val="Nadpis2"/>
        <w:numPr>
          <w:ilvl w:val="1"/>
          <w:numId w:val="6"/>
        </w:numPr>
      </w:pPr>
      <w:bookmarkStart w:id="30" w:name="_Toc426017672"/>
      <w:r w:rsidRPr="006E15CB">
        <w:lastRenderedPageBreak/>
        <w:t>Vnější nerovnováha</w:t>
      </w:r>
      <w:bookmarkEnd w:id="30"/>
    </w:p>
    <w:p w:rsidR="005D5A35" w:rsidRPr="00D54BC4" w:rsidRDefault="005D5A35" w:rsidP="007C6BAA">
      <w:pPr>
        <w:spacing w:line="240" w:lineRule="auto"/>
        <w:jc w:val="both"/>
        <w:rPr>
          <w:szCs w:val="20"/>
        </w:rPr>
      </w:pPr>
      <w:r w:rsidRPr="00D54BC4">
        <w:rPr>
          <w:szCs w:val="20"/>
        </w:rPr>
        <w:t xml:space="preserve">V roce 2014 se vnější </w:t>
      </w:r>
      <w:r>
        <w:rPr>
          <w:szCs w:val="20"/>
        </w:rPr>
        <w:t>nerovnováha České republiky významně zlepšila. Saldo běžného účtu platební bilance</w:t>
      </w:r>
      <w:r>
        <w:rPr>
          <w:rStyle w:val="Znakapoznpodarou"/>
          <w:color w:val="000000"/>
          <w:spacing w:val="-2"/>
        </w:rPr>
        <w:footnoteReference w:id="12"/>
      </w:r>
      <w:r>
        <w:rPr>
          <w:color w:val="000000"/>
          <w:spacing w:val="-2"/>
        </w:rPr>
        <w:t xml:space="preserve"> </w:t>
      </w:r>
      <w:r w:rsidR="00B155A3">
        <w:rPr>
          <w:szCs w:val="20"/>
        </w:rPr>
        <w:t xml:space="preserve"> vykazovalo </w:t>
      </w:r>
      <w:r>
        <w:rPr>
          <w:szCs w:val="20"/>
        </w:rPr>
        <w:t xml:space="preserve">pozitivní meziroční zněnu již počtvrté v řadě. Navíc rok 2014 zaznamenal několik rekordních výsledků, které se týkaly jak výše dosaženého přebytku běžného účtu, tak především zahraničních investic.  </w:t>
      </w:r>
    </w:p>
    <w:p w:rsidR="005D5A35" w:rsidRDefault="005D5A35" w:rsidP="00686D87">
      <w:pPr>
        <w:rPr>
          <w:b/>
          <w:sz w:val="24"/>
        </w:rPr>
      </w:pPr>
    </w:p>
    <w:tbl>
      <w:tblPr>
        <w:tblW w:w="5043" w:type="pct"/>
        <w:tblInd w:w="-42" w:type="dxa"/>
        <w:tblCellMar>
          <w:left w:w="28" w:type="dxa"/>
          <w:right w:w="28" w:type="dxa"/>
        </w:tblCellMar>
        <w:tblLook w:val="00A0"/>
      </w:tblPr>
      <w:tblGrid>
        <w:gridCol w:w="2037"/>
        <w:gridCol w:w="272"/>
        <w:gridCol w:w="7468"/>
      </w:tblGrid>
      <w:tr w:rsidR="005D5A35" w:rsidTr="007351BA">
        <w:tc>
          <w:tcPr>
            <w:tcW w:w="1042" w:type="pct"/>
          </w:tcPr>
          <w:p w:rsidR="005D5A35" w:rsidRDefault="005D5A35" w:rsidP="00A651DB">
            <w:pPr>
              <w:spacing w:line="240" w:lineRule="auto"/>
              <w:rPr>
                <w:color w:val="000000"/>
                <w:sz w:val="16"/>
                <w:szCs w:val="16"/>
              </w:rPr>
            </w:pPr>
            <w:r>
              <w:rPr>
                <w:color w:val="000000"/>
                <w:sz w:val="16"/>
                <w:szCs w:val="16"/>
              </w:rPr>
              <w:t>Přebytek běžného účtu platební bilance v roce 2014 byl teprve druhý od</w:t>
            </w:r>
            <w:r w:rsidR="00CD5242">
              <w:rPr>
                <w:color w:val="000000"/>
                <w:sz w:val="16"/>
                <w:szCs w:val="16"/>
              </w:rPr>
              <w:t> </w:t>
            </w:r>
            <w:r>
              <w:rPr>
                <w:color w:val="000000"/>
                <w:sz w:val="16"/>
                <w:szCs w:val="16"/>
              </w:rPr>
              <w:t xml:space="preserve">roku 1993 a nominálně byl vůbec nejvyšší; </w:t>
            </w:r>
          </w:p>
          <w:p w:rsidR="005D5A35" w:rsidRPr="00602D1D" w:rsidRDefault="005D5A35" w:rsidP="00A651DB">
            <w:pPr>
              <w:spacing w:line="240" w:lineRule="auto"/>
              <w:rPr>
                <w:color w:val="000000"/>
                <w:sz w:val="16"/>
                <w:szCs w:val="16"/>
              </w:rPr>
            </w:pPr>
            <w:r>
              <w:rPr>
                <w:color w:val="000000"/>
                <w:sz w:val="16"/>
                <w:szCs w:val="16"/>
              </w:rPr>
              <w:t>dosáhl 0,6 % nominálního HDP</w:t>
            </w:r>
          </w:p>
        </w:tc>
        <w:tc>
          <w:tcPr>
            <w:tcW w:w="139" w:type="pct"/>
          </w:tcPr>
          <w:p w:rsidR="005D5A35" w:rsidRDefault="005D5A35" w:rsidP="007351BA">
            <w:pPr>
              <w:pStyle w:val="Textpoznpodarou"/>
              <w:jc w:val="both"/>
            </w:pPr>
          </w:p>
        </w:tc>
        <w:tc>
          <w:tcPr>
            <w:tcW w:w="3819" w:type="pct"/>
          </w:tcPr>
          <w:p w:rsidR="005D5A35" w:rsidRDefault="005D5A35" w:rsidP="00F90D12">
            <w:pPr>
              <w:pStyle w:val="Textpoznpodarou"/>
              <w:jc w:val="both"/>
              <w:rPr>
                <w:color w:val="000000"/>
                <w:spacing w:val="-2"/>
              </w:rPr>
            </w:pPr>
            <w:r>
              <w:rPr>
                <w:color w:val="000000"/>
                <w:spacing w:val="-2"/>
              </w:rPr>
              <w:t xml:space="preserve">Saldo běžného účtu platební bilance ČR bylo v roce 2014 kladné – přebytek dosáhl 26,1 mld. korun. Šlo o teprve druhý přebytek v historii České republiky, v roce 1993 byly toky peněz se zahraničním v plusu ve výši 13,3 mld. korun. </w:t>
            </w:r>
          </w:p>
          <w:p w:rsidR="005D5A35" w:rsidRPr="009C42CD" w:rsidRDefault="005D5A35" w:rsidP="00F90D12">
            <w:pPr>
              <w:pStyle w:val="Textpoznpodarou"/>
              <w:jc w:val="both"/>
              <w:rPr>
                <w:color w:val="000000"/>
                <w:spacing w:val="-2"/>
              </w:rPr>
            </w:pPr>
          </w:p>
          <w:p w:rsidR="005D5A35" w:rsidRPr="009C42CD" w:rsidRDefault="005D5A35" w:rsidP="00F90D12">
            <w:pPr>
              <w:pStyle w:val="Textpoznpodarou"/>
              <w:jc w:val="both"/>
              <w:rPr>
                <w:color w:val="000000"/>
              </w:rPr>
            </w:pPr>
            <w:r w:rsidRPr="009C42CD">
              <w:rPr>
                <w:color w:val="000000"/>
              </w:rPr>
              <w:t>V poměru k HDP činil v roce 2014 přebytek běžného účtu 0,6 %. Po většinu období 1993-2014 vykazoval běžný účet platební bilance deficit - nejhlubší v období měnové krize v první polovině 90. let, ale i v prvních letech předchozí dekády vlivem silných investičních dovozů po vstupu přímých zahraničních investorů do</w:t>
            </w:r>
            <w:r w:rsidR="00CD5242">
              <w:rPr>
                <w:color w:val="000000"/>
              </w:rPr>
              <w:t> </w:t>
            </w:r>
            <w:r w:rsidRPr="009C42CD">
              <w:rPr>
                <w:color w:val="000000"/>
              </w:rPr>
              <w:t xml:space="preserve">ČR. V průměru za toto období byl běžný účet v poměru k nominálnímu HDP v deficitu 2,8 %. </w:t>
            </w:r>
          </w:p>
          <w:p w:rsidR="005D5A35" w:rsidRDefault="005D5A35" w:rsidP="00F90D12">
            <w:pPr>
              <w:pStyle w:val="Textpoznpodarou"/>
              <w:jc w:val="both"/>
              <w:rPr>
                <w:color w:val="000000"/>
                <w:spacing w:val="-2"/>
              </w:rPr>
            </w:pPr>
          </w:p>
        </w:tc>
      </w:tr>
      <w:tr w:rsidR="005D5A35" w:rsidTr="00F90D12">
        <w:tc>
          <w:tcPr>
            <w:tcW w:w="1042" w:type="pct"/>
          </w:tcPr>
          <w:p w:rsidR="005D5A35" w:rsidRPr="00602D1D" w:rsidRDefault="005D5A35" w:rsidP="007351BA">
            <w:pPr>
              <w:spacing w:line="240" w:lineRule="auto"/>
              <w:rPr>
                <w:color w:val="000000"/>
                <w:sz w:val="16"/>
                <w:szCs w:val="16"/>
              </w:rPr>
            </w:pPr>
            <w:r>
              <w:rPr>
                <w:color w:val="000000"/>
                <w:sz w:val="16"/>
                <w:szCs w:val="16"/>
              </w:rPr>
              <w:t xml:space="preserve">I další „rekordy“ ve vnějších ekonomických vztazích České republiky… </w:t>
            </w:r>
          </w:p>
        </w:tc>
        <w:tc>
          <w:tcPr>
            <w:tcW w:w="139" w:type="pct"/>
          </w:tcPr>
          <w:p w:rsidR="005D5A35" w:rsidRDefault="005D5A35" w:rsidP="007351BA">
            <w:pPr>
              <w:pStyle w:val="Textpoznpodarou"/>
              <w:jc w:val="both"/>
            </w:pPr>
          </w:p>
        </w:tc>
        <w:tc>
          <w:tcPr>
            <w:tcW w:w="3819" w:type="pct"/>
          </w:tcPr>
          <w:p w:rsidR="005D5A35" w:rsidRPr="009F408C" w:rsidRDefault="005D5A35" w:rsidP="007351BA">
            <w:pPr>
              <w:pStyle w:val="Textpoznpodarou"/>
              <w:jc w:val="both"/>
              <w:rPr>
                <w:color w:val="000000"/>
                <w:spacing w:val="-2"/>
              </w:rPr>
            </w:pPr>
            <w:r>
              <w:rPr>
                <w:color w:val="000000"/>
                <w:spacing w:val="-2"/>
              </w:rPr>
              <w:t>Z pohledu vnější</w:t>
            </w:r>
            <w:r w:rsidR="009C42CD">
              <w:rPr>
                <w:color w:val="000000"/>
                <w:spacing w:val="-2"/>
              </w:rPr>
              <w:t>ch</w:t>
            </w:r>
            <w:r>
              <w:rPr>
                <w:color w:val="000000"/>
                <w:spacing w:val="-2"/>
              </w:rPr>
              <w:t xml:space="preserve"> ekonomických vztahů velmi příznivý výsledek roku 2014 byl doprovázen i dalšími „rekordními“ charakteristikami vycházejícími ze složek platební bilance. Předně jím byl vůbec nejvyšší přebytek výkonové bilance – kladného salda v obchodech se zbožím a službami ve výši 294,8 mld. korun bylo dosaženo největším meziročním přírůstkem od roku 2009 (+57,4 mld. korun). </w:t>
            </w:r>
          </w:p>
          <w:p w:rsidR="005D5A35" w:rsidRDefault="005D5A35" w:rsidP="007351BA">
            <w:pPr>
              <w:pStyle w:val="Textpoznpodarou"/>
              <w:jc w:val="both"/>
              <w:rPr>
                <w:color w:val="000000"/>
                <w:spacing w:val="-2"/>
              </w:rPr>
            </w:pPr>
            <w:r>
              <w:rPr>
                <w:color w:val="000000"/>
                <w:spacing w:val="-2"/>
              </w:rPr>
              <w:t xml:space="preserve"> </w:t>
            </w:r>
          </w:p>
        </w:tc>
      </w:tr>
      <w:tr w:rsidR="005D5A35" w:rsidTr="00F90D12">
        <w:tc>
          <w:tcPr>
            <w:tcW w:w="1042" w:type="pct"/>
          </w:tcPr>
          <w:p w:rsidR="005D5A35" w:rsidRDefault="005D5A35" w:rsidP="00CD5242">
            <w:pPr>
              <w:spacing w:line="240" w:lineRule="auto"/>
              <w:rPr>
                <w:color w:val="000000"/>
                <w:sz w:val="16"/>
                <w:szCs w:val="16"/>
              </w:rPr>
            </w:pPr>
            <w:r>
              <w:rPr>
                <w:color w:val="000000"/>
                <w:sz w:val="16"/>
                <w:szCs w:val="16"/>
              </w:rPr>
              <w:t>… především nejvyšší přebytek v obchodu se zbožím a službami díky bilanci s automobily a</w:t>
            </w:r>
            <w:r w:rsidR="00CD5242">
              <w:rPr>
                <w:color w:val="000000"/>
                <w:sz w:val="16"/>
                <w:szCs w:val="16"/>
              </w:rPr>
              <w:t> </w:t>
            </w:r>
            <w:r>
              <w:rPr>
                <w:color w:val="000000"/>
                <w:sz w:val="16"/>
                <w:szCs w:val="16"/>
              </w:rPr>
              <w:t>cenově zvýhodněnou redukcí deficitu v obchodech s ropou a</w:t>
            </w:r>
            <w:r w:rsidR="00CD5242">
              <w:rPr>
                <w:color w:val="000000"/>
                <w:sz w:val="16"/>
                <w:szCs w:val="16"/>
              </w:rPr>
              <w:t> </w:t>
            </w:r>
            <w:r>
              <w:rPr>
                <w:color w:val="000000"/>
                <w:sz w:val="16"/>
                <w:szCs w:val="16"/>
              </w:rPr>
              <w:t>zemním plynem…</w:t>
            </w:r>
          </w:p>
        </w:tc>
        <w:tc>
          <w:tcPr>
            <w:tcW w:w="139" w:type="pct"/>
          </w:tcPr>
          <w:p w:rsidR="005D5A35" w:rsidRDefault="005D5A35" w:rsidP="007351BA">
            <w:pPr>
              <w:pStyle w:val="Textpoznpodarou"/>
              <w:jc w:val="both"/>
            </w:pPr>
          </w:p>
        </w:tc>
        <w:tc>
          <w:tcPr>
            <w:tcW w:w="3819" w:type="pct"/>
          </w:tcPr>
          <w:p w:rsidR="005D5A35" w:rsidRPr="009C42CD" w:rsidRDefault="005D5A35" w:rsidP="00AC5926">
            <w:pPr>
              <w:pStyle w:val="Textpoznpodarou"/>
              <w:jc w:val="both"/>
              <w:rPr>
                <w:color w:val="000000"/>
              </w:rPr>
            </w:pPr>
            <w:r w:rsidRPr="009C42CD">
              <w:rPr>
                <w:color w:val="000000"/>
              </w:rPr>
              <w:t xml:space="preserve">Přebytek výkonové bilance sestával z přebytku zbožových obchodů </w:t>
            </w:r>
            <w:r w:rsidRPr="009C42CD">
              <w:rPr>
                <w:color w:val="000000"/>
              </w:rPr>
              <w:br/>
              <w:t>238,9 mld. korun) v kombinaci s přebytkem v obchodech se službami (55,9 mld. korun).  Zatímco přebytek bilance služeb se dále ztenčil v trendu posledních tří let, přebytek obchodní bilance se výrazně dynamizoval (graf 2). Největší zásluhou na</w:t>
            </w:r>
            <w:r w:rsidR="00CD5242">
              <w:rPr>
                <w:color w:val="000000"/>
              </w:rPr>
              <w:t> </w:t>
            </w:r>
            <w:r w:rsidRPr="009C42CD">
              <w:rPr>
                <w:color w:val="000000"/>
              </w:rPr>
              <w:t>tom měla jednak bilance obchodů s motorovými vozidly</w:t>
            </w:r>
            <w:r w:rsidRPr="009C42CD">
              <w:rPr>
                <w:color w:val="000000"/>
                <w:vertAlign w:val="superscript"/>
              </w:rPr>
              <w:footnoteReference w:id="13"/>
            </w:r>
            <w:r w:rsidRPr="009C42CD">
              <w:rPr>
                <w:color w:val="000000"/>
              </w:rPr>
              <w:t xml:space="preserve"> - ta se z už tak velmi silného přebytku 289,4 mld. korun v roce 2013 dále zlepšila na 354,2 mld. korun v roce 2014 – ale výrazný posun zaznamenalo i snížení deficitu v obchodech s ropou a zemním plynem. Zde zapůsobil cenový faktor, když ve druhé polovině roku 2014 začaly prudce klesat světové ceny těchto komodit.  </w:t>
            </w:r>
          </w:p>
          <w:p w:rsidR="005D5A35" w:rsidRDefault="005D5A35" w:rsidP="00AC5926">
            <w:pPr>
              <w:pStyle w:val="Textpoznpodarou"/>
              <w:jc w:val="both"/>
              <w:rPr>
                <w:color w:val="000000"/>
                <w:spacing w:val="-2"/>
              </w:rPr>
            </w:pPr>
            <w:r>
              <w:rPr>
                <w:color w:val="000000"/>
                <w:spacing w:val="-2"/>
              </w:rPr>
              <w:t xml:space="preserve">  </w:t>
            </w:r>
          </w:p>
        </w:tc>
      </w:tr>
      <w:tr w:rsidR="005D5A35" w:rsidTr="00F90D12">
        <w:tc>
          <w:tcPr>
            <w:tcW w:w="1042" w:type="pct"/>
          </w:tcPr>
          <w:p w:rsidR="005D5A35" w:rsidRPr="00602D1D" w:rsidRDefault="005D5A35" w:rsidP="00CD5242">
            <w:pPr>
              <w:spacing w:line="240" w:lineRule="auto"/>
              <w:rPr>
                <w:color w:val="000000"/>
                <w:sz w:val="16"/>
                <w:szCs w:val="16"/>
              </w:rPr>
            </w:pPr>
            <w:r>
              <w:rPr>
                <w:color w:val="000000"/>
                <w:sz w:val="16"/>
                <w:szCs w:val="16"/>
              </w:rPr>
              <w:t>… ale i rekordně pozitivní „mzdové salda“ spolu s</w:t>
            </w:r>
            <w:r w:rsidR="00CD5242">
              <w:rPr>
                <w:color w:val="000000"/>
                <w:sz w:val="16"/>
                <w:szCs w:val="16"/>
              </w:rPr>
              <w:t> </w:t>
            </w:r>
            <w:r>
              <w:rPr>
                <w:color w:val="000000"/>
                <w:sz w:val="16"/>
                <w:szCs w:val="16"/>
              </w:rPr>
              <w:t xml:space="preserve">rekordně negativním odlivem peněz ve formě dividend </w:t>
            </w:r>
          </w:p>
        </w:tc>
        <w:tc>
          <w:tcPr>
            <w:tcW w:w="139" w:type="pct"/>
          </w:tcPr>
          <w:p w:rsidR="005D5A35" w:rsidRDefault="005D5A35" w:rsidP="007351BA">
            <w:pPr>
              <w:pStyle w:val="Textpoznpodarou"/>
              <w:jc w:val="both"/>
            </w:pPr>
          </w:p>
        </w:tc>
        <w:tc>
          <w:tcPr>
            <w:tcW w:w="3819" w:type="pct"/>
          </w:tcPr>
          <w:p w:rsidR="005D5A35" w:rsidRDefault="005D5A35" w:rsidP="007351BA">
            <w:pPr>
              <w:pStyle w:val="Textpoznpodarou"/>
              <w:jc w:val="both"/>
              <w:rPr>
                <w:color w:val="000000"/>
                <w:spacing w:val="-2"/>
              </w:rPr>
            </w:pPr>
            <w:r>
              <w:rPr>
                <w:color w:val="000000"/>
                <w:spacing w:val="-2"/>
              </w:rPr>
              <w:t xml:space="preserve">Trend odlivu výnosů pokračoval, deficit prvotních důchodů se dále prohloubil – odliv dividend do zahraniční dosáhl </w:t>
            </w:r>
            <w:r w:rsidR="00B155A3">
              <w:rPr>
                <w:color w:val="000000"/>
                <w:spacing w:val="-2"/>
              </w:rPr>
              <w:t xml:space="preserve">podle údajů z platební bilance </w:t>
            </w:r>
            <w:r>
              <w:rPr>
                <w:color w:val="000000"/>
                <w:spacing w:val="-2"/>
              </w:rPr>
              <w:t xml:space="preserve">svého maxima (219,3 mld. korun), v čistém vyjádření po zohlednění přílivu dividend do ČR (5,3 mld. korun) pak </w:t>
            </w:r>
            <w:r w:rsidR="00B155A3">
              <w:rPr>
                <w:color w:val="000000"/>
                <w:spacing w:val="-2"/>
              </w:rPr>
              <w:t xml:space="preserve">činil </w:t>
            </w:r>
            <w:r>
              <w:rPr>
                <w:color w:val="000000"/>
                <w:spacing w:val="-2"/>
              </w:rPr>
              <w:t>důchodový efekt z přímých zahraničních investic negativních 214 mld. korun. I toto byl výsledek dosud rekordní.</w:t>
            </w:r>
          </w:p>
          <w:p w:rsidR="005D5A35" w:rsidRPr="009C42CD" w:rsidRDefault="005D5A35" w:rsidP="007351BA">
            <w:pPr>
              <w:pStyle w:val="Textpoznpodarou"/>
              <w:jc w:val="both"/>
              <w:rPr>
                <w:color w:val="000000"/>
                <w:spacing w:val="-2"/>
              </w:rPr>
            </w:pPr>
          </w:p>
          <w:p w:rsidR="005D5A35" w:rsidRDefault="005D5A35" w:rsidP="007351BA">
            <w:pPr>
              <w:pStyle w:val="Textpoznpodarou"/>
              <w:jc w:val="both"/>
              <w:rPr>
                <w:color w:val="000000"/>
                <w:spacing w:val="-2"/>
              </w:rPr>
            </w:pPr>
            <w:r>
              <w:rPr>
                <w:color w:val="000000"/>
                <w:spacing w:val="-2"/>
              </w:rPr>
              <w:t xml:space="preserve">Druhý nejvyšší však byl i objem zisků ponechaných přímými zahraničními investory v ČR k reinvesticím (více v kap. 3.4.2).  </w:t>
            </w:r>
          </w:p>
          <w:p w:rsidR="005D5A35" w:rsidRDefault="005D5A35" w:rsidP="007351BA">
            <w:pPr>
              <w:pStyle w:val="Textpoznpodarou"/>
              <w:jc w:val="both"/>
              <w:rPr>
                <w:color w:val="000000"/>
                <w:spacing w:val="-2"/>
              </w:rPr>
            </w:pPr>
            <w:r>
              <w:rPr>
                <w:color w:val="000000"/>
                <w:spacing w:val="-2"/>
              </w:rPr>
              <w:t xml:space="preserve">  </w:t>
            </w:r>
          </w:p>
        </w:tc>
      </w:tr>
      <w:tr w:rsidR="005D5A35" w:rsidTr="00F90D12">
        <w:tc>
          <w:tcPr>
            <w:tcW w:w="1042" w:type="pct"/>
          </w:tcPr>
          <w:p w:rsidR="005D5A35" w:rsidRPr="00602D1D" w:rsidRDefault="005D5A35" w:rsidP="00AC5926">
            <w:pPr>
              <w:spacing w:line="240" w:lineRule="auto"/>
              <w:rPr>
                <w:color w:val="000000"/>
                <w:sz w:val="16"/>
                <w:szCs w:val="16"/>
              </w:rPr>
            </w:pPr>
            <w:r>
              <w:rPr>
                <w:color w:val="000000"/>
                <w:sz w:val="16"/>
                <w:szCs w:val="16"/>
              </w:rPr>
              <w:t>Na mzdách odešlo z ČR 17 mld., ale práce rezidentů v zahraničí přinesla 39,3 mld. korun</w:t>
            </w:r>
          </w:p>
        </w:tc>
        <w:tc>
          <w:tcPr>
            <w:tcW w:w="139" w:type="pct"/>
          </w:tcPr>
          <w:p w:rsidR="005D5A35" w:rsidRDefault="005D5A35" w:rsidP="007351BA">
            <w:pPr>
              <w:pStyle w:val="Textpoznpodarou"/>
              <w:jc w:val="both"/>
            </w:pPr>
          </w:p>
        </w:tc>
        <w:tc>
          <w:tcPr>
            <w:tcW w:w="3819" w:type="pct"/>
          </w:tcPr>
          <w:p w:rsidR="005D5A35" w:rsidRPr="00AC5926" w:rsidRDefault="005D5A35" w:rsidP="007351BA">
            <w:pPr>
              <w:pStyle w:val="Textpoznpodarou"/>
              <w:jc w:val="both"/>
              <w:rPr>
                <w:color w:val="000000"/>
                <w:spacing w:val="-2"/>
              </w:rPr>
            </w:pPr>
            <w:r>
              <w:rPr>
                <w:color w:val="000000"/>
                <w:spacing w:val="-2"/>
              </w:rPr>
              <w:t>„Mzdové saldo“ zapůsobilo na výsledek prvotních důchodů v roce 2014 velmi pozitivně s převahou přílivu peněz za práci rezidentů v zahra</w:t>
            </w:r>
            <w:r w:rsidR="00290910">
              <w:rPr>
                <w:color w:val="000000"/>
                <w:spacing w:val="-2"/>
              </w:rPr>
              <w:t>ničí oproti odlivu peněz z práce</w:t>
            </w:r>
            <w:r>
              <w:rPr>
                <w:color w:val="000000"/>
                <w:spacing w:val="-2"/>
              </w:rPr>
              <w:t xml:space="preserve"> cizinců v ČR ve výši 22,2 mld. korun (do ČR takto přišlo v podobě náhrad zaměstnancům 39,3 mld. a odešlo 17 mld. korun). </w:t>
            </w:r>
          </w:p>
          <w:p w:rsidR="005D5A35" w:rsidRDefault="005D5A35" w:rsidP="007351BA">
            <w:pPr>
              <w:pStyle w:val="Textpoznpodarou"/>
              <w:jc w:val="both"/>
              <w:rPr>
                <w:color w:val="000000"/>
                <w:spacing w:val="-2"/>
              </w:rPr>
            </w:pPr>
            <w:r>
              <w:rPr>
                <w:color w:val="000000"/>
                <w:spacing w:val="-2"/>
              </w:rPr>
              <w:t xml:space="preserve">   </w:t>
            </w:r>
          </w:p>
        </w:tc>
      </w:tr>
      <w:tr w:rsidR="005D5A35" w:rsidTr="00F90D12">
        <w:tc>
          <w:tcPr>
            <w:tcW w:w="1042" w:type="pct"/>
          </w:tcPr>
          <w:p w:rsidR="005D5A35" w:rsidRDefault="00CD5242" w:rsidP="008866C2">
            <w:pPr>
              <w:spacing w:line="240" w:lineRule="auto"/>
              <w:rPr>
                <w:color w:val="000000"/>
                <w:sz w:val="16"/>
                <w:szCs w:val="16"/>
              </w:rPr>
            </w:pPr>
            <w:r>
              <w:rPr>
                <w:color w:val="000000"/>
                <w:sz w:val="16"/>
                <w:szCs w:val="16"/>
              </w:rPr>
              <w:t xml:space="preserve">„Mzdové saldo“ je v </w:t>
            </w:r>
            <w:r w:rsidR="005D5A35">
              <w:rPr>
                <w:color w:val="000000"/>
                <w:sz w:val="16"/>
                <w:szCs w:val="16"/>
              </w:rPr>
              <w:t>ČR výrazně podmíněno ekonomickým cyklem a</w:t>
            </w:r>
            <w:r w:rsidR="008866C2">
              <w:rPr>
                <w:color w:val="000000"/>
                <w:sz w:val="16"/>
                <w:szCs w:val="16"/>
              </w:rPr>
              <w:t> </w:t>
            </w:r>
            <w:r w:rsidR="005D5A35">
              <w:rPr>
                <w:color w:val="000000"/>
                <w:sz w:val="16"/>
                <w:szCs w:val="16"/>
              </w:rPr>
              <w:t>z něj plynoucí pracovní imigrací do ČR</w:t>
            </w:r>
          </w:p>
        </w:tc>
        <w:tc>
          <w:tcPr>
            <w:tcW w:w="139" w:type="pct"/>
          </w:tcPr>
          <w:p w:rsidR="005D5A35" w:rsidRDefault="005D5A35" w:rsidP="007351BA">
            <w:pPr>
              <w:pStyle w:val="Textpoznpodarou"/>
              <w:jc w:val="both"/>
            </w:pPr>
          </w:p>
        </w:tc>
        <w:tc>
          <w:tcPr>
            <w:tcW w:w="3819" w:type="pct"/>
          </w:tcPr>
          <w:p w:rsidR="005D5A35" w:rsidRPr="009C42CD" w:rsidRDefault="005D5A35" w:rsidP="002B342C">
            <w:pPr>
              <w:pStyle w:val="Textpoznpodarou"/>
              <w:jc w:val="both"/>
              <w:rPr>
                <w:color w:val="000000"/>
              </w:rPr>
            </w:pPr>
            <w:r w:rsidRPr="009C42CD">
              <w:rPr>
                <w:color w:val="000000"/>
              </w:rPr>
              <w:t>Takto vysoké kladné saldo také nebylo dosud v časové řadě od roku 1993 pozorováno. Navíc čistý příliv peněz do země touto formou je patrný ve větším měřítku až v letech 2012-2014, což v letech recese mohlo souviset s odcho</w:t>
            </w:r>
            <w:r w:rsidR="002B342C">
              <w:rPr>
                <w:color w:val="000000"/>
              </w:rPr>
              <w:t>dem zahraničních pracovníků z České republiky</w:t>
            </w:r>
            <w:r w:rsidRPr="009C42CD">
              <w:rPr>
                <w:color w:val="000000"/>
              </w:rPr>
              <w:t xml:space="preserve"> v důsledku nedostatku příležitostí pracovat. Větší</w:t>
            </w:r>
            <w:r w:rsidR="002B342C">
              <w:rPr>
                <w:color w:val="000000"/>
              </w:rPr>
              <w:t> </w:t>
            </w:r>
            <w:r w:rsidRPr="009C42CD">
              <w:rPr>
                <w:color w:val="000000"/>
              </w:rPr>
              <w:t>příliv než odliv v podobě mezd do ČR byl patrný v první polovině 90. let po otevření možností pro rezidenty pracovat v zahraničí. Pak už jen v letech 2005 a 2006 vlivem ekonomické konjunktury, která bývá předpokladem silnější „pracovní imigrace“.</w:t>
            </w:r>
          </w:p>
        </w:tc>
      </w:tr>
    </w:tbl>
    <w:p w:rsidR="005D5A35" w:rsidRDefault="005D5A35" w:rsidP="00686D87"/>
    <w:p w:rsidR="002B342C" w:rsidRDefault="002B342C" w:rsidP="00686D87"/>
    <w:tbl>
      <w:tblPr>
        <w:tblW w:w="5021" w:type="pct"/>
        <w:tblLayout w:type="fixed"/>
        <w:tblCellMar>
          <w:left w:w="28" w:type="dxa"/>
          <w:right w:w="28" w:type="dxa"/>
        </w:tblCellMar>
        <w:tblLook w:val="00A0"/>
      </w:tblPr>
      <w:tblGrid>
        <w:gridCol w:w="732"/>
        <w:gridCol w:w="4079"/>
        <w:gridCol w:w="705"/>
        <w:gridCol w:w="4219"/>
      </w:tblGrid>
      <w:tr w:rsidR="005D5A35" w:rsidRPr="00817C98" w:rsidTr="003B6C43">
        <w:tc>
          <w:tcPr>
            <w:tcW w:w="376" w:type="pct"/>
          </w:tcPr>
          <w:p w:rsidR="005D5A35" w:rsidRDefault="005D5A35" w:rsidP="000458C6">
            <w:pPr>
              <w:spacing w:line="240" w:lineRule="auto"/>
            </w:pPr>
            <w:r>
              <w:lastRenderedPageBreak/>
              <w:t>Graf č.</w:t>
            </w:r>
            <w:r w:rsidR="000458C6">
              <w:t> </w:t>
            </w:r>
            <w:r>
              <w:t>1</w:t>
            </w:r>
            <w:r w:rsidR="00F55CC2">
              <w:t>9</w:t>
            </w:r>
          </w:p>
        </w:tc>
        <w:tc>
          <w:tcPr>
            <w:tcW w:w="2095" w:type="pct"/>
          </w:tcPr>
          <w:p w:rsidR="005D5A35" w:rsidRDefault="005D5A35" w:rsidP="00AC5926">
            <w:pPr>
              <w:pStyle w:val="Textpoznpodarou"/>
              <w:rPr>
                <w:rFonts w:cs="Arial"/>
                <w:b/>
                <w:bCs/>
              </w:rPr>
            </w:pPr>
            <w:r>
              <w:rPr>
                <w:rFonts w:cs="Arial"/>
                <w:b/>
                <w:bCs/>
              </w:rPr>
              <w:t xml:space="preserve">Saldo běžného účtu platební bilance ČR </w:t>
            </w:r>
          </w:p>
          <w:p w:rsidR="005D5A35" w:rsidRDefault="005D5A35" w:rsidP="00AC5926">
            <w:pPr>
              <w:pStyle w:val="Textpoznpodarou"/>
              <w:rPr>
                <w:rFonts w:cs="Arial"/>
                <w:szCs w:val="24"/>
              </w:rPr>
            </w:pPr>
            <w:proofErr w:type="gramStart"/>
            <w:r w:rsidRPr="00AC5926">
              <w:rPr>
                <w:rFonts w:cs="Arial"/>
                <w:bCs/>
              </w:rPr>
              <w:t>(v %</w:t>
            </w:r>
            <w:r>
              <w:rPr>
                <w:rFonts w:cs="Arial"/>
                <w:bCs/>
              </w:rPr>
              <w:t xml:space="preserve"> nominálního</w:t>
            </w:r>
            <w:proofErr w:type="gramEnd"/>
            <w:r>
              <w:rPr>
                <w:rFonts w:cs="Arial"/>
                <w:bCs/>
              </w:rPr>
              <w:t xml:space="preserve"> HDP</w:t>
            </w:r>
            <w:r w:rsidRPr="00DB06E9">
              <w:rPr>
                <w:rFonts w:cs="Arial"/>
                <w:bCs/>
              </w:rPr>
              <w:t>)</w:t>
            </w:r>
          </w:p>
        </w:tc>
        <w:tc>
          <w:tcPr>
            <w:tcW w:w="362" w:type="pct"/>
          </w:tcPr>
          <w:p w:rsidR="005D5A35" w:rsidRDefault="005D5A35" w:rsidP="000458C6">
            <w:pPr>
              <w:spacing w:line="240" w:lineRule="auto"/>
            </w:pPr>
            <w:r>
              <w:t>Graf č.</w:t>
            </w:r>
            <w:r w:rsidR="000458C6">
              <w:t> </w:t>
            </w:r>
            <w:r>
              <w:t>2</w:t>
            </w:r>
            <w:r w:rsidR="00F55CC2">
              <w:t>0</w:t>
            </w:r>
          </w:p>
        </w:tc>
        <w:tc>
          <w:tcPr>
            <w:tcW w:w="2167" w:type="pct"/>
          </w:tcPr>
          <w:p w:rsidR="005D5A35" w:rsidRPr="00AC5926" w:rsidRDefault="005D5A35" w:rsidP="008866C2">
            <w:pPr>
              <w:spacing w:line="240" w:lineRule="auto"/>
              <w:rPr>
                <w:rFonts w:cs="Arial"/>
                <w:b/>
                <w:bCs/>
                <w:szCs w:val="20"/>
              </w:rPr>
            </w:pPr>
            <w:r w:rsidRPr="00AC5926">
              <w:rPr>
                <w:rFonts w:cs="Arial"/>
                <w:b/>
                <w:bCs/>
                <w:szCs w:val="20"/>
              </w:rPr>
              <w:t xml:space="preserve">Vývoj složek běžného účtu platební bilance </w:t>
            </w:r>
            <w:r w:rsidRPr="00AC5926">
              <w:rPr>
                <w:rFonts w:cs="Arial"/>
                <w:bCs/>
                <w:szCs w:val="20"/>
              </w:rPr>
              <w:t>(salda v mld. korun)</w:t>
            </w:r>
          </w:p>
        </w:tc>
      </w:tr>
      <w:tr w:rsidR="005D5A35" w:rsidTr="003B6C43">
        <w:tc>
          <w:tcPr>
            <w:tcW w:w="2471" w:type="pct"/>
            <w:gridSpan w:val="2"/>
          </w:tcPr>
          <w:p w:rsidR="005D5A35" w:rsidRDefault="00513C6F" w:rsidP="007351BA">
            <w:pPr>
              <w:pStyle w:val="Textpoznpodarou"/>
              <w:jc w:val="both"/>
            </w:pPr>
            <w:r>
              <w:rPr>
                <w:noProof/>
              </w:rPr>
              <w:pict>
                <v:shape id="_x0000_i1098" type="#_x0000_t75" style="width:229.5pt;height:1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">
                  <v:imagedata r:id="rId90" o:title=""/>
                  <o:lock v:ext="edit" aspectratio="f"/>
                </v:shape>
              </w:pict>
            </w:r>
          </w:p>
        </w:tc>
        <w:tc>
          <w:tcPr>
            <w:tcW w:w="2529" w:type="pct"/>
            <w:gridSpan w:val="2"/>
          </w:tcPr>
          <w:p w:rsidR="005D5A35" w:rsidRPr="00C86F05" w:rsidRDefault="00513C6F" w:rsidP="000458C6">
            <w:pPr>
              <w:pStyle w:val="Textpoznpodarou"/>
              <w:jc w:val="right"/>
            </w:pPr>
            <w:r>
              <w:pict>
                <v:shape id="_x0000_i1099" type="#_x0000_t75" style="width:246pt;height:189.75pt">
                  <v:imagedata r:id="rId91" o:title=""/>
                </v:shape>
              </w:pict>
            </w:r>
          </w:p>
        </w:tc>
      </w:tr>
    </w:tbl>
    <w:p w:rsidR="005D5A35" w:rsidRPr="003B6C43" w:rsidRDefault="004168FC" w:rsidP="003B6C43">
      <w:pPr>
        <w:jc w:val="right"/>
        <w:rPr>
          <w:sz w:val="18"/>
          <w:szCs w:val="18"/>
        </w:rPr>
      </w:pPr>
      <w:r>
        <w:rPr>
          <w:sz w:val="18"/>
          <w:szCs w:val="18"/>
        </w:rPr>
        <w:t>Zdroj</w:t>
      </w:r>
      <w:r w:rsidR="005D5A35" w:rsidRPr="003B6C43">
        <w:rPr>
          <w:sz w:val="18"/>
          <w:szCs w:val="18"/>
        </w:rPr>
        <w:t>: ČNB</w:t>
      </w:r>
      <w:r w:rsidR="00871782">
        <w:rPr>
          <w:sz w:val="18"/>
          <w:szCs w:val="18"/>
        </w:rPr>
        <w:t>, vlastní vý</w:t>
      </w:r>
      <w:r w:rsidR="005D5A35">
        <w:rPr>
          <w:sz w:val="18"/>
          <w:szCs w:val="18"/>
        </w:rPr>
        <w:t>počty</w:t>
      </w:r>
    </w:p>
    <w:p w:rsidR="005D5A35" w:rsidRPr="00EA7135" w:rsidRDefault="005D5A35" w:rsidP="003B6C43">
      <w:pPr>
        <w:jc w:val="both"/>
        <w:rPr>
          <w:sz w:val="6"/>
          <w:szCs w:val="6"/>
        </w:rPr>
      </w:pPr>
    </w:p>
    <w:tbl>
      <w:tblPr>
        <w:tblW w:w="5084" w:type="pct"/>
        <w:tblInd w:w="-42" w:type="dxa"/>
        <w:tblCellMar>
          <w:left w:w="28" w:type="dxa"/>
          <w:right w:w="28" w:type="dxa"/>
        </w:tblCellMar>
        <w:tblLook w:val="00A0"/>
      </w:tblPr>
      <w:tblGrid>
        <w:gridCol w:w="39"/>
        <w:gridCol w:w="739"/>
        <w:gridCol w:w="1260"/>
        <w:gridCol w:w="272"/>
        <w:gridCol w:w="2583"/>
        <w:gridCol w:w="712"/>
        <w:gridCol w:w="4175"/>
        <w:gridCol w:w="77"/>
      </w:tblGrid>
      <w:tr w:rsidR="005D5A35" w:rsidTr="00347DF6">
        <w:trPr>
          <w:gridAfter w:val="1"/>
          <w:wAfter w:w="39" w:type="pct"/>
        </w:trPr>
        <w:tc>
          <w:tcPr>
            <w:tcW w:w="1034" w:type="pct"/>
            <w:gridSpan w:val="3"/>
          </w:tcPr>
          <w:p w:rsidR="005D5A35" w:rsidRPr="00602D1D" w:rsidRDefault="005D5A35" w:rsidP="008866C2">
            <w:pPr>
              <w:spacing w:line="240" w:lineRule="auto"/>
              <w:rPr>
                <w:color w:val="000000"/>
                <w:sz w:val="16"/>
                <w:szCs w:val="16"/>
              </w:rPr>
            </w:pPr>
            <w:r>
              <w:rPr>
                <w:color w:val="000000"/>
                <w:sz w:val="16"/>
                <w:szCs w:val="16"/>
              </w:rPr>
              <w:t>Příliv přímých investic do</w:t>
            </w:r>
            <w:r w:rsidR="008866C2">
              <w:rPr>
                <w:color w:val="000000"/>
                <w:sz w:val="16"/>
                <w:szCs w:val="16"/>
              </w:rPr>
              <w:t> </w:t>
            </w:r>
            <w:r>
              <w:rPr>
                <w:color w:val="000000"/>
                <w:sz w:val="16"/>
                <w:szCs w:val="16"/>
              </w:rPr>
              <w:t>ČR v roce 2014 nedosahoval tříletého ani</w:t>
            </w:r>
            <w:r w:rsidR="008866C2">
              <w:rPr>
                <w:color w:val="000000"/>
                <w:sz w:val="16"/>
                <w:szCs w:val="16"/>
              </w:rPr>
              <w:t> </w:t>
            </w:r>
            <w:r>
              <w:rPr>
                <w:color w:val="000000"/>
                <w:sz w:val="16"/>
                <w:szCs w:val="16"/>
              </w:rPr>
              <w:t>desetiletého průměru</w:t>
            </w:r>
          </w:p>
        </w:tc>
        <w:tc>
          <w:tcPr>
            <w:tcW w:w="138" w:type="pct"/>
          </w:tcPr>
          <w:p w:rsidR="005D5A35" w:rsidRDefault="005D5A35" w:rsidP="007351BA">
            <w:pPr>
              <w:pStyle w:val="Textpoznpodarou"/>
              <w:jc w:val="both"/>
            </w:pPr>
          </w:p>
        </w:tc>
        <w:tc>
          <w:tcPr>
            <w:tcW w:w="3789" w:type="pct"/>
            <w:gridSpan w:val="3"/>
          </w:tcPr>
          <w:p w:rsidR="005D5A35" w:rsidRDefault="005D5A35" w:rsidP="007351BA">
            <w:pPr>
              <w:pStyle w:val="Textpoznpodarou"/>
              <w:jc w:val="both"/>
              <w:rPr>
                <w:color w:val="000000"/>
                <w:spacing w:val="-2"/>
              </w:rPr>
            </w:pPr>
            <w:r>
              <w:rPr>
                <w:color w:val="000000"/>
                <w:spacing w:val="-2"/>
              </w:rPr>
              <w:t>Ačkoli došlo k významnému zlepšení výsledku na běžném účtu platební bilance, zejména díky výše uvedeným zbožovým obchodům a ve sféře prvotních důchodů i „mzdového salda“, na finančním účtu byl zaznamen</w:t>
            </w:r>
            <w:r w:rsidR="00B155A3">
              <w:rPr>
                <w:color w:val="000000"/>
                <w:spacing w:val="-2"/>
              </w:rPr>
              <w:t>án</w:t>
            </w:r>
            <w:r>
              <w:rPr>
                <w:color w:val="000000"/>
                <w:spacing w:val="-2"/>
              </w:rPr>
              <w:t xml:space="preserve"> příliv přímých investic do ČR v roce 2014 (101,4 mld. korun), který nedosahoval tříletého ani pětiletého průměru. Přitažlivost jiných zemí pro přímé investory se zřejmě zvětšila. V čistém vyjádření se ale přímé investice podílely na saldu finančního účtu více, neboť tuzemské subjekty své peníze </w:t>
            </w:r>
            <w:r w:rsidR="00B155A3">
              <w:rPr>
                <w:color w:val="000000"/>
                <w:spacing w:val="-2"/>
              </w:rPr>
              <w:t xml:space="preserve">ze zahraničí </w:t>
            </w:r>
            <w:r>
              <w:rPr>
                <w:color w:val="000000"/>
                <w:spacing w:val="-2"/>
              </w:rPr>
              <w:t>stahovaly (peníze ze země neodcházely, ale přicházely</w:t>
            </w:r>
            <w:r w:rsidR="00B155A3">
              <w:rPr>
                <w:color w:val="000000"/>
                <w:spacing w:val="-2"/>
              </w:rPr>
              <w:t>.</w:t>
            </w:r>
            <w:r>
              <w:rPr>
                <w:color w:val="000000"/>
                <w:spacing w:val="-2"/>
              </w:rPr>
              <w:t xml:space="preserve"> </w:t>
            </w:r>
          </w:p>
          <w:p w:rsidR="00361918" w:rsidRPr="00361918" w:rsidRDefault="00361918" w:rsidP="007351BA">
            <w:pPr>
              <w:pStyle w:val="Textpoznpodarou"/>
              <w:jc w:val="both"/>
              <w:rPr>
                <w:color w:val="000000"/>
                <w:spacing w:val="-2"/>
                <w:sz w:val="16"/>
                <w:szCs w:val="16"/>
              </w:rPr>
            </w:pPr>
          </w:p>
        </w:tc>
      </w:tr>
      <w:tr w:rsidR="005D5A35" w:rsidTr="00347DF6">
        <w:trPr>
          <w:gridAfter w:val="1"/>
          <w:wAfter w:w="39" w:type="pct"/>
        </w:trPr>
        <w:tc>
          <w:tcPr>
            <w:tcW w:w="1034" w:type="pct"/>
            <w:gridSpan w:val="3"/>
          </w:tcPr>
          <w:p w:rsidR="005D5A35" w:rsidRPr="00602D1D" w:rsidRDefault="005D5A35" w:rsidP="008241C2">
            <w:pPr>
              <w:spacing w:line="240" w:lineRule="auto"/>
              <w:rPr>
                <w:color w:val="000000"/>
                <w:sz w:val="16"/>
                <w:szCs w:val="16"/>
              </w:rPr>
            </w:pPr>
            <w:r>
              <w:rPr>
                <w:color w:val="000000"/>
                <w:sz w:val="16"/>
                <w:szCs w:val="16"/>
              </w:rPr>
              <w:t>Na finanč</w:t>
            </w:r>
            <w:r w:rsidR="008866C2">
              <w:rPr>
                <w:color w:val="000000"/>
                <w:sz w:val="16"/>
                <w:szCs w:val="16"/>
              </w:rPr>
              <w:t>n</w:t>
            </w:r>
            <w:r>
              <w:rPr>
                <w:color w:val="000000"/>
                <w:sz w:val="16"/>
                <w:szCs w:val="16"/>
              </w:rPr>
              <w:t>ím účtu odliv peněz ze země</w:t>
            </w:r>
          </w:p>
        </w:tc>
        <w:tc>
          <w:tcPr>
            <w:tcW w:w="138" w:type="pct"/>
          </w:tcPr>
          <w:p w:rsidR="005D5A35" w:rsidRDefault="005D5A35" w:rsidP="007351BA">
            <w:pPr>
              <w:pStyle w:val="Textpoznpodarou"/>
              <w:jc w:val="both"/>
            </w:pPr>
          </w:p>
        </w:tc>
        <w:tc>
          <w:tcPr>
            <w:tcW w:w="3789" w:type="pct"/>
            <w:gridSpan w:val="3"/>
          </w:tcPr>
          <w:p w:rsidR="005D5A35" w:rsidRDefault="005D5A35" w:rsidP="00347DF6">
            <w:pPr>
              <w:pStyle w:val="Textpoznpodarou"/>
              <w:jc w:val="both"/>
              <w:rPr>
                <w:color w:val="000000"/>
                <w:spacing w:val="-2"/>
              </w:rPr>
            </w:pPr>
            <w:r>
              <w:rPr>
                <w:color w:val="000000"/>
                <w:spacing w:val="-2"/>
              </w:rPr>
              <w:t>V úhrnu všech položek zaznamenal finanční účet již třetí rok v řadě odliv peněz ze</w:t>
            </w:r>
            <w:r w:rsidR="00347DF6">
              <w:rPr>
                <w:color w:val="000000"/>
                <w:spacing w:val="-2"/>
              </w:rPr>
              <w:t> </w:t>
            </w:r>
            <w:r>
              <w:rPr>
                <w:color w:val="000000"/>
                <w:spacing w:val="-2"/>
              </w:rPr>
              <w:t>země. V roce 2014 činil 48,3 mld. koru</w:t>
            </w:r>
            <w:r w:rsidR="00361918">
              <w:rPr>
                <w:color w:val="000000"/>
                <w:spacing w:val="-2"/>
              </w:rPr>
              <w:t>n, rok předtím 68,3 mld. korun.</w:t>
            </w:r>
          </w:p>
          <w:p w:rsidR="00347DF6" w:rsidRPr="00347DF6" w:rsidRDefault="00347DF6" w:rsidP="00347DF6">
            <w:pPr>
              <w:pStyle w:val="Textpoznpodarou"/>
              <w:jc w:val="both"/>
              <w:rPr>
                <w:color w:val="000000"/>
                <w:spacing w:val="-2"/>
                <w:sz w:val="16"/>
                <w:szCs w:val="16"/>
              </w:rPr>
            </w:pPr>
          </w:p>
        </w:tc>
      </w:tr>
      <w:tr w:rsidR="005D5A35" w:rsidRPr="00817C98" w:rsidTr="00347DF6">
        <w:trPr>
          <w:gridBefore w:val="1"/>
          <w:wBefore w:w="20" w:type="pct"/>
        </w:trPr>
        <w:tc>
          <w:tcPr>
            <w:tcW w:w="375" w:type="pct"/>
          </w:tcPr>
          <w:p w:rsidR="005D5A35" w:rsidRDefault="005D5A35" w:rsidP="008866C2">
            <w:pPr>
              <w:spacing w:line="240" w:lineRule="auto"/>
            </w:pPr>
            <w:r>
              <w:t>Graf č.</w:t>
            </w:r>
            <w:r w:rsidR="008866C2">
              <w:t> </w:t>
            </w:r>
            <w:r w:rsidR="00F55CC2">
              <w:t>21</w:t>
            </w:r>
            <w:r>
              <w:t xml:space="preserve"> </w:t>
            </w:r>
          </w:p>
        </w:tc>
        <w:tc>
          <w:tcPr>
            <w:tcW w:w="2087" w:type="pct"/>
            <w:gridSpan w:val="3"/>
          </w:tcPr>
          <w:p w:rsidR="000458C6" w:rsidRDefault="005D5A35" w:rsidP="00CA3CB2">
            <w:pPr>
              <w:pStyle w:val="Textpoznpodarou"/>
              <w:rPr>
                <w:rFonts w:cs="Arial"/>
                <w:b/>
                <w:bCs/>
              </w:rPr>
            </w:pPr>
            <w:r>
              <w:rPr>
                <w:rFonts w:cs="Arial"/>
                <w:b/>
                <w:bCs/>
              </w:rPr>
              <w:t>Portfoliové investice, saldo</w:t>
            </w:r>
          </w:p>
          <w:p w:rsidR="005D5A35" w:rsidRDefault="005D5A35" w:rsidP="00CA3CB2">
            <w:pPr>
              <w:pStyle w:val="Textpoznpodarou"/>
              <w:rPr>
                <w:rFonts w:cs="Arial"/>
                <w:szCs w:val="24"/>
              </w:rPr>
            </w:pPr>
            <w:r w:rsidRPr="00DB06E9">
              <w:rPr>
                <w:rFonts w:cs="Arial"/>
                <w:bCs/>
              </w:rPr>
              <w:t>(v m</w:t>
            </w:r>
            <w:r>
              <w:rPr>
                <w:rFonts w:cs="Arial"/>
                <w:bCs/>
              </w:rPr>
              <w:t xml:space="preserve">il. </w:t>
            </w:r>
            <w:r w:rsidRPr="00DB06E9">
              <w:rPr>
                <w:rFonts w:cs="Arial"/>
                <w:bCs/>
              </w:rPr>
              <w:t>korun)</w:t>
            </w:r>
          </w:p>
        </w:tc>
        <w:tc>
          <w:tcPr>
            <w:tcW w:w="361" w:type="pct"/>
          </w:tcPr>
          <w:p w:rsidR="005D5A35" w:rsidRDefault="005D5A35" w:rsidP="007115E4">
            <w:pPr>
              <w:spacing w:line="240" w:lineRule="auto"/>
            </w:pPr>
            <w:r>
              <w:t>Graf č.</w:t>
            </w:r>
            <w:r w:rsidR="007115E4">
              <w:t> </w:t>
            </w:r>
            <w:r w:rsidR="00F55CC2">
              <w:t>22</w:t>
            </w:r>
          </w:p>
        </w:tc>
        <w:tc>
          <w:tcPr>
            <w:tcW w:w="2157" w:type="pct"/>
            <w:gridSpan w:val="2"/>
          </w:tcPr>
          <w:p w:rsidR="005D5A35" w:rsidRPr="00817C98" w:rsidRDefault="005D5A35" w:rsidP="00C243B5">
            <w:pPr>
              <w:spacing w:line="240" w:lineRule="auto"/>
              <w:rPr>
                <w:rFonts w:cs="Arial"/>
                <w:b/>
                <w:bCs/>
              </w:rPr>
            </w:pPr>
            <w:r>
              <w:rPr>
                <w:rFonts w:cs="Arial"/>
                <w:b/>
                <w:bCs/>
              </w:rPr>
              <w:t xml:space="preserve">Přímé investice </w:t>
            </w:r>
            <w:r>
              <w:rPr>
                <w:rFonts w:cs="Arial"/>
                <w:bCs/>
              </w:rPr>
              <w:t>– vývoj hlavních položek v čistém vyjádření (v</w:t>
            </w:r>
            <w:r w:rsidRPr="00DB06E9">
              <w:rPr>
                <w:rFonts w:cs="Arial"/>
                <w:bCs/>
              </w:rPr>
              <w:t xml:space="preserve"> m</w:t>
            </w:r>
            <w:r>
              <w:rPr>
                <w:rFonts w:cs="Arial"/>
                <w:bCs/>
              </w:rPr>
              <w:t>i</w:t>
            </w:r>
            <w:r w:rsidRPr="00DB06E9">
              <w:rPr>
                <w:rFonts w:cs="Arial"/>
                <w:bCs/>
              </w:rPr>
              <w:t>l. korun)</w:t>
            </w:r>
          </w:p>
        </w:tc>
      </w:tr>
      <w:tr w:rsidR="005D5A35" w:rsidTr="00347DF6">
        <w:trPr>
          <w:gridBefore w:val="1"/>
          <w:wBefore w:w="20" w:type="pct"/>
        </w:trPr>
        <w:tc>
          <w:tcPr>
            <w:tcW w:w="2462" w:type="pct"/>
            <w:gridSpan w:val="4"/>
          </w:tcPr>
          <w:p w:rsidR="005D5A35" w:rsidRPr="00667C83" w:rsidRDefault="00513C6F" w:rsidP="00CA3CB2">
            <w:pPr>
              <w:pStyle w:val="Textpoznpodarou"/>
              <w:jc w:val="both"/>
            </w:pPr>
            <w:r>
              <w:pict>
                <v:shape id="_x0000_i1100" type="#_x0000_t75" style="width:238.5pt;height:186.75pt">
                  <v:imagedata r:id="rId92" o:title=""/>
                </v:shape>
              </w:pict>
            </w:r>
          </w:p>
        </w:tc>
        <w:tc>
          <w:tcPr>
            <w:tcW w:w="2518" w:type="pct"/>
            <w:gridSpan w:val="3"/>
          </w:tcPr>
          <w:p w:rsidR="005D5A35" w:rsidRPr="00C243B5" w:rsidRDefault="00513C6F" w:rsidP="000458C6">
            <w:pPr>
              <w:pStyle w:val="Textpoznpodarou"/>
              <w:jc w:val="right"/>
            </w:pPr>
            <w:r>
              <w:pict>
                <v:shape id="_x0000_i1101" type="#_x0000_t75" style="width:243pt;height:187.5pt">
                  <v:imagedata r:id="rId93" o:title=""/>
                </v:shape>
              </w:pict>
            </w:r>
          </w:p>
        </w:tc>
      </w:tr>
    </w:tbl>
    <w:p w:rsidR="005D5A35" w:rsidRPr="003B6C43" w:rsidRDefault="00374B10" w:rsidP="003B6C43">
      <w:pPr>
        <w:jc w:val="right"/>
        <w:rPr>
          <w:sz w:val="18"/>
          <w:szCs w:val="18"/>
        </w:rPr>
      </w:pPr>
      <w:r>
        <w:rPr>
          <w:sz w:val="18"/>
          <w:szCs w:val="18"/>
        </w:rPr>
        <w:t>Zdroj</w:t>
      </w:r>
      <w:r w:rsidR="005D5A35" w:rsidRPr="003B6C43">
        <w:rPr>
          <w:sz w:val="18"/>
          <w:szCs w:val="18"/>
        </w:rPr>
        <w:t>: ČNB</w:t>
      </w:r>
    </w:p>
    <w:p w:rsidR="005D5A35" w:rsidRPr="00361918" w:rsidRDefault="005D5A35" w:rsidP="00686D87">
      <w:pPr>
        <w:rPr>
          <w:b/>
          <w:sz w:val="8"/>
          <w:szCs w:val="8"/>
        </w:rPr>
      </w:pPr>
    </w:p>
    <w:p w:rsidR="005D5A35" w:rsidRPr="006E15CB" w:rsidRDefault="005D5A35" w:rsidP="008B0C8B">
      <w:pPr>
        <w:pStyle w:val="Nadpis2"/>
        <w:numPr>
          <w:ilvl w:val="1"/>
          <w:numId w:val="6"/>
        </w:numPr>
      </w:pPr>
      <w:bookmarkStart w:id="31" w:name="_Toc426017673"/>
      <w:r w:rsidRPr="006E15CB">
        <w:t>Úspory a investice</w:t>
      </w:r>
      <w:bookmarkEnd w:id="31"/>
    </w:p>
    <w:tbl>
      <w:tblPr>
        <w:tblW w:w="5043" w:type="pct"/>
        <w:tblInd w:w="-42" w:type="dxa"/>
        <w:tblCellMar>
          <w:left w:w="28" w:type="dxa"/>
          <w:right w:w="28" w:type="dxa"/>
        </w:tblCellMar>
        <w:tblLook w:val="00A0"/>
      </w:tblPr>
      <w:tblGrid>
        <w:gridCol w:w="2037"/>
        <w:gridCol w:w="272"/>
        <w:gridCol w:w="7468"/>
      </w:tblGrid>
      <w:tr w:rsidR="005D5A35" w:rsidTr="00FA57FD">
        <w:tc>
          <w:tcPr>
            <w:tcW w:w="1042" w:type="pct"/>
          </w:tcPr>
          <w:p w:rsidR="005D5A35" w:rsidRPr="00602D1D" w:rsidRDefault="005D5A35" w:rsidP="00FA57FD">
            <w:pPr>
              <w:spacing w:line="240" w:lineRule="auto"/>
              <w:rPr>
                <w:color w:val="000000"/>
                <w:sz w:val="16"/>
                <w:szCs w:val="16"/>
              </w:rPr>
            </w:pPr>
            <w:r>
              <w:rPr>
                <w:color w:val="000000"/>
                <w:sz w:val="16"/>
                <w:szCs w:val="16"/>
              </w:rPr>
              <w:t>Potřeba financování z vnějších zdrojů zůstává za celou českou ekonomiku oproti předchozím obdobím relativně slabá…</w:t>
            </w:r>
          </w:p>
        </w:tc>
        <w:tc>
          <w:tcPr>
            <w:tcW w:w="139" w:type="pct"/>
          </w:tcPr>
          <w:p w:rsidR="005D5A35" w:rsidRDefault="005D5A35" w:rsidP="00FA57FD">
            <w:pPr>
              <w:pStyle w:val="Textpoznpodarou"/>
              <w:jc w:val="both"/>
            </w:pPr>
          </w:p>
        </w:tc>
        <w:tc>
          <w:tcPr>
            <w:tcW w:w="3819" w:type="pct"/>
          </w:tcPr>
          <w:p w:rsidR="005D5A35" w:rsidRDefault="005D5A35" w:rsidP="000458C6">
            <w:pPr>
              <w:pStyle w:val="Textpoznpodarou"/>
              <w:jc w:val="both"/>
              <w:rPr>
                <w:color w:val="000000"/>
                <w:spacing w:val="-4"/>
              </w:rPr>
            </w:pPr>
            <w:r w:rsidRPr="000458C6">
              <w:rPr>
                <w:color w:val="000000"/>
                <w:spacing w:val="-4"/>
              </w:rPr>
              <w:t xml:space="preserve">Ekonomika ČR použila v roce 2014 pro financování investic do fixních aktiv a do zásob, tedy pro tvorbu hrubého kapitálu </w:t>
            </w:r>
            <w:r w:rsidR="00B06EE6" w:rsidRPr="000458C6">
              <w:rPr>
                <w:color w:val="000000"/>
                <w:spacing w:val="-4"/>
              </w:rPr>
              <w:t>– která dosáhla v nominálním vy</w:t>
            </w:r>
            <w:r w:rsidR="00AB5082">
              <w:rPr>
                <w:color w:val="000000"/>
                <w:spacing w:val="-4"/>
              </w:rPr>
              <w:t>j</w:t>
            </w:r>
            <w:r w:rsidR="00B06EE6" w:rsidRPr="000458C6">
              <w:rPr>
                <w:color w:val="000000"/>
                <w:spacing w:val="-4"/>
              </w:rPr>
              <w:t>ádření</w:t>
            </w:r>
            <w:r w:rsidRPr="000458C6">
              <w:rPr>
                <w:color w:val="000000"/>
                <w:spacing w:val="-4"/>
              </w:rPr>
              <w:t xml:space="preserve"> 1 075,9 mld. korun</w:t>
            </w:r>
            <w:r w:rsidR="00B155A3">
              <w:rPr>
                <w:color w:val="000000"/>
                <w:spacing w:val="-4"/>
              </w:rPr>
              <w:t xml:space="preserve"> -</w:t>
            </w:r>
            <w:r w:rsidRPr="000458C6">
              <w:rPr>
                <w:color w:val="000000"/>
                <w:spacing w:val="-4"/>
              </w:rPr>
              <w:t xml:space="preserve"> jen 84,4 mld. korun zdrojů ze zahraničí. Přetrvává tak situace z předchozích dvou let, kdy potřeba fina</w:t>
            </w:r>
            <w:r w:rsidR="00B06EE6" w:rsidRPr="000458C6">
              <w:rPr>
                <w:color w:val="000000"/>
                <w:spacing w:val="-4"/>
              </w:rPr>
              <w:t xml:space="preserve">ncování z cizích zdrojů činila </w:t>
            </w:r>
            <w:r w:rsidRPr="000458C6">
              <w:rPr>
                <w:color w:val="000000"/>
                <w:spacing w:val="-4"/>
              </w:rPr>
              <w:t>87,9 mld. v </w:t>
            </w:r>
            <w:r w:rsidR="00B06EE6" w:rsidRPr="000458C6">
              <w:rPr>
                <w:color w:val="000000"/>
                <w:spacing w:val="-4"/>
              </w:rPr>
              <w:t xml:space="preserve">roce 2012, resp. 46 mld. korun </w:t>
            </w:r>
            <w:r w:rsidRPr="000458C6">
              <w:rPr>
                <w:color w:val="000000"/>
                <w:spacing w:val="-4"/>
              </w:rPr>
              <w:t>v roce 2013. Pro tvorbu hrubého kapitálu tak z velké míry postačovaly vytvořené hrubé národní úspory v ekonomice ve výši 991,5 mld. korun. Nejen roky recese, a</w:t>
            </w:r>
            <w:r w:rsidR="00B06EE6" w:rsidRPr="000458C6">
              <w:rPr>
                <w:color w:val="000000"/>
                <w:spacing w:val="-4"/>
              </w:rPr>
              <w:t xml:space="preserve">le i start k růstu </w:t>
            </w:r>
            <w:r w:rsidRPr="000458C6">
              <w:rPr>
                <w:color w:val="000000"/>
                <w:spacing w:val="-4"/>
              </w:rPr>
              <w:t>tak potřebu vnější</w:t>
            </w:r>
            <w:r w:rsidR="00B06EE6" w:rsidRPr="000458C6">
              <w:rPr>
                <w:color w:val="000000"/>
                <w:spacing w:val="-4"/>
              </w:rPr>
              <w:t>ch</w:t>
            </w:r>
            <w:r w:rsidRPr="000458C6">
              <w:rPr>
                <w:color w:val="000000"/>
                <w:spacing w:val="-4"/>
              </w:rPr>
              <w:t xml:space="preserve"> zdrojů pro investice nezvýšil.</w:t>
            </w:r>
          </w:p>
          <w:p w:rsidR="000458C6" w:rsidRPr="00361918" w:rsidRDefault="000458C6" w:rsidP="000458C6">
            <w:pPr>
              <w:pStyle w:val="Textpoznpodarou"/>
              <w:jc w:val="both"/>
              <w:rPr>
                <w:color w:val="000000"/>
                <w:spacing w:val="-2"/>
                <w:sz w:val="16"/>
                <w:szCs w:val="16"/>
              </w:rPr>
            </w:pPr>
          </w:p>
        </w:tc>
      </w:tr>
      <w:tr w:rsidR="005D5A35" w:rsidTr="00FA57FD">
        <w:tc>
          <w:tcPr>
            <w:tcW w:w="1042" w:type="pct"/>
          </w:tcPr>
          <w:p w:rsidR="005D5A35" w:rsidRPr="000458C6" w:rsidRDefault="005D5A35" w:rsidP="00FA57FD">
            <w:pPr>
              <w:spacing w:line="240" w:lineRule="auto"/>
              <w:rPr>
                <w:color w:val="000000"/>
                <w:spacing w:val="-6"/>
                <w:sz w:val="16"/>
                <w:szCs w:val="16"/>
              </w:rPr>
            </w:pPr>
            <w:r w:rsidRPr="000458C6">
              <w:rPr>
                <w:color w:val="000000"/>
                <w:spacing w:val="-6"/>
                <w:sz w:val="16"/>
                <w:szCs w:val="16"/>
              </w:rPr>
              <w:t xml:space="preserve">… stejně jako u nefinančních podniků; úspory jsou silné </w:t>
            </w:r>
            <w:r w:rsidRPr="000458C6">
              <w:rPr>
                <w:color w:val="000000"/>
                <w:spacing w:val="-6"/>
                <w:sz w:val="16"/>
                <w:szCs w:val="16"/>
              </w:rPr>
              <w:lastRenderedPageBreak/>
              <w:t>a</w:t>
            </w:r>
            <w:r w:rsidR="00347DF6">
              <w:rPr>
                <w:color w:val="000000"/>
                <w:spacing w:val="-6"/>
                <w:sz w:val="16"/>
                <w:szCs w:val="16"/>
              </w:rPr>
              <w:t> </w:t>
            </w:r>
            <w:r w:rsidRPr="000458C6">
              <w:rPr>
                <w:color w:val="000000"/>
                <w:spacing w:val="-6"/>
                <w:sz w:val="16"/>
                <w:szCs w:val="16"/>
              </w:rPr>
              <w:t>potřeba financování od jiných institucionálních sektorů není tak velká jako mezi roky 2004-2008</w:t>
            </w:r>
          </w:p>
          <w:p w:rsidR="005D5A35" w:rsidRDefault="005D5A35" w:rsidP="00FA57FD">
            <w:pPr>
              <w:spacing w:line="240" w:lineRule="auto"/>
              <w:rPr>
                <w:color w:val="000000"/>
                <w:sz w:val="16"/>
                <w:szCs w:val="16"/>
              </w:rPr>
            </w:pPr>
          </w:p>
          <w:p w:rsidR="005D5A35" w:rsidRPr="00602D1D" w:rsidRDefault="005D5A35" w:rsidP="00AB5082">
            <w:pPr>
              <w:spacing w:line="240" w:lineRule="auto"/>
              <w:rPr>
                <w:color w:val="000000"/>
                <w:sz w:val="16"/>
                <w:szCs w:val="16"/>
              </w:rPr>
            </w:pPr>
            <w:r>
              <w:rPr>
                <w:color w:val="000000"/>
                <w:sz w:val="16"/>
                <w:szCs w:val="16"/>
              </w:rPr>
              <w:t>Český ekonomický růst se</w:t>
            </w:r>
            <w:r w:rsidR="00AB5082">
              <w:rPr>
                <w:color w:val="000000"/>
                <w:sz w:val="16"/>
                <w:szCs w:val="16"/>
              </w:rPr>
              <w:t> </w:t>
            </w:r>
            <w:r>
              <w:rPr>
                <w:color w:val="000000"/>
                <w:sz w:val="16"/>
                <w:szCs w:val="16"/>
              </w:rPr>
              <w:t xml:space="preserve">odehrává bez úvěrové expanze </w:t>
            </w:r>
          </w:p>
        </w:tc>
        <w:tc>
          <w:tcPr>
            <w:tcW w:w="139" w:type="pct"/>
          </w:tcPr>
          <w:p w:rsidR="005D5A35" w:rsidRDefault="005D5A35" w:rsidP="00FA57FD">
            <w:pPr>
              <w:pStyle w:val="Textpoznpodarou"/>
              <w:jc w:val="both"/>
            </w:pPr>
          </w:p>
        </w:tc>
        <w:tc>
          <w:tcPr>
            <w:tcW w:w="3819" w:type="pct"/>
          </w:tcPr>
          <w:p w:rsidR="005D5A35" w:rsidRDefault="005D5A35" w:rsidP="00FB67DD">
            <w:pPr>
              <w:pStyle w:val="Textpoznpodarou"/>
              <w:jc w:val="both"/>
              <w:rPr>
                <w:color w:val="000000"/>
                <w:spacing w:val="-2"/>
              </w:rPr>
            </w:pPr>
            <w:r>
              <w:rPr>
                <w:color w:val="000000"/>
                <w:spacing w:val="-2"/>
              </w:rPr>
              <w:t>Pokud jde o samotné nefinanční podniky, v tomto instituc</w:t>
            </w:r>
            <w:r w:rsidR="00B06EE6">
              <w:rPr>
                <w:color w:val="000000"/>
                <w:spacing w:val="-2"/>
              </w:rPr>
              <w:t>ionálním sektoru činila v</w:t>
            </w:r>
            <w:r w:rsidR="000458C6">
              <w:rPr>
                <w:color w:val="000000"/>
                <w:spacing w:val="-2"/>
              </w:rPr>
              <w:t> </w:t>
            </w:r>
            <w:r w:rsidR="00B06EE6">
              <w:rPr>
                <w:color w:val="000000"/>
                <w:spacing w:val="-2"/>
              </w:rPr>
              <w:t>roce</w:t>
            </w:r>
            <w:r w:rsidR="000458C6">
              <w:rPr>
                <w:color w:val="000000"/>
                <w:spacing w:val="-2"/>
              </w:rPr>
              <w:t xml:space="preserve"> </w:t>
            </w:r>
            <w:r>
              <w:rPr>
                <w:color w:val="000000"/>
                <w:spacing w:val="-2"/>
              </w:rPr>
              <w:t xml:space="preserve">2014 potřeba financování od ostatních institucionálních sektorů 91,9 mld. </w:t>
            </w:r>
            <w:r>
              <w:rPr>
                <w:color w:val="000000"/>
                <w:spacing w:val="-2"/>
              </w:rPr>
              <w:lastRenderedPageBreak/>
              <w:t xml:space="preserve">korun, což bylo mírně nad průměrem posledních tří let (89,2 mld. korun). K investicím nefinančních podniků do fixních aktiv a zásob v nominální výši 681,5 mld. korun tak opět z velké míry postačovaly jimi vytvořené hrubé úspory (589,6 mld. korun). </w:t>
            </w:r>
          </w:p>
          <w:p w:rsidR="005D5A35" w:rsidRPr="000458C6" w:rsidRDefault="005D5A35" w:rsidP="00FB67DD">
            <w:pPr>
              <w:pStyle w:val="Textpoznpodarou"/>
              <w:jc w:val="both"/>
              <w:rPr>
                <w:color w:val="000000"/>
                <w:spacing w:val="-2"/>
                <w:sz w:val="16"/>
                <w:szCs w:val="16"/>
              </w:rPr>
            </w:pPr>
          </w:p>
          <w:p w:rsidR="005D5A35" w:rsidRDefault="005D5A35" w:rsidP="000458C6">
            <w:pPr>
              <w:pStyle w:val="Textpoznpodarou"/>
              <w:jc w:val="both"/>
              <w:rPr>
                <w:color w:val="000000"/>
                <w:spacing w:val="-2"/>
              </w:rPr>
            </w:pPr>
            <w:r>
              <w:rPr>
                <w:color w:val="000000"/>
                <w:spacing w:val="-2"/>
              </w:rPr>
              <w:t>Tato skutečnost, tj. silná</w:t>
            </w:r>
            <w:r w:rsidR="00AB5082">
              <w:rPr>
                <w:color w:val="000000"/>
                <w:spacing w:val="-2"/>
              </w:rPr>
              <w:t xml:space="preserve"> tvorba hrubých úspor,</w:t>
            </w:r>
            <w:r>
              <w:rPr>
                <w:color w:val="000000"/>
                <w:spacing w:val="-2"/>
              </w:rPr>
              <w:t xml:space="preserve"> se projevila i v tom, že firmy svého růstu dosahovaly s minimálním přírůstkem potřebných cizích zd</w:t>
            </w:r>
            <w:r w:rsidR="00F55CC2">
              <w:rPr>
                <w:color w:val="000000"/>
                <w:spacing w:val="-2"/>
              </w:rPr>
              <w:t>rojů ve form</w:t>
            </w:r>
            <w:r w:rsidR="00B06EE6">
              <w:rPr>
                <w:color w:val="000000"/>
                <w:spacing w:val="-2"/>
              </w:rPr>
              <w:t>ě</w:t>
            </w:r>
            <w:r w:rsidR="00F55CC2">
              <w:rPr>
                <w:color w:val="000000"/>
                <w:spacing w:val="-2"/>
              </w:rPr>
              <w:t xml:space="preserve"> bankovních úvěrů. </w:t>
            </w:r>
            <w:r w:rsidR="00B06EE6">
              <w:rPr>
                <w:color w:val="000000"/>
                <w:spacing w:val="-2"/>
              </w:rPr>
              <w:t xml:space="preserve">Úvěry </w:t>
            </w:r>
            <w:r>
              <w:rPr>
                <w:color w:val="000000"/>
                <w:spacing w:val="-2"/>
              </w:rPr>
              <w:t>nefinančním podnikům od bank v korunách a cizí měně stouply v roce 2014 proti roku 2013 o pouhýc</w:t>
            </w:r>
            <w:r w:rsidR="00AB5082">
              <w:rPr>
                <w:color w:val="000000"/>
                <w:spacing w:val="-2"/>
              </w:rPr>
              <w:t>h</w:t>
            </w:r>
            <w:r>
              <w:rPr>
                <w:color w:val="000000"/>
                <w:spacing w:val="-2"/>
              </w:rPr>
              <w:t xml:space="preserve"> 0,9 %,</w:t>
            </w:r>
            <w:r w:rsidR="00AB5082">
              <w:rPr>
                <w:color w:val="000000"/>
                <w:spacing w:val="-2"/>
              </w:rPr>
              <w:t xml:space="preserve"> </w:t>
            </w:r>
            <w:r w:rsidR="00B06EE6">
              <w:rPr>
                <w:color w:val="000000"/>
                <w:spacing w:val="-2"/>
              </w:rPr>
              <w:t>ale ty</w:t>
            </w:r>
            <w:r>
              <w:rPr>
                <w:color w:val="000000"/>
                <w:spacing w:val="-2"/>
              </w:rPr>
              <w:t xml:space="preserve"> dlouhodobé, tedy určené spíše k financování fixních investic, </w:t>
            </w:r>
            <w:r w:rsidR="00B06EE6">
              <w:rPr>
                <w:color w:val="000000"/>
                <w:spacing w:val="-2"/>
              </w:rPr>
              <w:t>o</w:t>
            </w:r>
            <w:r>
              <w:rPr>
                <w:color w:val="000000"/>
                <w:spacing w:val="-2"/>
              </w:rPr>
              <w:t xml:space="preserve"> 3,8 %. Samotné korunové úvěry firmám však meziročně jen stagnovaly (+0,1 %), dlouhodobé v korunách byly meziročně vyšší o</w:t>
            </w:r>
            <w:r w:rsidR="000458C6">
              <w:rPr>
                <w:color w:val="000000"/>
                <w:spacing w:val="-2"/>
              </w:rPr>
              <w:t> </w:t>
            </w:r>
            <w:r>
              <w:rPr>
                <w:color w:val="000000"/>
                <w:spacing w:val="-2"/>
              </w:rPr>
              <w:t xml:space="preserve">3,6 %. Potvrzuje to, že český ekonomický růst se odehrává bez úvěrové expanze.    </w:t>
            </w:r>
          </w:p>
        </w:tc>
      </w:tr>
    </w:tbl>
    <w:p w:rsidR="005D5A35" w:rsidRPr="00347DF6" w:rsidRDefault="005D5A35" w:rsidP="00686D87">
      <w:pPr>
        <w:rPr>
          <w:b/>
          <w:sz w:val="14"/>
          <w:szCs w:val="14"/>
        </w:rPr>
      </w:pPr>
    </w:p>
    <w:tbl>
      <w:tblPr>
        <w:tblW w:w="5021" w:type="pct"/>
        <w:tblLayout w:type="fixed"/>
        <w:tblCellMar>
          <w:left w:w="28" w:type="dxa"/>
          <w:right w:w="28" w:type="dxa"/>
        </w:tblCellMar>
        <w:tblLook w:val="00A0"/>
      </w:tblPr>
      <w:tblGrid>
        <w:gridCol w:w="732"/>
        <w:gridCol w:w="4079"/>
        <w:gridCol w:w="705"/>
        <w:gridCol w:w="4219"/>
      </w:tblGrid>
      <w:tr w:rsidR="005D5A35" w:rsidRPr="00817C98" w:rsidTr="00FA57FD">
        <w:tc>
          <w:tcPr>
            <w:tcW w:w="373" w:type="pct"/>
          </w:tcPr>
          <w:p w:rsidR="005D5A35" w:rsidRDefault="005D5A35" w:rsidP="00347DF6">
            <w:pPr>
              <w:spacing w:line="240" w:lineRule="auto"/>
            </w:pPr>
            <w:r>
              <w:t>Graf č.</w:t>
            </w:r>
            <w:r w:rsidR="00347DF6">
              <w:t> </w:t>
            </w:r>
            <w:r>
              <w:t>2</w:t>
            </w:r>
            <w:r w:rsidR="00F55CC2">
              <w:t>3</w:t>
            </w:r>
          </w:p>
        </w:tc>
        <w:tc>
          <w:tcPr>
            <w:tcW w:w="2077" w:type="pct"/>
          </w:tcPr>
          <w:p w:rsidR="005D5A35" w:rsidRDefault="005D5A35" w:rsidP="00FB67DD">
            <w:pPr>
              <w:pStyle w:val="Textpoznpodarou"/>
              <w:rPr>
                <w:rFonts w:cs="Arial"/>
                <w:b/>
                <w:bCs/>
              </w:rPr>
            </w:pPr>
            <w:r>
              <w:rPr>
                <w:rFonts w:cs="Arial"/>
                <w:b/>
                <w:bCs/>
              </w:rPr>
              <w:t xml:space="preserve">Ekonomika ČR celkem – potřeba financování investic z vnějších zdrojů </w:t>
            </w:r>
          </w:p>
          <w:p w:rsidR="005D5A35" w:rsidRDefault="005D5A35" w:rsidP="00FB67DD">
            <w:pPr>
              <w:pStyle w:val="Textpoznpodarou"/>
              <w:rPr>
                <w:rFonts w:cs="Arial"/>
                <w:szCs w:val="24"/>
              </w:rPr>
            </w:pPr>
            <w:r w:rsidRPr="00DB06E9">
              <w:rPr>
                <w:rFonts w:cs="Arial"/>
                <w:bCs/>
              </w:rPr>
              <w:t>(v m</w:t>
            </w:r>
            <w:r>
              <w:rPr>
                <w:rFonts w:cs="Arial"/>
                <w:bCs/>
              </w:rPr>
              <w:t>il.</w:t>
            </w:r>
            <w:r w:rsidRPr="00DB06E9">
              <w:rPr>
                <w:rFonts w:cs="Arial"/>
                <w:bCs/>
              </w:rPr>
              <w:t xml:space="preserve"> korun)</w:t>
            </w:r>
          </w:p>
        </w:tc>
        <w:tc>
          <w:tcPr>
            <w:tcW w:w="359" w:type="pct"/>
          </w:tcPr>
          <w:p w:rsidR="005D5A35" w:rsidRDefault="005D5A35" w:rsidP="00347DF6">
            <w:pPr>
              <w:spacing w:line="240" w:lineRule="auto"/>
            </w:pPr>
            <w:r>
              <w:t>Graf č.</w:t>
            </w:r>
            <w:r w:rsidR="00347DF6">
              <w:t> </w:t>
            </w:r>
            <w:r>
              <w:t>2</w:t>
            </w:r>
            <w:r w:rsidR="00F55CC2">
              <w:t>4</w:t>
            </w:r>
          </w:p>
        </w:tc>
        <w:tc>
          <w:tcPr>
            <w:tcW w:w="2148" w:type="pct"/>
          </w:tcPr>
          <w:p w:rsidR="005D5A35" w:rsidRPr="00817C98" w:rsidRDefault="005D5A35" w:rsidP="00FB67DD">
            <w:pPr>
              <w:spacing w:line="240" w:lineRule="auto"/>
              <w:rPr>
                <w:rFonts w:cs="Arial"/>
                <w:b/>
                <w:bCs/>
              </w:rPr>
            </w:pPr>
            <w:r>
              <w:rPr>
                <w:rFonts w:cs="Arial"/>
                <w:b/>
                <w:bCs/>
              </w:rPr>
              <w:t>Nefinanční podniky – potřeba financování investic z vnějších zdrojů</w:t>
            </w:r>
            <w:r w:rsidR="00AB5082">
              <w:rPr>
                <w:rFonts w:cs="Arial"/>
                <w:b/>
                <w:bCs/>
              </w:rPr>
              <w:t xml:space="preserve"> </w:t>
            </w:r>
            <w:r w:rsidRPr="00DB06E9">
              <w:rPr>
                <w:rFonts w:cs="Arial"/>
                <w:bCs/>
              </w:rPr>
              <w:t>(v m</w:t>
            </w:r>
            <w:r>
              <w:rPr>
                <w:rFonts w:cs="Arial"/>
                <w:bCs/>
              </w:rPr>
              <w:t>i</w:t>
            </w:r>
            <w:r w:rsidRPr="00DB06E9">
              <w:rPr>
                <w:rFonts w:cs="Arial"/>
                <w:bCs/>
              </w:rPr>
              <w:t>l. korun)</w:t>
            </w:r>
          </w:p>
        </w:tc>
      </w:tr>
      <w:tr w:rsidR="005D5A35" w:rsidTr="00FA57FD">
        <w:tc>
          <w:tcPr>
            <w:tcW w:w="2450" w:type="pct"/>
            <w:gridSpan w:val="2"/>
          </w:tcPr>
          <w:p w:rsidR="005D5A35" w:rsidRPr="00AE6D73" w:rsidRDefault="00513C6F" w:rsidP="00FA57FD">
            <w:pPr>
              <w:pStyle w:val="Textpoznpodarou"/>
              <w:jc w:val="both"/>
            </w:pPr>
            <w:r>
              <w:pict>
                <v:shape id="_x0000_i1102" type="#_x0000_t75" style="width:235.5pt;height:198.75pt">
                  <v:imagedata r:id="rId94" o:title=""/>
                </v:shape>
              </w:pict>
            </w:r>
          </w:p>
        </w:tc>
        <w:tc>
          <w:tcPr>
            <w:tcW w:w="2507" w:type="pct"/>
            <w:gridSpan w:val="2"/>
          </w:tcPr>
          <w:p w:rsidR="005D5A35" w:rsidRPr="00AE6D73" w:rsidRDefault="00513C6F" w:rsidP="00347DF6">
            <w:pPr>
              <w:pStyle w:val="Textpoznpodarou"/>
              <w:jc w:val="right"/>
            </w:pPr>
            <w:r>
              <w:pict>
                <v:shape id="_x0000_i1103" type="#_x0000_t75" style="width:240.75pt;height:198pt">
                  <v:imagedata r:id="rId95" o:title=""/>
                </v:shape>
              </w:pict>
            </w:r>
          </w:p>
        </w:tc>
      </w:tr>
    </w:tbl>
    <w:p w:rsidR="005D5A35" w:rsidRPr="00EA7135" w:rsidRDefault="00A85332" w:rsidP="00EA7135">
      <w:pPr>
        <w:jc w:val="right"/>
        <w:rPr>
          <w:sz w:val="18"/>
          <w:szCs w:val="18"/>
        </w:rPr>
      </w:pPr>
      <w:r>
        <w:rPr>
          <w:sz w:val="18"/>
          <w:szCs w:val="18"/>
        </w:rPr>
        <w:t>Zdroj</w:t>
      </w:r>
      <w:r w:rsidR="005D5A35" w:rsidRPr="00EA7135">
        <w:rPr>
          <w:sz w:val="18"/>
          <w:szCs w:val="18"/>
        </w:rPr>
        <w:t>: ČSÚ</w:t>
      </w:r>
    </w:p>
    <w:p w:rsidR="005D5A35" w:rsidRPr="00347DF6" w:rsidRDefault="005D5A35" w:rsidP="00686D87">
      <w:pPr>
        <w:rPr>
          <w:b/>
          <w:sz w:val="16"/>
          <w:szCs w:val="16"/>
        </w:rPr>
      </w:pPr>
    </w:p>
    <w:p w:rsidR="005D5A35" w:rsidRPr="006E15CB" w:rsidRDefault="005D5A35" w:rsidP="008B0C8B">
      <w:pPr>
        <w:pStyle w:val="Nadpis2"/>
        <w:numPr>
          <w:ilvl w:val="1"/>
          <w:numId w:val="6"/>
        </w:numPr>
      </w:pPr>
      <w:bookmarkStart w:id="32" w:name="_Toc426017674"/>
      <w:r w:rsidRPr="006E15CB">
        <w:t>Ostatní nerovnováhy</w:t>
      </w:r>
      <w:bookmarkEnd w:id="32"/>
    </w:p>
    <w:p w:rsidR="005D5A35" w:rsidRDefault="005D5A35" w:rsidP="00A85332">
      <w:pPr>
        <w:spacing w:line="240" w:lineRule="auto"/>
        <w:jc w:val="both"/>
        <w:rPr>
          <w:szCs w:val="20"/>
        </w:rPr>
      </w:pPr>
      <w:r>
        <w:rPr>
          <w:szCs w:val="20"/>
        </w:rPr>
        <w:t>Kromě vybraných makroekonomických nerovnováh, kterými je nejčastěji popisována stabilita v ekonomice, l</w:t>
      </w:r>
      <w:r w:rsidR="00B155A3">
        <w:rPr>
          <w:szCs w:val="20"/>
        </w:rPr>
        <w:t>z</w:t>
      </w:r>
      <w:r>
        <w:rPr>
          <w:szCs w:val="20"/>
        </w:rPr>
        <w:t>e obecně identifikovat i další „nepoměry“. Soustřeďme se v dalším na vybrané indikátory v podobě stavů „příchozích“ a „odchozích“ přímých investic, vztahy dividend a reinvestovaných zisků a také vývoje mezd a</w:t>
      </w:r>
      <w:r w:rsidR="00AB5082">
        <w:rPr>
          <w:szCs w:val="20"/>
        </w:rPr>
        <w:t> </w:t>
      </w:r>
      <w:r>
        <w:rPr>
          <w:szCs w:val="20"/>
        </w:rPr>
        <w:t>zisků nefinančních podniků v důchodovém pojetí HDP.</w:t>
      </w:r>
    </w:p>
    <w:p w:rsidR="005D5A35" w:rsidRPr="008241C2" w:rsidRDefault="005D5A35" w:rsidP="00686D87">
      <w:pPr>
        <w:rPr>
          <w:szCs w:val="20"/>
        </w:rPr>
      </w:pPr>
      <w:r>
        <w:rPr>
          <w:szCs w:val="20"/>
        </w:rPr>
        <w:t xml:space="preserve"> </w:t>
      </w:r>
    </w:p>
    <w:p w:rsidR="005D5A35" w:rsidRPr="006E15CB" w:rsidRDefault="005D5A35" w:rsidP="008B0C8B">
      <w:pPr>
        <w:pStyle w:val="Nadpis3"/>
        <w:numPr>
          <w:ilvl w:val="2"/>
          <w:numId w:val="6"/>
        </w:numPr>
      </w:pPr>
      <w:bookmarkStart w:id="33" w:name="_Toc426017675"/>
      <w:r w:rsidRPr="006E15CB">
        <w:t>Přímé zahraniční investice</w:t>
      </w:r>
      <w:bookmarkEnd w:id="33"/>
    </w:p>
    <w:tbl>
      <w:tblPr>
        <w:tblW w:w="5043" w:type="pct"/>
        <w:tblInd w:w="-42" w:type="dxa"/>
        <w:tblCellMar>
          <w:left w:w="28" w:type="dxa"/>
          <w:right w:w="28" w:type="dxa"/>
        </w:tblCellMar>
        <w:tblLook w:val="00A0"/>
      </w:tblPr>
      <w:tblGrid>
        <w:gridCol w:w="41"/>
        <w:gridCol w:w="731"/>
        <w:gridCol w:w="1265"/>
        <w:gridCol w:w="272"/>
        <w:gridCol w:w="2542"/>
        <w:gridCol w:w="706"/>
        <w:gridCol w:w="4220"/>
      </w:tblGrid>
      <w:tr w:rsidR="005D5A35" w:rsidTr="00347DF6">
        <w:tc>
          <w:tcPr>
            <w:tcW w:w="1042" w:type="pct"/>
            <w:gridSpan w:val="3"/>
          </w:tcPr>
          <w:p w:rsidR="005D5A35" w:rsidRPr="00602D1D" w:rsidRDefault="005D5A35" w:rsidP="00AB5082">
            <w:pPr>
              <w:spacing w:line="240" w:lineRule="auto"/>
              <w:rPr>
                <w:color w:val="000000"/>
                <w:sz w:val="16"/>
                <w:szCs w:val="16"/>
              </w:rPr>
            </w:pPr>
            <w:r>
              <w:rPr>
                <w:color w:val="000000"/>
                <w:sz w:val="16"/>
                <w:szCs w:val="16"/>
              </w:rPr>
              <w:t>Česká republika přijala do</w:t>
            </w:r>
            <w:r w:rsidR="00AB5082">
              <w:rPr>
                <w:color w:val="000000"/>
                <w:sz w:val="16"/>
                <w:szCs w:val="16"/>
              </w:rPr>
              <w:t> </w:t>
            </w:r>
            <w:r>
              <w:rPr>
                <w:color w:val="000000"/>
                <w:sz w:val="16"/>
                <w:szCs w:val="16"/>
              </w:rPr>
              <w:t>konce</w:t>
            </w:r>
            <w:r w:rsidR="00AB5082">
              <w:rPr>
                <w:color w:val="000000"/>
                <w:sz w:val="16"/>
                <w:szCs w:val="16"/>
              </w:rPr>
              <w:t xml:space="preserve"> roku 2014 celkem 2,775 bilionu</w:t>
            </w:r>
            <w:r>
              <w:rPr>
                <w:color w:val="000000"/>
                <w:sz w:val="16"/>
                <w:szCs w:val="16"/>
              </w:rPr>
              <w:t xml:space="preserve"> přímých i</w:t>
            </w:r>
            <w:r w:rsidR="00AB5082">
              <w:rPr>
                <w:color w:val="000000"/>
                <w:sz w:val="16"/>
                <w:szCs w:val="16"/>
              </w:rPr>
              <w:t>n</w:t>
            </w:r>
            <w:r>
              <w:rPr>
                <w:color w:val="000000"/>
                <w:sz w:val="16"/>
                <w:szCs w:val="16"/>
              </w:rPr>
              <w:t>vestic ze zahraničí…</w:t>
            </w:r>
          </w:p>
        </w:tc>
        <w:tc>
          <w:tcPr>
            <w:tcW w:w="139" w:type="pct"/>
          </w:tcPr>
          <w:p w:rsidR="005D5A35" w:rsidRDefault="005D5A35" w:rsidP="007351BA">
            <w:pPr>
              <w:pStyle w:val="Textpoznpodarou"/>
              <w:jc w:val="both"/>
            </w:pPr>
          </w:p>
        </w:tc>
        <w:tc>
          <w:tcPr>
            <w:tcW w:w="3819" w:type="pct"/>
            <w:gridSpan w:val="3"/>
          </w:tcPr>
          <w:p w:rsidR="005D5A35" w:rsidRDefault="005D5A35" w:rsidP="007351BA">
            <w:pPr>
              <w:pStyle w:val="Textpoznpodarou"/>
              <w:jc w:val="both"/>
              <w:rPr>
                <w:color w:val="000000"/>
                <w:spacing w:val="-2"/>
              </w:rPr>
            </w:pPr>
            <w:r>
              <w:rPr>
                <w:color w:val="000000"/>
                <w:spacing w:val="-2"/>
              </w:rPr>
              <w:t>Koncem roku 2014 bylo</w:t>
            </w:r>
            <w:r w:rsidR="009C2524">
              <w:rPr>
                <w:color w:val="000000"/>
                <w:spacing w:val="-2"/>
              </w:rPr>
              <w:t xml:space="preserve"> do ekonomiky České republiky </w:t>
            </w:r>
            <w:proofErr w:type="spellStart"/>
            <w:r w:rsidR="009C2524">
              <w:rPr>
                <w:color w:val="000000"/>
                <w:spacing w:val="-2"/>
              </w:rPr>
              <w:t>na</w:t>
            </w:r>
            <w:r>
              <w:rPr>
                <w:color w:val="000000"/>
                <w:spacing w:val="-2"/>
              </w:rPr>
              <w:t>investováno</w:t>
            </w:r>
            <w:proofErr w:type="spellEnd"/>
            <w:r>
              <w:rPr>
                <w:color w:val="000000"/>
                <w:spacing w:val="-2"/>
              </w:rPr>
              <w:t xml:space="preserve"> ve formě přímých zahraničních investic celkem 2 775 mld. korun (vč. investic, které se vracely zpět do mateřských společností, jde tedy o stavy investic v čistém vyjádření). Naproti tomu srovnatelné stavy investic českých subjektů v zahraničí dosahovaly závěrem roku 2014 celkem 434,8 mld. korun, což bylo jen 15,7 % výše zmíněné úrovně investic, které přišly do České republiky (graf </w:t>
            </w:r>
            <w:r w:rsidR="00B06EE6">
              <w:rPr>
                <w:color w:val="000000"/>
                <w:spacing w:val="-2"/>
              </w:rPr>
              <w:t>25</w:t>
            </w:r>
            <w:r>
              <w:rPr>
                <w:color w:val="000000"/>
                <w:spacing w:val="-2"/>
              </w:rPr>
              <w:t xml:space="preserve">). </w:t>
            </w:r>
          </w:p>
          <w:p w:rsidR="005D5A35" w:rsidRPr="00347DF6" w:rsidRDefault="005D5A35" w:rsidP="007351BA">
            <w:pPr>
              <w:pStyle w:val="Textpoznpodarou"/>
              <w:jc w:val="both"/>
              <w:rPr>
                <w:color w:val="000000"/>
                <w:spacing w:val="-2"/>
                <w:sz w:val="16"/>
                <w:szCs w:val="16"/>
              </w:rPr>
            </w:pPr>
          </w:p>
        </w:tc>
      </w:tr>
      <w:tr w:rsidR="005D5A35" w:rsidTr="00347DF6">
        <w:tc>
          <w:tcPr>
            <w:tcW w:w="1042" w:type="pct"/>
            <w:gridSpan w:val="3"/>
          </w:tcPr>
          <w:p w:rsidR="005D5A35" w:rsidRDefault="005D5A35" w:rsidP="003046B3">
            <w:pPr>
              <w:spacing w:line="240" w:lineRule="auto"/>
              <w:rPr>
                <w:color w:val="000000"/>
                <w:sz w:val="16"/>
                <w:szCs w:val="16"/>
              </w:rPr>
            </w:pPr>
            <w:r>
              <w:rPr>
                <w:color w:val="000000"/>
                <w:sz w:val="16"/>
                <w:szCs w:val="16"/>
              </w:rPr>
              <w:t xml:space="preserve">… přičemž české subjekty </w:t>
            </w:r>
            <w:proofErr w:type="spellStart"/>
            <w:r>
              <w:rPr>
                <w:color w:val="000000"/>
                <w:sz w:val="16"/>
                <w:szCs w:val="16"/>
              </w:rPr>
              <w:t>nainvestovaly</w:t>
            </w:r>
            <w:proofErr w:type="spellEnd"/>
            <w:r>
              <w:rPr>
                <w:color w:val="000000"/>
                <w:sz w:val="16"/>
                <w:szCs w:val="16"/>
              </w:rPr>
              <w:t xml:space="preserve"> do zahraničí 435 mld. korun –</w:t>
            </w:r>
            <w:r w:rsidR="00B06EE6">
              <w:rPr>
                <w:color w:val="000000"/>
                <w:sz w:val="16"/>
                <w:szCs w:val="16"/>
              </w:rPr>
              <w:t xml:space="preserve"> </w:t>
            </w:r>
            <w:r>
              <w:rPr>
                <w:color w:val="000000"/>
                <w:sz w:val="16"/>
                <w:szCs w:val="16"/>
              </w:rPr>
              <w:t>byla to zhruba šestina stavu</w:t>
            </w:r>
            <w:r w:rsidR="00AB5082">
              <w:rPr>
                <w:color w:val="000000"/>
                <w:sz w:val="16"/>
                <w:szCs w:val="16"/>
              </w:rPr>
              <w:t xml:space="preserve"> přímých zahraničních investic d</w:t>
            </w:r>
            <w:r>
              <w:rPr>
                <w:color w:val="000000"/>
                <w:sz w:val="16"/>
                <w:szCs w:val="16"/>
              </w:rPr>
              <w:t>o ČR, které se však již nacházejí ve třetí fázi sv</w:t>
            </w:r>
            <w:r w:rsidR="00AB5082">
              <w:rPr>
                <w:color w:val="000000"/>
                <w:sz w:val="16"/>
                <w:szCs w:val="16"/>
              </w:rPr>
              <w:t>ého cyklu (převažují repatriace</w:t>
            </w:r>
            <w:r>
              <w:rPr>
                <w:color w:val="000000"/>
                <w:sz w:val="16"/>
                <w:szCs w:val="16"/>
              </w:rPr>
              <w:t xml:space="preserve"> zisků)</w:t>
            </w:r>
          </w:p>
        </w:tc>
        <w:tc>
          <w:tcPr>
            <w:tcW w:w="139" w:type="pct"/>
          </w:tcPr>
          <w:p w:rsidR="005D5A35" w:rsidRDefault="005D5A35" w:rsidP="007351BA">
            <w:pPr>
              <w:pStyle w:val="Textpoznpodarou"/>
              <w:jc w:val="both"/>
            </w:pPr>
          </w:p>
        </w:tc>
        <w:tc>
          <w:tcPr>
            <w:tcW w:w="3819" w:type="pct"/>
            <w:gridSpan w:val="3"/>
          </w:tcPr>
          <w:p w:rsidR="005D5A35" w:rsidRDefault="005D5A35" w:rsidP="007351BA">
            <w:pPr>
              <w:pStyle w:val="Textpoznpodarou"/>
              <w:jc w:val="both"/>
              <w:rPr>
                <w:color w:val="000000"/>
                <w:spacing w:val="-2"/>
              </w:rPr>
            </w:pPr>
            <w:r>
              <w:rPr>
                <w:color w:val="000000"/>
                <w:spacing w:val="-2"/>
              </w:rPr>
              <w:t>Jde tedy o výrazný nepoměr umocněný časovým horizontem přílivu a časovým horizontem „odchozích“ investic. Zatímco u přímých investic do České republiky jde o</w:t>
            </w:r>
            <w:r w:rsidR="009D3B5E">
              <w:rPr>
                <w:color w:val="000000"/>
                <w:spacing w:val="-2"/>
              </w:rPr>
              <w:t> </w:t>
            </w:r>
            <w:r>
              <w:rPr>
                <w:color w:val="000000"/>
                <w:spacing w:val="-2"/>
              </w:rPr>
              <w:t>tzv. třetí fázi projevující se převýšením výnosů (dividend), které si zahraniční vlastníci odčerpávají zpět do mateřských společností</w:t>
            </w:r>
            <w:r w:rsidR="004601C1">
              <w:rPr>
                <w:color w:val="000000"/>
                <w:spacing w:val="-2"/>
              </w:rPr>
              <w:t>,</w:t>
            </w:r>
            <w:r>
              <w:rPr>
                <w:color w:val="000000"/>
                <w:spacing w:val="-2"/>
              </w:rPr>
              <w:t xml:space="preserve"> nad reinvest</w:t>
            </w:r>
            <w:r w:rsidR="004E5B4E">
              <w:rPr>
                <w:color w:val="000000"/>
                <w:spacing w:val="-2"/>
              </w:rPr>
              <w:t>ovanými zisky (více v kapitole 5</w:t>
            </w:r>
            <w:r>
              <w:rPr>
                <w:color w:val="000000"/>
                <w:spacing w:val="-2"/>
              </w:rPr>
              <w:t>.4.2.), u přímých investic českých subjektů do zahraničí jde teprve o</w:t>
            </w:r>
            <w:r w:rsidR="004601C1">
              <w:rPr>
                <w:color w:val="000000"/>
                <w:spacing w:val="-2"/>
              </w:rPr>
              <w:t> </w:t>
            </w:r>
            <w:r>
              <w:rPr>
                <w:color w:val="000000"/>
                <w:spacing w:val="-2"/>
              </w:rPr>
              <w:t>první fázi (v roce 2014 získali čeští přímí investoři na dividendách 5,3 mld. korun a</w:t>
            </w:r>
            <w:r w:rsidR="009D3B5E">
              <w:rPr>
                <w:color w:val="000000"/>
                <w:spacing w:val="-2"/>
              </w:rPr>
              <w:t> </w:t>
            </w:r>
            <w:r>
              <w:rPr>
                <w:color w:val="000000"/>
                <w:spacing w:val="-2"/>
              </w:rPr>
              <w:t xml:space="preserve">reinvestovali zisky ve výši 23,7 mld. korun). </w:t>
            </w:r>
          </w:p>
          <w:p w:rsidR="005D5A35" w:rsidRPr="00347DF6" w:rsidRDefault="005D5A35" w:rsidP="007351BA">
            <w:pPr>
              <w:pStyle w:val="Textpoznpodarou"/>
              <w:jc w:val="both"/>
              <w:rPr>
                <w:color w:val="000000"/>
                <w:spacing w:val="-2"/>
                <w:sz w:val="16"/>
                <w:szCs w:val="16"/>
              </w:rPr>
            </w:pPr>
          </w:p>
        </w:tc>
      </w:tr>
      <w:tr w:rsidR="005D5A35" w:rsidTr="00347DF6">
        <w:tc>
          <w:tcPr>
            <w:tcW w:w="1042" w:type="pct"/>
            <w:gridSpan w:val="3"/>
          </w:tcPr>
          <w:p w:rsidR="005D5A35" w:rsidRPr="00602D1D" w:rsidRDefault="005D5A35" w:rsidP="009D3B5E">
            <w:pPr>
              <w:spacing w:line="240" w:lineRule="auto"/>
              <w:rPr>
                <w:color w:val="000000"/>
                <w:sz w:val="16"/>
                <w:szCs w:val="16"/>
              </w:rPr>
            </w:pPr>
            <w:r>
              <w:rPr>
                <w:color w:val="000000"/>
                <w:sz w:val="16"/>
                <w:szCs w:val="16"/>
              </w:rPr>
              <w:t>Ve stavech přímých zahraničních investic do</w:t>
            </w:r>
            <w:r w:rsidR="009D3B5E">
              <w:rPr>
                <w:color w:val="000000"/>
                <w:sz w:val="16"/>
                <w:szCs w:val="16"/>
              </w:rPr>
              <w:t> </w:t>
            </w:r>
            <w:r>
              <w:rPr>
                <w:color w:val="000000"/>
                <w:sz w:val="16"/>
                <w:szCs w:val="16"/>
              </w:rPr>
              <w:t>ĆR</w:t>
            </w:r>
            <w:r w:rsidR="009D3B5E">
              <w:rPr>
                <w:color w:val="000000"/>
                <w:sz w:val="16"/>
                <w:szCs w:val="16"/>
              </w:rPr>
              <w:t>,</w:t>
            </w:r>
            <w:r>
              <w:rPr>
                <w:color w:val="000000"/>
                <w:sz w:val="16"/>
                <w:szCs w:val="16"/>
              </w:rPr>
              <w:t xml:space="preserve"> co se struktury týká</w:t>
            </w:r>
            <w:r w:rsidR="009D3B5E">
              <w:rPr>
                <w:color w:val="000000"/>
                <w:sz w:val="16"/>
                <w:szCs w:val="16"/>
              </w:rPr>
              <w:t>,</w:t>
            </w:r>
            <w:r w:rsidR="00B06EE6">
              <w:rPr>
                <w:color w:val="000000"/>
                <w:sz w:val="16"/>
                <w:szCs w:val="16"/>
              </w:rPr>
              <w:t xml:space="preserve"> </w:t>
            </w:r>
            <w:r>
              <w:rPr>
                <w:color w:val="000000"/>
                <w:sz w:val="16"/>
                <w:szCs w:val="16"/>
              </w:rPr>
              <w:t>stále mírně převažují kapitálové vstupy nad</w:t>
            </w:r>
            <w:r w:rsidR="009D3B5E">
              <w:rPr>
                <w:color w:val="000000"/>
                <w:sz w:val="16"/>
                <w:szCs w:val="16"/>
              </w:rPr>
              <w:t> </w:t>
            </w:r>
            <w:r>
              <w:rPr>
                <w:color w:val="000000"/>
                <w:sz w:val="16"/>
                <w:szCs w:val="16"/>
              </w:rPr>
              <w:t>reinvestovanými zisky</w:t>
            </w:r>
          </w:p>
        </w:tc>
        <w:tc>
          <w:tcPr>
            <w:tcW w:w="139" w:type="pct"/>
          </w:tcPr>
          <w:p w:rsidR="005D5A35" w:rsidRDefault="005D5A35" w:rsidP="00FA57FD">
            <w:pPr>
              <w:pStyle w:val="Textpoznpodarou"/>
              <w:jc w:val="both"/>
            </w:pPr>
          </w:p>
        </w:tc>
        <w:tc>
          <w:tcPr>
            <w:tcW w:w="3819" w:type="pct"/>
            <w:gridSpan w:val="3"/>
          </w:tcPr>
          <w:p w:rsidR="005D5A35" w:rsidRDefault="005D5A35" w:rsidP="002F3C26">
            <w:pPr>
              <w:pStyle w:val="Textpoznpodarou"/>
              <w:jc w:val="both"/>
              <w:rPr>
                <w:color w:val="000000"/>
                <w:spacing w:val="-2"/>
              </w:rPr>
            </w:pPr>
            <w:r>
              <w:rPr>
                <w:color w:val="000000"/>
                <w:spacing w:val="-2"/>
              </w:rPr>
              <w:t>Ve struktuře přímých investic do ČR podle jejich charakteru i přes relativně silnou váhu reinvestovaných zisků stále převažují – i když velmi mírně -  kapitálové vstupy (50,2 % celkového stavu přímých zahraničních investic do ČR</w:t>
            </w:r>
            <w:r w:rsidR="002B798E">
              <w:rPr>
                <w:color w:val="000000"/>
                <w:spacing w:val="-2"/>
              </w:rPr>
              <w:t>)</w:t>
            </w:r>
            <w:r>
              <w:rPr>
                <w:color w:val="000000"/>
                <w:spacing w:val="-2"/>
              </w:rPr>
              <w:t>. Na reinvestované zisky připadá 42 % úhrnného stavu, zbytek pak tvoří tzv. Ostatní kapitál představující především půjčky mateřských společností dceřiným společnostem v ČR.</w:t>
            </w:r>
          </w:p>
        </w:tc>
      </w:tr>
      <w:tr w:rsidR="005D5A35" w:rsidRPr="00817C98" w:rsidTr="00347DF6">
        <w:trPr>
          <w:gridBefore w:val="1"/>
          <w:wBefore w:w="21" w:type="pct"/>
        </w:trPr>
        <w:tc>
          <w:tcPr>
            <w:tcW w:w="374" w:type="pct"/>
          </w:tcPr>
          <w:p w:rsidR="005D5A35" w:rsidRDefault="005D5A35" w:rsidP="00347DF6">
            <w:pPr>
              <w:spacing w:line="240" w:lineRule="auto"/>
            </w:pPr>
            <w:r>
              <w:lastRenderedPageBreak/>
              <w:t>Graf č.</w:t>
            </w:r>
            <w:r w:rsidR="00347DF6">
              <w:t> </w:t>
            </w:r>
            <w:r w:rsidR="00F55CC2">
              <w:t>25</w:t>
            </w:r>
          </w:p>
        </w:tc>
        <w:tc>
          <w:tcPr>
            <w:tcW w:w="2086" w:type="pct"/>
            <w:gridSpan w:val="3"/>
          </w:tcPr>
          <w:p w:rsidR="005D5A35" w:rsidRDefault="005D5A35" w:rsidP="00CB43BC">
            <w:pPr>
              <w:pStyle w:val="Textpoznpodarou"/>
              <w:rPr>
                <w:rFonts w:cs="Arial"/>
                <w:szCs w:val="24"/>
              </w:rPr>
            </w:pPr>
            <w:r>
              <w:rPr>
                <w:rFonts w:cs="Arial"/>
                <w:b/>
                <w:bCs/>
              </w:rPr>
              <w:t xml:space="preserve">Stavy přímých zahraničních investic do ČR a přímých investic českých subjektů v zahraničí </w:t>
            </w:r>
            <w:r w:rsidRPr="00DB06E9">
              <w:rPr>
                <w:rFonts w:cs="Arial"/>
                <w:bCs/>
              </w:rPr>
              <w:t>(v mld. korun)</w:t>
            </w:r>
          </w:p>
        </w:tc>
        <w:tc>
          <w:tcPr>
            <w:tcW w:w="361" w:type="pct"/>
          </w:tcPr>
          <w:p w:rsidR="005D5A35" w:rsidRDefault="005D5A35" w:rsidP="00347DF6">
            <w:pPr>
              <w:spacing w:line="240" w:lineRule="auto"/>
            </w:pPr>
            <w:r>
              <w:t>Graf č.</w:t>
            </w:r>
            <w:r w:rsidR="00347DF6">
              <w:t> </w:t>
            </w:r>
            <w:r>
              <w:t>2</w:t>
            </w:r>
            <w:r w:rsidR="00F55CC2">
              <w:t>6</w:t>
            </w:r>
          </w:p>
        </w:tc>
        <w:tc>
          <w:tcPr>
            <w:tcW w:w="2158" w:type="pct"/>
          </w:tcPr>
          <w:p w:rsidR="005D5A35" w:rsidRPr="00817C98" w:rsidRDefault="005D5A35" w:rsidP="00B06EE6">
            <w:pPr>
              <w:spacing w:line="240" w:lineRule="auto"/>
              <w:rPr>
                <w:rFonts w:cs="Arial"/>
                <w:b/>
                <w:bCs/>
              </w:rPr>
            </w:pPr>
            <w:r>
              <w:rPr>
                <w:rFonts w:cs="Arial"/>
                <w:b/>
                <w:bCs/>
              </w:rPr>
              <w:t xml:space="preserve">Roční příliv přímých investic do ČR a přímých investic českých subjektů do zahraničí </w:t>
            </w:r>
            <w:r w:rsidRPr="00DB06E9">
              <w:rPr>
                <w:rFonts w:cs="Arial"/>
                <w:bCs/>
              </w:rPr>
              <w:t>(v mld. korun)</w:t>
            </w:r>
          </w:p>
        </w:tc>
      </w:tr>
      <w:tr w:rsidR="005D5A35" w:rsidTr="00347DF6">
        <w:trPr>
          <w:gridBefore w:val="1"/>
          <w:wBefore w:w="21" w:type="pct"/>
        </w:trPr>
        <w:tc>
          <w:tcPr>
            <w:tcW w:w="2460" w:type="pct"/>
            <w:gridSpan w:val="4"/>
          </w:tcPr>
          <w:p w:rsidR="005D5A35" w:rsidRDefault="00513C6F" w:rsidP="007351BA">
            <w:pPr>
              <w:pStyle w:val="Textpoznpodarou"/>
              <w:jc w:val="both"/>
            </w:pPr>
            <w:r>
              <w:rPr>
                <w:noProof/>
              </w:rPr>
              <w:pict>
                <v:shape id="Graf 8" o:spid="_x0000_i1104" type="#_x0000_t75" style="width:228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">
                  <v:imagedata r:id="rId96" o:title=""/>
                  <o:lock v:ext="edit" aspectratio="f"/>
                </v:shape>
              </w:pict>
            </w:r>
          </w:p>
        </w:tc>
        <w:tc>
          <w:tcPr>
            <w:tcW w:w="2518" w:type="pct"/>
            <w:gridSpan w:val="2"/>
          </w:tcPr>
          <w:p w:rsidR="005D5A35" w:rsidRDefault="00513C6F" w:rsidP="007351BA">
            <w:pPr>
              <w:pStyle w:val="Textpoznpodarou"/>
              <w:jc w:val="both"/>
            </w:pPr>
            <w:r>
              <w:rPr>
                <w:noProof/>
              </w:rPr>
              <w:pict>
                <v:shape id="_x0000_i1105" type="#_x0000_t75" style="width:239.25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">
                  <v:imagedata r:id="rId97" o:title=""/>
                  <o:lock v:ext="edit" aspectratio="f"/>
                </v:shape>
              </w:pict>
            </w:r>
          </w:p>
        </w:tc>
      </w:tr>
    </w:tbl>
    <w:p w:rsidR="005D5A35" w:rsidRPr="00C10982" w:rsidRDefault="00BF1B37" w:rsidP="005C59F6">
      <w:pPr>
        <w:jc w:val="right"/>
        <w:rPr>
          <w:sz w:val="18"/>
          <w:szCs w:val="18"/>
        </w:rPr>
      </w:pPr>
      <w:r w:rsidRPr="00C10982">
        <w:rPr>
          <w:sz w:val="18"/>
          <w:szCs w:val="18"/>
        </w:rPr>
        <w:t>Zdroj</w:t>
      </w:r>
      <w:r w:rsidR="005D5A35" w:rsidRPr="00C10982">
        <w:rPr>
          <w:sz w:val="18"/>
          <w:szCs w:val="18"/>
        </w:rPr>
        <w:t>: ČNB</w:t>
      </w:r>
    </w:p>
    <w:p w:rsidR="005D5A35" w:rsidRPr="005C59F6" w:rsidRDefault="005D5A35" w:rsidP="005C59F6">
      <w:pPr>
        <w:jc w:val="both"/>
        <w:rPr>
          <w:sz w:val="12"/>
          <w:szCs w:val="12"/>
        </w:rPr>
      </w:pPr>
    </w:p>
    <w:tbl>
      <w:tblPr>
        <w:tblW w:w="5043" w:type="pct"/>
        <w:tblInd w:w="-42" w:type="dxa"/>
        <w:tblCellMar>
          <w:left w:w="28" w:type="dxa"/>
          <w:right w:w="28" w:type="dxa"/>
        </w:tblCellMar>
        <w:tblLook w:val="00A0"/>
      </w:tblPr>
      <w:tblGrid>
        <w:gridCol w:w="2037"/>
        <w:gridCol w:w="272"/>
        <w:gridCol w:w="7468"/>
      </w:tblGrid>
      <w:tr w:rsidR="005D5A35" w:rsidTr="007351BA">
        <w:tc>
          <w:tcPr>
            <w:tcW w:w="1042" w:type="pct"/>
          </w:tcPr>
          <w:p w:rsidR="005D5A35" w:rsidRPr="00602D1D" w:rsidRDefault="005D5A35" w:rsidP="00BE09E4">
            <w:pPr>
              <w:spacing w:line="240" w:lineRule="auto"/>
              <w:rPr>
                <w:color w:val="000000"/>
                <w:sz w:val="16"/>
                <w:szCs w:val="16"/>
              </w:rPr>
            </w:pPr>
            <w:r>
              <w:rPr>
                <w:color w:val="000000"/>
                <w:sz w:val="16"/>
                <w:szCs w:val="16"/>
              </w:rPr>
              <w:t>Koncem roku 2013 již převažovaly ve stavech přímých zahraničních investic v ČR investice do</w:t>
            </w:r>
            <w:r w:rsidR="00BE09E4">
              <w:rPr>
                <w:color w:val="000000"/>
                <w:sz w:val="16"/>
                <w:szCs w:val="16"/>
              </w:rPr>
              <w:t> </w:t>
            </w:r>
            <w:r>
              <w:rPr>
                <w:color w:val="000000"/>
                <w:sz w:val="16"/>
                <w:szCs w:val="16"/>
              </w:rPr>
              <w:t>sektoru služeb (56 %)…</w:t>
            </w:r>
          </w:p>
        </w:tc>
        <w:tc>
          <w:tcPr>
            <w:tcW w:w="139" w:type="pct"/>
          </w:tcPr>
          <w:p w:rsidR="005D5A35" w:rsidRDefault="005D5A35" w:rsidP="007351BA">
            <w:pPr>
              <w:pStyle w:val="Textpoznpodarou"/>
              <w:jc w:val="both"/>
            </w:pPr>
          </w:p>
        </w:tc>
        <w:tc>
          <w:tcPr>
            <w:tcW w:w="3819" w:type="pct"/>
          </w:tcPr>
          <w:p w:rsidR="005D5A35" w:rsidRPr="00945578" w:rsidRDefault="005D5A35" w:rsidP="00422776">
            <w:pPr>
              <w:pStyle w:val="Textpoznpodarou"/>
              <w:jc w:val="both"/>
              <w:rPr>
                <w:color w:val="000000"/>
              </w:rPr>
            </w:pPr>
            <w:r w:rsidRPr="00945578">
              <w:rPr>
                <w:color w:val="000000"/>
              </w:rPr>
              <w:t xml:space="preserve">V závěru roku 2013 převažovaly, co se struktury přímých investic do ČR týká, investice do služeb (graf </w:t>
            </w:r>
            <w:r w:rsidR="00B06EE6" w:rsidRPr="00945578">
              <w:rPr>
                <w:color w:val="000000"/>
              </w:rPr>
              <w:t>28</w:t>
            </w:r>
            <w:r w:rsidRPr="00945578">
              <w:rPr>
                <w:color w:val="000000"/>
              </w:rPr>
              <w:t>) absorbující 56 % z celkového stavu přímých zahraničních investic</w:t>
            </w:r>
            <w:r w:rsidR="00BE09E4">
              <w:rPr>
                <w:color w:val="000000"/>
              </w:rPr>
              <w:t xml:space="preserve"> </w:t>
            </w:r>
            <w:r w:rsidRPr="00945578">
              <w:rPr>
                <w:color w:val="000000"/>
              </w:rPr>
              <w:t>v ČR. Silná dominance zahraničních vlastníků je patrná zejména v peněžnictví a pojišťovnictví (99 % aktiv bankovního sektoru je pod</w:t>
            </w:r>
            <w:r w:rsidR="00BE09E4">
              <w:rPr>
                <w:color w:val="000000"/>
              </w:rPr>
              <w:t> </w:t>
            </w:r>
            <w:r w:rsidRPr="00945578">
              <w:rPr>
                <w:color w:val="000000"/>
              </w:rPr>
              <w:t>zahraniční kontrolou). Oblast finančních a pojišťovacích služeb tvoří skoro polovinu stavu přímých investic do sektoru služeb v ČR.</w:t>
            </w:r>
          </w:p>
          <w:p w:rsidR="005D5A35" w:rsidRPr="00945578" w:rsidRDefault="005D5A35" w:rsidP="003046B3">
            <w:pPr>
              <w:pStyle w:val="Textpoznpodarou"/>
              <w:jc w:val="both"/>
              <w:rPr>
                <w:color w:val="000000"/>
                <w:spacing w:val="-2"/>
                <w:sz w:val="18"/>
                <w:szCs w:val="18"/>
              </w:rPr>
            </w:pPr>
          </w:p>
        </w:tc>
      </w:tr>
      <w:tr w:rsidR="005D5A35" w:rsidTr="007351BA">
        <w:tc>
          <w:tcPr>
            <w:tcW w:w="1042" w:type="pct"/>
          </w:tcPr>
          <w:p w:rsidR="005D5A35" w:rsidRDefault="005D5A35" w:rsidP="003046B3">
            <w:pPr>
              <w:spacing w:line="240" w:lineRule="auto"/>
              <w:rPr>
                <w:color w:val="000000"/>
                <w:sz w:val="16"/>
                <w:szCs w:val="16"/>
              </w:rPr>
            </w:pPr>
            <w:r>
              <w:rPr>
                <w:color w:val="000000"/>
                <w:sz w:val="16"/>
                <w:szCs w:val="16"/>
              </w:rPr>
              <w:t>… zpracovatelský průmysl (33%) byl cílem přímých zahraničních investorů do ČR především v 90. letech</w:t>
            </w:r>
          </w:p>
        </w:tc>
        <w:tc>
          <w:tcPr>
            <w:tcW w:w="139" w:type="pct"/>
          </w:tcPr>
          <w:p w:rsidR="005D5A35" w:rsidRDefault="005D5A35" w:rsidP="007351BA">
            <w:pPr>
              <w:pStyle w:val="Textpoznpodarou"/>
              <w:jc w:val="both"/>
            </w:pPr>
          </w:p>
        </w:tc>
        <w:tc>
          <w:tcPr>
            <w:tcW w:w="3819" w:type="pct"/>
          </w:tcPr>
          <w:p w:rsidR="005D5A35" w:rsidRPr="00945578" w:rsidRDefault="005D5A35" w:rsidP="003046B3">
            <w:pPr>
              <w:pStyle w:val="Textpoznpodarou"/>
              <w:jc w:val="both"/>
              <w:rPr>
                <w:color w:val="000000"/>
              </w:rPr>
            </w:pPr>
            <w:r w:rsidRPr="00945578">
              <w:rPr>
                <w:color w:val="000000"/>
              </w:rPr>
              <w:t xml:space="preserve">Zpracovatelský průmysl, který byl hlavním příjemcem přímých investic do ČR především v 90. letech se podle dat z konce roku 2013 podílel na jejich celkových stavech třetinou (33 % koncem roku 2013), přičemž do výroby automobilů šlo 9 % z celkového stavu přímých zahraničních investic v ČR.  </w:t>
            </w:r>
          </w:p>
          <w:p w:rsidR="005D5A35" w:rsidRPr="00945578" w:rsidRDefault="005D5A35" w:rsidP="00422776">
            <w:pPr>
              <w:pStyle w:val="Textpoznpodarou"/>
              <w:jc w:val="both"/>
              <w:rPr>
                <w:color w:val="000000"/>
                <w:spacing w:val="-2"/>
                <w:sz w:val="16"/>
                <w:szCs w:val="16"/>
              </w:rPr>
            </w:pPr>
          </w:p>
        </w:tc>
      </w:tr>
      <w:tr w:rsidR="005D5A35" w:rsidTr="007351BA">
        <w:tc>
          <w:tcPr>
            <w:tcW w:w="1042" w:type="pct"/>
          </w:tcPr>
          <w:p w:rsidR="005D5A35" w:rsidRDefault="005D5A35" w:rsidP="00BE09E4">
            <w:pPr>
              <w:spacing w:line="240" w:lineRule="auto"/>
              <w:rPr>
                <w:color w:val="000000"/>
                <w:sz w:val="16"/>
                <w:szCs w:val="16"/>
              </w:rPr>
            </w:pPr>
            <w:r>
              <w:rPr>
                <w:color w:val="000000"/>
                <w:sz w:val="16"/>
                <w:szCs w:val="16"/>
              </w:rPr>
              <w:t>Z 2,775 bil. korun přímých investic do ČR pocházelo 87 % ze zemí EU, resp. 81</w:t>
            </w:r>
            <w:r w:rsidR="00BE09E4">
              <w:rPr>
                <w:color w:val="000000"/>
                <w:sz w:val="16"/>
                <w:szCs w:val="16"/>
              </w:rPr>
              <w:t> </w:t>
            </w:r>
            <w:r>
              <w:rPr>
                <w:color w:val="000000"/>
                <w:sz w:val="16"/>
                <w:szCs w:val="16"/>
              </w:rPr>
              <w:t xml:space="preserve">% ze zemí </w:t>
            </w:r>
            <w:proofErr w:type="spellStart"/>
            <w:r>
              <w:rPr>
                <w:color w:val="000000"/>
                <w:sz w:val="16"/>
                <w:szCs w:val="16"/>
              </w:rPr>
              <w:t>eurozóny</w:t>
            </w:r>
            <w:proofErr w:type="spellEnd"/>
            <w:r>
              <w:rPr>
                <w:color w:val="000000"/>
                <w:sz w:val="16"/>
                <w:szCs w:val="16"/>
              </w:rPr>
              <w:t xml:space="preserve"> – potíže s identifikací podle zemí vlivem existence evropských „daňových rájů“</w:t>
            </w:r>
          </w:p>
        </w:tc>
        <w:tc>
          <w:tcPr>
            <w:tcW w:w="139" w:type="pct"/>
          </w:tcPr>
          <w:p w:rsidR="005D5A35" w:rsidRDefault="005D5A35" w:rsidP="007351BA">
            <w:pPr>
              <w:pStyle w:val="Textpoznpodarou"/>
              <w:jc w:val="both"/>
            </w:pPr>
          </w:p>
        </w:tc>
        <w:tc>
          <w:tcPr>
            <w:tcW w:w="3819" w:type="pct"/>
          </w:tcPr>
          <w:p w:rsidR="005D5A35" w:rsidRPr="00945578" w:rsidRDefault="005D5A35" w:rsidP="00640C2B">
            <w:pPr>
              <w:pStyle w:val="Textpoznpodarou"/>
              <w:jc w:val="both"/>
              <w:rPr>
                <w:color w:val="000000"/>
              </w:rPr>
            </w:pPr>
            <w:r w:rsidRPr="00945578">
              <w:rPr>
                <w:color w:val="000000"/>
              </w:rPr>
              <w:t>Původ přímých investic do ekonomiky ČR leží vzhledem k silné vazbě</w:t>
            </w:r>
            <w:r w:rsidR="00B155A3">
              <w:rPr>
                <w:color w:val="000000"/>
              </w:rPr>
              <w:t xml:space="preserve"> k teritoriu EU právě v zemích U</w:t>
            </w:r>
            <w:r w:rsidRPr="00945578">
              <w:rPr>
                <w:color w:val="000000"/>
              </w:rPr>
              <w:t xml:space="preserve">nie – odtud pochází 87 % všech přímých zahraničních investic do ČR, z toho ze zemí </w:t>
            </w:r>
            <w:proofErr w:type="spellStart"/>
            <w:r w:rsidRPr="00945578">
              <w:rPr>
                <w:color w:val="000000"/>
              </w:rPr>
              <w:t>eurozóny</w:t>
            </w:r>
            <w:proofErr w:type="spellEnd"/>
            <w:r w:rsidRPr="00945578">
              <w:rPr>
                <w:color w:val="000000"/>
              </w:rPr>
              <w:t xml:space="preserve"> 81 </w:t>
            </w:r>
            <w:r w:rsidR="00360712">
              <w:rPr>
                <w:color w:val="000000"/>
              </w:rPr>
              <w:t>%. Nejvíce přímých investic při</w:t>
            </w:r>
            <w:r w:rsidRPr="00945578">
              <w:rPr>
                <w:color w:val="000000"/>
              </w:rPr>
              <w:t>šlo do ČR z</w:t>
            </w:r>
            <w:r w:rsidR="00640C2B">
              <w:rPr>
                <w:color w:val="000000"/>
              </w:rPr>
              <w:t> </w:t>
            </w:r>
            <w:r w:rsidRPr="00945578">
              <w:rPr>
                <w:color w:val="000000"/>
              </w:rPr>
              <w:t>Nizozemí</w:t>
            </w:r>
            <w:r w:rsidR="00640C2B">
              <w:rPr>
                <w:color w:val="000000"/>
              </w:rPr>
              <w:t>. Tato</w:t>
            </w:r>
            <w:r w:rsidRPr="00945578">
              <w:rPr>
                <w:color w:val="000000"/>
              </w:rPr>
              <w:t xml:space="preserve"> země je</w:t>
            </w:r>
            <w:r w:rsidR="00640C2B">
              <w:rPr>
                <w:color w:val="000000"/>
              </w:rPr>
              <w:t xml:space="preserve"> však</w:t>
            </w:r>
            <w:r w:rsidRPr="00945578">
              <w:rPr>
                <w:color w:val="000000"/>
              </w:rPr>
              <w:t xml:space="preserve"> jedním z</w:t>
            </w:r>
            <w:r w:rsidR="00BE09E4">
              <w:rPr>
                <w:color w:val="000000"/>
              </w:rPr>
              <w:t> </w:t>
            </w:r>
            <w:r w:rsidRPr="00945578">
              <w:rPr>
                <w:color w:val="000000"/>
              </w:rPr>
              <w:t>„daňových rájů“ a sídlo tam proto nachází mnoho firem, jejichž kapitál v podobě přímých investic odtud přichází do České republiky (v některých případech jde i</w:t>
            </w:r>
            <w:r w:rsidR="00BE09E4">
              <w:rPr>
                <w:color w:val="000000"/>
              </w:rPr>
              <w:t> </w:t>
            </w:r>
            <w:r w:rsidRPr="00945578">
              <w:rPr>
                <w:color w:val="000000"/>
              </w:rPr>
              <w:t>o</w:t>
            </w:r>
            <w:r w:rsidR="00BE09E4">
              <w:rPr>
                <w:color w:val="000000"/>
              </w:rPr>
              <w:t> </w:t>
            </w:r>
            <w:r w:rsidRPr="00945578">
              <w:rPr>
                <w:color w:val="000000"/>
              </w:rPr>
              <w:t xml:space="preserve">kapitál českého původu).    </w:t>
            </w:r>
          </w:p>
        </w:tc>
      </w:tr>
    </w:tbl>
    <w:p w:rsidR="005D5A35" w:rsidRPr="005C59F6" w:rsidRDefault="005D5A35" w:rsidP="00686D87">
      <w:pPr>
        <w:rPr>
          <w:b/>
          <w:sz w:val="16"/>
          <w:szCs w:val="16"/>
        </w:rPr>
      </w:pPr>
    </w:p>
    <w:tbl>
      <w:tblPr>
        <w:tblW w:w="5021" w:type="pct"/>
        <w:tblLayout w:type="fixed"/>
        <w:tblCellMar>
          <w:left w:w="28" w:type="dxa"/>
          <w:right w:w="28" w:type="dxa"/>
        </w:tblCellMar>
        <w:tblLook w:val="00A0"/>
      </w:tblPr>
      <w:tblGrid>
        <w:gridCol w:w="732"/>
        <w:gridCol w:w="4079"/>
        <w:gridCol w:w="705"/>
        <w:gridCol w:w="4219"/>
      </w:tblGrid>
      <w:tr w:rsidR="005D5A35" w:rsidRPr="00817C98" w:rsidTr="005C59F6">
        <w:tc>
          <w:tcPr>
            <w:tcW w:w="376" w:type="pct"/>
          </w:tcPr>
          <w:p w:rsidR="005D5A35" w:rsidRDefault="005D5A35" w:rsidP="00FE11B6">
            <w:pPr>
              <w:spacing w:line="240" w:lineRule="auto"/>
            </w:pPr>
            <w:r>
              <w:t>Graf č.</w:t>
            </w:r>
            <w:r w:rsidR="00FE11B6">
              <w:t> </w:t>
            </w:r>
            <w:r w:rsidR="00F55CC2">
              <w:t>27</w:t>
            </w:r>
          </w:p>
        </w:tc>
        <w:tc>
          <w:tcPr>
            <w:tcW w:w="2095" w:type="pct"/>
          </w:tcPr>
          <w:p w:rsidR="005D5A35" w:rsidRDefault="005D5A35" w:rsidP="00CB43BC">
            <w:pPr>
              <w:pStyle w:val="Textpoznpodarou"/>
              <w:rPr>
                <w:rFonts w:cs="Arial"/>
                <w:szCs w:val="24"/>
              </w:rPr>
            </w:pPr>
            <w:r>
              <w:rPr>
                <w:rFonts w:cs="Arial"/>
                <w:b/>
                <w:bCs/>
              </w:rPr>
              <w:t xml:space="preserve">Dynamika ročního přílivu přímých zahraničních investic do ČR </w:t>
            </w:r>
            <w:r w:rsidRPr="00DB06E9">
              <w:rPr>
                <w:rFonts w:cs="Arial"/>
                <w:bCs/>
              </w:rPr>
              <w:t>(</w:t>
            </w:r>
            <w:r>
              <w:rPr>
                <w:rFonts w:cs="Arial"/>
                <w:bCs/>
              </w:rPr>
              <w:t>y/y v %</w:t>
            </w:r>
            <w:r w:rsidRPr="00DB06E9">
              <w:rPr>
                <w:rFonts w:cs="Arial"/>
                <w:bCs/>
              </w:rPr>
              <w:t>)</w:t>
            </w:r>
          </w:p>
        </w:tc>
        <w:tc>
          <w:tcPr>
            <w:tcW w:w="362" w:type="pct"/>
          </w:tcPr>
          <w:p w:rsidR="005D5A35" w:rsidRDefault="005D5A35" w:rsidP="00FE11B6">
            <w:pPr>
              <w:spacing w:line="240" w:lineRule="auto"/>
            </w:pPr>
            <w:r>
              <w:t>Graf č.</w:t>
            </w:r>
            <w:r w:rsidR="00FE11B6">
              <w:t> </w:t>
            </w:r>
            <w:r w:rsidR="00F55CC2">
              <w:t>28</w:t>
            </w:r>
          </w:p>
        </w:tc>
        <w:tc>
          <w:tcPr>
            <w:tcW w:w="2167" w:type="pct"/>
          </w:tcPr>
          <w:p w:rsidR="005D5A35" w:rsidRPr="00817C98" w:rsidRDefault="005D5A35" w:rsidP="00CB43BC">
            <w:pPr>
              <w:spacing w:line="240" w:lineRule="auto"/>
              <w:rPr>
                <w:rFonts w:cs="Arial"/>
                <w:b/>
                <w:bCs/>
              </w:rPr>
            </w:pPr>
            <w:r>
              <w:rPr>
                <w:rFonts w:cs="Arial"/>
                <w:b/>
                <w:bCs/>
              </w:rPr>
              <w:t xml:space="preserve">Stavy přímých zahraničních investic v sektorech ekonomiky ČR </w:t>
            </w:r>
            <w:r w:rsidRPr="00CB43BC">
              <w:rPr>
                <w:rFonts w:cs="Arial"/>
                <w:bCs/>
              </w:rPr>
              <w:t>(</w:t>
            </w:r>
            <w:r w:rsidRPr="00DB06E9">
              <w:rPr>
                <w:rFonts w:cs="Arial"/>
                <w:bCs/>
              </w:rPr>
              <w:t>v mld. korun)</w:t>
            </w:r>
          </w:p>
        </w:tc>
      </w:tr>
      <w:tr w:rsidR="005D5A35" w:rsidTr="005C59F6">
        <w:tc>
          <w:tcPr>
            <w:tcW w:w="2471" w:type="pct"/>
            <w:gridSpan w:val="2"/>
          </w:tcPr>
          <w:p w:rsidR="005D5A35" w:rsidRDefault="00513C6F" w:rsidP="007351BA">
            <w:pPr>
              <w:pStyle w:val="Textpoznpodarou"/>
              <w:jc w:val="both"/>
            </w:pPr>
            <w:r>
              <w:rPr>
                <w:noProof/>
              </w:rPr>
              <w:pict>
                <v:shape id="Graf 10" o:spid="_x0000_i1106" type="#_x0000_t75" style="width:232.5pt;height: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">
                  <v:imagedata r:id="rId98" o:title=""/>
                  <o:lock v:ext="edit" aspectratio="f"/>
                </v:shape>
              </w:pict>
            </w:r>
          </w:p>
        </w:tc>
        <w:tc>
          <w:tcPr>
            <w:tcW w:w="2529" w:type="pct"/>
            <w:gridSpan w:val="2"/>
          </w:tcPr>
          <w:p w:rsidR="005D5A35" w:rsidRDefault="00513C6F" w:rsidP="007351BA">
            <w:pPr>
              <w:pStyle w:val="Textpoznpodarou"/>
              <w:jc w:val="both"/>
            </w:pPr>
            <w:r>
              <w:rPr>
                <w:noProof/>
              </w:rPr>
              <w:pict>
                <v:shape id="_x0000_i1107" type="#_x0000_t75" style="width:239.25pt;height: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">
                  <v:imagedata r:id="rId99" o:title=""/>
                  <o:lock v:ext="edit" aspectratio="f"/>
                </v:shape>
              </w:pict>
            </w:r>
          </w:p>
        </w:tc>
      </w:tr>
    </w:tbl>
    <w:p w:rsidR="005D5A35" w:rsidRPr="00C10982" w:rsidRDefault="00BF1B37" w:rsidP="005C59F6">
      <w:pPr>
        <w:jc w:val="right"/>
        <w:rPr>
          <w:sz w:val="18"/>
          <w:szCs w:val="18"/>
        </w:rPr>
      </w:pPr>
      <w:r w:rsidRPr="00C10982">
        <w:rPr>
          <w:sz w:val="18"/>
          <w:szCs w:val="18"/>
        </w:rPr>
        <w:t>Zdroj</w:t>
      </w:r>
      <w:r w:rsidR="005D5A35" w:rsidRPr="00C10982">
        <w:rPr>
          <w:sz w:val="18"/>
          <w:szCs w:val="18"/>
        </w:rPr>
        <w:t>: ČNB</w:t>
      </w:r>
    </w:p>
    <w:p w:rsidR="005D5A35" w:rsidRPr="006E15CB" w:rsidRDefault="005D5A35" w:rsidP="008B0C8B">
      <w:pPr>
        <w:pStyle w:val="Nadpis3"/>
        <w:numPr>
          <w:ilvl w:val="2"/>
          <w:numId w:val="6"/>
        </w:numPr>
      </w:pPr>
      <w:bookmarkStart w:id="34" w:name="_Toc426017676"/>
      <w:r>
        <w:lastRenderedPageBreak/>
        <w:t>Dividendy a reinvestované zisky</w:t>
      </w:r>
      <w:bookmarkEnd w:id="34"/>
    </w:p>
    <w:tbl>
      <w:tblPr>
        <w:tblW w:w="5043" w:type="pct"/>
        <w:tblInd w:w="-42" w:type="dxa"/>
        <w:tblCellMar>
          <w:left w:w="28" w:type="dxa"/>
          <w:right w:w="28" w:type="dxa"/>
        </w:tblCellMar>
        <w:tblLook w:val="00A0"/>
      </w:tblPr>
      <w:tblGrid>
        <w:gridCol w:w="22"/>
        <w:gridCol w:w="704"/>
        <w:gridCol w:w="1242"/>
        <w:gridCol w:w="262"/>
        <w:gridCol w:w="2509"/>
        <w:gridCol w:w="722"/>
        <w:gridCol w:w="4316"/>
      </w:tblGrid>
      <w:tr w:rsidR="008F371B" w:rsidTr="008F371B">
        <w:tc>
          <w:tcPr>
            <w:tcW w:w="1007" w:type="pct"/>
            <w:gridSpan w:val="3"/>
          </w:tcPr>
          <w:p w:rsidR="008F371B" w:rsidRPr="00602D1D" w:rsidRDefault="008F371B" w:rsidP="008F371B">
            <w:pPr>
              <w:spacing w:line="240" w:lineRule="auto"/>
              <w:rPr>
                <w:color w:val="000000"/>
                <w:sz w:val="16"/>
                <w:szCs w:val="16"/>
              </w:rPr>
            </w:pPr>
            <w:r>
              <w:rPr>
                <w:color w:val="000000"/>
                <w:sz w:val="16"/>
                <w:szCs w:val="16"/>
              </w:rPr>
              <w:t>Saldo důchodů z vlastnictví je v ČR výrazně ovlivňováno objemem dividend a reinvestovaných zisků z přímých zahraničních investic</w:t>
            </w:r>
          </w:p>
        </w:tc>
        <w:tc>
          <w:tcPr>
            <w:tcW w:w="134" w:type="pct"/>
          </w:tcPr>
          <w:p w:rsidR="008F371B" w:rsidRDefault="008F371B" w:rsidP="00072F46">
            <w:pPr>
              <w:pStyle w:val="Textpoznpodarou"/>
              <w:jc w:val="both"/>
            </w:pPr>
          </w:p>
        </w:tc>
        <w:tc>
          <w:tcPr>
            <w:tcW w:w="3859" w:type="pct"/>
            <w:gridSpan w:val="3"/>
          </w:tcPr>
          <w:p w:rsidR="008F371B" w:rsidRPr="0004631E" w:rsidRDefault="008F371B" w:rsidP="00072F46">
            <w:pPr>
              <w:pStyle w:val="Textpoznpodarou"/>
              <w:jc w:val="both"/>
              <w:rPr>
                <w:color w:val="000000"/>
                <w:spacing w:val="-2"/>
                <w:sz w:val="18"/>
                <w:szCs w:val="18"/>
              </w:rPr>
            </w:pPr>
            <w:r>
              <w:rPr>
                <w:color w:val="000000"/>
                <w:spacing w:val="-2"/>
              </w:rPr>
              <w:t xml:space="preserve">Kromě údajů z platební bilance - kde lze najít data týkající se struktury zahraničních investic vč. zisků reinvestovaných zpět do České republiky anebo spojených s jejich výnosy (dividendy) – produkuje data o dividendách a reinvestovaných ziscích také ČSÚ v národním účetnictví (tabulky rozdělení prvotních důchodů). Tento pohled umožňuje obohatit rozbory např. o členění podle institucionálních sektorů </w:t>
            </w:r>
            <w:r w:rsidRPr="0004631E">
              <w:rPr>
                <w:color w:val="000000"/>
                <w:spacing w:val="-2"/>
                <w:sz w:val="18"/>
                <w:szCs w:val="18"/>
              </w:rPr>
              <w:t>(grafy 31-34).</w:t>
            </w:r>
          </w:p>
          <w:p w:rsidR="008F371B" w:rsidRDefault="008F371B" w:rsidP="00072F46">
            <w:pPr>
              <w:pStyle w:val="Textpoznpodarou"/>
              <w:jc w:val="both"/>
              <w:rPr>
                <w:color w:val="000000"/>
                <w:spacing w:val="-2"/>
              </w:rPr>
            </w:pPr>
          </w:p>
          <w:p w:rsidR="008F371B" w:rsidRDefault="008F371B" w:rsidP="00072F46">
            <w:pPr>
              <w:pStyle w:val="Textpoznpodarou"/>
              <w:jc w:val="both"/>
              <w:rPr>
                <w:color w:val="000000"/>
                <w:spacing w:val="-2"/>
              </w:rPr>
            </w:pPr>
            <w:r>
              <w:rPr>
                <w:color w:val="000000"/>
                <w:spacing w:val="-2"/>
              </w:rPr>
              <w:t>Podle dat z ročních národních účtů (graf 29) se „nůžky“ v důchodech z vlastnictví - jejichž součástí jsou i dividendy a reinvestované zisky z přímých zahraničních investic -  začaly významně „rozevírat“ zhruba od počátku minulé dekády, odkdy začala být výše placených důchodů z vlastnictví čím dál větší oproti výši přijatých důchodů z vlastnictví. Z grafu 29 je také zřejmé, že na trendu participoval především rozdíl mezi vyplácenými a přijímanými dividendami</w:t>
            </w:r>
            <w:r>
              <w:rPr>
                <w:rStyle w:val="Znakapoznpodarou"/>
                <w:color w:val="000000"/>
                <w:spacing w:val="-2"/>
              </w:rPr>
              <w:footnoteReference w:id="14"/>
            </w:r>
            <w:r>
              <w:rPr>
                <w:color w:val="000000"/>
                <w:spacing w:val="-2"/>
              </w:rPr>
              <w:t>.</w:t>
            </w:r>
          </w:p>
        </w:tc>
      </w:tr>
      <w:tr w:rsidR="008F371B" w:rsidTr="008F371B">
        <w:tc>
          <w:tcPr>
            <w:tcW w:w="1007" w:type="pct"/>
            <w:gridSpan w:val="3"/>
          </w:tcPr>
          <w:p w:rsidR="008F371B" w:rsidRDefault="008F371B" w:rsidP="00072F46">
            <w:pPr>
              <w:spacing w:line="240" w:lineRule="auto"/>
              <w:rPr>
                <w:color w:val="000000"/>
                <w:sz w:val="16"/>
                <w:szCs w:val="16"/>
              </w:rPr>
            </w:pPr>
          </w:p>
        </w:tc>
        <w:tc>
          <w:tcPr>
            <w:tcW w:w="134" w:type="pct"/>
          </w:tcPr>
          <w:p w:rsidR="008F371B" w:rsidRDefault="008F371B" w:rsidP="00072F46">
            <w:pPr>
              <w:pStyle w:val="Textpoznpodarou"/>
              <w:jc w:val="both"/>
            </w:pPr>
          </w:p>
        </w:tc>
        <w:tc>
          <w:tcPr>
            <w:tcW w:w="3859" w:type="pct"/>
            <w:gridSpan w:val="3"/>
          </w:tcPr>
          <w:p w:rsidR="008F371B" w:rsidRDefault="008F371B" w:rsidP="00072F46">
            <w:pPr>
              <w:pStyle w:val="Textpoznpodarou"/>
              <w:jc w:val="both"/>
              <w:rPr>
                <w:color w:val="000000"/>
                <w:spacing w:val="-2"/>
              </w:rPr>
            </w:pPr>
          </w:p>
        </w:tc>
      </w:tr>
      <w:tr w:rsidR="008F371B" w:rsidTr="008F371B">
        <w:tc>
          <w:tcPr>
            <w:tcW w:w="1007" w:type="pct"/>
            <w:gridSpan w:val="3"/>
          </w:tcPr>
          <w:p w:rsidR="008F371B" w:rsidRDefault="008F371B" w:rsidP="00072F46">
            <w:pPr>
              <w:spacing w:line="240" w:lineRule="auto"/>
              <w:rPr>
                <w:color w:val="000000"/>
                <w:sz w:val="16"/>
                <w:szCs w:val="16"/>
              </w:rPr>
            </w:pPr>
            <w:r>
              <w:rPr>
                <w:color w:val="000000"/>
                <w:sz w:val="16"/>
                <w:szCs w:val="16"/>
              </w:rPr>
              <w:t>V roce 2014 výrazně stouply reinvestované zisky z přímých zahraničních investic do ČR</w:t>
            </w:r>
          </w:p>
        </w:tc>
        <w:tc>
          <w:tcPr>
            <w:tcW w:w="134" w:type="pct"/>
          </w:tcPr>
          <w:p w:rsidR="008F371B" w:rsidRDefault="008F371B" w:rsidP="00072F46">
            <w:pPr>
              <w:pStyle w:val="Textpoznpodarou"/>
              <w:jc w:val="both"/>
            </w:pPr>
          </w:p>
        </w:tc>
        <w:tc>
          <w:tcPr>
            <w:tcW w:w="3859" w:type="pct"/>
            <w:gridSpan w:val="3"/>
          </w:tcPr>
          <w:p w:rsidR="008F371B" w:rsidRDefault="008F371B" w:rsidP="00072F46">
            <w:pPr>
              <w:pStyle w:val="Textpoznpodarou"/>
              <w:jc w:val="both"/>
              <w:rPr>
                <w:color w:val="000000"/>
                <w:spacing w:val="-2"/>
              </w:rPr>
            </w:pPr>
            <w:r>
              <w:rPr>
                <w:color w:val="000000"/>
                <w:spacing w:val="-2"/>
              </w:rPr>
              <w:t xml:space="preserve">V roce 2014 činil podle ročních národních účtů objem vyplacených dividend 364,5 mld., objem přijatých dividend pak 192,3 mld. korun (graf 30). Při mírném poklesu vyplacených dividend došlo k výraznému růstu reinvestovaných zisků z přímých zahraničních investic, což vede k optimismu ohledně budoucího růstu ekonomiky ČR. </w:t>
            </w:r>
          </w:p>
          <w:p w:rsidR="008F371B" w:rsidRPr="00A63E47" w:rsidRDefault="008F371B" w:rsidP="00072F46">
            <w:pPr>
              <w:pStyle w:val="Textpoznpodarou"/>
              <w:jc w:val="both"/>
              <w:rPr>
                <w:color w:val="000000"/>
                <w:spacing w:val="-2"/>
                <w:sz w:val="16"/>
                <w:szCs w:val="16"/>
              </w:rPr>
            </w:pPr>
          </w:p>
          <w:p w:rsidR="008F371B" w:rsidRDefault="008F371B" w:rsidP="00072F46">
            <w:pPr>
              <w:pStyle w:val="Textpoznpodarou"/>
              <w:jc w:val="both"/>
              <w:rPr>
                <w:color w:val="000000"/>
                <w:spacing w:val="-2"/>
              </w:rPr>
            </w:pPr>
            <w:r>
              <w:rPr>
                <w:color w:val="000000"/>
                <w:spacing w:val="-2"/>
              </w:rPr>
              <w:t xml:space="preserve">Spolu s reinvestovanými zisky participovaly vyplacené dividendy na vyplácených důchodech z vlastnictví v úhrnu za všechny institucionální sektory v ČR v roce 2014 téměř 70 % (nákladové úroky tvořily s 207,4 mld. korun další zhruba čtvrtinu, přičemž objem ostatních složek užití u důchodů z vlastnictví byl v úhrnu velmi nízký).      </w:t>
            </w:r>
          </w:p>
        </w:tc>
      </w:tr>
      <w:tr w:rsidR="008F371B" w:rsidTr="008F371B">
        <w:tc>
          <w:tcPr>
            <w:tcW w:w="1007" w:type="pct"/>
            <w:gridSpan w:val="3"/>
          </w:tcPr>
          <w:p w:rsidR="008F371B" w:rsidRPr="00602D1D" w:rsidRDefault="008F371B" w:rsidP="00072F46">
            <w:pPr>
              <w:spacing w:line="240" w:lineRule="auto"/>
              <w:rPr>
                <w:color w:val="000000"/>
                <w:sz w:val="16"/>
                <w:szCs w:val="16"/>
              </w:rPr>
            </w:pPr>
          </w:p>
        </w:tc>
        <w:tc>
          <w:tcPr>
            <w:tcW w:w="134" w:type="pct"/>
          </w:tcPr>
          <w:p w:rsidR="008F371B" w:rsidRDefault="008F371B" w:rsidP="00072F46">
            <w:pPr>
              <w:pStyle w:val="Textpoznpodarou"/>
              <w:jc w:val="both"/>
            </w:pPr>
          </w:p>
        </w:tc>
        <w:tc>
          <w:tcPr>
            <w:tcW w:w="3859" w:type="pct"/>
            <w:gridSpan w:val="3"/>
          </w:tcPr>
          <w:p w:rsidR="008F371B" w:rsidRDefault="008F371B" w:rsidP="00072F46">
            <w:pPr>
              <w:pStyle w:val="Textpoznpodarou"/>
              <w:jc w:val="both"/>
              <w:rPr>
                <w:color w:val="000000"/>
                <w:spacing w:val="-2"/>
              </w:rPr>
            </w:pPr>
          </w:p>
        </w:tc>
      </w:tr>
      <w:tr w:rsidR="008F371B" w:rsidRPr="00817C98" w:rsidTr="008F371B">
        <w:trPr>
          <w:gridBefore w:val="1"/>
          <w:wBefore w:w="12" w:type="pct"/>
        </w:trPr>
        <w:tc>
          <w:tcPr>
            <w:tcW w:w="360" w:type="pct"/>
          </w:tcPr>
          <w:p w:rsidR="008F371B" w:rsidRDefault="008F371B" w:rsidP="00072F46">
            <w:pPr>
              <w:spacing w:line="240" w:lineRule="auto"/>
            </w:pPr>
            <w:r>
              <w:t>Graf č. 29</w:t>
            </w:r>
          </w:p>
        </w:tc>
        <w:tc>
          <w:tcPr>
            <w:tcW w:w="2052" w:type="pct"/>
            <w:gridSpan w:val="3"/>
          </w:tcPr>
          <w:p w:rsidR="008F371B" w:rsidRDefault="008F371B" w:rsidP="00072F46">
            <w:pPr>
              <w:pStyle w:val="Textpoznpodarou"/>
              <w:rPr>
                <w:rFonts w:cs="Arial"/>
                <w:b/>
                <w:bCs/>
              </w:rPr>
            </w:pPr>
            <w:r>
              <w:rPr>
                <w:rFonts w:cs="Arial"/>
                <w:b/>
                <w:bCs/>
              </w:rPr>
              <w:t xml:space="preserve">Rozdělení prvotních důchodů – důchody </w:t>
            </w:r>
          </w:p>
          <w:p w:rsidR="008F371B" w:rsidRDefault="008F371B" w:rsidP="00072F46">
            <w:pPr>
              <w:pStyle w:val="Textpoznpodarou"/>
              <w:rPr>
                <w:rFonts w:cs="Arial"/>
                <w:szCs w:val="24"/>
              </w:rPr>
            </w:pPr>
            <w:r>
              <w:rPr>
                <w:rFonts w:cs="Arial"/>
                <w:b/>
                <w:bCs/>
              </w:rPr>
              <w:t xml:space="preserve">z vlastnictví a dividendy </w:t>
            </w:r>
            <w:r w:rsidRPr="00DB06E9">
              <w:rPr>
                <w:rFonts w:cs="Arial"/>
                <w:bCs/>
              </w:rPr>
              <w:t>(v</w:t>
            </w:r>
            <w:r>
              <w:rPr>
                <w:rFonts w:cs="Arial"/>
                <w:bCs/>
              </w:rPr>
              <w:t> </w:t>
            </w:r>
            <w:r w:rsidRPr="00DB06E9">
              <w:rPr>
                <w:rFonts w:cs="Arial"/>
                <w:bCs/>
              </w:rPr>
              <w:t>m</w:t>
            </w:r>
            <w:r>
              <w:rPr>
                <w:rFonts w:cs="Arial"/>
                <w:bCs/>
              </w:rPr>
              <w:t>i</w:t>
            </w:r>
            <w:r w:rsidRPr="00DB06E9">
              <w:rPr>
                <w:rFonts w:cs="Arial"/>
                <w:bCs/>
              </w:rPr>
              <w:t>l</w:t>
            </w:r>
            <w:r>
              <w:rPr>
                <w:rFonts w:cs="Arial"/>
                <w:bCs/>
              </w:rPr>
              <w:t>.</w:t>
            </w:r>
            <w:r w:rsidRPr="00DB06E9">
              <w:rPr>
                <w:rFonts w:cs="Arial"/>
                <w:bCs/>
              </w:rPr>
              <w:t xml:space="preserve"> korun)</w:t>
            </w:r>
          </w:p>
        </w:tc>
        <w:tc>
          <w:tcPr>
            <w:tcW w:w="369" w:type="pct"/>
          </w:tcPr>
          <w:p w:rsidR="008F371B" w:rsidRDefault="008F371B" w:rsidP="00072F46">
            <w:pPr>
              <w:spacing w:line="240" w:lineRule="auto"/>
            </w:pPr>
            <w:r>
              <w:t>Graf č. 30</w:t>
            </w:r>
          </w:p>
        </w:tc>
        <w:tc>
          <w:tcPr>
            <w:tcW w:w="2207" w:type="pct"/>
          </w:tcPr>
          <w:p w:rsidR="008F371B" w:rsidRPr="00817C98" w:rsidRDefault="008F371B" w:rsidP="00072F46">
            <w:pPr>
              <w:spacing w:line="240" w:lineRule="auto"/>
              <w:rPr>
                <w:rFonts w:cs="Arial"/>
                <w:b/>
                <w:bCs/>
              </w:rPr>
            </w:pPr>
            <w:r>
              <w:rPr>
                <w:rFonts w:cs="Arial"/>
                <w:b/>
                <w:bCs/>
              </w:rPr>
              <w:t xml:space="preserve">Užití důchodů z vlastnictví - dividendy a </w:t>
            </w:r>
            <w:proofErr w:type="spellStart"/>
            <w:r>
              <w:rPr>
                <w:rFonts w:cs="Arial"/>
                <w:b/>
                <w:bCs/>
              </w:rPr>
              <w:t>reinvest</w:t>
            </w:r>
            <w:proofErr w:type="spellEnd"/>
            <w:r>
              <w:rPr>
                <w:rFonts w:cs="Arial"/>
                <w:b/>
                <w:bCs/>
              </w:rPr>
              <w:t xml:space="preserve">. zisky z př. </w:t>
            </w:r>
            <w:proofErr w:type="spellStart"/>
            <w:r>
              <w:rPr>
                <w:rFonts w:cs="Arial"/>
                <w:b/>
                <w:bCs/>
              </w:rPr>
              <w:t>zahr</w:t>
            </w:r>
            <w:proofErr w:type="spellEnd"/>
            <w:r>
              <w:rPr>
                <w:rFonts w:cs="Arial"/>
                <w:b/>
                <w:bCs/>
              </w:rPr>
              <w:t xml:space="preserve">. </w:t>
            </w:r>
            <w:proofErr w:type="gramStart"/>
            <w:r>
              <w:rPr>
                <w:rFonts w:cs="Arial"/>
                <w:b/>
                <w:bCs/>
              </w:rPr>
              <w:t>investic</w:t>
            </w:r>
            <w:proofErr w:type="gramEnd"/>
            <w:r>
              <w:rPr>
                <w:rFonts w:cs="Arial"/>
                <w:b/>
                <w:bCs/>
              </w:rPr>
              <w:t xml:space="preserve"> </w:t>
            </w:r>
            <w:r w:rsidRPr="00523C8D">
              <w:rPr>
                <w:rFonts w:cs="Arial"/>
                <w:bCs/>
                <w:sz w:val="18"/>
                <w:szCs w:val="18"/>
              </w:rPr>
              <w:t>(v mil. korun)</w:t>
            </w:r>
          </w:p>
        </w:tc>
      </w:tr>
      <w:tr w:rsidR="008F371B" w:rsidTr="008F371B">
        <w:trPr>
          <w:gridBefore w:val="1"/>
          <w:wBefore w:w="12" w:type="pct"/>
        </w:trPr>
        <w:tc>
          <w:tcPr>
            <w:tcW w:w="2412" w:type="pct"/>
            <w:gridSpan w:val="4"/>
          </w:tcPr>
          <w:p w:rsidR="008F371B" w:rsidRDefault="00513C6F" w:rsidP="00072F46">
            <w:pPr>
              <w:pStyle w:val="Textpoznpodarou"/>
            </w:pPr>
            <w:r>
              <w:rPr>
                <w:noProof/>
              </w:rPr>
              <w:pict>
                <v:shape id="_x0000_i1108" type="#_x0000_t75" style="width:228.75pt;height:18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">
                  <v:imagedata r:id="rId100" o:title="" cropbottom="-16f"/>
                  <o:lock v:ext="edit" aspectratio="f"/>
                </v:shape>
              </w:pict>
            </w:r>
          </w:p>
        </w:tc>
        <w:tc>
          <w:tcPr>
            <w:tcW w:w="2576" w:type="pct"/>
            <w:gridSpan w:val="2"/>
          </w:tcPr>
          <w:p w:rsidR="008F371B" w:rsidRDefault="00513C6F" w:rsidP="00072F46">
            <w:pPr>
              <w:pStyle w:val="Textpoznpodarou"/>
            </w:pPr>
            <w:r>
              <w:rPr>
                <w:noProof/>
              </w:rPr>
              <w:pict>
                <v:shape id="_x0000_i1109" type="#_x0000_t75" style="width:249pt;height:18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">
                  <v:imagedata r:id="rId101" o:title="" cropbottom="-33f"/>
                  <o:lock v:ext="edit" aspectratio="f"/>
                </v:shape>
              </w:pict>
            </w:r>
          </w:p>
        </w:tc>
      </w:tr>
    </w:tbl>
    <w:p w:rsidR="008F371B" w:rsidRDefault="008F371B" w:rsidP="008F371B">
      <w:pPr>
        <w:jc w:val="right"/>
        <w:rPr>
          <w:sz w:val="18"/>
          <w:szCs w:val="18"/>
        </w:rPr>
      </w:pPr>
      <w:r>
        <w:rPr>
          <w:sz w:val="18"/>
          <w:szCs w:val="18"/>
        </w:rPr>
        <w:t>Zdroj</w:t>
      </w:r>
      <w:r w:rsidRPr="00E760AD">
        <w:rPr>
          <w:sz w:val="18"/>
          <w:szCs w:val="18"/>
        </w:rPr>
        <w:t xml:space="preserve">: </w:t>
      </w:r>
      <w:r>
        <w:rPr>
          <w:sz w:val="18"/>
          <w:szCs w:val="18"/>
        </w:rPr>
        <w:t>ČSÚ</w:t>
      </w:r>
    </w:p>
    <w:p w:rsidR="008F371B" w:rsidRPr="008F371B" w:rsidRDefault="008F371B" w:rsidP="00686D87">
      <w:pPr>
        <w:rPr>
          <w:b/>
          <w:sz w:val="16"/>
          <w:szCs w:val="16"/>
        </w:rPr>
      </w:pPr>
    </w:p>
    <w:tbl>
      <w:tblPr>
        <w:tblW w:w="5049" w:type="pct"/>
        <w:tblInd w:w="-42" w:type="dxa"/>
        <w:tblCellMar>
          <w:left w:w="28" w:type="dxa"/>
          <w:right w:w="28" w:type="dxa"/>
        </w:tblCellMar>
        <w:tblLook w:val="00A0"/>
      </w:tblPr>
      <w:tblGrid>
        <w:gridCol w:w="638"/>
        <w:gridCol w:w="1398"/>
        <w:gridCol w:w="272"/>
        <w:gridCol w:w="2608"/>
        <w:gridCol w:w="699"/>
        <w:gridCol w:w="4167"/>
        <w:gridCol w:w="8"/>
      </w:tblGrid>
      <w:tr w:rsidR="008F371B" w:rsidTr="008F371B">
        <w:trPr>
          <w:gridAfter w:val="1"/>
          <w:wAfter w:w="4" w:type="pct"/>
        </w:trPr>
        <w:tc>
          <w:tcPr>
            <w:tcW w:w="1040" w:type="pct"/>
            <w:gridSpan w:val="2"/>
          </w:tcPr>
          <w:p w:rsidR="008F371B" w:rsidRDefault="008F371B" w:rsidP="008F371B">
            <w:pPr>
              <w:spacing w:line="240" w:lineRule="auto"/>
              <w:rPr>
                <w:color w:val="000000"/>
                <w:sz w:val="16"/>
                <w:szCs w:val="16"/>
              </w:rPr>
            </w:pPr>
            <w:r>
              <w:rPr>
                <w:color w:val="000000"/>
                <w:sz w:val="16"/>
                <w:szCs w:val="16"/>
              </w:rPr>
              <w:t xml:space="preserve">Výše </w:t>
            </w:r>
            <w:proofErr w:type="gramStart"/>
            <w:r>
              <w:rPr>
                <w:color w:val="000000"/>
                <w:sz w:val="16"/>
                <w:szCs w:val="16"/>
              </w:rPr>
              <w:t>dividend  zahraničních</w:t>
            </w:r>
            <w:proofErr w:type="gramEnd"/>
            <w:r>
              <w:rPr>
                <w:color w:val="000000"/>
                <w:sz w:val="16"/>
                <w:szCs w:val="16"/>
              </w:rPr>
              <w:t xml:space="preserve"> vlastníků společností v ČR začala převyšovat  objem reinvestovaných zisků již v roce 2006</w:t>
            </w:r>
          </w:p>
        </w:tc>
        <w:tc>
          <w:tcPr>
            <w:tcW w:w="139" w:type="pct"/>
          </w:tcPr>
          <w:p w:rsidR="008F371B" w:rsidRDefault="008F371B" w:rsidP="00072F46">
            <w:pPr>
              <w:pStyle w:val="Textpoznpodarou"/>
              <w:jc w:val="both"/>
            </w:pPr>
          </w:p>
        </w:tc>
        <w:tc>
          <w:tcPr>
            <w:tcW w:w="3817" w:type="pct"/>
            <w:gridSpan w:val="3"/>
          </w:tcPr>
          <w:p w:rsidR="008F371B" w:rsidRDefault="008F371B" w:rsidP="00072F46">
            <w:pPr>
              <w:pStyle w:val="Textpoznpodarou"/>
              <w:jc w:val="both"/>
              <w:rPr>
                <w:color w:val="000000"/>
                <w:spacing w:val="-2"/>
              </w:rPr>
            </w:pPr>
            <w:r>
              <w:rPr>
                <w:color w:val="000000"/>
                <w:spacing w:val="-2"/>
              </w:rPr>
              <w:t>Česká ekonomika se nachází ve třetí fázi cyklu přímých zahraničních investic, kdy více peněz z těchto investic ze země odchází v podobě repatriovaných zisků, než kolik je v ČR ponecháno v podobě zisků reinvestovaných (graf 33). Je to patrné především v sektoru nefinančních podniků, v logice věci v segmentu firem pod zahraniční kontrolou.  Odliv výnosů začal převažovat nad zisky reinvestovanými již od roku 2006. Také v roce 2007, vlivem stále velmi silné ekonomické konjunktury, byl odliv dividend do zahraničí značný při současném meziročním poklesu reinvestovaných zisků. Odliv byl pak umocněn kontextem finanční krize v roce 2008 zasahující i Evropu a motivující přímé investory v ČR v době nejistoty k odčerpání významné části výnosů ze svých investic</w:t>
            </w:r>
            <w:r w:rsidR="00640C2B">
              <w:rPr>
                <w:color w:val="000000"/>
                <w:spacing w:val="-2"/>
              </w:rPr>
              <w:t>.</w:t>
            </w:r>
            <w:r>
              <w:rPr>
                <w:color w:val="000000"/>
                <w:spacing w:val="-2"/>
              </w:rPr>
              <w:t xml:space="preserve"> </w:t>
            </w:r>
          </w:p>
          <w:p w:rsidR="008F371B" w:rsidRPr="00A63E47" w:rsidRDefault="008F371B" w:rsidP="00072F46">
            <w:pPr>
              <w:pStyle w:val="Textpoznpodarou"/>
              <w:jc w:val="both"/>
              <w:rPr>
                <w:color w:val="000000"/>
                <w:spacing w:val="-2"/>
                <w:sz w:val="16"/>
                <w:szCs w:val="16"/>
              </w:rPr>
            </w:pPr>
          </w:p>
          <w:p w:rsidR="008F371B" w:rsidRDefault="008F371B" w:rsidP="00072F46">
            <w:pPr>
              <w:pStyle w:val="Textpoznpodarou"/>
              <w:jc w:val="both"/>
              <w:rPr>
                <w:color w:val="000000"/>
                <w:spacing w:val="-2"/>
              </w:rPr>
            </w:pPr>
            <w:r>
              <w:rPr>
                <w:color w:val="000000"/>
                <w:spacing w:val="-2"/>
              </w:rPr>
              <w:t>Ve srovnání s mohutnými odlivy zisků z ČR do zahraničí je opačný tok, tj. dividendy českých subjektů z jejich investic v zahraničí, zatím slabý.</w:t>
            </w:r>
          </w:p>
          <w:p w:rsidR="008F371B" w:rsidRDefault="008F371B" w:rsidP="00072F46">
            <w:pPr>
              <w:pStyle w:val="Textpoznpodarou"/>
              <w:jc w:val="both"/>
              <w:rPr>
                <w:color w:val="000000"/>
                <w:spacing w:val="-2"/>
              </w:rPr>
            </w:pPr>
          </w:p>
        </w:tc>
      </w:tr>
      <w:tr w:rsidR="008F371B" w:rsidRPr="00817C98" w:rsidTr="008F371B">
        <w:tc>
          <w:tcPr>
            <w:tcW w:w="326" w:type="pct"/>
          </w:tcPr>
          <w:p w:rsidR="008F371B" w:rsidRDefault="008F371B" w:rsidP="00072F46">
            <w:pPr>
              <w:spacing w:line="240" w:lineRule="auto"/>
            </w:pPr>
            <w:r>
              <w:lastRenderedPageBreak/>
              <w:t>Graf č. 31</w:t>
            </w:r>
          </w:p>
        </w:tc>
        <w:tc>
          <w:tcPr>
            <w:tcW w:w="2184" w:type="pct"/>
            <w:gridSpan w:val="3"/>
          </w:tcPr>
          <w:p w:rsidR="008F371B" w:rsidRDefault="008F371B" w:rsidP="00072F46">
            <w:pPr>
              <w:pStyle w:val="Textpoznpodarou"/>
              <w:rPr>
                <w:rFonts w:cs="Arial"/>
                <w:szCs w:val="24"/>
              </w:rPr>
            </w:pPr>
            <w:r>
              <w:rPr>
                <w:rFonts w:cs="Arial"/>
                <w:b/>
                <w:bCs/>
              </w:rPr>
              <w:t xml:space="preserve">Nefinanční podniky – placené dividendy a </w:t>
            </w:r>
            <w:proofErr w:type="spellStart"/>
            <w:r>
              <w:rPr>
                <w:rFonts w:cs="Arial"/>
                <w:b/>
                <w:bCs/>
              </w:rPr>
              <w:t>reinv</w:t>
            </w:r>
            <w:proofErr w:type="spellEnd"/>
            <w:r>
              <w:rPr>
                <w:rFonts w:cs="Arial"/>
                <w:b/>
                <w:bCs/>
              </w:rPr>
              <w:t xml:space="preserve">. zisky z př. </w:t>
            </w:r>
            <w:proofErr w:type="spellStart"/>
            <w:r>
              <w:rPr>
                <w:rFonts w:cs="Arial"/>
                <w:b/>
                <w:bCs/>
              </w:rPr>
              <w:t>zahr</w:t>
            </w:r>
            <w:proofErr w:type="spellEnd"/>
            <w:r>
              <w:rPr>
                <w:rFonts w:cs="Arial"/>
                <w:b/>
                <w:bCs/>
              </w:rPr>
              <w:t xml:space="preserve">. </w:t>
            </w:r>
            <w:proofErr w:type="gramStart"/>
            <w:r>
              <w:rPr>
                <w:rFonts w:cs="Arial"/>
                <w:b/>
                <w:bCs/>
              </w:rPr>
              <w:t>investic</w:t>
            </w:r>
            <w:proofErr w:type="gramEnd"/>
            <w:r>
              <w:rPr>
                <w:rFonts w:cs="Arial"/>
                <w:b/>
                <w:bCs/>
              </w:rPr>
              <w:t xml:space="preserve">  </w:t>
            </w:r>
            <w:r w:rsidRPr="00DB06E9">
              <w:rPr>
                <w:rFonts w:cs="Arial"/>
                <w:bCs/>
              </w:rPr>
              <w:t>(v</w:t>
            </w:r>
            <w:r>
              <w:rPr>
                <w:rFonts w:cs="Arial"/>
                <w:bCs/>
              </w:rPr>
              <w:t> </w:t>
            </w:r>
            <w:r w:rsidRPr="00DB06E9">
              <w:rPr>
                <w:rFonts w:cs="Arial"/>
                <w:bCs/>
              </w:rPr>
              <w:t>m</w:t>
            </w:r>
            <w:r>
              <w:rPr>
                <w:rFonts w:cs="Arial"/>
                <w:bCs/>
              </w:rPr>
              <w:t>i</w:t>
            </w:r>
            <w:r w:rsidRPr="00DB06E9">
              <w:rPr>
                <w:rFonts w:cs="Arial"/>
                <w:bCs/>
              </w:rPr>
              <w:t>l</w:t>
            </w:r>
            <w:r>
              <w:rPr>
                <w:rFonts w:cs="Arial"/>
                <w:bCs/>
              </w:rPr>
              <w:t>.</w:t>
            </w:r>
            <w:r w:rsidRPr="00DB06E9">
              <w:rPr>
                <w:rFonts w:cs="Arial"/>
                <w:bCs/>
              </w:rPr>
              <w:t xml:space="preserve"> korun)</w:t>
            </w:r>
          </w:p>
        </w:tc>
        <w:tc>
          <w:tcPr>
            <w:tcW w:w="357" w:type="pct"/>
          </w:tcPr>
          <w:p w:rsidR="008F371B" w:rsidRDefault="008F371B" w:rsidP="00072F46">
            <w:pPr>
              <w:spacing w:line="240" w:lineRule="auto"/>
            </w:pPr>
            <w:r>
              <w:t>Graf č. 32</w:t>
            </w:r>
          </w:p>
        </w:tc>
        <w:tc>
          <w:tcPr>
            <w:tcW w:w="2133" w:type="pct"/>
            <w:gridSpan w:val="2"/>
          </w:tcPr>
          <w:p w:rsidR="008F371B" w:rsidRPr="00817C98" w:rsidRDefault="008F371B" w:rsidP="00072F46">
            <w:pPr>
              <w:spacing w:line="240" w:lineRule="auto"/>
              <w:rPr>
                <w:rFonts w:cs="Arial"/>
                <w:b/>
                <w:bCs/>
              </w:rPr>
            </w:pPr>
            <w:r>
              <w:rPr>
                <w:rFonts w:cs="Arial"/>
                <w:b/>
                <w:bCs/>
              </w:rPr>
              <w:t xml:space="preserve">Finanční instituce – placené dividendy a </w:t>
            </w:r>
            <w:proofErr w:type="spellStart"/>
            <w:r>
              <w:rPr>
                <w:rFonts w:cs="Arial"/>
                <w:b/>
                <w:bCs/>
              </w:rPr>
              <w:t>reinv</w:t>
            </w:r>
            <w:proofErr w:type="spellEnd"/>
            <w:r>
              <w:rPr>
                <w:rFonts w:cs="Arial"/>
                <w:b/>
                <w:bCs/>
              </w:rPr>
              <w:t xml:space="preserve">. zisky z př. </w:t>
            </w:r>
            <w:proofErr w:type="spellStart"/>
            <w:r>
              <w:rPr>
                <w:rFonts w:cs="Arial"/>
                <w:b/>
                <w:bCs/>
              </w:rPr>
              <w:t>zahr</w:t>
            </w:r>
            <w:proofErr w:type="spellEnd"/>
            <w:r>
              <w:rPr>
                <w:rFonts w:cs="Arial"/>
                <w:b/>
                <w:bCs/>
              </w:rPr>
              <w:t xml:space="preserve">. </w:t>
            </w:r>
            <w:proofErr w:type="gramStart"/>
            <w:r>
              <w:rPr>
                <w:rFonts w:cs="Arial"/>
                <w:b/>
                <w:bCs/>
              </w:rPr>
              <w:t>investic</w:t>
            </w:r>
            <w:proofErr w:type="gramEnd"/>
            <w:r>
              <w:rPr>
                <w:rFonts w:cs="Arial"/>
                <w:b/>
                <w:bCs/>
              </w:rPr>
              <w:t xml:space="preserve"> </w:t>
            </w:r>
            <w:r w:rsidRPr="00523C8D">
              <w:rPr>
                <w:rFonts w:cs="Arial"/>
                <w:bCs/>
                <w:sz w:val="18"/>
                <w:szCs w:val="18"/>
              </w:rPr>
              <w:t>(v mil. korun)</w:t>
            </w:r>
          </w:p>
        </w:tc>
      </w:tr>
      <w:tr w:rsidR="008F371B" w:rsidTr="008F371B">
        <w:tc>
          <w:tcPr>
            <w:tcW w:w="2510" w:type="pct"/>
            <w:gridSpan w:val="4"/>
          </w:tcPr>
          <w:p w:rsidR="008F371B" w:rsidRDefault="00513C6F" w:rsidP="00072F46">
            <w:pPr>
              <w:pStyle w:val="Textpoznpodarou"/>
            </w:pPr>
            <w:r>
              <w:rPr>
                <w:noProof/>
              </w:rPr>
              <w:pict>
                <v:shape id="_x0000_i1110" type="#_x0000_t75" style="width:243pt;height:18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">
                  <v:imagedata r:id="rId102" o:title=""/>
                  <o:lock v:ext="edit" aspectratio="f"/>
                </v:shape>
              </w:pict>
            </w:r>
          </w:p>
        </w:tc>
        <w:tc>
          <w:tcPr>
            <w:tcW w:w="2490" w:type="pct"/>
            <w:gridSpan w:val="3"/>
          </w:tcPr>
          <w:p w:rsidR="008F371B" w:rsidRDefault="00513C6F" w:rsidP="00072F46">
            <w:pPr>
              <w:pStyle w:val="Textpoznpodarou"/>
            </w:pPr>
            <w:r>
              <w:rPr>
                <w:noProof/>
              </w:rPr>
              <w:pict>
                <v:shape id="_x0000_i1111" type="#_x0000_t75" style="width:240.75pt;height:190.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hHlQ3AAAAAUBAAAPAAAAZHJzL2Rvd25y&#10;ZXYueG1sTI9BS8NAEIXvgv9hGcGL2I22ShqzKUEo3gq2QvE2za5JcHd2yW6b9N87erGXYR5vePO9&#10;cjU5K05miL0nBQ+zDIShxuueWgUfu/V9DiImJI3Wk1FwNhFW1fVViYX2I72b0za1gkMoFqigSykU&#10;UsamMw7jzAdD7H35wWFiObRSDzhyuLPyMcuepcOe+EOHwbx2pvneHp2CZchxsz9nu3oM68+7Be1r&#10;u3lT6vZmql9AJDOl/2P4xWd0qJjp4I+ko7AKuEj6m+wt8iXLAy/z+RPIqpSX9NUPAA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">
                  <v:imagedata r:id="rId103" o:title=""/>
                  <o:lock v:ext="edit" aspectratio="f"/>
                </v:shape>
              </w:pict>
            </w:r>
          </w:p>
        </w:tc>
      </w:tr>
    </w:tbl>
    <w:p w:rsidR="008F371B" w:rsidRDefault="008F371B" w:rsidP="008F371B">
      <w:pPr>
        <w:jc w:val="right"/>
        <w:rPr>
          <w:sz w:val="18"/>
          <w:szCs w:val="18"/>
        </w:rPr>
      </w:pPr>
      <w:r>
        <w:rPr>
          <w:sz w:val="18"/>
          <w:szCs w:val="18"/>
        </w:rPr>
        <w:t>Zdroj</w:t>
      </w:r>
      <w:r w:rsidRPr="00E760AD">
        <w:rPr>
          <w:sz w:val="18"/>
          <w:szCs w:val="18"/>
        </w:rPr>
        <w:t xml:space="preserve">: </w:t>
      </w:r>
      <w:r>
        <w:rPr>
          <w:sz w:val="18"/>
          <w:szCs w:val="18"/>
        </w:rPr>
        <w:t>ČSÚ</w:t>
      </w:r>
    </w:p>
    <w:p w:rsidR="008F371B" w:rsidRPr="008F371B" w:rsidRDefault="008F371B" w:rsidP="00686D87">
      <w:pPr>
        <w:rPr>
          <w:b/>
          <w:sz w:val="16"/>
          <w:szCs w:val="16"/>
        </w:rPr>
      </w:pPr>
    </w:p>
    <w:tbl>
      <w:tblPr>
        <w:tblW w:w="5043" w:type="pct"/>
        <w:tblInd w:w="-42" w:type="dxa"/>
        <w:tblCellMar>
          <w:left w:w="28" w:type="dxa"/>
          <w:right w:w="28" w:type="dxa"/>
        </w:tblCellMar>
        <w:tblLook w:val="00A0"/>
      </w:tblPr>
      <w:tblGrid>
        <w:gridCol w:w="2037"/>
        <w:gridCol w:w="272"/>
        <w:gridCol w:w="7468"/>
      </w:tblGrid>
      <w:tr w:rsidR="008F371B" w:rsidTr="00072F46">
        <w:tc>
          <w:tcPr>
            <w:tcW w:w="1042" w:type="pct"/>
          </w:tcPr>
          <w:p w:rsidR="008F371B" w:rsidRDefault="008F371B" w:rsidP="008F371B">
            <w:pPr>
              <w:spacing w:line="240" w:lineRule="auto"/>
              <w:rPr>
                <w:color w:val="000000"/>
                <w:sz w:val="16"/>
                <w:szCs w:val="16"/>
              </w:rPr>
            </w:pPr>
            <w:r>
              <w:rPr>
                <w:color w:val="000000"/>
                <w:sz w:val="16"/>
                <w:szCs w:val="16"/>
              </w:rPr>
              <w:t xml:space="preserve">Proporce dividend a reinvestovaných zisků z přímých investic jsou ovlivněny třetí fází cyklu přímých investic, v níž </w:t>
            </w:r>
            <w:proofErr w:type="gramStart"/>
            <w:r>
              <w:rPr>
                <w:color w:val="000000"/>
                <w:sz w:val="16"/>
                <w:szCs w:val="16"/>
              </w:rPr>
              <w:t>se  nachází</w:t>
            </w:r>
            <w:proofErr w:type="gramEnd"/>
            <w:r>
              <w:rPr>
                <w:color w:val="000000"/>
                <w:sz w:val="16"/>
                <w:szCs w:val="16"/>
              </w:rPr>
              <w:t xml:space="preserve"> česká ekonomika již téměř deset let </w:t>
            </w:r>
          </w:p>
        </w:tc>
        <w:tc>
          <w:tcPr>
            <w:tcW w:w="139" w:type="pct"/>
          </w:tcPr>
          <w:p w:rsidR="008F371B" w:rsidRDefault="008F371B" w:rsidP="00072F46">
            <w:pPr>
              <w:pStyle w:val="Textpoznpodarou"/>
              <w:jc w:val="both"/>
            </w:pPr>
          </w:p>
        </w:tc>
        <w:tc>
          <w:tcPr>
            <w:tcW w:w="3819" w:type="pct"/>
          </w:tcPr>
          <w:p w:rsidR="008F371B" w:rsidRDefault="008F371B" w:rsidP="00072F46">
            <w:pPr>
              <w:pStyle w:val="Textpoznpodarou"/>
              <w:jc w:val="both"/>
              <w:rPr>
                <w:color w:val="000000"/>
                <w:spacing w:val="-2"/>
              </w:rPr>
            </w:pPr>
            <w:r w:rsidRPr="008F3CAE">
              <w:rPr>
                <w:color w:val="000000"/>
              </w:rPr>
              <w:t>Co se týká ročního přílivu přímých zahraničních investic sestávajících z přímých kapitálových vstupů, reinvestova</w:t>
            </w:r>
            <w:r>
              <w:rPr>
                <w:color w:val="000000"/>
              </w:rPr>
              <w:t>ných zisků a ostatních investic</w:t>
            </w:r>
            <w:r>
              <w:rPr>
                <w:rStyle w:val="Znakapoznpodarou"/>
                <w:color w:val="000000"/>
              </w:rPr>
              <w:footnoteReference w:id="15"/>
            </w:r>
            <w:r>
              <w:rPr>
                <w:color w:val="000000"/>
              </w:rPr>
              <w:t xml:space="preserve">, pak </w:t>
            </w:r>
            <w:r w:rsidRPr="008F3CAE">
              <w:rPr>
                <w:color w:val="000000"/>
              </w:rPr>
              <w:t>přibližně od roku 2007 převažují v této struktuře přílivu reinvestované zisky. Za</w:t>
            </w:r>
            <w:r>
              <w:rPr>
                <w:color w:val="000000"/>
              </w:rPr>
              <w:t> </w:t>
            </w:r>
            <w:r w:rsidRPr="008F3CAE">
              <w:rPr>
                <w:color w:val="000000"/>
              </w:rPr>
              <w:t>roky 2010-2014 se na ročních přílivech investic podílely reinvestovan</w:t>
            </w:r>
            <w:r>
              <w:rPr>
                <w:color w:val="000000"/>
              </w:rPr>
              <w:t>é zisky v nadpoloviční proporci</w:t>
            </w:r>
            <w:r w:rsidRPr="008F3CAE">
              <w:rPr>
                <w:color w:val="000000"/>
              </w:rPr>
              <w:t xml:space="preserve">. Poměr směřující k převaze reinvestovaných zisků nad ostatními složkami přílivu přímých investic do ČR </w:t>
            </w:r>
            <w:r w:rsidR="00640C2B">
              <w:rPr>
                <w:color w:val="000000"/>
              </w:rPr>
              <w:t xml:space="preserve">má </w:t>
            </w:r>
            <w:r w:rsidRPr="008F3CAE">
              <w:rPr>
                <w:color w:val="000000"/>
              </w:rPr>
              <w:t>logiku jednak v již</w:t>
            </w:r>
            <w:r>
              <w:rPr>
                <w:color w:val="000000"/>
              </w:rPr>
              <w:t xml:space="preserve"> </w:t>
            </w:r>
            <w:r w:rsidRPr="008F3CAE">
              <w:rPr>
                <w:color w:val="000000"/>
              </w:rPr>
              <w:t xml:space="preserve">zmíněné třetí fázi přímých zahraničních investic, jednak ve skutečnosti, že prodej státních podílů významných firem v ČR, uskutečňovaný největší měrou na přelomu nového tisíciletí, pochopitelně již svůj potenciál pro kapitálové vstupy vyčerpal. </w:t>
            </w:r>
            <w:r>
              <w:rPr>
                <w:color w:val="000000"/>
                <w:spacing w:val="-2"/>
              </w:rPr>
              <w:t xml:space="preserve">  </w:t>
            </w:r>
          </w:p>
        </w:tc>
      </w:tr>
    </w:tbl>
    <w:p w:rsidR="008F371B" w:rsidRPr="008F371B" w:rsidRDefault="008F371B" w:rsidP="00686D87">
      <w:pPr>
        <w:rPr>
          <w:b/>
          <w:sz w:val="16"/>
          <w:szCs w:val="16"/>
        </w:rPr>
      </w:pPr>
    </w:p>
    <w:tbl>
      <w:tblPr>
        <w:tblW w:w="5043" w:type="pct"/>
        <w:tblInd w:w="-42" w:type="dxa"/>
        <w:tblCellMar>
          <w:left w:w="28" w:type="dxa"/>
          <w:right w:w="28" w:type="dxa"/>
        </w:tblCellMar>
        <w:tblLook w:val="00A0"/>
      </w:tblPr>
      <w:tblGrid>
        <w:gridCol w:w="741"/>
        <w:gridCol w:w="4132"/>
        <w:gridCol w:w="687"/>
        <w:gridCol w:w="4217"/>
      </w:tblGrid>
      <w:tr w:rsidR="008F371B" w:rsidRPr="00817C98" w:rsidTr="00072F46">
        <w:tc>
          <w:tcPr>
            <w:tcW w:w="379" w:type="pct"/>
          </w:tcPr>
          <w:p w:rsidR="008F371B" w:rsidRDefault="008F371B" w:rsidP="00072F46">
            <w:pPr>
              <w:spacing w:line="240" w:lineRule="auto"/>
            </w:pPr>
            <w:r>
              <w:t>Graf č. 33</w:t>
            </w:r>
          </w:p>
        </w:tc>
        <w:tc>
          <w:tcPr>
            <w:tcW w:w="2112" w:type="pct"/>
          </w:tcPr>
          <w:p w:rsidR="008F371B" w:rsidRDefault="008F371B" w:rsidP="008F371B">
            <w:pPr>
              <w:pStyle w:val="Textpoznpodarou"/>
              <w:rPr>
                <w:rFonts w:cs="Arial"/>
                <w:szCs w:val="24"/>
              </w:rPr>
            </w:pPr>
            <w:r>
              <w:rPr>
                <w:rFonts w:cs="Arial"/>
                <w:b/>
                <w:bCs/>
              </w:rPr>
              <w:t xml:space="preserve">Firmy pod zahraniční kontrolou – placené dividendy a reinvestované zisky z přímých zahraničních investic </w:t>
            </w:r>
            <w:r w:rsidRPr="00523C8D">
              <w:rPr>
                <w:rFonts w:cs="Arial"/>
                <w:bCs/>
                <w:sz w:val="18"/>
                <w:szCs w:val="18"/>
              </w:rPr>
              <w:t>(v mil. korun)</w:t>
            </w:r>
          </w:p>
        </w:tc>
        <w:tc>
          <w:tcPr>
            <w:tcW w:w="352" w:type="pct"/>
          </w:tcPr>
          <w:p w:rsidR="008F371B" w:rsidRDefault="008F371B" w:rsidP="00072F46">
            <w:pPr>
              <w:spacing w:line="240" w:lineRule="auto"/>
            </w:pPr>
            <w:r>
              <w:t>Graf č. 34</w:t>
            </w:r>
          </w:p>
        </w:tc>
        <w:tc>
          <w:tcPr>
            <w:tcW w:w="2157" w:type="pct"/>
          </w:tcPr>
          <w:p w:rsidR="008F371B" w:rsidRPr="00817C98" w:rsidRDefault="008F371B" w:rsidP="00072F46">
            <w:pPr>
              <w:spacing w:line="240" w:lineRule="auto"/>
              <w:rPr>
                <w:rFonts w:cs="Arial"/>
                <w:b/>
                <w:bCs/>
              </w:rPr>
            </w:pPr>
            <w:r>
              <w:rPr>
                <w:rFonts w:cs="Arial"/>
                <w:b/>
                <w:bCs/>
              </w:rPr>
              <w:t xml:space="preserve">Firmy soukromé národní – placené dividendy a reinvestované zisky z přímých zahraničních investic </w:t>
            </w:r>
            <w:r w:rsidRPr="00523C8D">
              <w:rPr>
                <w:rFonts w:cs="Arial"/>
                <w:bCs/>
                <w:sz w:val="18"/>
                <w:szCs w:val="18"/>
              </w:rPr>
              <w:t>(v mil. korun)</w:t>
            </w:r>
          </w:p>
        </w:tc>
      </w:tr>
      <w:tr w:rsidR="008F371B" w:rsidTr="00072F46">
        <w:tc>
          <w:tcPr>
            <w:tcW w:w="2491" w:type="pct"/>
            <w:gridSpan w:val="2"/>
          </w:tcPr>
          <w:p w:rsidR="008F371B" w:rsidRDefault="00513C6F" w:rsidP="00072F46">
            <w:pPr>
              <w:pStyle w:val="Textpoznpodarou"/>
            </w:pPr>
            <w:r>
              <w:rPr>
                <w:noProof/>
              </w:rPr>
              <w:pict>
                <v:shape id="_x0000_i1112" type="#_x0000_t75" style="width:240.75pt;height:18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">
                  <v:imagedata r:id="rId104" o:title="" cropbottom="-63f"/>
                  <o:lock v:ext="edit" aspectratio="f"/>
                </v:shape>
              </w:pict>
            </w:r>
          </w:p>
        </w:tc>
        <w:tc>
          <w:tcPr>
            <w:tcW w:w="2509" w:type="pct"/>
            <w:gridSpan w:val="2"/>
          </w:tcPr>
          <w:p w:rsidR="008F371B" w:rsidRDefault="00513C6F" w:rsidP="00072F46">
            <w:pPr>
              <w:pStyle w:val="Textpoznpodarou"/>
            </w:pPr>
            <w:r>
              <w:rPr>
                <w:noProof/>
              </w:rPr>
              <w:pict>
                <v:shape id="_x0000_i1113" type="#_x0000_t75" style="width:237.7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">
                  <v:imagedata r:id="rId105" o:title=""/>
                  <o:lock v:ext="edit" aspectratio="f"/>
                </v:shape>
              </w:pict>
            </w:r>
          </w:p>
        </w:tc>
      </w:tr>
    </w:tbl>
    <w:p w:rsidR="008F371B" w:rsidRDefault="008F371B" w:rsidP="008F371B">
      <w:pPr>
        <w:jc w:val="right"/>
        <w:rPr>
          <w:sz w:val="18"/>
          <w:szCs w:val="18"/>
        </w:rPr>
      </w:pPr>
      <w:r>
        <w:rPr>
          <w:sz w:val="18"/>
          <w:szCs w:val="18"/>
        </w:rPr>
        <w:t>Zdroj</w:t>
      </w:r>
      <w:r w:rsidRPr="00E760AD">
        <w:rPr>
          <w:sz w:val="18"/>
          <w:szCs w:val="18"/>
        </w:rPr>
        <w:t xml:space="preserve">: </w:t>
      </w:r>
      <w:r>
        <w:rPr>
          <w:sz w:val="18"/>
          <w:szCs w:val="18"/>
        </w:rPr>
        <w:t>ČSÚ</w:t>
      </w:r>
    </w:p>
    <w:p w:rsidR="008F371B" w:rsidRDefault="008F371B" w:rsidP="008F371B">
      <w:pPr>
        <w:jc w:val="right"/>
        <w:rPr>
          <w:sz w:val="18"/>
          <w:szCs w:val="18"/>
        </w:rPr>
      </w:pPr>
    </w:p>
    <w:tbl>
      <w:tblPr>
        <w:tblW w:w="5043" w:type="pct"/>
        <w:tblInd w:w="-42" w:type="dxa"/>
        <w:tblCellMar>
          <w:left w:w="28" w:type="dxa"/>
          <w:right w:w="28" w:type="dxa"/>
        </w:tblCellMar>
        <w:tblLook w:val="00A0"/>
      </w:tblPr>
      <w:tblGrid>
        <w:gridCol w:w="2037"/>
        <w:gridCol w:w="272"/>
        <w:gridCol w:w="7468"/>
      </w:tblGrid>
      <w:tr w:rsidR="008F371B" w:rsidTr="00072F46">
        <w:tc>
          <w:tcPr>
            <w:tcW w:w="1042" w:type="pct"/>
          </w:tcPr>
          <w:p w:rsidR="008F371B" w:rsidRPr="00602D1D" w:rsidRDefault="008F371B" w:rsidP="00072F46">
            <w:pPr>
              <w:spacing w:line="240" w:lineRule="auto"/>
              <w:rPr>
                <w:color w:val="000000"/>
                <w:sz w:val="16"/>
                <w:szCs w:val="16"/>
              </w:rPr>
            </w:pPr>
            <w:r>
              <w:rPr>
                <w:color w:val="000000"/>
                <w:sz w:val="16"/>
                <w:szCs w:val="16"/>
              </w:rPr>
              <w:t>U firem pod zahraniční kontrolou výrazně vyšší objem dividend proti reinvestovaným ziskům evokuje úvahy o charakteru nových růstových stimulů pro českou ekonomiku</w:t>
            </w:r>
          </w:p>
        </w:tc>
        <w:tc>
          <w:tcPr>
            <w:tcW w:w="139" w:type="pct"/>
          </w:tcPr>
          <w:p w:rsidR="008F371B" w:rsidRDefault="008F371B" w:rsidP="00072F46">
            <w:pPr>
              <w:pStyle w:val="Textpoznpodarou"/>
              <w:jc w:val="both"/>
            </w:pPr>
          </w:p>
        </w:tc>
        <w:tc>
          <w:tcPr>
            <w:tcW w:w="3819" w:type="pct"/>
          </w:tcPr>
          <w:p w:rsidR="008F371B" w:rsidRDefault="008F371B" w:rsidP="00072F46">
            <w:pPr>
              <w:pStyle w:val="Textpoznpodarou"/>
              <w:jc w:val="both"/>
              <w:rPr>
                <w:color w:val="000000"/>
                <w:spacing w:val="-2"/>
              </w:rPr>
            </w:pPr>
            <w:r>
              <w:rPr>
                <w:color w:val="000000"/>
                <w:spacing w:val="-2"/>
              </w:rPr>
              <w:t xml:space="preserve">Převýšení nakumulovaných dividend ČR nad nakumulovanými reinvestovanými zisky činilo v roce 2013 – za nějž jsou k dispozici poslední data z národního účetnictví  - u nefinančních podniků pod zahraniční kontrolou 245 % (nominálně 162,4 mld. proti 47,01 mld. korun). S ohledem na potenciál, který měly přímé zahraniční investice na dynamizaci ekonomického vývoje v ČR, je vzhledem k této skutečnosti a probíhající fázi přímých investic zřejmě zapotřebí uvažovat i o jiných, zejména vnitřně generovaných, růstových stimulech. </w:t>
            </w:r>
          </w:p>
        </w:tc>
      </w:tr>
    </w:tbl>
    <w:p w:rsidR="005D5A35" w:rsidRPr="006E15CB" w:rsidRDefault="005D5A35" w:rsidP="008B0C8B">
      <w:pPr>
        <w:pStyle w:val="Nadpis3"/>
        <w:numPr>
          <w:ilvl w:val="2"/>
          <w:numId w:val="6"/>
        </w:numPr>
      </w:pPr>
      <w:bookmarkStart w:id="35" w:name="_Toc426017677"/>
      <w:r>
        <w:lastRenderedPageBreak/>
        <w:t>Zisky nefinančních podniků a vývoj mezd</w:t>
      </w:r>
      <w:bookmarkEnd w:id="35"/>
    </w:p>
    <w:tbl>
      <w:tblPr>
        <w:tblW w:w="5043" w:type="pct"/>
        <w:tblInd w:w="-42" w:type="dxa"/>
        <w:tblCellMar>
          <w:left w:w="28" w:type="dxa"/>
          <w:right w:w="28" w:type="dxa"/>
        </w:tblCellMar>
        <w:tblLook w:val="00A0"/>
      </w:tblPr>
      <w:tblGrid>
        <w:gridCol w:w="25"/>
        <w:gridCol w:w="716"/>
        <w:gridCol w:w="1248"/>
        <w:gridCol w:w="260"/>
        <w:gridCol w:w="2522"/>
        <w:gridCol w:w="718"/>
        <w:gridCol w:w="4288"/>
      </w:tblGrid>
      <w:tr w:rsidR="005D5A35" w:rsidTr="008F3CAE">
        <w:tc>
          <w:tcPr>
            <w:tcW w:w="1017" w:type="pct"/>
            <w:gridSpan w:val="3"/>
          </w:tcPr>
          <w:p w:rsidR="005D5A35" w:rsidRDefault="005D5A35" w:rsidP="006945DF">
            <w:pPr>
              <w:spacing w:line="240" w:lineRule="auto"/>
              <w:rPr>
                <w:color w:val="000000"/>
                <w:sz w:val="16"/>
                <w:szCs w:val="16"/>
              </w:rPr>
            </w:pPr>
            <w:r>
              <w:rPr>
                <w:color w:val="000000"/>
                <w:sz w:val="16"/>
                <w:szCs w:val="16"/>
              </w:rPr>
              <w:t>Výrazný růst zisků firem díky oslabené koruně a</w:t>
            </w:r>
            <w:r w:rsidR="006945DF">
              <w:rPr>
                <w:color w:val="000000"/>
                <w:sz w:val="16"/>
                <w:szCs w:val="16"/>
              </w:rPr>
              <w:t> </w:t>
            </w:r>
            <w:r>
              <w:rPr>
                <w:color w:val="000000"/>
                <w:sz w:val="16"/>
                <w:szCs w:val="16"/>
              </w:rPr>
              <w:t>zlepšené zahraniční poptávce</w:t>
            </w:r>
          </w:p>
        </w:tc>
        <w:tc>
          <w:tcPr>
            <w:tcW w:w="133" w:type="pct"/>
          </w:tcPr>
          <w:p w:rsidR="005D5A35" w:rsidRDefault="005D5A35" w:rsidP="006A456E">
            <w:pPr>
              <w:pStyle w:val="Textpoznpodarou"/>
              <w:jc w:val="both"/>
            </w:pPr>
          </w:p>
        </w:tc>
        <w:tc>
          <w:tcPr>
            <w:tcW w:w="3849" w:type="pct"/>
            <w:gridSpan w:val="3"/>
          </w:tcPr>
          <w:p w:rsidR="005D5A35" w:rsidRDefault="005D5A35" w:rsidP="00DB31DE">
            <w:pPr>
              <w:pStyle w:val="Textpoznpodarou"/>
              <w:jc w:val="both"/>
              <w:rPr>
                <w:color w:val="000000"/>
                <w:spacing w:val="-2"/>
              </w:rPr>
            </w:pPr>
            <w:r>
              <w:rPr>
                <w:color w:val="000000"/>
                <w:spacing w:val="-2"/>
              </w:rPr>
              <w:t>Posílená konkurenceschopnost firem po umělém oslabení koruny (v listopadu 2013) spolu s mírným zlepšováním evropské ekonomiky projevujícím se vě</w:t>
            </w:r>
            <w:r w:rsidR="00B06EE6">
              <w:rPr>
                <w:color w:val="000000"/>
                <w:spacing w:val="-2"/>
              </w:rPr>
              <w:t>t</w:t>
            </w:r>
            <w:r>
              <w:rPr>
                <w:color w:val="000000"/>
                <w:spacing w:val="-2"/>
              </w:rPr>
              <w:t xml:space="preserve">ší poptávkou po českém zboží pomohly exportérům významně navýšit korunové tržby a tedy i výnosy. Ty však stouply - (a prakticky ihned - i jejich tuzemským dodavatelům uskutečňujícím své dodávky v eurech. </w:t>
            </w:r>
          </w:p>
          <w:p w:rsidR="005D5A35" w:rsidRDefault="005D5A35" w:rsidP="00DB31DE">
            <w:pPr>
              <w:pStyle w:val="Textpoznpodarou"/>
              <w:jc w:val="both"/>
              <w:rPr>
                <w:color w:val="000000"/>
                <w:spacing w:val="-2"/>
              </w:rPr>
            </w:pPr>
            <w:r>
              <w:rPr>
                <w:color w:val="000000"/>
                <w:spacing w:val="-2"/>
              </w:rPr>
              <w:t xml:space="preserve">      </w:t>
            </w:r>
          </w:p>
        </w:tc>
      </w:tr>
      <w:tr w:rsidR="005D5A35" w:rsidTr="008F3CAE">
        <w:tc>
          <w:tcPr>
            <w:tcW w:w="1017" w:type="pct"/>
            <w:gridSpan w:val="3"/>
          </w:tcPr>
          <w:p w:rsidR="005D5A35" w:rsidRDefault="005D5A35" w:rsidP="0072459F">
            <w:pPr>
              <w:spacing w:line="240" w:lineRule="auto"/>
              <w:rPr>
                <w:color w:val="000000"/>
                <w:sz w:val="16"/>
                <w:szCs w:val="16"/>
              </w:rPr>
            </w:pPr>
            <w:r>
              <w:rPr>
                <w:color w:val="000000"/>
                <w:sz w:val="16"/>
                <w:szCs w:val="16"/>
              </w:rPr>
              <w:t>Hrubý provozní přebytek nefinančních podniků stoupl v roce 2014 meziročně o 131,8 mld. korun, tj. rekordně na</w:t>
            </w:r>
            <w:r w:rsidR="0072459F">
              <w:rPr>
                <w:color w:val="000000"/>
                <w:sz w:val="16"/>
                <w:szCs w:val="16"/>
              </w:rPr>
              <w:t> </w:t>
            </w:r>
            <w:r>
              <w:rPr>
                <w:color w:val="000000"/>
                <w:sz w:val="16"/>
                <w:szCs w:val="16"/>
              </w:rPr>
              <w:t>1,199 bil. korun…</w:t>
            </w:r>
          </w:p>
        </w:tc>
        <w:tc>
          <w:tcPr>
            <w:tcW w:w="133" w:type="pct"/>
          </w:tcPr>
          <w:p w:rsidR="005D5A35" w:rsidRDefault="005D5A35" w:rsidP="006A456E">
            <w:pPr>
              <w:pStyle w:val="Textpoznpodarou"/>
              <w:jc w:val="both"/>
            </w:pPr>
          </w:p>
        </w:tc>
        <w:tc>
          <w:tcPr>
            <w:tcW w:w="3849" w:type="pct"/>
            <w:gridSpan w:val="3"/>
          </w:tcPr>
          <w:p w:rsidR="005D5A35" w:rsidRDefault="005D5A35" w:rsidP="006A456E">
            <w:pPr>
              <w:pStyle w:val="Textpoznpodarou"/>
              <w:jc w:val="both"/>
              <w:rPr>
                <w:color w:val="000000"/>
                <w:spacing w:val="-2"/>
              </w:rPr>
            </w:pPr>
            <w:r>
              <w:rPr>
                <w:color w:val="000000"/>
                <w:spacing w:val="-2"/>
              </w:rPr>
              <w:t>V roce 2014 dosáhly zisky nefinančních podniků v podobě hrubého provozního přebytku 1 198,7 mld. a proti roku 2013 byl</w:t>
            </w:r>
            <w:r w:rsidR="001242CF">
              <w:rPr>
                <w:color w:val="000000"/>
                <w:spacing w:val="-2"/>
              </w:rPr>
              <w:t>y</w:t>
            </w:r>
            <w:r>
              <w:rPr>
                <w:color w:val="000000"/>
                <w:spacing w:val="-2"/>
              </w:rPr>
              <w:t xml:space="preserve"> vyšší o 131,8 mld. korun</w:t>
            </w:r>
            <w:r w:rsidR="009B61D0">
              <w:rPr>
                <w:color w:val="000000"/>
                <w:spacing w:val="-2"/>
              </w:rPr>
              <w:t>.</w:t>
            </w:r>
            <w:r>
              <w:rPr>
                <w:color w:val="000000"/>
                <w:spacing w:val="-2"/>
              </w:rPr>
              <w:t xml:space="preserve"> Takovýto meziroční přírůstek nebyl zaznamenán ani za dlouhé a silné konjunktury české ekonomiky v letech 2004-2008 (tehdy sice meziroční nárůst zisků firem rovněž překonal </w:t>
            </w:r>
            <w:r w:rsidR="009B61D0">
              <w:rPr>
                <w:color w:val="000000"/>
                <w:spacing w:val="-2"/>
              </w:rPr>
              <w:t xml:space="preserve">stomiliardovou hranici, ovšem </w:t>
            </w:r>
            <w:r>
              <w:rPr>
                <w:color w:val="000000"/>
                <w:spacing w:val="-2"/>
              </w:rPr>
              <w:t xml:space="preserve">podstatně méně než v roce 2014). V roce 2006 stoupl hrubý provozní přebytek nefinančních podniků o 110,8 mld. korun, v roce 2007 pak o 104,9 mld. korun. </w:t>
            </w:r>
          </w:p>
          <w:p w:rsidR="005D5A35" w:rsidRDefault="005D5A35" w:rsidP="006A456E">
            <w:pPr>
              <w:pStyle w:val="Textpoznpodarou"/>
              <w:jc w:val="both"/>
              <w:rPr>
                <w:color w:val="000000"/>
                <w:spacing w:val="-2"/>
              </w:rPr>
            </w:pPr>
            <w:r>
              <w:rPr>
                <w:color w:val="000000"/>
                <w:spacing w:val="-2"/>
              </w:rPr>
              <w:t xml:space="preserve"> </w:t>
            </w:r>
          </w:p>
        </w:tc>
      </w:tr>
      <w:tr w:rsidR="005D5A35" w:rsidTr="008F3CAE">
        <w:tc>
          <w:tcPr>
            <w:tcW w:w="1017" w:type="pct"/>
            <w:gridSpan w:val="3"/>
          </w:tcPr>
          <w:p w:rsidR="005D5A35" w:rsidRDefault="005D5A35" w:rsidP="0072459F">
            <w:pPr>
              <w:spacing w:line="240" w:lineRule="auto"/>
              <w:rPr>
                <w:color w:val="000000"/>
                <w:sz w:val="16"/>
                <w:szCs w:val="16"/>
              </w:rPr>
            </w:pPr>
            <w:r>
              <w:rPr>
                <w:color w:val="000000"/>
                <w:sz w:val="16"/>
                <w:szCs w:val="16"/>
              </w:rPr>
              <w:t>… a historicky nejvyšší byl i meziroční růst čistého provozního přebytku, tj. o</w:t>
            </w:r>
            <w:r w:rsidR="0072459F">
              <w:rPr>
                <w:color w:val="000000"/>
                <w:sz w:val="16"/>
                <w:szCs w:val="16"/>
              </w:rPr>
              <w:t> </w:t>
            </w:r>
            <w:r>
              <w:rPr>
                <w:color w:val="000000"/>
                <w:sz w:val="16"/>
                <w:szCs w:val="16"/>
              </w:rPr>
              <w:t xml:space="preserve">123 mld. korun </w:t>
            </w:r>
          </w:p>
        </w:tc>
        <w:tc>
          <w:tcPr>
            <w:tcW w:w="133" w:type="pct"/>
          </w:tcPr>
          <w:p w:rsidR="005D5A35" w:rsidRDefault="005D5A35" w:rsidP="006A456E">
            <w:pPr>
              <w:pStyle w:val="Textpoznpodarou"/>
              <w:jc w:val="both"/>
            </w:pPr>
          </w:p>
        </w:tc>
        <w:tc>
          <w:tcPr>
            <w:tcW w:w="3849" w:type="pct"/>
            <w:gridSpan w:val="3"/>
          </w:tcPr>
          <w:p w:rsidR="005D5A35" w:rsidRDefault="005D5A35" w:rsidP="006A456E">
            <w:pPr>
              <w:pStyle w:val="Textpoznpodarou"/>
              <w:jc w:val="both"/>
              <w:rPr>
                <w:color w:val="000000"/>
                <w:spacing w:val="-2"/>
              </w:rPr>
            </w:pPr>
            <w:r>
              <w:rPr>
                <w:color w:val="000000"/>
                <w:spacing w:val="-2"/>
              </w:rPr>
              <w:t xml:space="preserve">Také čistý provozní přebytek nefinančních podniků vzrostl v roce 2014 nejvíce v časové řadě od roku 1993, když proti roku 2013 posílil o 123 mld. na 622,7 mld. korun (v letech 2006 a 2007 vzrostl o 87,2 mld., resp. 67,4 mld. korun). Naopak v krizovém roce 2009 byl jeho propad hlubší (-104,8 mld.), než meziroční pokles hrubého provozního přebytku (-84,4 mld. korun). </w:t>
            </w:r>
          </w:p>
          <w:p w:rsidR="005D5A35" w:rsidRPr="008F3CAE" w:rsidRDefault="005D5A35" w:rsidP="006A456E">
            <w:pPr>
              <w:pStyle w:val="Textpoznpodarou"/>
              <w:jc w:val="both"/>
              <w:rPr>
                <w:color w:val="000000"/>
                <w:spacing w:val="-2"/>
              </w:rPr>
            </w:pPr>
          </w:p>
          <w:p w:rsidR="005D5A35" w:rsidRDefault="005D5A35" w:rsidP="006A456E">
            <w:pPr>
              <w:pStyle w:val="Textpoznpodarou"/>
              <w:jc w:val="both"/>
              <w:rPr>
                <w:color w:val="000000"/>
                <w:spacing w:val="-2"/>
              </w:rPr>
            </w:pPr>
            <w:r>
              <w:rPr>
                <w:color w:val="000000"/>
                <w:spacing w:val="-2"/>
              </w:rPr>
              <w:t xml:space="preserve">Proti roku 2013 se čistý provozní přebytek nefinančních podniků zvýšil o čtvrtinu (+24,6 %), jejich hrubý provozní přebytek o 12,4 %.  </w:t>
            </w:r>
          </w:p>
          <w:p w:rsidR="005D5A35" w:rsidRDefault="005D5A35" w:rsidP="006A456E">
            <w:pPr>
              <w:pStyle w:val="Textpoznpodarou"/>
              <w:jc w:val="both"/>
              <w:rPr>
                <w:color w:val="000000"/>
                <w:spacing w:val="-2"/>
              </w:rPr>
            </w:pPr>
            <w:r>
              <w:rPr>
                <w:color w:val="000000"/>
                <w:spacing w:val="-2"/>
              </w:rPr>
              <w:t xml:space="preserve">      </w:t>
            </w:r>
          </w:p>
        </w:tc>
      </w:tr>
      <w:tr w:rsidR="005D5A35" w:rsidTr="008F3CAE">
        <w:tc>
          <w:tcPr>
            <w:tcW w:w="1017" w:type="pct"/>
            <w:gridSpan w:val="3"/>
          </w:tcPr>
          <w:p w:rsidR="005D5A35" w:rsidRPr="0075245C" w:rsidRDefault="005D5A35" w:rsidP="006A456E">
            <w:pPr>
              <w:spacing w:line="240" w:lineRule="auto"/>
              <w:rPr>
                <w:color w:val="000000"/>
                <w:sz w:val="16"/>
                <w:szCs w:val="16"/>
              </w:rPr>
            </w:pPr>
            <w:r w:rsidRPr="0075245C">
              <w:rPr>
                <w:color w:val="000000"/>
                <w:sz w:val="16"/>
                <w:szCs w:val="16"/>
              </w:rPr>
              <w:t>Z období 2010-2013 však byly nefinanční podniky v průměru ka</w:t>
            </w:r>
            <w:r w:rsidR="00420A35" w:rsidRPr="0075245C">
              <w:rPr>
                <w:color w:val="000000"/>
                <w:sz w:val="16"/>
                <w:szCs w:val="16"/>
              </w:rPr>
              <w:t>ždý rok ztrátové podle</w:t>
            </w:r>
            <w:r w:rsidR="005A1CEC" w:rsidRPr="0075245C">
              <w:rPr>
                <w:color w:val="000000"/>
                <w:sz w:val="16"/>
                <w:szCs w:val="16"/>
              </w:rPr>
              <w:t xml:space="preserve"> </w:t>
            </w:r>
            <w:r w:rsidR="0075245C" w:rsidRPr="0075245C">
              <w:rPr>
                <w:color w:val="000000"/>
                <w:sz w:val="16"/>
                <w:szCs w:val="16"/>
              </w:rPr>
              <w:t>přírůstku</w:t>
            </w:r>
            <w:r w:rsidR="00420A35" w:rsidRPr="0075245C">
              <w:rPr>
                <w:color w:val="000000"/>
                <w:sz w:val="16"/>
                <w:szCs w:val="16"/>
              </w:rPr>
              <w:t xml:space="preserve"> čistého provozního přebytku</w:t>
            </w:r>
            <w:r w:rsidR="005A1CEC" w:rsidRPr="0075245C">
              <w:rPr>
                <w:color w:val="000000"/>
                <w:sz w:val="16"/>
                <w:szCs w:val="16"/>
              </w:rPr>
              <w:t>. J</w:t>
            </w:r>
            <w:r w:rsidRPr="0075245C">
              <w:rPr>
                <w:color w:val="000000"/>
                <w:sz w:val="16"/>
                <w:szCs w:val="16"/>
              </w:rPr>
              <w:t>eho růst v hrubém vyjádření byl minimální</w:t>
            </w:r>
          </w:p>
        </w:tc>
        <w:tc>
          <w:tcPr>
            <w:tcW w:w="133" w:type="pct"/>
          </w:tcPr>
          <w:p w:rsidR="005D5A35" w:rsidRDefault="005D5A35" w:rsidP="006A456E">
            <w:pPr>
              <w:pStyle w:val="Textpoznpodarou"/>
              <w:jc w:val="both"/>
            </w:pPr>
          </w:p>
        </w:tc>
        <w:tc>
          <w:tcPr>
            <w:tcW w:w="3849" w:type="pct"/>
            <w:gridSpan w:val="3"/>
          </w:tcPr>
          <w:p w:rsidR="005D5A35" w:rsidRDefault="005D5A35" w:rsidP="008D2811">
            <w:pPr>
              <w:pStyle w:val="Textpoznpodarou"/>
              <w:jc w:val="both"/>
              <w:rPr>
                <w:color w:val="000000"/>
                <w:spacing w:val="-2"/>
              </w:rPr>
            </w:pPr>
            <w:r>
              <w:rPr>
                <w:color w:val="000000"/>
                <w:spacing w:val="-2"/>
              </w:rPr>
              <w:t>Mimořádný růst zisků firemního sektoru v roce 2014 vyniká zejména při srovnání s předchozími lety oslabenými recesí (2012 a 2013). Nefinanční podniky byly totiž v průměru za čtyřleté období 2010-2013</w:t>
            </w:r>
            <w:r w:rsidR="0072459F">
              <w:rPr>
                <w:color w:val="000000"/>
                <w:spacing w:val="-2"/>
              </w:rPr>
              <w:t>,</w:t>
            </w:r>
            <w:r>
              <w:rPr>
                <w:color w:val="000000"/>
                <w:spacing w:val="-2"/>
              </w:rPr>
              <w:t xml:space="preserve"> co se přírůstků zisků týká</w:t>
            </w:r>
            <w:r w:rsidR="0072459F">
              <w:rPr>
                <w:color w:val="000000"/>
                <w:spacing w:val="-2"/>
              </w:rPr>
              <w:t>,</w:t>
            </w:r>
            <w:r>
              <w:rPr>
                <w:color w:val="000000"/>
                <w:spacing w:val="-2"/>
              </w:rPr>
              <w:t xml:space="preserve"> ztrátové (čistý provozní přebytek zaznamenával každoroční úbytky v ročním průměru -8,1 mld. korun). Hrubý provozní přebytek nefinančních podniků pak sice vykazoval v průměru přírůstky, ovšem nízké (5,9 mld. korun).</w:t>
            </w:r>
          </w:p>
          <w:p w:rsidR="005D5A35" w:rsidRDefault="005D5A35" w:rsidP="008D2811">
            <w:pPr>
              <w:pStyle w:val="Textpoznpodarou"/>
              <w:jc w:val="both"/>
              <w:rPr>
                <w:color w:val="000000"/>
                <w:spacing w:val="-2"/>
              </w:rPr>
            </w:pPr>
          </w:p>
          <w:p w:rsidR="008F3CAE" w:rsidRDefault="008F3CAE" w:rsidP="008D2811">
            <w:pPr>
              <w:pStyle w:val="Textpoznpodarou"/>
              <w:jc w:val="both"/>
              <w:rPr>
                <w:color w:val="000000"/>
                <w:spacing w:val="-2"/>
              </w:rPr>
            </w:pPr>
          </w:p>
        </w:tc>
      </w:tr>
      <w:tr w:rsidR="005D5A35" w:rsidRPr="00817C98" w:rsidTr="008F3CAE">
        <w:trPr>
          <w:gridBefore w:val="1"/>
          <w:wBefore w:w="13" w:type="pct"/>
        </w:trPr>
        <w:tc>
          <w:tcPr>
            <w:tcW w:w="366" w:type="pct"/>
          </w:tcPr>
          <w:p w:rsidR="005D5A35" w:rsidRDefault="005D5A35" w:rsidP="003E59FD">
            <w:pPr>
              <w:spacing w:line="240" w:lineRule="auto"/>
            </w:pPr>
            <w:r>
              <w:t>Graf č.</w:t>
            </w:r>
            <w:r w:rsidR="003E59FD">
              <w:t> </w:t>
            </w:r>
            <w:r w:rsidR="008F371B">
              <w:t>35</w:t>
            </w:r>
          </w:p>
        </w:tc>
        <w:tc>
          <w:tcPr>
            <w:tcW w:w="2061" w:type="pct"/>
            <w:gridSpan w:val="3"/>
          </w:tcPr>
          <w:p w:rsidR="005D5A35" w:rsidRPr="008F3CAE" w:rsidRDefault="005D5A35" w:rsidP="001E33B9">
            <w:pPr>
              <w:pStyle w:val="Textpoznpodarou"/>
              <w:rPr>
                <w:rFonts w:cs="Arial"/>
                <w:spacing w:val="-6"/>
                <w:szCs w:val="24"/>
              </w:rPr>
            </w:pPr>
            <w:r w:rsidRPr="008F3CAE">
              <w:rPr>
                <w:rFonts w:cs="Arial"/>
                <w:b/>
                <w:bCs/>
                <w:spacing w:val="-6"/>
              </w:rPr>
              <w:t xml:space="preserve">Přírůstky/úbytky hrubého a čistého </w:t>
            </w:r>
            <w:r w:rsidR="008F3CAE">
              <w:rPr>
                <w:rFonts w:cs="Arial"/>
                <w:b/>
                <w:bCs/>
                <w:spacing w:val="-6"/>
              </w:rPr>
              <w:t xml:space="preserve">provozního přebytku </w:t>
            </w:r>
            <w:proofErr w:type="spellStart"/>
            <w:r w:rsidR="008F3CAE">
              <w:rPr>
                <w:rFonts w:cs="Arial"/>
                <w:b/>
                <w:bCs/>
                <w:spacing w:val="-6"/>
              </w:rPr>
              <w:t>nef</w:t>
            </w:r>
            <w:proofErr w:type="spellEnd"/>
            <w:r w:rsidR="008F3CAE">
              <w:rPr>
                <w:rFonts w:cs="Arial"/>
                <w:b/>
                <w:bCs/>
                <w:spacing w:val="-6"/>
              </w:rPr>
              <w:t>. pod.</w:t>
            </w:r>
            <w:r w:rsidRPr="008F3CAE">
              <w:rPr>
                <w:rFonts w:cs="Arial"/>
                <w:b/>
                <w:bCs/>
                <w:spacing w:val="-6"/>
              </w:rPr>
              <w:t xml:space="preserve"> </w:t>
            </w:r>
            <w:r w:rsidRPr="008F3CAE">
              <w:rPr>
                <w:rFonts w:cs="Arial"/>
                <w:bCs/>
                <w:spacing w:val="-6"/>
              </w:rPr>
              <w:t>(v mld. korun)</w:t>
            </w:r>
          </w:p>
        </w:tc>
        <w:tc>
          <w:tcPr>
            <w:tcW w:w="367" w:type="pct"/>
          </w:tcPr>
          <w:p w:rsidR="005D5A35" w:rsidRDefault="005D5A35" w:rsidP="003E59FD">
            <w:pPr>
              <w:spacing w:line="240" w:lineRule="auto"/>
            </w:pPr>
            <w:r>
              <w:t>Graf č.</w:t>
            </w:r>
            <w:r w:rsidR="003E59FD">
              <w:t> </w:t>
            </w:r>
            <w:r w:rsidR="008F371B">
              <w:t>36</w:t>
            </w:r>
          </w:p>
        </w:tc>
        <w:tc>
          <w:tcPr>
            <w:tcW w:w="2193" w:type="pct"/>
          </w:tcPr>
          <w:p w:rsidR="005D5A35" w:rsidRPr="00817C98" w:rsidRDefault="005D5A35" w:rsidP="008C2E5B">
            <w:pPr>
              <w:spacing w:line="240" w:lineRule="auto"/>
              <w:rPr>
                <w:rFonts w:cs="Arial"/>
                <w:b/>
                <w:bCs/>
              </w:rPr>
            </w:pPr>
            <w:r>
              <w:rPr>
                <w:rFonts w:cs="Arial"/>
                <w:b/>
                <w:bCs/>
              </w:rPr>
              <w:t xml:space="preserve">Změny hrubého provozního přebytku firem a vyplacených mezd </w:t>
            </w:r>
            <w:r w:rsidRPr="00DB06E9">
              <w:rPr>
                <w:rFonts w:cs="Arial"/>
                <w:bCs/>
              </w:rPr>
              <w:t xml:space="preserve">(v </w:t>
            </w:r>
            <w:r>
              <w:rPr>
                <w:rFonts w:cs="Arial"/>
                <w:bCs/>
              </w:rPr>
              <w:t>% y/y</w:t>
            </w:r>
            <w:r w:rsidRPr="00DB06E9">
              <w:rPr>
                <w:rFonts w:cs="Arial"/>
                <w:bCs/>
              </w:rPr>
              <w:t>)</w:t>
            </w:r>
          </w:p>
        </w:tc>
      </w:tr>
      <w:tr w:rsidR="005D5A35" w:rsidTr="008F3CAE">
        <w:trPr>
          <w:gridBefore w:val="1"/>
          <w:wBefore w:w="13" w:type="pct"/>
        </w:trPr>
        <w:tc>
          <w:tcPr>
            <w:tcW w:w="2427" w:type="pct"/>
            <w:gridSpan w:val="4"/>
          </w:tcPr>
          <w:p w:rsidR="005D5A35" w:rsidRDefault="00513C6F" w:rsidP="007351BA">
            <w:pPr>
              <w:pStyle w:val="Textpoznpodarou"/>
              <w:jc w:val="both"/>
            </w:pPr>
            <w:r>
              <w:rPr>
                <w:noProof/>
              </w:rPr>
              <w:pict>
                <v:shape id="_x0000_i1114" type="#_x0000_t75" style="width:232.5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">
                  <v:imagedata r:id="rId106" o:title="" cropbottom="-68f"/>
                  <o:lock v:ext="edit" aspectratio="f"/>
                </v:shape>
              </w:pict>
            </w:r>
          </w:p>
        </w:tc>
        <w:tc>
          <w:tcPr>
            <w:tcW w:w="2560" w:type="pct"/>
            <w:gridSpan w:val="2"/>
          </w:tcPr>
          <w:p w:rsidR="005D5A35" w:rsidRDefault="00513C6F" w:rsidP="008F3CAE">
            <w:pPr>
              <w:pStyle w:val="Textpoznpodarou"/>
              <w:jc w:val="right"/>
            </w:pPr>
            <w:r>
              <w:rPr>
                <w:noProof/>
              </w:rPr>
              <w:pict>
                <v:shape id="_x0000_i1115" type="#_x0000_t75" style="width:243pt;height:18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">
                  <v:imagedata r:id="rId107" o:title=""/>
                  <o:lock v:ext="edit" aspectratio="f"/>
                </v:shape>
              </w:pict>
            </w:r>
          </w:p>
        </w:tc>
      </w:tr>
    </w:tbl>
    <w:p w:rsidR="005D5A35" w:rsidRDefault="000F0029" w:rsidP="008F3CAE">
      <w:pPr>
        <w:spacing w:line="240" w:lineRule="auto"/>
        <w:jc w:val="right"/>
        <w:rPr>
          <w:sz w:val="18"/>
          <w:szCs w:val="18"/>
        </w:rPr>
      </w:pPr>
      <w:r>
        <w:rPr>
          <w:sz w:val="18"/>
          <w:szCs w:val="18"/>
        </w:rPr>
        <w:t>Zdroj</w:t>
      </w:r>
      <w:r w:rsidR="00871782">
        <w:rPr>
          <w:sz w:val="18"/>
          <w:szCs w:val="18"/>
        </w:rPr>
        <w:t>: ČSÚ, vlastní vý</w:t>
      </w:r>
      <w:r w:rsidR="005D5A35" w:rsidRPr="006A456E">
        <w:rPr>
          <w:sz w:val="18"/>
          <w:szCs w:val="18"/>
        </w:rPr>
        <w:t>počty</w:t>
      </w:r>
    </w:p>
    <w:p w:rsidR="005D5A35" w:rsidRPr="008F3CAE" w:rsidRDefault="005D5A35" w:rsidP="006A456E">
      <w:pPr>
        <w:jc w:val="both"/>
        <w:rPr>
          <w:sz w:val="16"/>
          <w:szCs w:val="16"/>
        </w:rPr>
      </w:pPr>
    </w:p>
    <w:tbl>
      <w:tblPr>
        <w:tblW w:w="5043" w:type="pct"/>
        <w:tblInd w:w="-42" w:type="dxa"/>
        <w:tblCellMar>
          <w:left w:w="28" w:type="dxa"/>
          <w:right w:w="28" w:type="dxa"/>
        </w:tblCellMar>
        <w:tblLook w:val="00A0"/>
      </w:tblPr>
      <w:tblGrid>
        <w:gridCol w:w="41"/>
        <w:gridCol w:w="731"/>
        <w:gridCol w:w="1265"/>
        <w:gridCol w:w="272"/>
        <w:gridCol w:w="2542"/>
        <w:gridCol w:w="706"/>
        <w:gridCol w:w="4220"/>
      </w:tblGrid>
      <w:tr w:rsidR="005D5A35" w:rsidRPr="00394659" w:rsidTr="00394659">
        <w:tc>
          <w:tcPr>
            <w:tcW w:w="1042" w:type="pct"/>
            <w:gridSpan w:val="3"/>
          </w:tcPr>
          <w:p w:rsidR="005D5A35" w:rsidRPr="00394659" w:rsidRDefault="005D5A35" w:rsidP="00032879">
            <w:pPr>
              <w:spacing w:line="240" w:lineRule="auto"/>
              <w:rPr>
                <w:color w:val="000000"/>
                <w:sz w:val="16"/>
                <w:szCs w:val="16"/>
              </w:rPr>
            </w:pPr>
            <w:r>
              <w:rPr>
                <w:color w:val="000000"/>
                <w:sz w:val="16"/>
                <w:szCs w:val="16"/>
              </w:rPr>
              <w:t>Výrazná diskrepance mezi mimořádným růstem zisků nefinančních podniků v roce 2014 (+12,4 % y/y) a</w:t>
            </w:r>
            <w:r w:rsidR="00032879">
              <w:rPr>
                <w:color w:val="000000"/>
                <w:sz w:val="16"/>
                <w:szCs w:val="16"/>
              </w:rPr>
              <w:t> </w:t>
            </w:r>
            <w:r>
              <w:rPr>
                <w:color w:val="000000"/>
                <w:sz w:val="16"/>
                <w:szCs w:val="16"/>
              </w:rPr>
              <w:t xml:space="preserve">přírůstkem jimi vyplácených mezd (+2,2%) – v průměrech předchozích období ale byly trendy opačné </w:t>
            </w:r>
          </w:p>
        </w:tc>
        <w:tc>
          <w:tcPr>
            <w:tcW w:w="139" w:type="pct"/>
          </w:tcPr>
          <w:p w:rsidR="005D5A35" w:rsidRPr="00394659" w:rsidRDefault="005D5A35" w:rsidP="006A456E">
            <w:pPr>
              <w:pStyle w:val="Textpoznpodarou"/>
              <w:jc w:val="both"/>
            </w:pPr>
          </w:p>
        </w:tc>
        <w:tc>
          <w:tcPr>
            <w:tcW w:w="3819" w:type="pct"/>
            <w:gridSpan w:val="3"/>
          </w:tcPr>
          <w:p w:rsidR="005D5A35" w:rsidRPr="008F3CAE" w:rsidRDefault="00354366" w:rsidP="006A456E">
            <w:pPr>
              <w:pStyle w:val="Textpoznpodarou"/>
              <w:jc w:val="both"/>
              <w:rPr>
                <w:color w:val="000000"/>
                <w:spacing w:val="-4"/>
              </w:rPr>
            </w:pPr>
            <w:r w:rsidRPr="008F3CAE">
              <w:rPr>
                <w:color w:val="000000"/>
                <w:spacing w:val="-4"/>
              </w:rPr>
              <w:t>Při</w:t>
            </w:r>
            <w:r w:rsidR="005D5A35" w:rsidRPr="008F3CAE">
              <w:rPr>
                <w:color w:val="000000"/>
                <w:spacing w:val="-4"/>
              </w:rPr>
              <w:t xml:space="preserve"> takto výrazn</w:t>
            </w:r>
            <w:r w:rsidRPr="008F3CAE">
              <w:rPr>
                <w:color w:val="000000"/>
                <w:spacing w:val="-4"/>
              </w:rPr>
              <w:t>ých</w:t>
            </w:r>
            <w:r w:rsidR="005D5A35" w:rsidRPr="008F3CAE">
              <w:rPr>
                <w:color w:val="000000"/>
                <w:spacing w:val="-4"/>
              </w:rPr>
              <w:t xml:space="preserve"> růst</w:t>
            </w:r>
            <w:r w:rsidRPr="008F3CAE">
              <w:rPr>
                <w:color w:val="000000"/>
                <w:spacing w:val="-4"/>
              </w:rPr>
              <w:t>ech</w:t>
            </w:r>
            <w:r w:rsidR="005D5A35" w:rsidRPr="008F3CAE">
              <w:rPr>
                <w:color w:val="000000"/>
                <w:spacing w:val="-4"/>
              </w:rPr>
              <w:t xml:space="preserve"> zisků v roce 2014 (+12,4 % podle hrubého provozního přebytku) byl růst mezd vyplácených nefinančními podniky ve srovnání s tím skromn</w:t>
            </w:r>
            <w:r w:rsidRPr="008F3CAE">
              <w:rPr>
                <w:color w:val="000000"/>
                <w:spacing w:val="-4"/>
              </w:rPr>
              <w:t>ý</w:t>
            </w:r>
            <w:r w:rsidR="005D5A35" w:rsidRPr="008F3CAE">
              <w:rPr>
                <w:color w:val="000000"/>
                <w:spacing w:val="-4"/>
              </w:rPr>
              <w:t xml:space="preserve"> (+2,2 %). I když se zdá, že nedošlo k naplnění jednoho z cílů architektury měnové intervence ČNB - která počítala i s tím, že generované vyšší zisky posílí růst mezd a právě </w:t>
            </w:r>
            <w:r w:rsidR="00640C2B">
              <w:rPr>
                <w:color w:val="000000"/>
                <w:spacing w:val="-4"/>
              </w:rPr>
              <w:t xml:space="preserve">ten </w:t>
            </w:r>
            <w:r w:rsidR="005D5A35" w:rsidRPr="008F3CAE">
              <w:rPr>
                <w:color w:val="000000"/>
                <w:spacing w:val="-4"/>
              </w:rPr>
              <w:t xml:space="preserve">pomůže zvýšit domácí poptávku ze strany domácností -, je nutné zohlednit i vývoj předchozích let. Zatímco totiž recese (2012 a 2013) způsobila, že hrubý provozní přebytek nefinančních podniků ve čtyřletém období ohraničeném </w:t>
            </w:r>
            <w:proofErr w:type="spellStart"/>
            <w:r w:rsidR="005D5A35" w:rsidRPr="008F3CAE">
              <w:rPr>
                <w:color w:val="000000"/>
                <w:spacing w:val="-4"/>
              </w:rPr>
              <w:t>pokrizovým</w:t>
            </w:r>
            <w:proofErr w:type="spellEnd"/>
            <w:r w:rsidR="005D5A35" w:rsidRPr="008F3CAE">
              <w:rPr>
                <w:color w:val="000000"/>
                <w:spacing w:val="-4"/>
              </w:rPr>
              <w:t xml:space="preserve"> rokem 2010 a druhým rokem ekonomického poklesu (2013) rostl v průměru ročně jen o 0,6 %, růst mezd byl více než trojnásobný (+2 % v průměru ročně). Podobně tomu bylo i za </w:t>
            </w:r>
            <w:r w:rsidR="005D5A35" w:rsidRPr="008F3CAE">
              <w:rPr>
                <w:color w:val="000000"/>
                <w:spacing w:val="-4"/>
              </w:rPr>
              <w:lastRenderedPageBreak/>
              <w:t xml:space="preserve">šestileté období 2008-2009 – zisky v podobě hrubého provozního přebytku díky propadu v roce 2009 klesaly v průměru ročně o 0,6 %, zatímco mzdy o 2,2 % rostly.    </w:t>
            </w:r>
          </w:p>
          <w:p w:rsidR="005D5A35" w:rsidRPr="008F3CAE" w:rsidRDefault="005D5A35" w:rsidP="006A456E">
            <w:pPr>
              <w:pStyle w:val="Textpoznpodarou"/>
              <w:jc w:val="both"/>
              <w:rPr>
                <w:color w:val="000000"/>
                <w:spacing w:val="-2"/>
                <w:sz w:val="14"/>
                <w:szCs w:val="14"/>
              </w:rPr>
            </w:pPr>
            <w:r w:rsidRPr="00394659">
              <w:rPr>
                <w:color w:val="000000"/>
                <w:spacing w:val="-2"/>
              </w:rPr>
              <w:t xml:space="preserve">      </w:t>
            </w:r>
          </w:p>
        </w:tc>
      </w:tr>
      <w:tr w:rsidR="005D5A35" w:rsidRPr="00394659" w:rsidTr="00394659">
        <w:tc>
          <w:tcPr>
            <w:tcW w:w="1042" w:type="pct"/>
            <w:gridSpan w:val="3"/>
          </w:tcPr>
          <w:p w:rsidR="005D5A35" w:rsidRPr="00394659" w:rsidRDefault="000264DE" w:rsidP="000264DE">
            <w:pPr>
              <w:spacing w:line="240" w:lineRule="auto"/>
              <w:rPr>
                <w:color w:val="000000"/>
                <w:sz w:val="16"/>
                <w:szCs w:val="16"/>
              </w:rPr>
            </w:pPr>
            <w:r>
              <w:rPr>
                <w:color w:val="000000"/>
                <w:sz w:val="16"/>
                <w:szCs w:val="16"/>
              </w:rPr>
              <w:lastRenderedPageBreak/>
              <w:t>Extrémní růst</w:t>
            </w:r>
            <w:r w:rsidR="00003A9E">
              <w:rPr>
                <w:color w:val="000000"/>
                <w:sz w:val="16"/>
                <w:szCs w:val="16"/>
              </w:rPr>
              <w:t xml:space="preserve"> zisků v roce 2014 </w:t>
            </w:r>
            <w:r w:rsidR="00354366">
              <w:rPr>
                <w:color w:val="000000"/>
                <w:sz w:val="16"/>
                <w:szCs w:val="16"/>
              </w:rPr>
              <w:t>byl d</w:t>
            </w:r>
            <w:r>
              <w:rPr>
                <w:color w:val="000000"/>
                <w:sz w:val="16"/>
                <w:szCs w:val="16"/>
              </w:rPr>
              <w:t>án</w:t>
            </w:r>
            <w:r w:rsidR="00354366">
              <w:rPr>
                <w:color w:val="000000"/>
                <w:sz w:val="16"/>
                <w:szCs w:val="16"/>
              </w:rPr>
              <w:t xml:space="preserve"> souhrnem mimořádných vlivů, především </w:t>
            </w:r>
            <w:r>
              <w:rPr>
                <w:color w:val="000000"/>
                <w:sz w:val="16"/>
                <w:szCs w:val="16"/>
              </w:rPr>
              <w:t xml:space="preserve">umělým </w:t>
            </w:r>
            <w:r w:rsidR="00354366">
              <w:rPr>
                <w:color w:val="000000"/>
                <w:sz w:val="16"/>
                <w:szCs w:val="16"/>
              </w:rPr>
              <w:t xml:space="preserve">oslabením </w:t>
            </w:r>
            <w:proofErr w:type="gramStart"/>
            <w:r w:rsidR="00354366">
              <w:rPr>
                <w:color w:val="000000"/>
                <w:sz w:val="16"/>
                <w:szCs w:val="16"/>
              </w:rPr>
              <w:t>koruny  a pádem</w:t>
            </w:r>
            <w:proofErr w:type="gramEnd"/>
            <w:r w:rsidR="00354366">
              <w:rPr>
                <w:color w:val="000000"/>
                <w:sz w:val="16"/>
                <w:szCs w:val="16"/>
              </w:rPr>
              <w:t xml:space="preserve"> cen energií na</w:t>
            </w:r>
            <w:r w:rsidR="00EF623C">
              <w:rPr>
                <w:color w:val="000000"/>
                <w:sz w:val="16"/>
                <w:szCs w:val="16"/>
              </w:rPr>
              <w:t> </w:t>
            </w:r>
            <w:r w:rsidR="00354366">
              <w:rPr>
                <w:color w:val="000000"/>
                <w:sz w:val="16"/>
                <w:szCs w:val="16"/>
              </w:rPr>
              <w:t>světových trzích</w:t>
            </w:r>
          </w:p>
        </w:tc>
        <w:tc>
          <w:tcPr>
            <w:tcW w:w="139" w:type="pct"/>
          </w:tcPr>
          <w:p w:rsidR="005D5A35" w:rsidRPr="00394659" w:rsidRDefault="005D5A35" w:rsidP="006A456E">
            <w:pPr>
              <w:pStyle w:val="Textpoznpodarou"/>
              <w:jc w:val="both"/>
            </w:pPr>
          </w:p>
        </w:tc>
        <w:tc>
          <w:tcPr>
            <w:tcW w:w="3819" w:type="pct"/>
            <w:gridSpan w:val="3"/>
          </w:tcPr>
          <w:p w:rsidR="005D5A35" w:rsidRDefault="005D5A35" w:rsidP="00BA4B2A">
            <w:pPr>
              <w:pStyle w:val="Textpoznpodarou"/>
              <w:jc w:val="both"/>
              <w:rPr>
                <w:color w:val="000000"/>
                <w:spacing w:val="-2"/>
              </w:rPr>
            </w:pPr>
            <w:r w:rsidRPr="00394659">
              <w:rPr>
                <w:color w:val="000000"/>
                <w:spacing w:val="-2"/>
              </w:rPr>
              <w:t>Obdobně, sledujeme-li vývoj čistého provozního přebytku a vyplácených mezd v nefinančních podnicích, je v průměrných ročních tempech jak za roky 2010-</w:t>
            </w:r>
            <w:r w:rsidR="00FB3C00">
              <w:rPr>
                <w:color w:val="000000"/>
                <w:spacing w:val="-2"/>
              </w:rPr>
              <w:t>2013, tak i období postihující</w:t>
            </w:r>
            <w:r w:rsidRPr="00394659">
              <w:rPr>
                <w:color w:val="000000"/>
                <w:spacing w:val="-2"/>
              </w:rPr>
              <w:t xml:space="preserve"> poslední rok konjunktury (2008) a rok k</w:t>
            </w:r>
            <w:r w:rsidR="00354366">
              <w:rPr>
                <w:color w:val="000000"/>
                <w:spacing w:val="-2"/>
              </w:rPr>
              <w:t>rize (2009), tedy za</w:t>
            </w:r>
            <w:r w:rsidR="00FB3C00">
              <w:rPr>
                <w:color w:val="000000"/>
                <w:spacing w:val="-2"/>
              </w:rPr>
              <w:t> </w:t>
            </w:r>
            <w:r w:rsidR="00354366">
              <w:rPr>
                <w:color w:val="000000"/>
                <w:spacing w:val="-2"/>
              </w:rPr>
              <w:t>2008-2013,</w:t>
            </w:r>
            <w:r w:rsidR="00FB3C00">
              <w:rPr>
                <w:color w:val="000000"/>
                <w:spacing w:val="-2"/>
              </w:rPr>
              <w:t xml:space="preserve"> patrný výrazný</w:t>
            </w:r>
            <w:r w:rsidRPr="00394659">
              <w:rPr>
                <w:color w:val="000000"/>
                <w:spacing w:val="-2"/>
              </w:rPr>
              <w:t xml:space="preserve"> rozdíl oproti vývoji mezd. Zatímco či</w:t>
            </w:r>
            <w:r w:rsidR="00C7548A">
              <w:rPr>
                <w:color w:val="000000"/>
                <w:spacing w:val="-2"/>
              </w:rPr>
              <w:t>stý provozní přebytek za uvedená</w:t>
            </w:r>
            <w:r w:rsidRPr="00394659">
              <w:rPr>
                <w:color w:val="000000"/>
                <w:spacing w:val="-2"/>
              </w:rPr>
              <w:t xml:space="preserve"> období v průměru meziročně klesal (-1,</w:t>
            </w:r>
            <w:r>
              <w:rPr>
                <w:color w:val="000000"/>
                <w:spacing w:val="-2"/>
              </w:rPr>
              <w:t>5</w:t>
            </w:r>
            <w:r w:rsidRPr="00394659">
              <w:rPr>
                <w:color w:val="000000"/>
                <w:spacing w:val="-2"/>
              </w:rPr>
              <w:t xml:space="preserve"> %, resp. -</w:t>
            </w:r>
            <w:r>
              <w:rPr>
                <w:color w:val="000000"/>
                <w:spacing w:val="-2"/>
              </w:rPr>
              <w:t>4</w:t>
            </w:r>
            <w:r w:rsidRPr="00394659">
              <w:rPr>
                <w:color w:val="000000"/>
                <w:spacing w:val="-2"/>
              </w:rPr>
              <w:t xml:space="preserve"> %), mzdy zaznamenávaly meziroční přírůstky (+</w:t>
            </w:r>
            <w:r>
              <w:rPr>
                <w:color w:val="000000"/>
                <w:spacing w:val="-2"/>
              </w:rPr>
              <w:t>2</w:t>
            </w:r>
            <w:r w:rsidRPr="00394659">
              <w:rPr>
                <w:color w:val="000000"/>
                <w:spacing w:val="-2"/>
              </w:rPr>
              <w:t xml:space="preserve"> %, resp. +</w:t>
            </w:r>
            <w:r>
              <w:rPr>
                <w:color w:val="000000"/>
                <w:spacing w:val="-2"/>
              </w:rPr>
              <w:t>2,2</w:t>
            </w:r>
            <w:r w:rsidRPr="00394659">
              <w:rPr>
                <w:color w:val="000000"/>
                <w:spacing w:val="-2"/>
              </w:rPr>
              <w:t xml:space="preserve"> %, jak je zmíněno výše). </w:t>
            </w:r>
          </w:p>
          <w:p w:rsidR="005D5A35" w:rsidRPr="008F3CAE" w:rsidRDefault="005D5A35" w:rsidP="00BA4B2A">
            <w:pPr>
              <w:pStyle w:val="Textpoznpodarou"/>
              <w:jc w:val="both"/>
              <w:rPr>
                <w:color w:val="000000"/>
                <w:spacing w:val="-2"/>
                <w:sz w:val="18"/>
                <w:szCs w:val="18"/>
              </w:rPr>
            </w:pPr>
          </w:p>
          <w:p w:rsidR="005D5A35" w:rsidRPr="00394659" w:rsidRDefault="005D5A35" w:rsidP="00BA4B2A">
            <w:pPr>
              <w:pStyle w:val="Textpoznpodarou"/>
              <w:jc w:val="both"/>
              <w:rPr>
                <w:color w:val="000000"/>
                <w:spacing w:val="-2"/>
              </w:rPr>
            </w:pPr>
            <w:r>
              <w:rPr>
                <w:color w:val="000000"/>
                <w:spacing w:val="-2"/>
              </w:rPr>
              <w:t>Právě v porovnání s nepříznivým vývojem zisků nefinančních podniků v obdobích předcházejících roku 20</w:t>
            </w:r>
            <w:r w:rsidR="00354366">
              <w:rPr>
                <w:color w:val="000000"/>
                <w:spacing w:val="-2"/>
              </w:rPr>
              <w:t>14 vyniká jeho mimořádnost</w:t>
            </w:r>
            <w:r w:rsidR="00A91893">
              <w:rPr>
                <w:color w:val="000000"/>
                <w:spacing w:val="-2"/>
              </w:rPr>
              <w:t>,</w:t>
            </w:r>
            <w:r w:rsidR="00354366">
              <w:rPr>
                <w:color w:val="000000"/>
                <w:spacing w:val="-2"/>
              </w:rPr>
              <w:t xml:space="preserve"> </w:t>
            </w:r>
            <w:r>
              <w:rPr>
                <w:color w:val="000000"/>
                <w:spacing w:val="-2"/>
              </w:rPr>
              <w:t>pokud jde o hospodaření nefinančních podniků. Je však třeba mít na paměti, že šlo o souhrn vlivů mimořádných (</w:t>
            </w:r>
            <w:r w:rsidR="000264DE">
              <w:rPr>
                <w:color w:val="000000"/>
                <w:spacing w:val="-2"/>
              </w:rPr>
              <w:t>slabší koruna</w:t>
            </w:r>
            <w:r w:rsidR="00877329">
              <w:rPr>
                <w:color w:val="000000"/>
                <w:spacing w:val="-2"/>
              </w:rPr>
              <w:t xml:space="preserve"> </w:t>
            </w:r>
            <w:r w:rsidR="000264DE">
              <w:rPr>
                <w:color w:val="000000"/>
                <w:spacing w:val="-2"/>
              </w:rPr>
              <w:t>favorizuj</w:t>
            </w:r>
            <w:r>
              <w:rPr>
                <w:color w:val="000000"/>
                <w:spacing w:val="-2"/>
              </w:rPr>
              <w:t xml:space="preserve">ící exportující firmy, pád cen energií na světových trzích ovlivňující příznivě nákladovost firem, aj.). </w:t>
            </w:r>
            <w:r w:rsidRPr="00394659">
              <w:rPr>
                <w:color w:val="000000"/>
                <w:spacing w:val="-2"/>
              </w:rPr>
              <w:t xml:space="preserve"> </w:t>
            </w:r>
          </w:p>
          <w:p w:rsidR="005D5A35" w:rsidRPr="008F3CAE" w:rsidRDefault="005D5A35" w:rsidP="006A456E">
            <w:pPr>
              <w:pStyle w:val="Textpoznpodarou"/>
              <w:jc w:val="both"/>
              <w:rPr>
                <w:color w:val="000000"/>
                <w:spacing w:val="-2"/>
                <w:sz w:val="18"/>
                <w:szCs w:val="18"/>
              </w:rPr>
            </w:pPr>
          </w:p>
        </w:tc>
      </w:tr>
      <w:tr w:rsidR="005D5A35" w:rsidRPr="00394659" w:rsidTr="008F3CAE">
        <w:trPr>
          <w:gridBefore w:val="1"/>
          <w:wBefore w:w="21" w:type="pct"/>
        </w:trPr>
        <w:tc>
          <w:tcPr>
            <w:tcW w:w="374" w:type="pct"/>
          </w:tcPr>
          <w:p w:rsidR="005D5A35" w:rsidRPr="00394659" w:rsidRDefault="005D5A35" w:rsidP="003E59FD">
            <w:pPr>
              <w:spacing w:line="240" w:lineRule="auto"/>
            </w:pPr>
            <w:r w:rsidRPr="00394659">
              <w:t>Graf č.</w:t>
            </w:r>
            <w:r w:rsidR="003E59FD">
              <w:t> </w:t>
            </w:r>
            <w:r w:rsidR="008F371B">
              <w:t>37</w:t>
            </w:r>
          </w:p>
        </w:tc>
        <w:tc>
          <w:tcPr>
            <w:tcW w:w="2086" w:type="pct"/>
            <w:gridSpan w:val="3"/>
          </w:tcPr>
          <w:p w:rsidR="005D5A35" w:rsidRPr="00394659" w:rsidRDefault="005D5A35" w:rsidP="006A456E">
            <w:pPr>
              <w:pStyle w:val="Textpoznpodarou"/>
              <w:rPr>
                <w:rFonts w:cs="Arial"/>
                <w:szCs w:val="24"/>
              </w:rPr>
            </w:pPr>
            <w:r>
              <w:rPr>
                <w:rFonts w:cs="Arial"/>
                <w:b/>
                <w:bCs/>
              </w:rPr>
              <w:t>Poměr mezd k hrubému provoznímu přebytku nefinančních podniků</w:t>
            </w:r>
            <w:r w:rsidRPr="00394659">
              <w:rPr>
                <w:rFonts w:cs="Arial"/>
                <w:b/>
                <w:bCs/>
              </w:rPr>
              <w:t xml:space="preserve"> </w:t>
            </w:r>
            <w:r w:rsidRPr="00394659">
              <w:rPr>
                <w:rFonts w:cs="Arial"/>
                <w:bCs/>
              </w:rPr>
              <w:t xml:space="preserve">(v </w:t>
            </w:r>
            <w:r>
              <w:rPr>
                <w:rFonts w:cs="Arial"/>
                <w:bCs/>
              </w:rPr>
              <w:t>%</w:t>
            </w:r>
            <w:r w:rsidRPr="00394659">
              <w:rPr>
                <w:rFonts w:cs="Arial"/>
                <w:bCs/>
              </w:rPr>
              <w:t>)</w:t>
            </w:r>
          </w:p>
        </w:tc>
        <w:tc>
          <w:tcPr>
            <w:tcW w:w="361" w:type="pct"/>
          </w:tcPr>
          <w:p w:rsidR="005D5A35" w:rsidRPr="00394659" w:rsidRDefault="005D5A35" w:rsidP="003E59FD">
            <w:pPr>
              <w:spacing w:line="240" w:lineRule="auto"/>
            </w:pPr>
            <w:r w:rsidRPr="00394659">
              <w:t>Graf č.</w:t>
            </w:r>
            <w:r w:rsidR="003E59FD">
              <w:t> </w:t>
            </w:r>
            <w:r w:rsidR="008F371B">
              <w:t>38</w:t>
            </w:r>
          </w:p>
        </w:tc>
        <w:tc>
          <w:tcPr>
            <w:tcW w:w="2158" w:type="pct"/>
          </w:tcPr>
          <w:p w:rsidR="005D5A35" w:rsidRPr="00394659" w:rsidRDefault="005D5A35" w:rsidP="008C2E5B">
            <w:pPr>
              <w:spacing w:line="240" w:lineRule="auto"/>
              <w:rPr>
                <w:rFonts w:cs="Arial"/>
                <w:b/>
                <w:bCs/>
              </w:rPr>
            </w:pPr>
            <w:r>
              <w:rPr>
                <w:rFonts w:cs="Arial"/>
                <w:b/>
                <w:bCs/>
              </w:rPr>
              <w:t>Čistý provozní přebytek, mzdy a náhrady zaměstnancům</w:t>
            </w:r>
            <w:r w:rsidRPr="00394659">
              <w:rPr>
                <w:rFonts w:cs="Arial"/>
                <w:b/>
                <w:bCs/>
              </w:rPr>
              <w:t xml:space="preserve"> </w:t>
            </w:r>
            <w:r w:rsidRPr="00394659">
              <w:rPr>
                <w:rFonts w:cs="Arial"/>
                <w:bCs/>
              </w:rPr>
              <w:t>(v m</w:t>
            </w:r>
            <w:r>
              <w:rPr>
                <w:rFonts w:cs="Arial"/>
                <w:bCs/>
              </w:rPr>
              <w:t>i</w:t>
            </w:r>
            <w:r w:rsidRPr="00394659">
              <w:rPr>
                <w:rFonts w:cs="Arial"/>
                <w:bCs/>
              </w:rPr>
              <w:t>l. korun)</w:t>
            </w:r>
          </w:p>
        </w:tc>
      </w:tr>
      <w:tr w:rsidR="005D5A35" w:rsidTr="008F3CAE">
        <w:trPr>
          <w:gridBefore w:val="1"/>
          <w:wBefore w:w="21" w:type="pct"/>
        </w:trPr>
        <w:tc>
          <w:tcPr>
            <w:tcW w:w="2460" w:type="pct"/>
            <w:gridSpan w:val="4"/>
          </w:tcPr>
          <w:p w:rsidR="005D5A35" w:rsidRDefault="00513C6F" w:rsidP="006A456E">
            <w:pPr>
              <w:pStyle w:val="Textpoznpodarou"/>
              <w:jc w:val="both"/>
            </w:pPr>
            <w:r>
              <w:rPr>
                <w:noProof/>
              </w:rPr>
              <w:pict>
                <v:shape id="Graf 11" o:spid="_x0000_i1116" type="#_x0000_t75" style="width:231.75pt;height:16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">
                  <v:imagedata r:id="rId108" o:title=""/>
                  <o:lock v:ext="edit" aspectratio="f"/>
                </v:shape>
              </w:pict>
            </w:r>
          </w:p>
        </w:tc>
        <w:tc>
          <w:tcPr>
            <w:tcW w:w="2519" w:type="pct"/>
            <w:gridSpan w:val="2"/>
          </w:tcPr>
          <w:p w:rsidR="005D5A35" w:rsidRDefault="00513C6F" w:rsidP="008F3CAE">
            <w:pPr>
              <w:pStyle w:val="Textpoznpodarou"/>
              <w:jc w:val="right"/>
            </w:pPr>
            <w:r>
              <w:rPr>
                <w:noProof/>
              </w:rPr>
              <w:pict>
                <v:shape id="_x0000_i1117" type="#_x0000_t75" style="width:239.2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">
                  <v:imagedata r:id="rId109" o:title="" cropbottom="-18f"/>
                  <o:lock v:ext="edit" aspectratio="f"/>
                </v:shape>
              </w:pict>
            </w:r>
          </w:p>
        </w:tc>
      </w:tr>
      <w:tr w:rsidR="008F3CAE" w:rsidTr="008F3CAE">
        <w:trPr>
          <w:gridBefore w:val="1"/>
          <w:wBefore w:w="21" w:type="pct"/>
        </w:trPr>
        <w:tc>
          <w:tcPr>
            <w:tcW w:w="4979" w:type="pct"/>
            <w:gridSpan w:val="6"/>
          </w:tcPr>
          <w:p w:rsidR="008F3CAE" w:rsidRDefault="000F0029" w:rsidP="008F3CAE">
            <w:pPr>
              <w:spacing w:line="240" w:lineRule="auto"/>
              <w:jc w:val="right"/>
              <w:rPr>
                <w:sz w:val="18"/>
                <w:szCs w:val="18"/>
              </w:rPr>
            </w:pPr>
            <w:r>
              <w:rPr>
                <w:sz w:val="18"/>
                <w:szCs w:val="18"/>
              </w:rPr>
              <w:t>Zdroj</w:t>
            </w:r>
            <w:r w:rsidR="00DE2084">
              <w:rPr>
                <w:sz w:val="18"/>
                <w:szCs w:val="18"/>
              </w:rPr>
              <w:t>: ČSÚ, vlastní vý</w:t>
            </w:r>
            <w:r w:rsidR="008F3CAE" w:rsidRPr="006A456E">
              <w:rPr>
                <w:sz w:val="18"/>
                <w:szCs w:val="18"/>
              </w:rPr>
              <w:t>počty</w:t>
            </w:r>
          </w:p>
          <w:p w:rsidR="008F371B" w:rsidRDefault="008F371B" w:rsidP="008F3CAE">
            <w:pPr>
              <w:spacing w:line="240" w:lineRule="auto"/>
              <w:jc w:val="right"/>
              <w:rPr>
                <w:noProof/>
              </w:rPr>
            </w:pPr>
          </w:p>
        </w:tc>
      </w:tr>
      <w:tr w:rsidR="005D5A35" w:rsidRPr="00764561" w:rsidTr="008F3CAE">
        <w:tc>
          <w:tcPr>
            <w:tcW w:w="1042" w:type="pct"/>
            <w:gridSpan w:val="3"/>
          </w:tcPr>
          <w:p w:rsidR="005D5A35" w:rsidRDefault="005D5A35" w:rsidP="00FA57FD">
            <w:pPr>
              <w:spacing w:line="240" w:lineRule="auto"/>
              <w:rPr>
                <w:color w:val="000000"/>
                <w:sz w:val="16"/>
                <w:szCs w:val="16"/>
              </w:rPr>
            </w:pPr>
            <w:r>
              <w:rPr>
                <w:color w:val="000000"/>
                <w:sz w:val="16"/>
                <w:szCs w:val="16"/>
              </w:rPr>
              <w:t>Možné příčiny nepoměru mezi vysokým růstem zisků a slabým růstem mezd v roce 2014</w:t>
            </w:r>
          </w:p>
        </w:tc>
        <w:tc>
          <w:tcPr>
            <w:tcW w:w="139" w:type="pct"/>
          </w:tcPr>
          <w:p w:rsidR="005D5A35" w:rsidRDefault="005D5A35" w:rsidP="00FA57FD">
            <w:pPr>
              <w:pStyle w:val="Textpoznpodarou"/>
              <w:jc w:val="both"/>
            </w:pPr>
          </w:p>
        </w:tc>
        <w:tc>
          <w:tcPr>
            <w:tcW w:w="3819" w:type="pct"/>
            <w:gridSpan w:val="3"/>
          </w:tcPr>
          <w:p w:rsidR="005D5A35" w:rsidRDefault="005D5A35" w:rsidP="00394659">
            <w:pPr>
              <w:pStyle w:val="Textpoznpodarou"/>
              <w:jc w:val="both"/>
              <w:rPr>
                <w:i/>
                <w:color w:val="000000"/>
                <w:spacing w:val="-2"/>
              </w:rPr>
            </w:pPr>
            <w:r>
              <w:rPr>
                <w:color w:val="000000"/>
                <w:spacing w:val="-2"/>
              </w:rPr>
              <w:t>Zmíněný nepoměr mezi růstem zisků a růs</w:t>
            </w:r>
            <w:r w:rsidR="00354366">
              <w:rPr>
                <w:color w:val="000000"/>
                <w:spacing w:val="-2"/>
              </w:rPr>
              <w:t>tem mezd v roce 2014 lze zřejmě</w:t>
            </w:r>
            <w:r>
              <w:rPr>
                <w:color w:val="000000"/>
                <w:spacing w:val="-2"/>
              </w:rPr>
              <w:t xml:space="preserve"> vysvětlit jistou opatrností firem při navyšování mezd, kterou lze z pohledu předchozího vývoje akceptovat. Nefinanční podniky měly i jisté rezervy v zaměstnávání pracovníků - jejich kmenové počty narůstaly po recesi jen zvolna, byli více využíváni pracovníci najímaní přes agentury práce. To se začalo měnit spíše až v závěru roku 2014.</w:t>
            </w:r>
            <w:r w:rsidRPr="00764561">
              <w:rPr>
                <w:i/>
                <w:color w:val="000000"/>
                <w:spacing w:val="-2"/>
              </w:rPr>
              <w:t xml:space="preserve">  </w:t>
            </w:r>
          </w:p>
          <w:p w:rsidR="005D5A35" w:rsidRPr="00764561" w:rsidRDefault="005D5A35" w:rsidP="00394659">
            <w:pPr>
              <w:pStyle w:val="Textpoznpodarou"/>
              <w:jc w:val="both"/>
              <w:rPr>
                <w:i/>
                <w:color w:val="000000"/>
                <w:spacing w:val="-2"/>
              </w:rPr>
            </w:pPr>
            <w:r>
              <w:rPr>
                <w:color w:val="000000"/>
                <w:spacing w:val="-2"/>
              </w:rPr>
              <w:t xml:space="preserve"> </w:t>
            </w:r>
          </w:p>
        </w:tc>
      </w:tr>
      <w:tr w:rsidR="005D5A35" w:rsidRPr="00764561" w:rsidTr="008F3CAE">
        <w:tc>
          <w:tcPr>
            <w:tcW w:w="1042" w:type="pct"/>
            <w:gridSpan w:val="3"/>
          </w:tcPr>
          <w:p w:rsidR="005D5A35" w:rsidRDefault="005D5A35" w:rsidP="00EF623C">
            <w:pPr>
              <w:spacing w:line="240" w:lineRule="auto"/>
              <w:rPr>
                <w:color w:val="000000"/>
                <w:sz w:val="16"/>
                <w:szCs w:val="16"/>
              </w:rPr>
            </w:pPr>
            <w:r>
              <w:rPr>
                <w:color w:val="000000"/>
                <w:sz w:val="16"/>
                <w:szCs w:val="16"/>
              </w:rPr>
              <w:t>Proporce mezi zisky v podobě hrubého provozního přebytku a</w:t>
            </w:r>
            <w:r w:rsidR="00EF623C">
              <w:rPr>
                <w:color w:val="000000"/>
                <w:sz w:val="16"/>
                <w:szCs w:val="16"/>
              </w:rPr>
              <w:t> </w:t>
            </w:r>
            <w:r>
              <w:rPr>
                <w:color w:val="000000"/>
                <w:sz w:val="16"/>
                <w:szCs w:val="16"/>
              </w:rPr>
              <w:t>mzdami vyplácenými nefinančními podniky se snížila na nejnižší úroveň od roku 2007</w:t>
            </w:r>
          </w:p>
        </w:tc>
        <w:tc>
          <w:tcPr>
            <w:tcW w:w="139" w:type="pct"/>
          </w:tcPr>
          <w:p w:rsidR="005D5A35" w:rsidRDefault="005D5A35" w:rsidP="00FA57FD">
            <w:pPr>
              <w:pStyle w:val="Textpoznpodarou"/>
              <w:jc w:val="both"/>
            </w:pPr>
          </w:p>
        </w:tc>
        <w:tc>
          <w:tcPr>
            <w:tcW w:w="3819" w:type="pct"/>
            <w:gridSpan w:val="3"/>
          </w:tcPr>
          <w:p w:rsidR="005D5A35" w:rsidRDefault="005D5A35" w:rsidP="00FA57FD">
            <w:pPr>
              <w:pStyle w:val="Textpoznpodarou"/>
              <w:jc w:val="both"/>
              <w:rPr>
                <w:color w:val="000000"/>
                <w:spacing w:val="-2"/>
              </w:rPr>
            </w:pPr>
            <w:r>
              <w:rPr>
                <w:color w:val="000000"/>
                <w:spacing w:val="-2"/>
              </w:rPr>
              <w:t>Přesto však v důsledku odlišného vývoje mezd a zisků došlo k tomu, že proporce mezi nimi klesla na úroveň, která byla v případě hrubého provozního přebytku nejnižší od roku 2007- objem vyplacených mezd v nefinančních podnicích činil jen 79,5 % úrovně jejich hrubého provozního přebytku (graf</w:t>
            </w:r>
            <w:r w:rsidR="00B07F24">
              <w:rPr>
                <w:color w:val="000000"/>
                <w:spacing w:val="-2"/>
              </w:rPr>
              <w:t xml:space="preserve"> 37</w:t>
            </w:r>
            <w:r>
              <w:rPr>
                <w:color w:val="000000"/>
                <w:spacing w:val="-2"/>
              </w:rPr>
              <w:t>). Za roky 2010-2013 to bylo v průměru 86,2 %.</w:t>
            </w:r>
          </w:p>
          <w:p w:rsidR="005D5A35" w:rsidRPr="008F3CAE" w:rsidRDefault="005D5A35" w:rsidP="00FA57FD">
            <w:pPr>
              <w:pStyle w:val="Textpoznpodarou"/>
              <w:jc w:val="both"/>
              <w:rPr>
                <w:color w:val="000000"/>
                <w:spacing w:val="-2"/>
              </w:rPr>
            </w:pPr>
          </w:p>
          <w:p w:rsidR="005D5A35" w:rsidRPr="00394659" w:rsidRDefault="005D5A35" w:rsidP="008F3CAE">
            <w:pPr>
              <w:pStyle w:val="Textpoznpodarou"/>
              <w:jc w:val="both"/>
              <w:rPr>
                <w:color w:val="000000"/>
                <w:spacing w:val="-2"/>
              </w:rPr>
            </w:pPr>
            <w:r w:rsidRPr="008F3CAE">
              <w:rPr>
                <w:color w:val="000000"/>
              </w:rPr>
              <w:t>Vzhledem k podstatnému rozdílu mezi hrubým a čistým provozním přebytkem však</w:t>
            </w:r>
            <w:r w:rsidR="008F3CAE">
              <w:rPr>
                <w:color w:val="000000"/>
              </w:rPr>
              <w:t> </w:t>
            </w:r>
            <w:r w:rsidRPr="008F3CAE">
              <w:rPr>
                <w:color w:val="000000"/>
              </w:rPr>
              <w:t xml:space="preserve">objem mezd dosahoval v roce 2014 více než </w:t>
            </w:r>
            <w:proofErr w:type="spellStart"/>
            <w:r w:rsidRPr="008F3CAE">
              <w:rPr>
                <w:color w:val="000000"/>
              </w:rPr>
              <w:t>jedenapůlnásobku</w:t>
            </w:r>
            <w:proofErr w:type="spellEnd"/>
            <w:r w:rsidRPr="008F3CAE">
              <w:rPr>
                <w:color w:val="000000"/>
              </w:rPr>
              <w:t xml:space="preserve"> (153 %) čistého provozního přebytku. I to však byla proporce nižší než v průměru za roky 2010-2013 (177 %).  </w:t>
            </w:r>
          </w:p>
        </w:tc>
      </w:tr>
    </w:tbl>
    <w:p w:rsidR="005D5A35" w:rsidRDefault="005D5A35" w:rsidP="00386BD0"/>
    <w:p w:rsidR="008F3CAE" w:rsidRDefault="008F3CAE" w:rsidP="00386BD0"/>
    <w:p w:rsidR="008F3CAE" w:rsidRDefault="008F3CAE" w:rsidP="00386BD0"/>
    <w:p w:rsidR="008F3CAE" w:rsidRDefault="008F3CAE" w:rsidP="00386BD0"/>
    <w:p w:rsidR="008F3CAE" w:rsidRDefault="008F3CAE" w:rsidP="00386BD0"/>
    <w:p w:rsidR="008F3CAE" w:rsidRDefault="008F3CAE" w:rsidP="00386BD0"/>
    <w:p w:rsidR="008F3CAE" w:rsidRDefault="008F3CAE" w:rsidP="00386BD0"/>
    <w:p w:rsidR="008F3CAE" w:rsidRDefault="008F3CAE" w:rsidP="00386BD0"/>
    <w:p w:rsidR="008F3CAE" w:rsidRDefault="008F3CAE" w:rsidP="00386BD0"/>
    <w:p w:rsidR="008F3CAE" w:rsidRDefault="008F3CAE" w:rsidP="00386BD0"/>
    <w:p w:rsidR="005D5A35" w:rsidRDefault="000264DE" w:rsidP="008B0C8B">
      <w:pPr>
        <w:pStyle w:val="Nadpis1"/>
        <w:numPr>
          <w:ilvl w:val="0"/>
          <w:numId w:val="6"/>
        </w:numPr>
        <w:jc w:val="both"/>
      </w:pPr>
      <w:bookmarkStart w:id="36" w:name="_Toc426017678"/>
      <w:r>
        <w:lastRenderedPageBreak/>
        <w:t>Vybrané ekonomické aspekty k</w:t>
      </w:r>
      <w:r w:rsidR="005D5A35">
        <w:t>valit</w:t>
      </w:r>
      <w:r>
        <w:t>y</w:t>
      </w:r>
      <w:r w:rsidR="005D5A35">
        <w:t xml:space="preserve"> života – nerovnosti</w:t>
      </w:r>
      <w:bookmarkEnd w:id="36"/>
    </w:p>
    <w:p w:rsidR="005D5A35" w:rsidRDefault="005D5A35" w:rsidP="00B87EDC">
      <w:pPr>
        <w:spacing w:line="240" w:lineRule="auto"/>
        <w:jc w:val="both"/>
      </w:pPr>
      <w:r>
        <w:t>Kvalita života má mnoho vrstev. Je vnímaná a odvislá od životních hodnot, které lidé vyznávají. Možnosti jejich naplnění jsou diferencované. Vznikají tak různé typy nerovností, podmíněných významnou měrou materiálními podmínkami. Soustřeďme se na výsek nerovností souvisejících s vytvořenými životními podmínkami lidí v regionech České republiky měřených především příjmovými charakteristikami a dále na</w:t>
      </w:r>
      <w:r w:rsidR="002547A6">
        <w:t> </w:t>
      </w:r>
      <w:r>
        <w:t>sociální disparity v porovnání příjmů a vydání příjmově ne</w:t>
      </w:r>
      <w:r w:rsidR="00354366">
        <w:t>j</w:t>
      </w:r>
      <w:r>
        <w:t>slabších a nesilnějších skupin. Sledovat tedy budeme část materiální kvalit</w:t>
      </w:r>
      <w:r w:rsidR="00354366">
        <w:t>y</w:t>
      </w:r>
      <w:r>
        <w:t xml:space="preserve"> života.  </w:t>
      </w:r>
    </w:p>
    <w:p w:rsidR="005D5A35" w:rsidRDefault="005D5A35" w:rsidP="001F0EC9"/>
    <w:p w:rsidR="005D5A35" w:rsidRPr="00901236" w:rsidRDefault="005D5A35" w:rsidP="008B0C8B">
      <w:pPr>
        <w:pStyle w:val="Nadpis2"/>
        <w:numPr>
          <w:ilvl w:val="1"/>
          <w:numId w:val="6"/>
        </w:numPr>
      </w:pPr>
      <w:bookmarkStart w:id="37" w:name="_Toc426017679"/>
      <w:r w:rsidRPr="00901236">
        <w:t>Regionální disparity</w:t>
      </w:r>
      <w:bookmarkEnd w:id="37"/>
    </w:p>
    <w:p w:rsidR="005D5A35" w:rsidRPr="00901236" w:rsidRDefault="005D5A35" w:rsidP="008B0C8B">
      <w:pPr>
        <w:pStyle w:val="Nadpis3"/>
        <w:numPr>
          <w:ilvl w:val="2"/>
          <w:numId w:val="6"/>
        </w:numPr>
      </w:pPr>
      <w:bookmarkStart w:id="38" w:name="_Toc426017680"/>
      <w:r w:rsidRPr="00901236">
        <w:t>HDP na obyvatele</w:t>
      </w:r>
      <w:bookmarkEnd w:id="38"/>
      <w:r w:rsidRPr="00901236">
        <w:t xml:space="preserve"> </w:t>
      </w:r>
    </w:p>
    <w:p w:rsidR="005D5A35" w:rsidRDefault="005D5A35" w:rsidP="007E6455">
      <w:pPr>
        <w:spacing w:line="240" w:lineRule="auto"/>
        <w:jc w:val="both"/>
        <w:rPr>
          <w:szCs w:val="20"/>
        </w:rPr>
      </w:pPr>
      <w:r>
        <w:rPr>
          <w:szCs w:val="20"/>
        </w:rPr>
        <w:t>Měření ekonomické vyspělosti zemí je ve své „komplexní“ podobě zpravidla uváděno za pomoci hrubého domácího produktu na obyvatele v paritě kupní síly. Tento ukazatel umožňuje nejen mezinárodní srovnání, ale i regionální porovnávání uvnitř zemí. I když pro samotné měření životní úrovně - míněna materiální kvalita života - je vhodný spíše disponibilní příjem na obyvatele a sledování jeho rozdílů v jednotlivých regionech, hrubý domácí produkt na obyvatele dané země je i měřítkem toho, jaká je její pozice v poměru ke zvolené referenční úrovni, tj. v případě České republiky např. relace HDP na obyvatele v PPS k EU či v </w:t>
      </w:r>
      <w:proofErr w:type="spellStart"/>
      <w:r>
        <w:rPr>
          <w:szCs w:val="20"/>
        </w:rPr>
        <w:t>eurozóně</w:t>
      </w:r>
      <w:proofErr w:type="spellEnd"/>
      <w:r>
        <w:rPr>
          <w:szCs w:val="20"/>
        </w:rPr>
        <w:t xml:space="preserve">. Sledujme tedy nejprve ukazatel v této podobě.   </w:t>
      </w:r>
    </w:p>
    <w:p w:rsidR="005D5A35" w:rsidRPr="00CB3ACB" w:rsidRDefault="005D5A35" w:rsidP="001F0EC9">
      <w:pPr>
        <w:rPr>
          <w:sz w:val="22"/>
          <w:szCs w:val="22"/>
        </w:rPr>
      </w:pPr>
      <w:r w:rsidRPr="00FA57FD">
        <w:rPr>
          <w:szCs w:val="20"/>
        </w:rPr>
        <w:t xml:space="preserve"> </w:t>
      </w:r>
    </w:p>
    <w:tbl>
      <w:tblPr>
        <w:tblW w:w="5043" w:type="pct"/>
        <w:tblInd w:w="-42" w:type="dxa"/>
        <w:tblCellMar>
          <w:left w:w="28" w:type="dxa"/>
          <w:right w:w="28" w:type="dxa"/>
        </w:tblCellMar>
        <w:tblLook w:val="00A0"/>
      </w:tblPr>
      <w:tblGrid>
        <w:gridCol w:w="40"/>
        <w:gridCol w:w="1162"/>
        <w:gridCol w:w="835"/>
        <w:gridCol w:w="272"/>
        <w:gridCol w:w="2542"/>
        <w:gridCol w:w="706"/>
        <w:gridCol w:w="4220"/>
      </w:tblGrid>
      <w:tr w:rsidR="005D5A35" w:rsidRPr="00764561" w:rsidTr="0022160A">
        <w:tc>
          <w:tcPr>
            <w:tcW w:w="1042" w:type="pct"/>
            <w:gridSpan w:val="3"/>
          </w:tcPr>
          <w:p w:rsidR="005D5A35" w:rsidRDefault="002547A6" w:rsidP="00FA57FD">
            <w:pPr>
              <w:spacing w:line="240" w:lineRule="auto"/>
              <w:rPr>
                <w:color w:val="000000"/>
                <w:sz w:val="16"/>
                <w:szCs w:val="16"/>
              </w:rPr>
            </w:pPr>
            <w:r>
              <w:rPr>
                <w:color w:val="000000"/>
                <w:sz w:val="16"/>
                <w:szCs w:val="16"/>
              </w:rPr>
              <w:t>HDP na ob</w:t>
            </w:r>
            <w:r w:rsidR="005D5A35">
              <w:rPr>
                <w:color w:val="000000"/>
                <w:sz w:val="16"/>
                <w:szCs w:val="16"/>
              </w:rPr>
              <w:t>yvatele v PPS v České republice v letech 2007-2013 jen stagnoval</w:t>
            </w:r>
          </w:p>
        </w:tc>
        <w:tc>
          <w:tcPr>
            <w:tcW w:w="139" w:type="pct"/>
          </w:tcPr>
          <w:p w:rsidR="005D5A35" w:rsidRDefault="005D5A35" w:rsidP="00FA57FD">
            <w:pPr>
              <w:pStyle w:val="Textpoznpodarou"/>
              <w:jc w:val="both"/>
            </w:pPr>
          </w:p>
        </w:tc>
        <w:tc>
          <w:tcPr>
            <w:tcW w:w="3819" w:type="pct"/>
            <w:gridSpan w:val="3"/>
          </w:tcPr>
          <w:p w:rsidR="005D5A35" w:rsidRPr="00B71C2D" w:rsidRDefault="005D5A35" w:rsidP="00FA57FD">
            <w:pPr>
              <w:pStyle w:val="Textpoznpodarou"/>
              <w:jc w:val="both"/>
              <w:rPr>
                <w:color w:val="000000"/>
                <w:spacing w:val="-2"/>
              </w:rPr>
            </w:pPr>
            <w:r>
              <w:rPr>
                <w:color w:val="000000"/>
                <w:spacing w:val="-2"/>
              </w:rPr>
              <w:t xml:space="preserve">V České republice vykazoval HDP na obyvatele v paritě kupní síly v letech 2007-2013 jen nepatrné výkyvy a v úhrnu šlo jen o stagnaci. Nejvyšší úrovně v tomto období dosahoval tento indikátor v roce 2007 (84 % průměru EU 28), nejnižší byl v roce 2010 (81 %). V roce 2014 se díky silnějšímu hospodářskému růstu oproti zlepšení ekonomiky EU dostal HDP na obyvatele v PPS u ČR opět na úroveň 84 % unijního průměru, stejně jako v roce 2007 (graf 1). </w:t>
            </w:r>
            <w:r w:rsidRPr="00764561">
              <w:rPr>
                <w:i/>
                <w:color w:val="000000"/>
                <w:spacing w:val="-2"/>
              </w:rPr>
              <w:t xml:space="preserve"> </w:t>
            </w:r>
          </w:p>
          <w:p w:rsidR="005D5A35" w:rsidRPr="00CB3ACB" w:rsidRDefault="005D5A35" w:rsidP="00FA57FD">
            <w:pPr>
              <w:pStyle w:val="Textpoznpodarou"/>
              <w:jc w:val="both"/>
              <w:rPr>
                <w:i/>
                <w:color w:val="000000"/>
                <w:spacing w:val="-2"/>
                <w:sz w:val="18"/>
                <w:szCs w:val="18"/>
              </w:rPr>
            </w:pPr>
            <w:r>
              <w:rPr>
                <w:color w:val="000000"/>
                <w:spacing w:val="-2"/>
              </w:rPr>
              <w:t xml:space="preserve"> </w:t>
            </w:r>
          </w:p>
        </w:tc>
      </w:tr>
      <w:tr w:rsidR="005D5A35" w:rsidRPr="00764561" w:rsidTr="0022160A">
        <w:tc>
          <w:tcPr>
            <w:tcW w:w="1042" w:type="pct"/>
            <w:gridSpan w:val="3"/>
          </w:tcPr>
          <w:p w:rsidR="005D5A35" w:rsidRDefault="005D5A35" w:rsidP="002547A6">
            <w:pPr>
              <w:spacing w:line="240" w:lineRule="auto"/>
              <w:rPr>
                <w:color w:val="000000"/>
                <w:sz w:val="16"/>
                <w:szCs w:val="16"/>
              </w:rPr>
            </w:pPr>
            <w:r>
              <w:rPr>
                <w:color w:val="000000"/>
                <w:sz w:val="16"/>
                <w:szCs w:val="16"/>
              </w:rPr>
              <w:t>Nárůst o dva procentní body v roce 2014 na 84 % průměru zemí EU 28 a</w:t>
            </w:r>
            <w:r w:rsidR="002547A6">
              <w:rPr>
                <w:color w:val="000000"/>
                <w:sz w:val="16"/>
                <w:szCs w:val="16"/>
              </w:rPr>
              <w:t> </w:t>
            </w:r>
            <w:r>
              <w:rPr>
                <w:color w:val="000000"/>
                <w:sz w:val="16"/>
                <w:szCs w:val="16"/>
              </w:rPr>
              <w:t>78,5</w:t>
            </w:r>
            <w:r w:rsidR="002547A6">
              <w:rPr>
                <w:color w:val="000000"/>
                <w:sz w:val="16"/>
                <w:szCs w:val="16"/>
              </w:rPr>
              <w:t> </w:t>
            </w:r>
            <w:r>
              <w:rPr>
                <w:color w:val="000000"/>
                <w:sz w:val="16"/>
                <w:szCs w:val="16"/>
              </w:rPr>
              <w:t xml:space="preserve">% k zemím </w:t>
            </w:r>
            <w:proofErr w:type="spellStart"/>
            <w:r>
              <w:rPr>
                <w:color w:val="000000"/>
                <w:sz w:val="16"/>
                <w:szCs w:val="16"/>
              </w:rPr>
              <w:t>eurozóny</w:t>
            </w:r>
            <w:proofErr w:type="spellEnd"/>
          </w:p>
        </w:tc>
        <w:tc>
          <w:tcPr>
            <w:tcW w:w="139" w:type="pct"/>
          </w:tcPr>
          <w:p w:rsidR="005D5A35" w:rsidRDefault="005D5A35" w:rsidP="00FA57FD">
            <w:pPr>
              <w:pStyle w:val="Textpoznpodarou"/>
              <w:jc w:val="both"/>
            </w:pPr>
          </w:p>
        </w:tc>
        <w:tc>
          <w:tcPr>
            <w:tcW w:w="3819" w:type="pct"/>
            <w:gridSpan w:val="3"/>
          </w:tcPr>
          <w:p w:rsidR="005D5A35" w:rsidRPr="00FA57FD" w:rsidRDefault="005D5A35" w:rsidP="00FA57FD">
            <w:pPr>
              <w:pStyle w:val="Textpoznpodarou"/>
              <w:jc w:val="both"/>
              <w:rPr>
                <w:color w:val="000000"/>
                <w:spacing w:val="-2"/>
              </w:rPr>
            </w:pPr>
            <w:r>
              <w:rPr>
                <w:color w:val="000000"/>
                <w:spacing w:val="-2"/>
              </w:rPr>
              <w:t>Pozice ČR v relaci k EU 28 byla v roce 2014 stejná jako v roce vrcholící konjunktury české ekonomiky. V poměru k </w:t>
            </w:r>
            <w:proofErr w:type="spellStart"/>
            <w:r>
              <w:rPr>
                <w:color w:val="000000"/>
                <w:spacing w:val="-2"/>
              </w:rPr>
              <w:t>eurozóně</w:t>
            </w:r>
            <w:proofErr w:type="spellEnd"/>
            <w:r>
              <w:rPr>
                <w:color w:val="000000"/>
                <w:spacing w:val="-2"/>
              </w:rPr>
              <w:t xml:space="preserve"> (EA 19) se proporce nepatrně zlepšila (což však může být pouhým zaokrouhlením). V roce 2007 byl </w:t>
            </w:r>
            <w:r w:rsidR="004E0040">
              <w:rPr>
                <w:color w:val="000000"/>
                <w:spacing w:val="-2"/>
              </w:rPr>
              <w:t>HDP na obyvatele</w:t>
            </w:r>
            <w:r w:rsidR="00227993">
              <w:rPr>
                <w:color w:val="000000"/>
                <w:spacing w:val="-2"/>
              </w:rPr>
              <w:t xml:space="preserve"> v PPS v ČR na 77,8</w:t>
            </w:r>
            <w:r>
              <w:rPr>
                <w:color w:val="000000"/>
                <w:spacing w:val="-2"/>
              </w:rPr>
              <w:t xml:space="preserve"> % průměrné úrovně </w:t>
            </w:r>
            <w:proofErr w:type="spellStart"/>
            <w:r>
              <w:rPr>
                <w:color w:val="000000"/>
                <w:spacing w:val="-2"/>
              </w:rPr>
              <w:t>eurozóny</w:t>
            </w:r>
            <w:proofErr w:type="spellEnd"/>
            <w:r>
              <w:rPr>
                <w:color w:val="000000"/>
                <w:spacing w:val="-2"/>
              </w:rPr>
              <w:t xml:space="preserve">, v roce 2014 na 78,5 %. </w:t>
            </w:r>
          </w:p>
          <w:p w:rsidR="005D5A35" w:rsidRPr="00FA57FD" w:rsidRDefault="005D5A35" w:rsidP="00FA57FD">
            <w:pPr>
              <w:pStyle w:val="Textpoznpodarou"/>
              <w:jc w:val="both"/>
              <w:rPr>
                <w:color w:val="000000"/>
                <w:spacing w:val="-2"/>
              </w:rPr>
            </w:pPr>
          </w:p>
        </w:tc>
      </w:tr>
      <w:tr w:rsidR="005D5A35" w:rsidRPr="00764561" w:rsidTr="0022160A">
        <w:tc>
          <w:tcPr>
            <w:tcW w:w="1042" w:type="pct"/>
            <w:gridSpan w:val="3"/>
          </w:tcPr>
          <w:p w:rsidR="005D5A35" w:rsidRDefault="005D5A35" w:rsidP="002555ED">
            <w:pPr>
              <w:spacing w:line="240" w:lineRule="auto"/>
              <w:rPr>
                <w:color w:val="000000"/>
                <w:sz w:val="16"/>
                <w:szCs w:val="16"/>
              </w:rPr>
            </w:pPr>
            <w:r>
              <w:rPr>
                <w:color w:val="000000"/>
                <w:sz w:val="16"/>
                <w:szCs w:val="16"/>
              </w:rPr>
              <w:t>Výlučnost hlavního města Prahy ve vykazovaném HDP na obyvatele v PPS</w:t>
            </w:r>
          </w:p>
        </w:tc>
        <w:tc>
          <w:tcPr>
            <w:tcW w:w="139" w:type="pct"/>
          </w:tcPr>
          <w:p w:rsidR="005D5A35" w:rsidRDefault="005D5A35" w:rsidP="00FA57FD">
            <w:pPr>
              <w:pStyle w:val="Textpoznpodarou"/>
              <w:jc w:val="both"/>
            </w:pPr>
          </w:p>
        </w:tc>
        <w:tc>
          <w:tcPr>
            <w:tcW w:w="3819" w:type="pct"/>
            <w:gridSpan w:val="3"/>
          </w:tcPr>
          <w:p w:rsidR="005D5A35" w:rsidRPr="00FA57FD" w:rsidRDefault="005D5A35" w:rsidP="00FA57FD">
            <w:pPr>
              <w:pStyle w:val="Textpoznpodarou"/>
              <w:jc w:val="both"/>
              <w:rPr>
                <w:color w:val="000000"/>
                <w:spacing w:val="-2"/>
              </w:rPr>
            </w:pPr>
            <w:r>
              <w:rPr>
                <w:color w:val="000000"/>
                <w:spacing w:val="-2"/>
              </w:rPr>
              <w:t>Regionální pohled na úroveň krajů</w:t>
            </w:r>
            <w:r w:rsidR="004E0040">
              <w:rPr>
                <w:color w:val="000000"/>
                <w:spacing w:val="-2"/>
              </w:rPr>
              <w:t xml:space="preserve"> České republiky podle HDP/</w:t>
            </w:r>
            <w:proofErr w:type="spellStart"/>
            <w:r w:rsidR="004E0040">
              <w:rPr>
                <w:color w:val="000000"/>
                <w:spacing w:val="-2"/>
              </w:rPr>
              <w:t>obyv</w:t>
            </w:r>
            <w:proofErr w:type="spellEnd"/>
            <w:r>
              <w:rPr>
                <w:color w:val="000000"/>
                <w:spacing w:val="-2"/>
              </w:rPr>
              <w:t>. v PPS v relaci k EU 28 ukazuje výlučnost hlavního města Prahy (gra</w:t>
            </w:r>
            <w:r w:rsidR="00640C2B">
              <w:rPr>
                <w:color w:val="000000"/>
                <w:spacing w:val="-2"/>
              </w:rPr>
              <w:t>f 2). Jeho výše (173 % průměru U</w:t>
            </w:r>
            <w:r>
              <w:rPr>
                <w:color w:val="000000"/>
                <w:spacing w:val="-2"/>
              </w:rPr>
              <w:t xml:space="preserve">nie v roce 2013) ovlivňuje proporce v ČR (průměr 82,4 %) do té míry, že všechny ostatní kraje tohoto průměru nedosahují. Nejlepší výsledek měl po Praze kraj Jihomoravský (80,7 %), následovaný krajem Plzeňským (76,2 %). Naopak kraj Olomoucký, Ústecký a Karlovarský </w:t>
            </w:r>
            <w:r w:rsidR="00640C2B">
              <w:rPr>
                <w:color w:val="000000"/>
                <w:spacing w:val="-2"/>
              </w:rPr>
              <w:t>měly</w:t>
            </w:r>
            <w:r>
              <w:rPr>
                <w:color w:val="000000"/>
                <w:spacing w:val="-2"/>
              </w:rPr>
              <w:t> nejnižší relativní úrov</w:t>
            </w:r>
            <w:r w:rsidR="00640C2B">
              <w:rPr>
                <w:color w:val="000000"/>
                <w:spacing w:val="-2"/>
              </w:rPr>
              <w:t>eň</w:t>
            </w:r>
            <w:r>
              <w:rPr>
                <w:color w:val="000000"/>
                <w:spacing w:val="-2"/>
              </w:rPr>
              <w:t xml:space="preserve"> HDP/</w:t>
            </w:r>
            <w:proofErr w:type="spellStart"/>
            <w:r>
              <w:rPr>
                <w:color w:val="000000"/>
                <w:spacing w:val="-2"/>
              </w:rPr>
              <w:t>obyv</w:t>
            </w:r>
            <w:proofErr w:type="spellEnd"/>
            <w:r>
              <w:rPr>
                <w:color w:val="000000"/>
                <w:spacing w:val="-2"/>
              </w:rPr>
              <w:t xml:space="preserve">. v PPS, ovlivněnou především strukturou ekonomik v těchto regionech a z ní plynoucích příjmových možností domácností ovlivňujících jejich disponibilní důchod. </w:t>
            </w:r>
          </w:p>
          <w:p w:rsidR="005D5A35" w:rsidRPr="00CB3ACB" w:rsidRDefault="005D5A35" w:rsidP="00FA57FD">
            <w:pPr>
              <w:pStyle w:val="Textpoznpodarou"/>
              <w:jc w:val="both"/>
              <w:rPr>
                <w:color w:val="000000"/>
                <w:spacing w:val="-2"/>
                <w:sz w:val="18"/>
                <w:szCs w:val="18"/>
              </w:rPr>
            </w:pPr>
            <w:r>
              <w:rPr>
                <w:color w:val="000000"/>
                <w:spacing w:val="-2"/>
              </w:rPr>
              <w:t xml:space="preserve"> </w:t>
            </w:r>
          </w:p>
        </w:tc>
      </w:tr>
      <w:tr w:rsidR="005D5A35" w:rsidRPr="00817C98" w:rsidTr="0022160A">
        <w:trPr>
          <w:gridBefore w:val="1"/>
          <w:wBefore w:w="21" w:type="pct"/>
        </w:trPr>
        <w:tc>
          <w:tcPr>
            <w:tcW w:w="594" w:type="pct"/>
          </w:tcPr>
          <w:p w:rsidR="005D5A35" w:rsidRDefault="005D5A35" w:rsidP="00F55CC2">
            <w:pPr>
              <w:spacing w:line="240" w:lineRule="auto"/>
            </w:pPr>
            <w:r>
              <w:t>Graf č.</w:t>
            </w:r>
            <w:r w:rsidR="00F55CC2">
              <w:t xml:space="preserve"> </w:t>
            </w:r>
            <w:r>
              <w:t>1</w:t>
            </w:r>
          </w:p>
        </w:tc>
        <w:tc>
          <w:tcPr>
            <w:tcW w:w="1866" w:type="pct"/>
            <w:gridSpan w:val="3"/>
          </w:tcPr>
          <w:p w:rsidR="005D5A35" w:rsidRDefault="005D5A35" w:rsidP="00BE1C59">
            <w:pPr>
              <w:pStyle w:val="Textpoznpodarou"/>
              <w:rPr>
                <w:rFonts w:cs="Arial"/>
                <w:szCs w:val="24"/>
              </w:rPr>
            </w:pPr>
            <w:r>
              <w:rPr>
                <w:rFonts w:cs="Arial"/>
                <w:b/>
                <w:bCs/>
              </w:rPr>
              <w:t>ČR - HDP na obyvatele v paritě kupní síly (</w:t>
            </w:r>
            <w:proofErr w:type="gramStart"/>
            <w:r>
              <w:rPr>
                <w:rFonts w:cs="Arial"/>
                <w:b/>
                <w:bCs/>
              </w:rPr>
              <w:t xml:space="preserve">PPS) </w:t>
            </w:r>
            <w:r w:rsidRPr="00BE1C59">
              <w:rPr>
                <w:rFonts w:cs="Arial"/>
                <w:bCs/>
              </w:rPr>
              <w:t>(EU</w:t>
            </w:r>
            <w:proofErr w:type="gramEnd"/>
            <w:r w:rsidRPr="00BE1C59">
              <w:rPr>
                <w:rFonts w:cs="Arial"/>
                <w:bCs/>
              </w:rPr>
              <w:t xml:space="preserve"> 28=100)</w:t>
            </w:r>
          </w:p>
        </w:tc>
        <w:tc>
          <w:tcPr>
            <w:tcW w:w="361" w:type="pct"/>
          </w:tcPr>
          <w:p w:rsidR="005D5A35" w:rsidRDefault="005D5A35" w:rsidP="00CB3ACB">
            <w:pPr>
              <w:spacing w:line="240" w:lineRule="auto"/>
            </w:pPr>
            <w:r>
              <w:t>Graf č.</w:t>
            </w:r>
            <w:r w:rsidR="00CB3ACB">
              <w:t> </w:t>
            </w:r>
            <w:r>
              <w:t>2</w:t>
            </w:r>
          </w:p>
        </w:tc>
        <w:tc>
          <w:tcPr>
            <w:tcW w:w="2158" w:type="pct"/>
          </w:tcPr>
          <w:p w:rsidR="005D5A35" w:rsidRPr="00817C98" w:rsidRDefault="005D5A35" w:rsidP="00CB3ACB">
            <w:pPr>
              <w:spacing w:line="240" w:lineRule="auto"/>
              <w:rPr>
                <w:rFonts w:cs="Arial"/>
                <w:b/>
                <w:bCs/>
              </w:rPr>
            </w:pPr>
            <w:r>
              <w:rPr>
                <w:rFonts w:cs="Arial"/>
                <w:b/>
                <w:bCs/>
              </w:rPr>
              <w:t>Kraje - HDP na obyvatele v paritě kupní síly (</w:t>
            </w:r>
            <w:proofErr w:type="gramStart"/>
            <w:r>
              <w:rPr>
                <w:rFonts w:cs="Arial"/>
                <w:b/>
                <w:bCs/>
              </w:rPr>
              <w:t xml:space="preserve">PPS) </w:t>
            </w:r>
            <w:r>
              <w:rPr>
                <w:rFonts w:cs="Arial"/>
                <w:bCs/>
              </w:rPr>
              <w:t>(2013</w:t>
            </w:r>
            <w:proofErr w:type="gramEnd"/>
            <w:r>
              <w:rPr>
                <w:rFonts w:cs="Arial"/>
                <w:bCs/>
              </w:rPr>
              <w:t xml:space="preserve">, </w:t>
            </w:r>
            <w:r w:rsidRPr="00BE1C59">
              <w:rPr>
                <w:rFonts w:cs="Arial"/>
                <w:bCs/>
              </w:rPr>
              <w:t>NUTS</w:t>
            </w:r>
            <w:r>
              <w:rPr>
                <w:rFonts w:cs="Arial"/>
                <w:bCs/>
              </w:rPr>
              <w:t xml:space="preserve"> </w:t>
            </w:r>
            <w:r w:rsidRPr="00BE1C59">
              <w:rPr>
                <w:rFonts w:cs="Arial"/>
                <w:bCs/>
              </w:rPr>
              <w:t xml:space="preserve">3, EU 28=100) </w:t>
            </w:r>
          </w:p>
        </w:tc>
      </w:tr>
      <w:tr w:rsidR="005D5A35" w:rsidTr="0022160A">
        <w:trPr>
          <w:gridBefore w:val="1"/>
          <w:wBefore w:w="21" w:type="pct"/>
        </w:trPr>
        <w:tc>
          <w:tcPr>
            <w:tcW w:w="2460" w:type="pct"/>
            <w:gridSpan w:val="4"/>
          </w:tcPr>
          <w:p w:rsidR="005D5A35" w:rsidRDefault="00513C6F" w:rsidP="007351BA">
            <w:pPr>
              <w:pStyle w:val="Textpoznpodarou"/>
              <w:jc w:val="both"/>
            </w:pPr>
            <w:r>
              <w:rPr>
                <w:noProof/>
              </w:rPr>
              <w:pict>
                <v:shape id="Graf 7" o:spid="_x0000_i1118" type="#_x0000_t75" style="width:235.5pt;height:19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">
                  <v:imagedata r:id="rId110" o:title=""/>
                  <o:lock v:ext="edit" aspectratio="f"/>
                </v:shape>
              </w:pict>
            </w:r>
          </w:p>
        </w:tc>
        <w:tc>
          <w:tcPr>
            <w:tcW w:w="2518" w:type="pct"/>
            <w:gridSpan w:val="2"/>
          </w:tcPr>
          <w:p w:rsidR="005D5A35" w:rsidRDefault="00513C6F" w:rsidP="007351BA">
            <w:pPr>
              <w:pStyle w:val="Textpoznpodarou"/>
              <w:jc w:val="both"/>
            </w:pPr>
            <w:r>
              <w:rPr>
                <w:noProof/>
              </w:rPr>
              <w:pict>
                <v:shape id="_x0000_i1119" type="#_x0000_t75" style="width:240pt;height:19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">
                  <v:imagedata r:id="rId111" o:title=""/>
                  <o:lock v:ext="edit" aspectratio="f"/>
                </v:shape>
              </w:pict>
            </w:r>
          </w:p>
        </w:tc>
      </w:tr>
    </w:tbl>
    <w:p w:rsidR="005D5A35" w:rsidRDefault="00F25456" w:rsidP="00F24F20">
      <w:pPr>
        <w:ind w:left="2124" w:firstLine="708"/>
      </w:pPr>
      <w:r w:rsidRPr="00E513F8">
        <w:rPr>
          <w:sz w:val="18"/>
          <w:szCs w:val="18"/>
        </w:rPr>
        <w:t xml:space="preserve">    </w:t>
      </w:r>
      <w:r w:rsidR="00E513F8">
        <w:rPr>
          <w:sz w:val="18"/>
          <w:szCs w:val="18"/>
        </w:rPr>
        <w:t xml:space="preserve">    </w:t>
      </w:r>
      <w:r w:rsidRPr="00E513F8">
        <w:rPr>
          <w:sz w:val="18"/>
          <w:szCs w:val="18"/>
        </w:rPr>
        <w:t xml:space="preserve">      Zdroj</w:t>
      </w:r>
      <w:r w:rsidR="005D5A35" w:rsidRPr="00E513F8">
        <w:rPr>
          <w:sz w:val="18"/>
          <w:szCs w:val="18"/>
        </w:rPr>
        <w:t>:</w:t>
      </w:r>
      <w:r w:rsidRPr="00E513F8">
        <w:rPr>
          <w:sz w:val="18"/>
          <w:szCs w:val="18"/>
        </w:rPr>
        <w:t xml:space="preserve"> </w:t>
      </w:r>
      <w:proofErr w:type="spellStart"/>
      <w:r w:rsidRPr="00E513F8">
        <w:rPr>
          <w:sz w:val="18"/>
          <w:szCs w:val="18"/>
        </w:rPr>
        <w:t>Eurostat</w:t>
      </w:r>
      <w:proofErr w:type="spellEnd"/>
      <w:r>
        <w:t xml:space="preserve"> </w:t>
      </w:r>
      <w:r>
        <w:tab/>
      </w:r>
      <w:r>
        <w:tab/>
      </w:r>
      <w:r>
        <w:tab/>
      </w:r>
      <w:r>
        <w:tab/>
      </w:r>
      <w:r>
        <w:tab/>
      </w:r>
      <w:r w:rsidRPr="00E513F8">
        <w:rPr>
          <w:sz w:val="18"/>
          <w:szCs w:val="18"/>
        </w:rPr>
        <w:t xml:space="preserve">     </w:t>
      </w:r>
      <w:r w:rsidR="00E513F8">
        <w:rPr>
          <w:sz w:val="18"/>
          <w:szCs w:val="18"/>
        </w:rPr>
        <w:t xml:space="preserve">   </w:t>
      </w:r>
      <w:r w:rsidRPr="00E513F8">
        <w:rPr>
          <w:sz w:val="18"/>
          <w:szCs w:val="18"/>
        </w:rPr>
        <w:t xml:space="preserve">  </w:t>
      </w:r>
      <w:r w:rsidR="00E513F8">
        <w:rPr>
          <w:sz w:val="18"/>
          <w:szCs w:val="18"/>
        </w:rPr>
        <w:t xml:space="preserve"> </w:t>
      </w:r>
      <w:r w:rsidRPr="00E513F8">
        <w:rPr>
          <w:sz w:val="18"/>
          <w:szCs w:val="18"/>
        </w:rPr>
        <w:t xml:space="preserve">        Zdroj</w:t>
      </w:r>
      <w:r w:rsidR="005D5A35" w:rsidRPr="00E513F8">
        <w:rPr>
          <w:sz w:val="18"/>
          <w:szCs w:val="18"/>
        </w:rPr>
        <w:t>: ČSÚ</w:t>
      </w:r>
    </w:p>
    <w:p w:rsidR="005D5A35" w:rsidRPr="00901236" w:rsidRDefault="005D5A35" w:rsidP="008B0C8B">
      <w:pPr>
        <w:pStyle w:val="Nadpis3"/>
        <w:numPr>
          <w:ilvl w:val="2"/>
          <w:numId w:val="6"/>
        </w:numPr>
      </w:pPr>
      <w:bookmarkStart w:id="39" w:name="_Toc426017681"/>
      <w:r w:rsidRPr="00901236">
        <w:lastRenderedPageBreak/>
        <w:t>Čistý disponibilní důchod domácností</w:t>
      </w:r>
      <w:bookmarkEnd w:id="39"/>
      <w:r w:rsidRPr="00901236">
        <w:t xml:space="preserve"> </w:t>
      </w:r>
    </w:p>
    <w:tbl>
      <w:tblPr>
        <w:tblW w:w="5008" w:type="pct"/>
        <w:tblInd w:w="-42" w:type="dxa"/>
        <w:tblCellMar>
          <w:left w:w="28" w:type="dxa"/>
          <w:right w:w="28" w:type="dxa"/>
        </w:tblCellMar>
        <w:tblLook w:val="00A0"/>
      </w:tblPr>
      <w:tblGrid>
        <w:gridCol w:w="11"/>
        <w:gridCol w:w="751"/>
        <w:gridCol w:w="1315"/>
        <w:gridCol w:w="278"/>
        <w:gridCol w:w="2655"/>
        <w:gridCol w:w="740"/>
        <w:gridCol w:w="3960"/>
      </w:tblGrid>
      <w:tr w:rsidR="005D5A35" w:rsidRPr="00764561" w:rsidTr="00C84605">
        <w:tc>
          <w:tcPr>
            <w:tcW w:w="1070" w:type="pct"/>
            <w:gridSpan w:val="3"/>
          </w:tcPr>
          <w:p w:rsidR="005D5A35" w:rsidRDefault="005D5A35" w:rsidP="00BC5111">
            <w:pPr>
              <w:spacing w:line="240" w:lineRule="auto"/>
              <w:rPr>
                <w:color w:val="000000"/>
                <w:sz w:val="16"/>
                <w:szCs w:val="16"/>
              </w:rPr>
            </w:pPr>
            <w:r>
              <w:rPr>
                <w:color w:val="000000"/>
                <w:sz w:val="16"/>
                <w:szCs w:val="16"/>
              </w:rPr>
              <w:t>Celkové příjmy domácností sestávají z různých typů příjmů a kromě nich využívají i zboží a služeb v rámci tzv. naturálních transferů</w:t>
            </w:r>
          </w:p>
        </w:tc>
        <w:tc>
          <w:tcPr>
            <w:tcW w:w="143" w:type="pct"/>
          </w:tcPr>
          <w:p w:rsidR="005D5A35" w:rsidRDefault="005D5A35" w:rsidP="00BC5111">
            <w:pPr>
              <w:pStyle w:val="Textpoznpodarou"/>
              <w:jc w:val="both"/>
            </w:pPr>
          </w:p>
        </w:tc>
        <w:tc>
          <w:tcPr>
            <w:tcW w:w="3787" w:type="pct"/>
            <w:gridSpan w:val="3"/>
          </w:tcPr>
          <w:p w:rsidR="005D5A35" w:rsidRDefault="005D5A35" w:rsidP="00BC5111">
            <w:pPr>
              <w:pStyle w:val="Textpoznpodarou"/>
              <w:jc w:val="both"/>
              <w:rPr>
                <w:color w:val="000000"/>
                <w:spacing w:val="-2"/>
              </w:rPr>
            </w:pPr>
            <w:r>
              <w:rPr>
                <w:color w:val="000000"/>
                <w:spacing w:val="-2"/>
              </w:rPr>
              <w:t>Příjmy lidí popisuje z pohledu národních účtů ukazatel disponibilního důchodu domácností. Jde o úhrn různých typů příjmů, tedy nejen mezd a platů, ale i příjmů z podnikání, čistých příjmů z majetku a saldo z přerozdělení (tj. čisté sociální příjmy). Vykazován je tento ukazatel jako hrubý disponibilní důchod domácností, resp. i ve své čisté formě, to znamená po odečtení spotřeby kapitálu. Pokud zohledníme ve</w:t>
            </w:r>
            <w:r w:rsidR="00C84605">
              <w:rPr>
                <w:color w:val="000000"/>
                <w:spacing w:val="-2"/>
              </w:rPr>
              <w:t> </w:t>
            </w:r>
            <w:r>
              <w:rPr>
                <w:color w:val="000000"/>
                <w:spacing w:val="-2"/>
              </w:rPr>
              <w:t>spotřebě domácností i zboží a služby, které j</w:t>
            </w:r>
            <w:r w:rsidR="00640C2B">
              <w:rPr>
                <w:color w:val="000000"/>
                <w:spacing w:val="-2"/>
              </w:rPr>
              <w:t>sou</w:t>
            </w:r>
            <w:r>
              <w:rPr>
                <w:color w:val="000000"/>
                <w:spacing w:val="-2"/>
              </w:rPr>
              <w:t xml:space="preserve"> jim poskytován</w:t>
            </w:r>
            <w:r w:rsidR="00640C2B">
              <w:rPr>
                <w:color w:val="000000"/>
                <w:spacing w:val="-2"/>
              </w:rPr>
              <w:t>y</w:t>
            </w:r>
            <w:r>
              <w:rPr>
                <w:color w:val="000000"/>
                <w:spacing w:val="-2"/>
              </w:rPr>
              <w:t xml:space="preserve"> vládním sektorem a neziskovými institucemi (např. výdaje od zdravotních pojišťoven anebo vzdělávací služby) – tyto tzv. naturální transfery (ročně ve stovkách miliard korun) zvyšují „příjmy“ domácností a jejich zohledněním pak dostáváme komplexnější obrázek v podobě tzv. upraveného disponibilního důchodu domácností.</w:t>
            </w:r>
          </w:p>
          <w:p w:rsidR="005D5A35" w:rsidRPr="00F40185" w:rsidRDefault="005D5A35" w:rsidP="00BC5111">
            <w:pPr>
              <w:pStyle w:val="Textpoznpodarou"/>
              <w:jc w:val="both"/>
              <w:rPr>
                <w:color w:val="000000"/>
                <w:spacing w:val="-2"/>
              </w:rPr>
            </w:pPr>
          </w:p>
          <w:p w:rsidR="005D5A35" w:rsidRDefault="005D5A35" w:rsidP="00BC5111">
            <w:pPr>
              <w:pStyle w:val="Textpoznpodarou"/>
              <w:jc w:val="both"/>
              <w:rPr>
                <w:color w:val="000000"/>
                <w:spacing w:val="-2"/>
              </w:rPr>
            </w:pPr>
            <w:r>
              <w:rPr>
                <w:color w:val="000000"/>
                <w:spacing w:val="-2"/>
              </w:rPr>
              <w:t>Disponibilní důchod domácností tak může poskytnout „korigující“ informaci o jejich materiální kvalitě života k více frekventované informaci o výši a vývoji HDP na</w:t>
            </w:r>
            <w:r w:rsidR="002547A6">
              <w:rPr>
                <w:color w:val="000000"/>
                <w:spacing w:val="-2"/>
              </w:rPr>
              <w:t> </w:t>
            </w:r>
            <w:r>
              <w:rPr>
                <w:color w:val="000000"/>
                <w:spacing w:val="-2"/>
              </w:rPr>
              <w:t xml:space="preserve">obyvatele v paritě kupní síly. </w:t>
            </w:r>
          </w:p>
          <w:p w:rsidR="005D5A35" w:rsidRDefault="005D5A35" w:rsidP="00DA3FF9">
            <w:pPr>
              <w:pStyle w:val="Textpoznpodarou"/>
              <w:jc w:val="both"/>
              <w:rPr>
                <w:color w:val="000000"/>
                <w:spacing w:val="-2"/>
              </w:rPr>
            </w:pPr>
          </w:p>
        </w:tc>
      </w:tr>
      <w:tr w:rsidR="005D5A35" w:rsidRPr="00764561" w:rsidTr="00C84605">
        <w:tc>
          <w:tcPr>
            <w:tcW w:w="1070" w:type="pct"/>
            <w:gridSpan w:val="3"/>
          </w:tcPr>
          <w:p w:rsidR="005D5A35" w:rsidRDefault="005D5A35" w:rsidP="00BC5111">
            <w:pPr>
              <w:spacing w:line="240" w:lineRule="auto"/>
              <w:rPr>
                <w:color w:val="000000"/>
                <w:sz w:val="16"/>
                <w:szCs w:val="16"/>
              </w:rPr>
            </w:pPr>
            <w:r>
              <w:rPr>
                <w:color w:val="000000"/>
                <w:sz w:val="16"/>
                <w:szCs w:val="16"/>
              </w:rPr>
              <w:t xml:space="preserve">Mezi výší nominálního HDP a čistého disponibilního důchodu </w:t>
            </w:r>
            <w:r w:rsidR="002547A6">
              <w:rPr>
                <w:color w:val="000000"/>
                <w:sz w:val="16"/>
                <w:szCs w:val="16"/>
              </w:rPr>
              <w:t xml:space="preserve">domácností existují disparity, </w:t>
            </w:r>
            <w:r>
              <w:rPr>
                <w:color w:val="000000"/>
                <w:sz w:val="16"/>
                <w:szCs w:val="16"/>
              </w:rPr>
              <w:t>vysoká zejména v některých regionech</w:t>
            </w:r>
          </w:p>
        </w:tc>
        <w:tc>
          <w:tcPr>
            <w:tcW w:w="143" w:type="pct"/>
          </w:tcPr>
          <w:p w:rsidR="005D5A35" w:rsidRDefault="005D5A35" w:rsidP="00BC5111">
            <w:pPr>
              <w:pStyle w:val="Textpoznpodarou"/>
              <w:jc w:val="both"/>
            </w:pPr>
          </w:p>
        </w:tc>
        <w:tc>
          <w:tcPr>
            <w:tcW w:w="3787" w:type="pct"/>
            <w:gridSpan w:val="3"/>
          </w:tcPr>
          <w:p w:rsidR="005D5A35" w:rsidRDefault="005D5A35" w:rsidP="00DA3FF9">
            <w:pPr>
              <w:pStyle w:val="Textpoznpodarou"/>
              <w:jc w:val="both"/>
              <w:rPr>
                <w:color w:val="000000"/>
                <w:spacing w:val="-2"/>
              </w:rPr>
            </w:pPr>
            <w:r>
              <w:rPr>
                <w:color w:val="000000"/>
                <w:spacing w:val="-2"/>
              </w:rPr>
              <w:t>I z porovnání bez přepočtu na obyvatele jsou disparity mezi nominálním HDP a</w:t>
            </w:r>
            <w:r w:rsidR="002547A6">
              <w:rPr>
                <w:color w:val="000000"/>
                <w:spacing w:val="-2"/>
              </w:rPr>
              <w:t> </w:t>
            </w:r>
            <w:r>
              <w:rPr>
                <w:color w:val="000000"/>
                <w:spacing w:val="-2"/>
              </w:rPr>
              <w:t xml:space="preserve">čistým disponibilním důchodem domácností zřejmé, pokud sledujeme např. pozici jednotlivých krajů ČR v jejich podílech na obou veličinách. Zatímco Praha je prakticky čtvrtinou české ekonomiky podle podílu na celorepublikovém HDP v nominálním vyjádření (24,9 % v roce 2013), v podílu na celorepublikovém čistém disponibilním důchodu domácností je její podíl jen zhruba </w:t>
            </w:r>
            <w:proofErr w:type="spellStart"/>
            <w:r>
              <w:rPr>
                <w:color w:val="000000"/>
                <w:spacing w:val="-2"/>
              </w:rPr>
              <w:t>sedminový</w:t>
            </w:r>
            <w:proofErr w:type="spellEnd"/>
            <w:r>
              <w:rPr>
                <w:color w:val="000000"/>
                <w:spacing w:val="-2"/>
              </w:rPr>
              <w:t xml:space="preserve"> (15,7 %). Údaje v přepočtu na obyvatele pak samozřejmě tyto proporce mění.    </w:t>
            </w:r>
          </w:p>
          <w:p w:rsidR="005D5A35" w:rsidRDefault="005D5A35" w:rsidP="00BC5111">
            <w:pPr>
              <w:pStyle w:val="Textpoznpodarou"/>
              <w:jc w:val="both"/>
              <w:rPr>
                <w:color w:val="000000"/>
                <w:spacing w:val="-2"/>
              </w:rPr>
            </w:pPr>
          </w:p>
        </w:tc>
      </w:tr>
      <w:tr w:rsidR="005D5A35" w:rsidRPr="00764561" w:rsidTr="00C84605">
        <w:tc>
          <w:tcPr>
            <w:tcW w:w="1070" w:type="pct"/>
            <w:gridSpan w:val="3"/>
          </w:tcPr>
          <w:p w:rsidR="005D5A35" w:rsidRDefault="005D5A35" w:rsidP="00BC5111">
            <w:pPr>
              <w:spacing w:line="240" w:lineRule="auto"/>
              <w:rPr>
                <w:color w:val="000000"/>
                <w:sz w:val="16"/>
                <w:szCs w:val="16"/>
              </w:rPr>
            </w:pPr>
            <w:r>
              <w:rPr>
                <w:color w:val="000000"/>
                <w:sz w:val="16"/>
                <w:szCs w:val="16"/>
              </w:rPr>
              <w:t>Zhoršení relativní pozice v HDP na obyvatele během recese v roce 2012 zasáh</w:t>
            </w:r>
            <w:r w:rsidR="00354366">
              <w:rPr>
                <w:color w:val="000000"/>
                <w:sz w:val="16"/>
                <w:szCs w:val="16"/>
              </w:rPr>
              <w:t>l</w:t>
            </w:r>
            <w:r>
              <w:rPr>
                <w:color w:val="000000"/>
                <w:sz w:val="16"/>
                <w:szCs w:val="16"/>
              </w:rPr>
              <w:t>o většinu krajů (9 ze 14), v roce 2013 „jen“ čtyři kraje</w:t>
            </w:r>
          </w:p>
        </w:tc>
        <w:tc>
          <w:tcPr>
            <w:tcW w:w="143" w:type="pct"/>
          </w:tcPr>
          <w:p w:rsidR="005D5A35" w:rsidRDefault="005D5A35" w:rsidP="00BC5111">
            <w:pPr>
              <w:pStyle w:val="Textpoznpodarou"/>
              <w:jc w:val="both"/>
            </w:pPr>
          </w:p>
        </w:tc>
        <w:tc>
          <w:tcPr>
            <w:tcW w:w="3787" w:type="pct"/>
            <w:gridSpan w:val="3"/>
          </w:tcPr>
          <w:p w:rsidR="005D5A35" w:rsidRDefault="005D5A35" w:rsidP="00BC5111">
            <w:pPr>
              <w:pStyle w:val="Textpoznpodarou"/>
              <w:jc w:val="both"/>
              <w:rPr>
                <w:color w:val="000000"/>
                <w:spacing w:val="-2"/>
              </w:rPr>
            </w:pPr>
            <w:r>
              <w:rPr>
                <w:color w:val="000000"/>
                <w:spacing w:val="-2"/>
              </w:rPr>
              <w:t>Roky recese poznamenaly i vývoj v krajích tak, že zatímco v roce 2012 se proti roku 2011 zhoršila v ČR relativní pozice HDP na oby</w:t>
            </w:r>
            <w:r w:rsidR="001157D5">
              <w:rPr>
                <w:color w:val="000000"/>
                <w:spacing w:val="-2"/>
              </w:rPr>
              <w:t>vatele v paritě kupní síly</w:t>
            </w:r>
            <w:r>
              <w:rPr>
                <w:color w:val="000000"/>
                <w:spacing w:val="-2"/>
              </w:rPr>
              <w:t xml:space="preserve"> ve</w:t>
            </w:r>
            <w:r w:rsidR="002547A6">
              <w:rPr>
                <w:color w:val="000000"/>
                <w:spacing w:val="-2"/>
              </w:rPr>
              <w:t> </w:t>
            </w:r>
            <w:r>
              <w:rPr>
                <w:color w:val="000000"/>
                <w:spacing w:val="-2"/>
              </w:rPr>
              <w:t>srovnání s průměrem EU 28 celkem v devíti krajích, v roce 2013 jen ve čtyřech krajích. V úhrnu zůstala pozice České republiky stejná, a to na úrovni 82,4 % tohoto ukazatele za EU 28.</w:t>
            </w:r>
          </w:p>
          <w:p w:rsidR="005D5A35" w:rsidRPr="00F40185" w:rsidRDefault="005D5A35" w:rsidP="00BC5111">
            <w:pPr>
              <w:pStyle w:val="Textpoznpodarou"/>
              <w:jc w:val="both"/>
              <w:rPr>
                <w:color w:val="000000"/>
                <w:spacing w:val="-2"/>
              </w:rPr>
            </w:pPr>
          </w:p>
          <w:p w:rsidR="005D5A35" w:rsidRPr="007146CC" w:rsidRDefault="005D5A35" w:rsidP="00BC5111">
            <w:pPr>
              <w:pStyle w:val="Textpoznpodarou"/>
              <w:jc w:val="both"/>
              <w:rPr>
                <w:color w:val="000000"/>
                <w:spacing w:val="-2"/>
              </w:rPr>
            </w:pPr>
            <w:r>
              <w:rPr>
                <w:color w:val="000000"/>
                <w:spacing w:val="-2"/>
              </w:rPr>
              <w:t>Postavení hlavního města v ekonomické struktuře České republiky se projevuje i</w:t>
            </w:r>
            <w:r w:rsidR="002547A6">
              <w:rPr>
                <w:color w:val="000000"/>
                <w:spacing w:val="-2"/>
              </w:rPr>
              <w:t> </w:t>
            </w:r>
            <w:r>
              <w:rPr>
                <w:color w:val="000000"/>
                <w:spacing w:val="-2"/>
              </w:rPr>
              <w:t>v příjmové oblasti, tj. v čistém disponibilním důchodu domácností a jeho vývoji ve</w:t>
            </w:r>
            <w:r w:rsidR="002547A6">
              <w:rPr>
                <w:color w:val="000000"/>
                <w:spacing w:val="-2"/>
              </w:rPr>
              <w:t> </w:t>
            </w:r>
            <w:r>
              <w:rPr>
                <w:color w:val="000000"/>
                <w:spacing w:val="-2"/>
              </w:rPr>
              <w:t xml:space="preserve">srovnání s obdobným ukazatelem za celou ČR (graf 3) </w:t>
            </w:r>
          </w:p>
          <w:p w:rsidR="005D5A35" w:rsidRPr="00764561" w:rsidRDefault="005D5A35" w:rsidP="00BC5111">
            <w:pPr>
              <w:pStyle w:val="Textpoznpodarou"/>
              <w:jc w:val="both"/>
              <w:rPr>
                <w:i/>
                <w:color w:val="000000"/>
                <w:spacing w:val="-2"/>
              </w:rPr>
            </w:pPr>
            <w:r>
              <w:rPr>
                <w:color w:val="000000"/>
                <w:spacing w:val="-2"/>
              </w:rPr>
              <w:t xml:space="preserve"> </w:t>
            </w:r>
          </w:p>
        </w:tc>
      </w:tr>
      <w:tr w:rsidR="005D5A35" w:rsidRPr="00764561" w:rsidTr="00C84605">
        <w:tc>
          <w:tcPr>
            <w:tcW w:w="1070" w:type="pct"/>
            <w:gridSpan w:val="3"/>
          </w:tcPr>
          <w:p w:rsidR="005D5A35" w:rsidRDefault="005D5A35" w:rsidP="00590528">
            <w:pPr>
              <w:spacing w:line="240" w:lineRule="auto"/>
              <w:rPr>
                <w:color w:val="000000"/>
                <w:sz w:val="16"/>
                <w:szCs w:val="16"/>
              </w:rPr>
            </w:pPr>
            <w:r>
              <w:rPr>
                <w:color w:val="000000"/>
                <w:sz w:val="16"/>
                <w:szCs w:val="16"/>
              </w:rPr>
              <w:t>Nejsilnější byl růst čistého</w:t>
            </w:r>
            <w:r w:rsidR="00590528">
              <w:rPr>
                <w:color w:val="000000"/>
                <w:sz w:val="16"/>
                <w:szCs w:val="16"/>
              </w:rPr>
              <w:t> </w:t>
            </w:r>
            <w:r>
              <w:rPr>
                <w:color w:val="000000"/>
                <w:sz w:val="16"/>
                <w:szCs w:val="16"/>
              </w:rPr>
              <w:t>disponibilního důchodu na</w:t>
            </w:r>
            <w:r w:rsidR="00590528">
              <w:rPr>
                <w:color w:val="000000"/>
                <w:sz w:val="16"/>
                <w:szCs w:val="16"/>
              </w:rPr>
              <w:t> </w:t>
            </w:r>
            <w:r w:rsidR="00DB0BA5">
              <w:rPr>
                <w:color w:val="000000"/>
                <w:sz w:val="16"/>
                <w:szCs w:val="16"/>
              </w:rPr>
              <w:t>obyvatele v letech 1995-199</w:t>
            </w:r>
            <w:r>
              <w:rPr>
                <w:color w:val="000000"/>
                <w:sz w:val="16"/>
                <w:szCs w:val="16"/>
              </w:rPr>
              <w:t>8 jako odraz vysoké inflace a</w:t>
            </w:r>
            <w:r w:rsidR="00590528">
              <w:rPr>
                <w:color w:val="000000"/>
                <w:sz w:val="16"/>
                <w:szCs w:val="16"/>
              </w:rPr>
              <w:t> </w:t>
            </w:r>
            <w:r>
              <w:rPr>
                <w:color w:val="000000"/>
                <w:sz w:val="16"/>
                <w:szCs w:val="16"/>
              </w:rPr>
              <w:t>na</w:t>
            </w:r>
            <w:r w:rsidR="00590528">
              <w:rPr>
                <w:color w:val="000000"/>
                <w:sz w:val="16"/>
                <w:szCs w:val="16"/>
              </w:rPr>
              <w:t> </w:t>
            </w:r>
            <w:r>
              <w:rPr>
                <w:color w:val="000000"/>
                <w:sz w:val="16"/>
                <w:szCs w:val="16"/>
              </w:rPr>
              <w:t>ní</w:t>
            </w:r>
            <w:r w:rsidR="00590528">
              <w:rPr>
                <w:color w:val="000000"/>
                <w:sz w:val="16"/>
                <w:szCs w:val="16"/>
              </w:rPr>
              <w:t> </w:t>
            </w:r>
            <w:r>
              <w:rPr>
                <w:color w:val="000000"/>
                <w:sz w:val="16"/>
                <w:szCs w:val="16"/>
              </w:rPr>
              <w:t>reagující růst mezd</w:t>
            </w:r>
          </w:p>
        </w:tc>
        <w:tc>
          <w:tcPr>
            <w:tcW w:w="143" w:type="pct"/>
          </w:tcPr>
          <w:p w:rsidR="005D5A35" w:rsidRDefault="005D5A35" w:rsidP="00FA57FD">
            <w:pPr>
              <w:pStyle w:val="Textpoznpodarou"/>
              <w:jc w:val="both"/>
            </w:pPr>
          </w:p>
        </w:tc>
        <w:tc>
          <w:tcPr>
            <w:tcW w:w="3787" w:type="pct"/>
            <w:gridSpan w:val="3"/>
          </w:tcPr>
          <w:p w:rsidR="005D5A35" w:rsidRPr="00FA57FD" w:rsidRDefault="005D5A35" w:rsidP="00FA57FD">
            <w:pPr>
              <w:pStyle w:val="Textpoznpodarou"/>
              <w:jc w:val="both"/>
              <w:rPr>
                <w:color w:val="000000"/>
                <w:spacing w:val="-2"/>
              </w:rPr>
            </w:pPr>
            <w:r>
              <w:rPr>
                <w:color w:val="000000"/>
                <w:spacing w:val="-2"/>
              </w:rPr>
              <w:t>Silný růst čistého disponibilního důchodu domácností v přepočtu na jednoho obyvatele patrný podle grafu 3 v letech 1995-1998 souvisel především s růstem nominálních mezd, který byl v této době značný, protože i inflace cen pro spotřebitele byla na české poměry relativně vysoká (průměrná míra inflace klesala z 20,8 % v roce 1993 jen pozvolna na 10,7 % v roce 1998, na což samozřejmě reagovala i</w:t>
            </w:r>
            <w:r w:rsidR="00C84605">
              <w:rPr>
                <w:color w:val="000000"/>
                <w:spacing w:val="-2"/>
              </w:rPr>
              <w:t> </w:t>
            </w:r>
            <w:r>
              <w:rPr>
                <w:color w:val="000000"/>
                <w:spacing w:val="-2"/>
              </w:rPr>
              <w:t xml:space="preserve">mzdová vyjednávání).  </w:t>
            </w:r>
            <w:r w:rsidRPr="00FA57FD">
              <w:rPr>
                <w:color w:val="000000"/>
                <w:spacing w:val="-2"/>
              </w:rPr>
              <w:t xml:space="preserve"> </w:t>
            </w:r>
          </w:p>
          <w:p w:rsidR="005D5A35" w:rsidRPr="00FA57FD" w:rsidRDefault="005D5A35" w:rsidP="00FA57FD">
            <w:pPr>
              <w:pStyle w:val="Textpoznpodarou"/>
              <w:jc w:val="both"/>
              <w:rPr>
                <w:color w:val="000000"/>
                <w:spacing w:val="-2"/>
              </w:rPr>
            </w:pPr>
            <w:r>
              <w:rPr>
                <w:color w:val="000000"/>
                <w:spacing w:val="-2"/>
              </w:rPr>
              <w:t xml:space="preserve"> </w:t>
            </w:r>
          </w:p>
        </w:tc>
      </w:tr>
      <w:tr w:rsidR="005D5A35" w:rsidRPr="00764561" w:rsidTr="00C84605">
        <w:tc>
          <w:tcPr>
            <w:tcW w:w="1070" w:type="pct"/>
            <w:gridSpan w:val="3"/>
          </w:tcPr>
          <w:p w:rsidR="005D5A35" w:rsidRPr="002A659A" w:rsidRDefault="005D5A35" w:rsidP="00BC5111">
            <w:pPr>
              <w:spacing w:line="240" w:lineRule="auto"/>
              <w:rPr>
                <w:sz w:val="16"/>
                <w:szCs w:val="16"/>
              </w:rPr>
            </w:pPr>
            <w:r w:rsidRPr="002A659A">
              <w:rPr>
                <w:sz w:val="16"/>
                <w:szCs w:val="16"/>
              </w:rPr>
              <w:t>Čistý disponibilní důchod domácností byl</w:t>
            </w:r>
            <w:r w:rsidR="002A659A" w:rsidRPr="002A659A">
              <w:rPr>
                <w:sz w:val="16"/>
                <w:szCs w:val="16"/>
              </w:rPr>
              <w:t xml:space="preserve"> v Praze</w:t>
            </w:r>
            <w:r w:rsidRPr="002A659A">
              <w:rPr>
                <w:sz w:val="16"/>
                <w:szCs w:val="16"/>
              </w:rPr>
              <w:t xml:space="preserve"> mezi lety 2003-2006 o více než 37 % vyšší než v ČR celkem… </w:t>
            </w:r>
          </w:p>
        </w:tc>
        <w:tc>
          <w:tcPr>
            <w:tcW w:w="143" w:type="pct"/>
          </w:tcPr>
          <w:p w:rsidR="005D5A35" w:rsidRPr="002A659A" w:rsidRDefault="005D5A35" w:rsidP="00BC5111">
            <w:pPr>
              <w:pStyle w:val="Textpoznpodarou"/>
              <w:jc w:val="both"/>
            </w:pPr>
          </w:p>
        </w:tc>
        <w:tc>
          <w:tcPr>
            <w:tcW w:w="3787" w:type="pct"/>
            <w:gridSpan w:val="3"/>
          </w:tcPr>
          <w:p w:rsidR="005D5A35" w:rsidRPr="002A659A" w:rsidRDefault="005D5A35" w:rsidP="004749D9">
            <w:pPr>
              <w:pStyle w:val="Textpoznpodarou"/>
              <w:jc w:val="both"/>
              <w:rPr>
                <w:spacing w:val="-2"/>
              </w:rPr>
            </w:pPr>
            <w:r w:rsidRPr="002A659A">
              <w:rPr>
                <w:spacing w:val="-2"/>
              </w:rPr>
              <w:t xml:space="preserve">Po roce 2001 začalo tempo růstu čistého disponibilního důchodu na obyvatele klesat nejen v ČR jako celku, </w:t>
            </w:r>
            <w:r w:rsidR="002A659A" w:rsidRPr="002A659A">
              <w:rPr>
                <w:spacing w:val="-2"/>
              </w:rPr>
              <w:t xml:space="preserve">ale </w:t>
            </w:r>
            <w:r w:rsidRPr="002A659A">
              <w:rPr>
                <w:spacing w:val="-2"/>
              </w:rPr>
              <w:t>i v hlavním městě Praze. Přesto však právě od</w:t>
            </w:r>
            <w:r w:rsidR="002A659A" w:rsidRPr="002A659A">
              <w:rPr>
                <w:spacing w:val="-2"/>
              </w:rPr>
              <w:t> </w:t>
            </w:r>
            <w:r w:rsidRPr="002A659A">
              <w:rPr>
                <w:spacing w:val="-2"/>
              </w:rPr>
              <w:t>roku 2002 začala v</w:t>
            </w:r>
            <w:r w:rsidR="00552887" w:rsidRPr="002A659A">
              <w:rPr>
                <w:spacing w:val="-2"/>
              </w:rPr>
              <w:t>ýznamně posilovat pozice Prahy,</w:t>
            </w:r>
            <w:r w:rsidRPr="002A659A">
              <w:rPr>
                <w:spacing w:val="-2"/>
              </w:rPr>
              <w:t xml:space="preserve"> pokud jde o čistý disponibilní důchod na obyvatele ve srovnání s jeho úrovní za ČR jako celek – v Praze začaly být tyto příjmy o více než třetinu vyšší. Největší převýšení bylo v roce 2003 a 2006, tj. +37,4 %, resp. +37,2 % - to představovalo nominálně 197 tis. ročních příjmů na obyvatele v Praze proti 143 tisícům za ČR jako celek v roce 2003, resp. 233 tis. oproti 170 tisícům v roce 2006. </w:t>
            </w:r>
          </w:p>
          <w:p w:rsidR="005D5A35" w:rsidRPr="002A659A" w:rsidRDefault="005D5A35" w:rsidP="004749D9">
            <w:pPr>
              <w:pStyle w:val="Textpoznpodarou"/>
              <w:jc w:val="both"/>
              <w:rPr>
                <w:i/>
                <w:spacing w:val="-2"/>
              </w:rPr>
            </w:pPr>
          </w:p>
        </w:tc>
      </w:tr>
      <w:tr w:rsidR="005D5A35" w:rsidRPr="00764561" w:rsidTr="00C84605">
        <w:tc>
          <w:tcPr>
            <w:tcW w:w="1070" w:type="pct"/>
            <w:gridSpan w:val="3"/>
          </w:tcPr>
          <w:p w:rsidR="005D5A35" w:rsidRPr="002A659A" w:rsidRDefault="005D5A35" w:rsidP="002A659A">
            <w:pPr>
              <w:spacing w:line="240" w:lineRule="auto"/>
              <w:rPr>
                <w:sz w:val="16"/>
                <w:szCs w:val="16"/>
              </w:rPr>
            </w:pPr>
            <w:r w:rsidRPr="002A659A">
              <w:rPr>
                <w:sz w:val="16"/>
                <w:szCs w:val="16"/>
              </w:rPr>
              <w:t>… přičemž v roce 1995 o</w:t>
            </w:r>
            <w:r w:rsidR="002A659A" w:rsidRPr="002A659A">
              <w:rPr>
                <w:sz w:val="16"/>
                <w:szCs w:val="16"/>
              </w:rPr>
              <w:t> </w:t>
            </w:r>
            <w:r w:rsidRPr="002A659A">
              <w:rPr>
                <w:sz w:val="16"/>
                <w:szCs w:val="16"/>
              </w:rPr>
              <w:t>22</w:t>
            </w:r>
            <w:r w:rsidR="002A659A" w:rsidRPr="002A659A">
              <w:rPr>
                <w:sz w:val="16"/>
                <w:szCs w:val="16"/>
              </w:rPr>
              <w:t> </w:t>
            </w:r>
            <w:r w:rsidRPr="002A659A">
              <w:rPr>
                <w:sz w:val="16"/>
                <w:szCs w:val="16"/>
              </w:rPr>
              <w:t>% a</w:t>
            </w:r>
            <w:r w:rsidR="002A659A" w:rsidRPr="002A659A">
              <w:rPr>
                <w:sz w:val="16"/>
                <w:szCs w:val="16"/>
              </w:rPr>
              <w:t xml:space="preserve"> podle</w:t>
            </w:r>
            <w:r w:rsidRPr="002A659A">
              <w:rPr>
                <w:sz w:val="16"/>
                <w:szCs w:val="16"/>
              </w:rPr>
              <w:t xml:space="preserve"> posledních dat za rok 2013 byl čistý disponibilní důchod na obyvatele hlavního města Prahy o 31,6 % vyšší než</w:t>
            </w:r>
            <w:r w:rsidR="002A659A" w:rsidRPr="002A659A">
              <w:rPr>
                <w:sz w:val="16"/>
                <w:szCs w:val="16"/>
              </w:rPr>
              <w:t> </w:t>
            </w:r>
            <w:r w:rsidRPr="002A659A">
              <w:rPr>
                <w:sz w:val="16"/>
                <w:szCs w:val="16"/>
              </w:rPr>
              <w:t>za</w:t>
            </w:r>
            <w:r w:rsidR="002A659A" w:rsidRPr="002A659A">
              <w:rPr>
                <w:sz w:val="16"/>
                <w:szCs w:val="16"/>
              </w:rPr>
              <w:t> </w:t>
            </w:r>
            <w:r w:rsidRPr="002A659A">
              <w:rPr>
                <w:sz w:val="16"/>
                <w:szCs w:val="16"/>
              </w:rPr>
              <w:t>celou ČR;</w:t>
            </w:r>
            <w:r w:rsidR="002A659A" w:rsidRPr="002A659A">
              <w:rPr>
                <w:sz w:val="16"/>
                <w:szCs w:val="16"/>
              </w:rPr>
              <w:t xml:space="preserve"> </w:t>
            </w:r>
            <w:r w:rsidRPr="002A659A">
              <w:rPr>
                <w:sz w:val="16"/>
                <w:szCs w:val="16"/>
              </w:rPr>
              <w:t>za roky 1995-2013 se disparita mezi Prahou a „zbytkem“ ČR dále zvětšila</w:t>
            </w:r>
          </w:p>
        </w:tc>
        <w:tc>
          <w:tcPr>
            <w:tcW w:w="143" w:type="pct"/>
          </w:tcPr>
          <w:p w:rsidR="005D5A35" w:rsidRPr="002A659A" w:rsidRDefault="005D5A35" w:rsidP="00BC5111">
            <w:pPr>
              <w:pStyle w:val="Textpoznpodarou"/>
              <w:jc w:val="both"/>
            </w:pPr>
          </w:p>
        </w:tc>
        <w:tc>
          <w:tcPr>
            <w:tcW w:w="3787" w:type="pct"/>
            <w:gridSpan w:val="3"/>
          </w:tcPr>
          <w:p w:rsidR="005D5A35" w:rsidRPr="002A659A" w:rsidRDefault="005D5A35" w:rsidP="004749D9">
            <w:pPr>
              <w:pStyle w:val="Textpoznpodarou"/>
              <w:jc w:val="both"/>
            </w:pPr>
            <w:r w:rsidRPr="002A659A">
              <w:t>Přitom ještě v roce 1995 činil čistý disponibilní důchod na obyvatele v ČR 79 tis. korun ročně, přičemž v Praze byl o 22 % vyšší, tj. 97 tis. korun. V roce 2013 byly obdobné proporce 196 tis. za ČR celkem proti 257 tis. korun příjmů na obyvatele Prahy, což bylo o 31,6 % více</w:t>
            </w:r>
            <w:r w:rsidR="002A659A" w:rsidRPr="002A659A">
              <w:t>,</w:t>
            </w:r>
            <w:r w:rsidRPr="002A659A">
              <w:t xml:space="preserve"> než kolik činil čistý disponibilní důchod na</w:t>
            </w:r>
            <w:r w:rsidR="002A659A">
              <w:t> </w:t>
            </w:r>
            <w:r w:rsidRPr="002A659A">
              <w:t xml:space="preserve">obyvatele za celou Českou republiku. </w:t>
            </w:r>
          </w:p>
          <w:p w:rsidR="005D5A35" w:rsidRPr="002A659A" w:rsidRDefault="005D5A35" w:rsidP="004749D9">
            <w:pPr>
              <w:pStyle w:val="Textpoznpodarou"/>
              <w:jc w:val="both"/>
              <w:rPr>
                <w:spacing w:val="-2"/>
              </w:rPr>
            </w:pPr>
          </w:p>
          <w:p w:rsidR="005D5A35" w:rsidRPr="002A659A" w:rsidRDefault="005D5A35" w:rsidP="004749D9">
            <w:pPr>
              <w:pStyle w:val="Textpoznpodarou"/>
              <w:jc w:val="both"/>
              <w:rPr>
                <w:spacing w:val="-2"/>
              </w:rPr>
            </w:pPr>
            <w:r w:rsidRPr="002A659A">
              <w:rPr>
                <w:spacing w:val="-2"/>
              </w:rPr>
              <w:t xml:space="preserve">Zatímco v úhrnu v ČR stouply tyto příjmy za období 1995-2013 2,47krát, v hlavním městě Praze </w:t>
            </w:r>
            <w:r w:rsidR="00640C2B">
              <w:rPr>
                <w:spacing w:val="-2"/>
              </w:rPr>
              <w:t xml:space="preserve">rostly </w:t>
            </w:r>
            <w:r w:rsidRPr="002A659A">
              <w:rPr>
                <w:spacing w:val="-2"/>
              </w:rPr>
              <w:t xml:space="preserve">rychleji, a to 2,67 krát. Znamená to, že disparita mezi vývojem v hlavním městě a „zbytkem“ České republiky se dále v letech 1995-2013 zvětšila.   </w:t>
            </w:r>
          </w:p>
          <w:p w:rsidR="00F40185" w:rsidRPr="002A659A" w:rsidRDefault="00F40185" w:rsidP="004749D9">
            <w:pPr>
              <w:pStyle w:val="Textpoznpodarou"/>
              <w:jc w:val="both"/>
              <w:rPr>
                <w:spacing w:val="-2"/>
              </w:rPr>
            </w:pPr>
          </w:p>
        </w:tc>
      </w:tr>
      <w:tr w:rsidR="005D5A35" w:rsidRPr="00817C98" w:rsidTr="00C84605">
        <w:trPr>
          <w:gridBefore w:val="1"/>
          <w:wBefore w:w="6" w:type="pct"/>
        </w:trPr>
        <w:tc>
          <w:tcPr>
            <w:tcW w:w="387" w:type="pct"/>
          </w:tcPr>
          <w:p w:rsidR="005D5A35" w:rsidRDefault="005D5A35" w:rsidP="00F40185">
            <w:pPr>
              <w:spacing w:line="240" w:lineRule="auto"/>
            </w:pPr>
            <w:r>
              <w:lastRenderedPageBreak/>
              <w:t>Graf č.</w:t>
            </w:r>
            <w:r w:rsidR="00F40185">
              <w:t> </w:t>
            </w:r>
            <w:r w:rsidR="00F55CC2">
              <w:t>3</w:t>
            </w:r>
          </w:p>
        </w:tc>
        <w:tc>
          <w:tcPr>
            <w:tcW w:w="2187" w:type="pct"/>
            <w:gridSpan w:val="3"/>
          </w:tcPr>
          <w:p w:rsidR="005D5A35" w:rsidRDefault="005D5A35" w:rsidP="00351A67">
            <w:pPr>
              <w:pStyle w:val="Textpoznpodarou"/>
              <w:rPr>
                <w:rFonts w:cs="Arial"/>
                <w:szCs w:val="24"/>
              </w:rPr>
            </w:pPr>
            <w:r>
              <w:rPr>
                <w:rFonts w:cs="Arial"/>
                <w:b/>
                <w:bCs/>
              </w:rPr>
              <w:t xml:space="preserve">Čistý disponibilní důchod domácností v přepočtu na obyvatele </w:t>
            </w:r>
            <w:r w:rsidRPr="00DB06E9">
              <w:rPr>
                <w:rFonts w:cs="Arial"/>
                <w:bCs/>
              </w:rPr>
              <w:t>(</w:t>
            </w:r>
            <w:r>
              <w:rPr>
                <w:rFonts w:cs="Arial"/>
                <w:bCs/>
              </w:rPr>
              <w:t>y/y v %</w:t>
            </w:r>
            <w:r w:rsidRPr="00DB06E9">
              <w:rPr>
                <w:rFonts w:cs="Arial"/>
                <w:bCs/>
              </w:rPr>
              <w:t>)</w:t>
            </w:r>
          </w:p>
        </w:tc>
        <w:tc>
          <w:tcPr>
            <w:tcW w:w="381" w:type="pct"/>
          </w:tcPr>
          <w:p w:rsidR="005D5A35" w:rsidRDefault="005D5A35" w:rsidP="00F40185">
            <w:pPr>
              <w:spacing w:line="240" w:lineRule="auto"/>
            </w:pPr>
            <w:r>
              <w:t>Graf č.</w:t>
            </w:r>
            <w:r w:rsidR="00F40185">
              <w:t> </w:t>
            </w:r>
            <w:r w:rsidR="00F55CC2">
              <w:t>4</w:t>
            </w:r>
          </w:p>
        </w:tc>
        <w:tc>
          <w:tcPr>
            <w:tcW w:w="2040" w:type="pct"/>
          </w:tcPr>
          <w:p w:rsidR="005D5A35" w:rsidRPr="00817C98" w:rsidRDefault="005D5A35" w:rsidP="00FB6D5D">
            <w:pPr>
              <w:spacing w:line="240" w:lineRule="auto"/>
              <w:rPr>
                <w:rFonts w:cs="Arial"/>
                <w:b/>
                <w:bCs/>
              </w:rPr>
            </w:pPr>
            <w:r>
              <w:rPr>
                <w:rFonts w:cs="Arial"/>
                <w:b/>
                <w:bCs/>
              </w:rPr>
              <w:t>Změny čistého disponibilního důchodu domácností/</w:t>
            </w:r>
            <w:proofErr w:type="spellStart"/>
            <w:r>
              <w:rPr>
                <w:rFonts w:cs="Arial"/>
                <w:b/>
                <w:bCs/>
              </w:rPr>
              <w:t>obyv</w:t>
            </w:r>
            <w:proofErr w:type="spellEnd"/>
            <w:r>
              <w:rPr>
                <w:rFonts w:cs="Arial"/>
                <w:b/>
                <w:bCs/>
              </w:rPr>
              <w:t>. a HDP/</w:t>
            </w:r>
            <w:proofErr w:type="spellStart"/>
            <w:r>
              <w:rPr>
                <w:rFonts w:cs="Arial"/>
                <w:b/>
                <w:bCs/>
              </w:rPr>
              <w:t>obyv</w:t>
            </w:r>
            <w:proofErr w:type="spellEnd"/>
            <w:r>
              <w:rPr>
                <w:rFonts w:cs="Arial"/>
                <w:b/>
                <w:bCs/>
              </w:rPr>
              <w:t xml:space="preserve">. v PPS v krajích ČR – změna 2013-2004 </w:t>
            </w:r>
            <w:r w:rsidRPr="00FB6D5D">
              <w:rPr>
                <w:rFonts w:cs="Arial"/>
                <w:bCs/>
              </w:rPr>
              <w:t>(v %)</w:t>
            </w:r>
          </w:p>
        </w:tc>
      </w:tr>
      <w:tr w:rsidR="005D5A35" w:rsidTr="00C84605">
        <w:trPr>
          <w:gridBefore w:val="1"/>
          <w:wBefore w:w="6" w:type="pct"/>
        </w:trPr>
        <w:tc>
          <w:tcPr>
            <w:tcW w:w="2574" w:type="pct"/>
            <w:gridSpan w:val="4"/>
          </w:tcPr>
          <w:p w:rsidR="005D5A35" w:rsidRDefault="00513C6F" w:rsidP="002555ED">
            <w:pPr>
              <w:pStyle w:val="Textpoznpodarou"/>
              <w:jc w:val="both"/>
            </w:pPr>
            <w:r w:rsidRPr="00513C6F">
              <w:rPr>
                <w:b/>
                <w:sz w:val="12"/>
                <w:szCs w:val="12"/>
              </w:rPr>
              <w:pict>
                <v:shape id="_x0000_i1120" type="#_x0000_t75" style="width:236.25pt;height:198.75pt">
                  <v:imagedata r:id="rId112" o:title=""/>
                </v:shape>
              </w:pict>
            </w:r>
          </w:p>
        </w:tc>
        <w:tc>
          <w:tcPr>
            <w:tcW w:w="2420" w:type="pct"/>
            <w:gridSpan w:val="2"/>
          </w:tcPr>
          <w:p w:rsidR="005D5A35" w:rsidRDefault="00513C6F" w:rsidP="00C84605">
            <w:pPr>
              <w:pStyle w:val="Textpoznpodarou"/>
            </w:pPr>
            <w:r w:rsidRPr="00513C6F">
              <w:rPr>
                <w:b/>
                <w:sz w:val="12"/>
                <w:szCs w:val="12"/>
              </w:rPr>
              <w:pict>
                <v:shape id="_x0000_i1121" type="#_x0000_t75" style="width:230.25pt;height:198.75pt">
                  <v:imagedata r:id="rId113" o:title=""/>
                </v:shape>
              </w:pict>
            </w:r>
          </w:p>
        </w:tc>
      </w:tr>
    </w:tbl>
    <w:p w:rsidR="005D5A35" w:rsidRPr="003B50F0" w:rsidRDefault="00680292" w:rsidP="003B50F0">
      <w:pPr>
        <w:jc w:val="right"/>
        <w:rPr>
          <w:sz w:val="18"/>
          <w:szCs w:val="18"/>
        </w:rPr>
      </w:pPr>
      <w:r>
        <w:rPr>
          <w:sz w:val="18"/>
          <w:szCs w:val="18"/>
        </w:rPr>
        <w:t>Zdroj</w:t>
      </w:r>
      <w:r w:rsidR="005D5A35" w:rsidRPr="003B50F0">
        <w:rPr>
          <w:sz w:val="18"/>
          <w:szCs w:val="18"/>
        </w:rPr>
        <w:t>: ČŠÚ</w:t>
      </w:r>
    </w:p>
    <w:p w:rsidR="00C84605" w:rsidRPr="003B50F0" w:rsidRDefault="00C84605" w:rsidP="003B50F0">
      <w:pPr>
        <w:jc w:val="both"/>
        <w:rPr>
          <w:b/>
          <w:sz w:val="12"/>
          <w:szCs w:val="12"/>
        </w:rPr>
      </w:pPr>
    </w:p>
    <w:tbl>
      <w:tblPr>
        <w:tblW w:w="5043" w:type="pct"/>
        <w:tblInd w:w="-42" w:type="dxa"/>
        <w:tblCellMar>
          <w:left w:w="28" w:type="dxa"/>
          <w:right w:w="28" w:type="dxa"/>
        </w:tblCellMar>
        <w:tblLook w:val="00A0"/>
      </w:tblPr>
      <w:tblGrid>
        <w:gridCol w:w="2037"/>
        <w:gridCol w:w="272"/>
        <w:gridCol w:w="7468"/>
      </w:tblGrid>
      <w:tr w:rsidR="005D5A35" w:rsidRPr="00FA57FD" w:rsidTr="00C84605">
        <w:tc>
          <w:tcPr>
            <w:tcW w:w="1042" w:type="pct"/>
          </w:tcPr>
          <w:p w:rsidR="005D5A35" w:rsidRDefault="005D5A35" w:rsidP="002A659A">
            <w:pPr>
              <w:spacing w:line="240" w:lineRule="auto"/>
              <w:rPr>
                <w:color w:val="000000"/>
                <w:sz w:val="16"/>
                <w:szCs w:val="16"/>
              </w:rPr>
            </w:pPr>
            <w:r>
              <w:rPr>
                <w:color w:val="000000"/>
                <w:sz w:val="16"/>
                <w:szCs w:val="16"/>
              </w:rPr>
              <w:t>Od roku 1995 do roku 2013 rostly v sedmi krajích příjmy lidí rychleji než</w:t>
            </w:r>
            <w:r w:rsidR="002A659A">
              <w:rPr>
                <w:color w:val="000000"/>
                <w:sz w:val="16"/>
                <w:szCs w:val="16"/>
              </w:rPr>
              <w:t> </w:t>
            </w:r>
            <w:r>
              <w:rPr>
                <w:color w:val="000000"/>
                <w:sz w:val="16"/>
                <w:szCs w:val="16"/>
              </w:rPr>
              <w:t>cel</w:t>
            </w:r>
            <w:r w:rsidR="006A0436">
              <w:rPr>
                <w:color w:val="000000"/>
                <w:sz w:val="16"/>
                <w:szCs w:val="16"/>
              </w:rPr>
              <w:t>orepublikový průměr, nejvíce v K</w:t>
            </w:r>
            <w:r>
              <w:rPr>
                <w:color w:val="000000"/>
                <w:sz w:val="16"/>
                <w:szCs w:val="16"/>
              </w:rPr>
              <w:t>raji Vysočina</w:t>
            </w:r>
          </w:p>
        </w:tc>
        <w:tc>
          <w:tcPr>
            <w:tcW w:w="139" w:type="pct"/>
          </w:tcPr>
          <w:p w:rsidR="005D5A35" w:rsidRDefault="005D5A35" w:rsidP="00BC5111">
            <w:pPr>
              <w:pStyle w:val="Textpoznpodarou"/>
              <w:jc w:val="both"/>
            </w:pPr>
          </w:p>
        </w:tc>
        <w:tc>
          <w:tcPr>
            <w:tcW w:w="3819" w:type="pct"/>
          </w:tcPr>
          <w:p w:rsidR="005D5A35" w:rsidRPr="00FA57FD" w:rsidRDefault="005D5A35" w:rsidP="00BC5111">
            <w:pPr>
              <w:pStyle w:val="Textpoznpodarou"/>
              <w:jc w:val="both"/>
              <w:rPr>
                <w:color w:val="000000"/>
                <w:spacing w:val="-2"/>
              </w:rPr>
            </w:pPr>
            <w:r>
              <w:rPr>
                <w:color w:val="000000"/>
                <w:spacing w:val="-2"/>
              </w:rPr>
              <w:t xml:space="preserve">Za období 1995-2013 stouply příjmy lidí v podobě čistého disponibilního důchodu domácností v přepočtu na obyvatele v celkem sedmi krajích ze čtrnácti. Největší zlepšení své pozice měřeno tempem přírůstku příjmů zaznamenal kraj Vysočina, kde od poloviny 90. let do roku 2013 vzrostl čistý disponibilní důchod na obyvatele 2,73krát, tedy více než v hlavním městě Praze (2,67krát, jak již bylo zmíněno). Nadprůměrný růst zaznamenaly ještě kraje Středočeský, Jihomoravský, Pardubický, Plzeňský a Zlínský.  </w:t>
            </w:r>
          </w:p>
          <w:p w:rsidR="005D5A35" w:rsidRPr="00FA57FD" w:rsidRDefault="005D5A35" w:rsidP="00BC5111">
            <w:pPr>
              <w:pStyle w:val="Textpoznpodarou"/>
              <w:jc w:val="both"/>
              <w:rPr>
                <w:color w:val="000000"/>
                <w:spacing w:val="-2"/>
              </w:rPr>
            </w:pPr>
            <w:r>
              <w:rPr>
                <w:color w:val="000000"/>
                <w:spacing w:val="-2"/>
              </w:rPr>
              <w:t xml:space="preserve"> </w:t>
            </w:r>
          </w:p>
        </w:tc>
      </w:tr>
      <w:tr w:rsidR="005D5A35" w:rsidRPr="00FA57FD" w:rsidTr="00C84605">
        <w:tc>
          <w:tcPr>
            <w:tcW w:w="1042" w:type="pct"/>
          </w:tcPr>
          <w:p w:rsidR="005D5A35" w:rsidRDefault="005D5A35" w:rsidP="002A659A">
            <w:pPr>
              <w:spacing w:line="240" w:lineRule="auto"/>
              <w:rPr>
                <w:color w:val="000000"/>
                <w:sz w:val="16"/>
                <w:szCs w:val="16"/>
              </w:rPr>
            </w:pPr>
            <w:r>
              <w:rPr>
                <w:color w:val="000000"/>
                <w:sz w:val="16"/>
                <w:szCs w:val="16"/>
              </w:rPr>
              <w:t>Z krajů s růstem příjmů nižším než celorepublikový průměr byly naneštěstí i tři, které patřily v polovině 90.</w:t>
            </w:r>
            <w:r w:rsidR="002A659A">
              <w:rPr>
                <w:color w:val="000000"/>
                <w:sz w:val="16"/>
                <w:szCs w:val="16"/>
              </w:rPr>
              <w:t> </w:t>
            </w:r>
            <w:r>
              <w:rPr>
                <w:color w:val="000000"/>
                <w:sz w:val="16"/>
                <w:szCs w:val="16"/>
              </w:rPr>
              <w:t xml:space="preserve">let mezi nejchudší (Karlovarský, Olomoucký, Liberecký) </w:t>
            </w:r>
          </w:p>
        </w:tc>
        <w:tc>
          <w:tcPr>
            <w:tcW w:w="139" w:type="pct"/>
          </w:tcPr>
          <w:p w:rsidR="005D5A35" w:rsidRDefault="005D5A35" w:rsidP="00BC5111">
            <w:pPr>
              <w:pStyle w:val="Textpoznpodarou"/>
              <w:jc w:val="both"/>
            </w:pPr>
          </w:p>
        </w:tc>
        <w:tc>
          <w:tcPr>
            <w:tcW w:w="3819" w:type="pct"/>
          </w:tcPr>
          <w:p w:rsidR="005D5A35" w:rsidRDefault="005D5A35" w:rsidP="009E16D0">
            <w:pPr>
              <w:pStyle w:val="Textpoznpodarou"/>
              <w:jc w:val="both"/>
              <w:rPr>
                <w:color w:val="000000"/>
                <w:spacing w:val="-2"/>
              </w:rPr>
            </w:pPr>
            <w:r>
              <w:rPr>
                <w:color w:val="000000"/>
                <w:spacing w:val="-2"/>
              </w:rPr>
              <w:t xml:space="preserve">Oproti zmíněným krajům, které „bohatly“ oproti průměru za Českou republiku, </w:t>
            </w:r>
            <w:r w:rsidR="00640C2B">
              <w:rPr>
                <w:color w:val="000000"/>
                <w:spacing w:val="-2"/>
              </w:rPr>
              <w:t xml:space="preserve">zaznamenalo stejný </w:t>
            </w:r>
            <w:r>
              <w:rPr>
                <w:color w:val="000000"/>
                <w:spacing w:val="-2"/>
              </w:rPr>
              <w:t>počet krajů, tj. sedm, v letech 1995-2013 přírůstek čistého disponibilního důchodu na obyvatele nižší než celorepublikový průměr. Naneštěstí šlo o kraje, které byly už na počátku sledovaného období, tedy v polovině 90. let, kraji s</w:t>
            </w:r>
            <w:r w:rsidR="00640C2B">
              <w:rPr>
                <w:color w:val="000000"/>
                <w:spacing w:val="-2"/>
              </w:rPr>
              <w:t>píše „chudými“. Platí to o krajích</w:t>
            </w:r>
            <w:r>
              <w:rPr>
                <w:color w:val="000000"/>
                <w:spacing w:val="-2"/>
              </w:rPr>
              <w:t xml:space="preserve"> Karlovarském, Olomouckém a</w:t>
            </w:r>
            <w:r w:rsidRPr="00FA57FD">
              <w:rPr>
                <w:color w:val="000000"/>
                <w:spacing w:val="-2"/>
              </w:rPr>
              <w:t xml:space="preserve"> </w:t>
            </w:r>
            <w:r>
              <w:rPr>
                <w:color w:val="000000"/>
                <w:spacing w:val="-2"/>
              </w:rPr>
              <w:t>Libereckém. Naopak u</w:t>
            </w:r>
            <w:r w:rsidR="002A659A">
              <w:rPr>
                <w:color w:val="000000"/>
                <w:spacing w:val="-2"/>
              </w:rPr>
              <w:t> </w:t>
            </w:r>
            <w:r>
              <w:rPr>
                <w:color w:val="000000"/>
                <w:spacing w:val="-2"/>
              </w:rPr>
              <w:t>ještě chudších krajů, jako byly v té d</w:t>
            </w:r>
            <w:r w:rsidR="00D24DA0">
              <w:rPr>
                <w:color w:val="000000"/>
                <w:spacing w:val="-2"/>
              </w:rPr>
              <w:t>obě kraj Pardubický, Zlínský a K</w:t>
            </w:r>
            <w:r>
              <w:rPr>
                <w:color w:val="000000"/>
                <w:spacing w:val="-2"/>
              </w:rPr>
              <w:t xml:space="preserve">raj Vysočina, došlo k růstu čistého disponibilního důchodu na obyvatele v tempu nadprůměrném, jak je výše zmíněno. </w:t>
            </w:r>
          </w:p>
          <w:p w:rsidR="005D5A35" w:rsidRPr="00FA57FD" w:rsidRDefault="005D5A35" w:rsidP="00063BCF">
            <w:pPr>
              <w:pStyle w:val="Textpoznpodarou"/>
              <w:jc w:val="both"/>
              <w:rPr>
                <w:color w:val="000000"/>
                <w:spacing w:val="-2"/>
              </w:rPr>
            </w:pPr>
          </w:p>
        </w:tc>
      </w:tr>
      <w:tr w:rsidR="005D5A35" w:rsidRPr="00FA57FD" w:rsidTr="005C2412">
        <w:tc>
          <w:tcPr>
            <w:tcW w:w="1042" w:type="pct"/>
          </w:tcPr>
          <w:p w:rsidR="005D5A35" w:rsidRDefault="006A0436" w:rsidP="00BC5111">
            <w:pPr>
              <w:spacing w:line="240" w:lineRule="auto"/>
              <w:rPr>
                <w:color w:val="000000"/>
                <w:sz w:val="16"/>
                <w:szCs w:val="16"/>
              </w:rPr>
            </w:pPr>
            <w:r>
              <w:rPr>
                <w:color w:val="000000"/>
                <w:sz w:val="16"/>
                <w:szCs w:val="16"/>
              </w:rPr>
              <w:t>Ústecký kraj</w:t>
            </w:r>
            <w:r w:rsidR="005D5A35">
              <w:rPr>
                <w:color w:val="000000"/>
                <w:sz w:val="16"/>
                <w:szCs w:val="16"/>
              </w:rPr>
              <w:t xml:space="preserve"> byl v roce 1995 pátým nejbohatším krajem podle čistého disponibilního důchodu na obyvatele, přírůstek za roky 1995-2013 však byl nejnižší ze všech krajů ČR</w:t>
            </w:r>
          </w:p>
        </w:tc>
        <w:tc>
          <w:tcPr>
            <w:tcW w:w="139" w:type="pct"/>
          </w:tcPr>
          <w:p w:rsidR="005D5A35" w:rsidRDefault="005D5A35" w:rsidP="00BC5111">
            <w:pPr>
              <w:pStyle w:val="Textpoznpodarou"/>
              <w:jc w:val="both"/>
            </w:pPr>
          </w:p>
        </w:tc>
        <w:tc>
          <w:tcPr>
            <w:tcW w:w="3819" w:type="pct"/>
          </w:tcPr>
          <w:p w:rsidR="005D5A35" w:rsidRDefault="005D5A35" w:rsidP="00063BCF">
            <w:pPr>
              <w:pStyle w:val="Textpoznpodarou"/>
              <w:jc w:val="both"/>
              <w:rPr>
                <w:color w:val="000000"/>
                <w:spacing w:val="-2"/>
              </w:rPr>
            </w:pPr>
            <w:r>
              <w:rPr>
                <w:color w:val="000000"/>
                <w:spacing w:val="-2"/>
              </w:rPr>
              <w:t xml:space="preserve">Ústecký kraj v roce 1995 </w:t>
            </w:r>
            <w:r w:rsidR="00C21937">
              <w:rPr>
                <w:color w:val="000000"/>
                <w:spacing w:val="-2"/>
              </w:rPr>
              <w:t xml:space="preserve"> - s příjmy na obyvatele ve výši</w:t>
            </w:r>
            <w:r>
              <w:rPr>
                <w:color w:val="000000"/>
                <w:spacing w:val="-2"/>
              </w:rPr>
              <w:t xml:space="preserve"> 79 tis. ročně - </w:t>
            </w:r>
            <w:r w:rsidRPr="00FA57FD">
              <w:rPr>
                <w:color w:val="000000"/>
                <w:spacing w:val="-2"/>
              </w:rPr>
              <w:t xml:space="preserve"> </w:t>
            </w:r>
            <w:r>
              <w:rPr>
                <w:color w:val="000000"/>
                <w:spacing w:val="-2"/>
              </w:rPr>
              <w:t>mezi chudé kraje nepatřil. Byl dokonce pátým nejbohatším po Praze, Středočeském, Jihočeském a Plzeňském kraji (nižší příjmy měli v té době obyvatelé devíti krajů České republiky</w:t>
            </w:r>
            <w:r w:rsidR="00B106D8">
              <w:rPr>
                <w:color w:val="000000"/>
                <w:spacing w:val="-2"/>
              </w:rPr>
              <w:t>)</w:t>
            </w:r>
            <w:r>
              <w:rPr>
                <w:color w:val="000000"/>
                <w:spacing w:val="-2"/>
              </w:rPr>
              <w:t xml:space="preserve">. Ovšem následný vývoj vedl k postupné </w:t>
            </w:r>
            <w:r w:rsidR="00B106D8">
              <w:rPr>
                <w:color w:val="000000"/>
                <w:spacing w:val="-2"/>
              </w:rPr>
              <w:t>ztrátě této pozice a za roky 199</w:t>
            </w:r>
            <w:r>
              <w:rPr>
                <w:color w:val="000000"/>
                <w:spacing w:val="-2"/>
              </w:rPr>
              <w:t>5-2013 byl přírůstek čistého disponibilního důchodu na obyvatele v Ústeckém kraji ze všech krajů ČR nejnižší (2,17krát).</w:t>
            </w:r>
          </w:p>
          <w:p w:rsidR="005D5A35" w:rsidRDefault="005D5A35" w:rsidP="00063BCF">
            <w:pPr>
              <w:pStyle w:val="Textpoznpodarou"/>
              <w:jc w:val="both"/>
              <w:rPr>
                <w:color w:val="000000"/>
                <w:spacing w:val="-2"/>
              </w:rPr>
            </w:pPr>
          </w:p>
        </w:tc>
      </w:tr>
      <w:tr w:rsidR="005D5A35" w:rsidRPr="00FA57FD" w:rsidTr="005C2412">
        <w:tc>
          <w:tcPr>
            <w:tcW w:w="1042" w:type="pct"/>
          </w:tcPr>
          <w:p w:rsidR="005D5A35" w:rsidRDefault="005D5A35" w:rsidP="00C45C2B">
            <w:pPr>
              <w:spacing w:line="240" w:lineRule="auto"/>
              <w:rPr>
                <w:color w:val="000000"/>
                <w:sz w:val="16"/>
                <w:szCs w:val="16"/>
              </w:rPr>
            </w:pPr>
          </w:p>
        </w:tc>
        <w:tc>
          <w:tcPr>
            <w:tcW w:w="139" w:type="pct"/>
          </w:tcPr>
          <w:p w:rsidR="005D5A35" w:rsidRDefault="005D5A35" w:rsidP="00C45C2B">
            <w:pPr>
              <w:pStyle w:val="Textpoznpodarou"/>
              <w:jc w:val="both"/>
            </w:pPr>
          </w:p>
        </w:tc>
        <w:tc>
          <w:tcPr>
            <w:tcW w:w="3819" w:type="pct"/>
          </w:tcPr>
          <w:p w:rsidR="005D5A35" w:rsidRDefault="005D5A35" w:rsidP="00C45C2B">
            <w:pPr>
              <w:pStyle w:val="Textpoznpodarou"/>
              <w:jc w:val="both"/>
              <w:rPr>
                <w:color w:val="000000"/>
                <w:spacing w:val="-2"/>
              </w:rPr>
            </w:pPr>
            <w:r>
              <w:rPr>
                <w:color w:val="000000"/>
                <w:spacing w:val="-2"/>
              </w:rPr>
              <w:t>Ke krajům, které za roky 1995-2013 spíše „chudly“, tj. lidem rostly příjmy v podobě čistého disponibilního důchodu pomaleji než v průměru za ČR, patřily kromě zmíněného Ústeckého kraje s nejnižším přírůstkem příjmů ještě – řazeno podle nejmenšího nárůstu</w:t>
            </w:r>
            <w:r w:rsidR="00B24707">
              <w:rPr>
                <w:color w:val="000000"/>
                <w:spacing w:val="-2"/>
              </w:rPr>
              <w:t xml:space="preserve"> příjmů za roky 1995-2013–</w:t>
            </w:r>
            <w:r>
              <w:rPr>
                <w:color w:val="000000"/>
                <w:spacing w:val="-2"/>
              </w:rPr>
              <w:t xml:space="preserve"> kraj Karlovarský, Jihočeský, Moravskoslezský, Liberecký, Olomoucký a Královéhradecký.</w:t>
            </w:r>
          </w:p>
          <w:p w:rsidR="005D5A35" w:rsidRDefault="005D5A35" w:rsidP="0017789F">
            <w:pPr>
              <w:pStyle w:val="Textpoznpodarou"/>
              <w:jc w:val="both"/>
              <w:rPr>
                <w:color w:val="000000"/>
                <w:spacing w:val="-2"/>
              </w:rPr>
            </w:pPr>
          </w:p>
        </w:tc>
      </w:tr>
      <w:tr w:rsidR="005D5A35" w:rsidRPr="00FA57FD" w:rsidTr="005C2412">
        <w:tc>
          <w:tcPr>
            <w:tcW w:w="1042" w:type="pct"/>
          </w:tcPr>
          <w:p w:rsidR="005D5A35" w:rsidRDefault="005D5A35" w:rsidP="002A659A">
            <w:pPr>
              <w:spacing w:line="240" w:lineRule="auto"/>
              <w:rPr>
                <w:color w:val="000000"/>
                <w:sz w:val="16"/>
                <w:szCs w:val="16"/>
              </w:rPr>
            </w:pPr>
            <w:r>
              <w:rPr>
                <w:color w:val="000000"/>
                <w:sz w:val="16"/>
                <w:szCs w:val="16"/>
              </w:rPr>
              <w:t>Podobně jako v Ústeckém kraji byl nepříz</w:t>
            </w:r>
            <w:r w:rsidR="002A659A">
              <w:rPr>
                <w:color w:val="000000"/>
                <w:sz w:val="16"/>
                <w:szCs w:val="16"/>
              </w:rPr>
              <w:t>nivý</w:t>
            </w:r>
            <w:r>
              <w:rPr>
                <w:color w:val="000000"/>
                <w:sz w:val="16"/>
                <w:szCs w:val="16"/>
              </w:rPr>
              <w:t xml:space="preserve"> vývoj i</w:t>
            </w:r>
            <w:r w:rsidR="002A659A">
              <w:rPr>
                <w:color w:val="000000"/>
                <w:sz w:val="16"/>
                <w:szCs w:val="16"/>
              </w:rPr>
              <w:t> </w:t>
            </w:r>
            <w:r>
              <w:rPr>
                <w:color w:val="000000"/>
                <w:sz w:val="16"/>
                <w:szCs w:val="16"/>
              </w:rPr>
              <w:t>v Jihočeském kraji, který byl v roce 1995 třetím nebohatším krajem podle příjmů na hlavu – zhoršení bylo markantní zejména po</w:t>
            </w:r>
            <w:r w:rsidR="002A659A">
              <w:rPr>
                <w:color w:val="000000"/>
                <w:sz w:val="16"/>
                <w:szCs w:val="16"/>
              </w:rPr>
              <w:t> </w:t>
            </w:r>
            <w:r>
              <w:rPr>
                <w:color w:val="000000"/>
                <w:sz w:val="16"/>
                <w:szCs w:val="16"/>
              </w:rPr>
              <w:t>roce 2004</w:t>
            </w:r>
          </w:p>
        </w:tc>
        <w:tc>
          <w:tcPr>
            <w:tcW w:w="139" w:type="pct"/>
          </w:tcPr>
          <w:p w:rsidR="005D5A35" w:rsidRDefault="005D5A35" w:rsidP="00C45C2B">
            <w:pPr>
              <w:pStyle w:val="Textpoznpodarou"/>
              <w:jc w:val="both"/>
            </w:pPr>
          </w:p>
        </w:tc>
        <w:tc>
          <w:tcPr>
            <w:tcW w:w="3819" w:type="pct"/>
          </w:tcPr>
          <w:p w:rsidR="005D5A35" w:rsidRDefault="005D5A35" w:rsidP="0017789F">
            <w:pPr>
              <w:pStyle w:val="Textpoznpodarou"/>
              <w:jc w:val="both"/>
              <w:rPr>
                <w:color w:val="000000"/>
                <w:spacing w:val="-2"/>
              </w:rPr>
            </w:pPr>
            <w:r>
              <w:rPr>
                <w:color w:val="000000"/>
                <w:spacing w:val="-2"/>
              </w:rPr>
              <w:t>Podobně nepříznivým vývojem - co se příjmů na obyvatele týká - jako v kraji Ústeckém, prošli i obyvatelé kraje Jihočeského, který byl v roce 1995 třetím nejbohatším krajem České republiky s čistým disponibilním důchodem na obyvatele ve výši 80 tis. korun ročně, který se do roku 2013 zvýšil jen 2,29krát. Tuto nepříznivou skutečnost lze připsat především vývoji po roce 2004.</w:t>
            </w:r>
          </w:p>
          <w:p w:rsidR="005D5A35" w:rsidRPr="0094760E" w:rsidRDefault="005D5A35" w:rsidP="0017789F">
            <w:pPr>
              <w:pStyle w:val="Textpoznpodarou"/>
              <w:jc w:val="both"/>
              <w:rPr>
                <w:color w:val="000000"/>
                <w:spacing w:val="-2"/>
                <w:sz w:val="12"/>
                <w:szCs w:val="12"/>
              </w:rPr>
            </w:pPr>
          </w:p>
          <w:p w:rsidR="005D5A35" w:rsidRDefault="005D5A35" w:rsidP="0017789F">
            <w:pPr>
              <w:pStyle w:val="Textpoznpodarou"/>
              <w:jc w:val="both"/>
              <w:rPr>
                <w:color w:val="000000"/>
                <w:spacing w:val="-2"/>
              </w:rPr>
            </w:pPr>
            <w:r>
              <w:rPr>
                <w:color w:val="000000"/>
                <w:spacing w:val="-2"/>
              </w:rPr>
              <w:t>Pouze pro část krajů ČR tedy platí, že od roku 1995 ty chudší ještě dále chudly a</w:t>
            </w:r>
            <w:r w:rsidR="00241C02">
              <w:rPr>
                <w:color w:val="000000"/>
                <w:spacing w:val="-2"/>
              </w:rPr>
              <w:t> </w:t>
            </w:r>
            <w:r>
              <w:rPr>
                <w:color w:val="000000"/>
                <w:spacing w:val="-2"/>
              </w:rPr>
              <w:t xml:space="preserve">naopak bohatší dále bohatly. Tomuto hodnocení se vymyká kraj Ústecký a kraj Jihočeský.  </w:t>
            </w:r>
          </w:p>
          <w:p w:rsidR="005D5A35" w:rsidRDefault="005D5A35" w:rsidP="00C45C2B">
            <w:pPr>
              <w:pStyle w:val="Textpoznpodarou"/>
              <w:jc w:val="both"/>
              <w:rPr>
                <w:color w:val="000000"/>
                <w:spacing w:val="-2"/>
              </w:rPr>
            </w:pPr>
          </w:p>
        </w:tc>
      </w:tr>
    </w:tbl>
    <w:p w:rsidR="005D5A35" w:rsidRPr="00494FA0" w:rsidRDefault="005D5A35" w:rsidP="00494FA0">
      <w:pPr>
        <w:jc w:val="both"/>
        <w:rPr>
          <w:noProof/>
          <w:szCs w:val="20"/>
        </w:rPr>
      </w:pPr>
      <w:r w:rsidRPr="00403598">
        <w:rPr>
          <w:noProof/>
          <w:szCs w:val="20"/>
        </w:rPr>
        <w:lastRenderedPageBreak/>
        <w:t xml:space="preserve">Graf </w:t>
      </w:r>
      <w:r w:rsidR="00F55CC2" w:rsidRPr="00403598">
        <w:rPr>
          <w:noProof/>
          <w:szCs w:val="20"/>
        </w:rPr>
        <w:t>č. 5</w:t>
      </w:r>
      <w:r w:rsidRPr="00403598">
        <w:rPr>
          <w:noProof/>
          <w:szCs w:val="20"/>
        </w:rPr>
        <w:t>:</w:t>
      </w:r>
      <w:r w:rsidRPr="00494FA0">
        <w:rPr>
          <w:b/>
          <w:noProof/>
          <w:szCs w:val="20"/>
        </w:rPr>
        <w:t xml:space="preserve"> Vývoj poz</w:t>
      </w:r>
      <w:r>
        <w:rPr>
          <w:b/>
          <w:noProof/>
          <w:szCs w:val="20"/>
        </w:rPr>
        <w:t xml:space="preserve">ice </w:t>
      </w:r>
      <w:r w:rsidR="008666C3">
        <w:rPr>
          <w:b/>
          <w:noProof/>
          <w:szCs w:val="20"/>
        </w:rPr>
        <w:t xml:space="preserve">vybraných </w:t>
      </w:r>
      <w:r w:rsidR="00E84B50">
        <w:rPr>
          <w:b/>
          <w:noProof/>
          <w:szCs w:val="20"/>
        </w:rPr>
        <w:t>krajů v čistém disp</w:t>
      </w:r>
      <w:r>
        <w:rPr>
          <w:b/>
          <w:noProof/>
          <w:szCs w:val="20"/>
        </w:rPr>
        <w:t>onibiln</w:t>
      </w:r>
      <w:r w:rsidRPr="00494FA0">
        <w:rPr>
          <w:b/>
          <w:noProof/>
          <w:szCs w:val="20"/>
        </w:rPr>
        <w:t>ím důchodu na obyvatele ve srovnání s ČR celkem</w:t>
      </w:r>
      <w:r>
        <w:rPr>
          <w:noProof/>
          <w:szCs w:val="20"/>
        </w:rPr>
        <w:t xml:space="preserve"> (čistý disponibilní důchod za ČR celkem=100%) </w:t>
      </w:r>
    </w:p>
    <w:p w:rsidR="005D5A35" w:rsidRDefault="00513C6F" w:rsidP="001B4721">
      <w:pPr>
        <w:jc w:val="center"/>
        <w:rPr>
          <w:noProof/>
          <w:sz w:val="18"/>
          <w:szCs w:val="18"/>
        </w:rPr>
      </w:pPr>
      <w:r w:rsidRPr="00513C6F">
        <w:rPr>
          <w:noProof/>
          <w:sz w:val="18"/>
          <w:szCs w:val="18"/>
        </w:rPr>
        <w:pict>
          <v:shape id="_x0000_i1122" type="#_x0000_t75" style="width:441.7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">
            <v:imagedata r:id="rId114" o:title=""/>
            <o:lock v:ext="edit" aspectratio="f"/>
          </v:shape>
        </w:pict>
      </w:r>
    </w:p>
    <w:p w:rsidR="005D5A35" w:rsidRDefault="00680292" w:rsidP="008518B7">
      <w:pPr>
        <w:jc w:val="right"/>
        <w:rPr>
          <w:sz w:val="18"/>
          <w:szCs w:val="18"/>
        </w:rPr>
      </w:pPr>
      <w:r>
        <w:rPr>
          <w:noProof/>
          <w:sz w:val="18"/>
          <w:szCs w:val="18"/>
        </w:rPr>
        <w:t>Zdroj</w:t>
      </w:r>
      <w:r w:rsidR="00E84B50">
        <w:rPr>
          <w:noProof/>
          <w:sz w:val="18"/>
          <w:szCs w:val="18"/>
        </w:rPr>
        <w:t>: ČSÚ, vlastní vý</w:t>
      </w:r>
      <w:r w:rsidR="005D5A35">
        <w:rPr>
          <w:noProof/>
          <w:sz w:val="18"/>
          <w:szCs w:val="18"/>
        </w:rPr>
        <w:t>počty</w:t>
      </w:r>
    </w:p>
    <w:p w:rsidR="005D5A35" w:rsidRPr="008518B7" w:rsidRDefault="005D5A35" w:rsidP="008518B7">
      <w:pPr>
        <w:jc w:val="right"/>
        <w:rPr>
          <w:sz w:val="18"/>
          <w:szCs w:val="18"/>
        </w:rPr>
      </w:pPr>
    </w:p>
    <w:tbl>
      <w:tblPr>
        <w:tblW w:w="5043" w:type="pct"/>
        <w:tblInd w:w="-42" w:type="dxa"/>
        <w:tblCellMar>
          <w:left w:w="28" w:type="dxa"/>
          <w:right w:w="28" w:type="dxa"/>
        </w:tblCellMar>
        <w:tblLook w:val="00A0"/>
      </w:tblPr>
      <w:tblGrid>
        <w:gridCol w:w="2037"/>
        <w:gridCol w:w="272"/>
        <w:gridCol w:w="7468"/>
      </w:tblGrid>
      <w:tr w:rsidR="005D5A35" w:rsidRPr="00FA57FD" w:rsidTr="00C45C2B">
        <w:tc>
          <w:tcPr>
            <w:tcW w:w="1042" w:type="pct"/>
          </w:tcPr>
          <w:p w:rsidR="005D5A35" w:rsidRDefault="005D5A35" w:rsidP="00C45C2B">
            <w:pPr>
              <w:spacing w:line="240" w:lineRule="auto"/>
              <w:rPr>
                <w:color w:val="000000"/>
                <w:sz w:val="16"/>
                <w:szCs w:val="16"/>
              </w:rPr>
            </w:pPr>
            <w:r>
              <w:rPr>
                <w:color w:val="000000"/>
                <w:sz w:val="16"/>
                <w:szCs w:val="16"/>
              </w:rPr>
              <w:t>Také v období po vstupu země do EU rostly příjmy lidí nadprůměrně v sedmi krajích, ovšem jejich vzorek byl odlišný od růstů za roky 1995-2013</w:t>
            </w:r>
          </w:p>
        </w:tc>
        <w:tc>
          <w:tcPr>
            <w:tcW w:w="139" w:type="pct"/>
          </w:tcPr>
          <w:p w:rsidR="005D5A35" w:rsidRDefault="005D5A35" w:rsidP="00C45C2B">
            <w:pPr>
              <w:pStyle w:val="Textpoznpodarou"/>
              <w:jc w:val="both"/>
            </w:pPr>
          </w:p>
        </w:tc>
        <w:tc>
          <w:tcPr>
            <w:tcW w:w="3819" w:type="pct"/>
          </w:tcPr>
          <w:p w:rsidR="005D5A35" w:rsidRPr="00FA57FD" w:rsidRDefault="005D5A35" w:rsidP="00C45C2B">
            <w:pPr>
              <w:pStyle w:val="Textpoznpodarou"/>
              <w:jc w:val="both"/>
              <w:rPr>
                <w:color w:val="000000"/>
                <w:spacing w:val="-2"/>
              </w:rPr>
            </w:pPr>
            <w:r>
              <w:rPr>
                <w:color w:val="000000"/>
                <w:spacing w:val="-2"/>
              </w:rPr>
              <w:t>Vývoj po vstupu České republiky do EU ukázal, že stejně jako v období 1995-2013 zaznamenalo vyšší než průměrný růst příjmů podle výše čistého disponibilního důchodu na obyvatele celkem sedm krajů, v dalších sedmi pak rostly tyto příjmy tempem nižším než průměrným. Ovšem vzorky těchto krajů jsou ve srovnání s vývojem od roku 1995 odlišné.</w:t>
            </w:r>
            <w:r w:rsidRPr="00FA57FD">
              <w:rPr>
                <w:color w:val="000000"/>
                <w:spacing w:val="-2"/>
              </w:rPr>
              <w:t xml:space="preserve"> </w:t>
            </w:r>
          </w:p>
          <w:p w:rsidR="005D5A35" w:rsidRPr="00FA57FD" w:rsidRDefault="005D5A35" w:rsidP="00C45C2B">
            <w:pPr>
              <w:pStyle w:val="Textpoznpodarou"/>
              <w:jc w:val="both"/>
              <w:rPr>
                <w:color w:val="000000"/>
                <w:spacing w:val="-2"/>
              </w:rPr>
            </w:pPr>
            <w:r>
              <w:rPr>
                <w:color w:val="000000"/>
                <w:spacing w:val="-2"/>
              </w:rPr>
              <w:t xml:space="preserve"> </w:t>
            </w:r>
          </w:p>
        </w:tc>
      </w:tr>
      <w:tr w:rsidR="005D5A35" w:rsidRPr="00FA57FD" w:rsidTr="00C45C2B">
        <w:tc>
          <w:tcPr>
            <w:tcW w:w="1042" w:type="pct"/>
          </w:tcPr>
          <w:p w:rsidR="005D5A35" w:rsidRDefault="005D5A35" w:rsidP="00C45C2B">
            <w:pPr>
              <w:spacing w:line="240" w:lineRule="auto"/>
              <w:rPr>
                <w:color w:val="000000"/>
                <w:sz w:val="16"/>
                <w:szCs w:val="16"/>
              </w:rPr>
            </w:pPr>
            <w:r>
              <w:rPr>
                <w:color w:val="000000"/>
                <w:sz w:val="16"/>
                <w:szCs w:val="16"/>
              </w:rPr>
              <w:t>Od roku 2004 už rostly příjmy obyvatel Prahy 1,25krát ve druhém nejnižším přírůstku po Jihočeském kraji (1,23krát); v úhrnu za ČR se příjmy domácností v přepočtu na obyvatele zvětšily 1,3krát</w:t>
            </w:r>
          </w:p>
        </w:tc>
        <w:tc>
          <w:tcPr>
            <w:tcW w:w="139" w:type="pct"/>
          </w:tcPr>
          <w:p w:rsidR="005D5A35" w:rsidRDefault="005D5A35" w:rsidP="00C45C2B">
            <w:pPr>
              <w:pStyle w:val="Textpoznpodarou"/>
              <w:jc w:val="both"/>
            </w:pPr>
          </w:p>
        </w:tc>
        <w:tc>
          <w:tcPr>
            <w:tcW w:w="3819" w:type="pct"/>
          </w:tcPr>
          <w:p w:rsidR="005D5A35" w:rsidRDefault="005D5A35" w:rsidP="00223F33">
            <w:pPr>
              <w:pStyle w:val="Textpoznpodarou"/>
              <w:jc w:val="both"/>
              <w:rPr>
                <w:color w:val="000000"/>
                <w:spacing w:val="-2"/>
              </w:rPr>
            </w:pPr>
            <w:r>
              <w:rPr>
                <w:color w:val="000000"/>
                <w:spacing w:val="-2"/>
              </w:rPr>
              <w:t xml:space="preserve">Nárůst příjmů obyvatel Prahy, které za období 2004-2013 stouply 1,25krát, byl druhý nejnižší přírůstek čistého disponibilního důchodu na obyvatele po Jihočeském kraji (zde stouply 1,23krát). Poté následuje - co se nižšího než průměrného přírůstku příjmů v době od vstupu ČR do </w:t>
            </w:r>
            <w:r w:rsidR="00D24DA0">
              <w:rPr>
                <w:color w:val="000000"/>
                <w:spacing w:val="-2"/>
              </w:rPr>
              <w:t>U</w:t>
            </w:r>
            <w:r>
              <w:rPr>
                <w:color w:val="000000"/>
                <w:spacing w:val="-2"/>
              </w:rPr>
              <w:t xml:space="preserve">nie týká – skupina „chudších“ krajů, které i po roce 2004 rostly tempem slabším než průměrným (kraj Liberecký, Olomoucký, Karlovarský, Ústecký, ale také Středočeský). </w:t>
            </w:r>
          </w:p>
          <w:p w:rsidR="005D5A35" w:rsidRPr="00241C02" w:rsidRDefault="005D5A35" w:rsidP="00223F33">
            <w:pPr>
              <w:pStyle w:val="Textpoznpodarou"/>
              <w:jc w:val="both"/>
              <w:rPr>
                <w:color w:val="000000"/>
                <w:spacing w:val="-2"/>
              </w:rPr>
            </w:pPr>
          </w:p>
          <w:p w:rsidR="005D5A35" w:rsidRDefault="005D5A35" w:rsidP="00223F33">
            <w:pPr>
              <w:pStyle w:val="Textpoznpodarou"/>
              <w:jc w:val="both"/>
              <w:rPr>
                <w:color w:val="000000"/>
                <w:spacing w:val="-2"/>
              </w:rPr>
            </w:pPr>
            <w:r>
              <w:rPr>
                <w:color w:val="000000"/>
                <w:spacing w:val="-2"/>
              </w:rPr>
              <w:t xml:space="preserve">Příjmy obyvatel ČR jako celku přitom vzrostly za rok 2004-2013 zhruba 1,3krát.  </w:t>
            </w:r>
          </w:p>
          <w:p w:rsidR="005D5A35" w:rsidRDefault="005D5A35" w:rsidP="00223F33">
            <w:pPr>
              <w:pStyle w:val="Textpoznpodarou"/>
              <w:jc w:val="both"/>
              <w:rPr>
                <w:color w:val="000000"/>
                <w:spacing w:val="-2"/>
              </w:rPr>
            </w:pPr>
          </w:p>
        </w:tc>
      </w:tr>
      <w:tr w:rsidR="005D5A35" w:rsidRPr="00FA57FD" w:rsidTr="00C45C2B">
        <w:tc>
          <w:tcPr>
            <w:tcW w:w="1042" w:type="pct"/>
          </w:tcPr>
          <w:p w:rsidR="005D5A35" w:rsidRDefault="005D5A35" w:rsidP="00C45C2B">
            <w:pPr>
              <w:spacing w:line="240" w:lineRule="auto"/>
              <w:rPr>
                <w:color w:val="000000"/>
                <w:sz w:val="16"/>
                <w:szCs w:val="16"/>
              </w:rPr>
            </w:pPr>
            <w:r>
              <w:rPr>
                <w:color w:val="000000"/>
                <w:sz w:val="16"/>
                <w:szCs w:val="16"/>
              </w:rPr>
              <w:t>V letech 2011-2013 příjmy obyvatel Prahy každoročně klesaly, z několika příčin</w:t>
            </w:r>
          </w:p>
        </w:tc>
        <w:tc>
          <w:tcPr>
            <w:tcW w:w="139" w:type="pct"/>
          </w:tcPr>
          <w:p w:rsidR="005D5A35" w:rsidRDefault="005D5A35" w:rsidP="00C45C2B">
            <w:pPr>
              <w:pStyle w:val="Textpoznpodarou"/>
              <w:jc w:val="both"/>
            </w:pPr>
          </w:p>
        </w:tc>
        <w:tc>
          <w:tcPr>
            <w:tcW w:w="3819" w:type="pct"/>
          </w:tcPr>
          <w:p w:rsidR="005D5A35" w:rsidRDefault="005D5A35" w:rsidP="00C45C2B">
            <w:pPr>
              <w:pStyle w:val="Textpoznpodarou"/>
              <w:jc w:val="both"/>
              <w:rPr>
                <w:color w:val="000000"/>
                <w:spacing w:val="-2"/>
              </w:rPr>
            </w:pPr>
            <w:r>
              <w:rPr>
                <w:color w:val="000000"/>
                <w:spacing w:val="-2"/>
              </w:rPr>
              <w:t>Relativně nízký přírůstek příjmů obyvatel Prahy, které v letech 2011-2013 dokonce meziročně klesaly (-1%, -0,6 % a -1,1 %)</w:t>
            </w:r>
            <w:r w:rsidR="00D24DA0">
              <w:rPr>
                <w:color w:val="000000"/>
                <w:spacing w:val="-2"/>
              </w:rPr>
              <w:t>,</w:t>
            </w:r>
            <w:r>
              <w:rPr>
                <w:color w:val="000000"/>
                <w:spacing w:val="-2"/>
              </w:rPr>
              <w:t xml:space="preserve"> může souviset </w:t>
            </w:r>
            <w:r w:rsidR="008666C3">
              <w:rPr>
                <w:color w:val="000000"/>
                <w:spacing w:val="-2"/>
              </w:rPr>
              <w:t xml:space="preserve">obecně </w:t>
            </w:r>
            <w:proofErr w:type="spellStart"/>
            <w:r w:rsidR="008666C3">
              <w:rPr>
                <w:color w:val="000000"/>
                <w:spacing w:val="-2"/>
              </w:rPr>
              <w:t>sí</w:t>
            </w:r>
            <w:proofErr w:type="spellEnd"/>
            <w:r w:rsidR="008666C3">
              <w:rPr>
                <w:color w:val="000000"/>
                <w:spacing w:val="-2"/>
              </w:rPr>
              <w:t xml:space="preserve"> </w:t>
            </w:r>
            <w:r>
              <w:rPr>
                <w:color w:val="000000"/>
                <w:spacing w:val="-2"/>
              </w:rPr>
              <w:t>vysok</w:t>
            </w:r>
            <w:r w:rsidR="008666C3">
              <w:rPr>
                <w:color w:val="000000"/>
                <w:spacing w:val="-2"/>
              </w:rPr>
              <w:t>ou výchozí pozicí</w:t>
            </w:r>
            <w:r w:rsidR="00D24DA0">
              <w:rPr>
                <w:color w:val="000000"/>
                <w:spacing w:val="-2"/>
              </w:rPr>
              <w:t xml:space="preserve"> hlavního města.</w:t>
            </w:r>
            <w:r>
              <w:rPr>
                <w:color w:val="000000"/>
                <w:spacing w:val="-2"/>
              </w:rPr>
              <w:t xml:space="preserve"> </w:t>
            </w:r>
          </w:p>
          <w:p w:rsidR="005D5A35" w:rsidRPr="00241C02" w:rsidRDefault="005D5A35" w:rsidP="00C45C2B">
            <w:pPr>
              <w:pStyle w:val="Textpoznpodarou"/>
              <w:jc w:val="both"/>
              <w:rPr>
                <w:color w:val="000000"/>
                <w:spacing w:val="-2"/>
              </w:rPr>
            </w:pPr>
          </w:p>
          <w:p w:rsidR="005D5A35" w:rsidRDefault="005D5A35" w:rsidP="00C45C2B">
            <w:pPr>
              <w:pStyle w:val="Textpoznpodarou"/>
              <w:jc w:val="both"/>
              <w:rPr>
                <w:color w:val="000000"/>
                <w:spacing w:val="-2"/>
              </w:rPr>
            </w:pPr>
            <w:r>
              <w:rPr>
                <w:color w:val="000000"/>
                <w:spacing w:val="-2"/>
              </w:rPr>
              <w:t xml:space="preserve">Zřejmě však hraje roli i skutečnost, že Praha s vysokým HDP na obyvatele v paritě kupní síly jako měřítka pro poskytování peněz z evropských fondů na toto financování nedosahovala.  Nemohla tak participovat na projektech a rozvoji, který plynul z investic takto spolufinancovaných a posilujících přes vyšší zaměstnanost, resp. mzdy i příjmy obyvatel v ostatních krajích ČR – nikoli však všech, jak je z výše uvedeného vývoj příjmů patrné. </w:t>
            </w:r>
          </w:p>
          <w:p w:rsidR="005D5A35" w:rsidRPr="00FA57FD" w:rsidRDefault="005D5A35" w:rsidP="00C45C2B">
            <w:pPr>
              <w:pStyle w:val="Textpoznpodarou"/>
              <w:jc w:val="both"/>
              <w:rPr>
                <w:color w:val="000000"/>
                <w:spacing w:val="-2"/>
              </w:rPr>
            </w:pPr>
          </w:p>
        </w:tc>
      </w:tr>
      <w:tr w:rsidR="005D5A35" w:rsidRPr="00FA57FD" w:rsidTr="00807A2C">
        <w:tc>
          <w:tcPr>
            <w:tcW w:w="1042" w:type="pct"/>
          </w:tcPr>
          <w:p w:rsidR="005D5A35" w:rsidRDefault="005D5A35" w:rsidP="00121167">
            <w:pPr>
              <w:spacing w:line="240" w:lineRule="auto"/>
              <w:rPr>
                <w:color w:val="000000"/>
                <w:sz w:val="16"/>
                <w:szCs w:val="16"/>
              </w:rPr>
            </w:pPr>
            <w:r>
              <w:rPr>
                <w:color w:val="000000"/>
                <w:sz w:val="16"/>
                <w:szCs w:val="16"/>
              </w:rPr>
              <w:t>Po vstupu do EU těžil z vývoje kraj Jihomoravský, kde do roku 2013 stouply příjmy obyvatel nejrychleji;</w:t>
            </w:r>
          </w:p>
          <w:p w:rsidR="005D5A35" w:rsidRDefault="00FD647C" w:rsidP="00121167">
            <w:pPr>
              <w:spacing w:line="240" w:lineRule="auto"/>
              <w:rPr>
                <w:color w:val="000000"/>
                <w:sz w:val="16"/>
                <w:szCs w:val="16"/>
              </w:rPr>
            </w:pPr>
            <w:r>
              <w:rPr>
                <w:color w:val="000000"/>
                <w:sz w:val="16"/>
                <w:szCs w:val="16"/>
              </w:rPr>
              <w:t>velmi příznivý byl i vývoj v K</w:t>
            </w:r>
            <w:r w:rsidR="005D5A35">
              <w:rPr>
                <w:color w:val="000000"/>
                <w:sz w:val="16"/>
                <w:szCs w:val="16"/>
              </w:rPr>
              <w:t>raji Vysočina, který byl v roce 1995 vůbec nejchudším krajem v ČR…</w:t>
            </w:r>
          </w:p>
        </w:tc>
        <w:tc>
          <w:tcPr>
            <w:tcW w:w="139" w:type="pct"/>
          </w:tcPr>
          <w:p w:rsidR="005D5A35" w:rsidRDefault="005D5A35" w:rsidP="00121167">
            <w:pPr>
              <w:pStyle w:val="Textpoznpodarou"/>
              <w:jc w:val="both"/>
            </w:pPr>
          </w:p>
        </w:tc>
        <w:tc>
          <w:tcPr>
            <w:tcW w:w="3819" w:type="pct"/>
          </w:tcPr>
          <w:p w:rsidR="005D5A35" w:rsidRPr="00FA57FD" w:rsidRDefault="005D5A35" w:rsidP="00121167">
            <w:pPr>
              <w:pStyle w:val="Textpoznpodarou"/>
              <w:jc w:val="both"/>
              <w:rPr>
                <w:color w:val="000000"/>
                <w:spacing w:val="-2"/>
              </w:rPr>
            </w:pPr>
            <w:r>
              <w:rPr>
                <w:color w:val="000000"/>
                <w:spacing w:val="-2"/>
              </w:rPr>
              <w:t>Vývoj po vstupu země do EU ukázal nejrychlejší růst příjmů v kraji Jihomoravském, kde byly v roce 2013 vyšší 1,35krát než v roce 2004, ale také v kraji Pardubickém a</w:t>
            </w:r>
            <w:r w:rsidR="0002366A">
              <w:rPr>
                <w:color w:val="000000"/>
                <w:spacing w:val="-2"/>
              </w:rPr>
              <w:t> </w:t>
            </w:r>
            <w:r>
              <w:rPr>
                <w:color w:val="000000"/>
                <w:spacing w:val="-2"/>
              </w:rPr>
              <w:t>v </w:t>
            </w:r>
            <w:r w:rsidR="00D24DA0">
              <w:rPr>
                <w:color w:val="000000"/>
                <w:spacing w:val="-2"/>
              </w:rPr>
              <w:t>K</w:t>
            </w:r>
            <w:r>
              <w:rPr>
                <w:color w:val="000000"/>
                <w:spacing w:val="-2"/>
              </w:rPr>
              <w:t>raji Vysočina (shodně 1,33krát). Tyto dva kraje se tak dostaly na páté, resp. sedmé místo v pořadí krajů podle výše čistého disponibilního důchodu na obyvatele v roc</w:t>
            </w:r>
            <w:r w:rsidR="00D24DA0">
              <w:rPr>
                <w:color w:val="000000"/>
                <w:spacing w:val="-2"/>
              </w:rPr>
              <w:t>e 2013. Přitom v roce 1995 byl K</w:t>
            </w:r>
            <w:r>
              <w:rPr>
                <w:color w:val="000000"/>
                <w:spacing w:val="-2"/>
              </w:rPr>
              <w:t>raj Vysočina vůbec nejchudším krajem České republiky (14. místo) a kraj Pardubickému patřilo podle příjmů na obyvatele až 12.</w:t>
            </w:r>
            <w:r w:rsidR="0002366A">
              <w:rPr>
                <w:color w:val="000000"/>
                <w:spacing w:val="-2"/>
              </w:rPr>
              <w:t> </w:t>
            </w:r>
            <w:r>
              <w:rPr>
                <w:color w:val="000000"/>
                <w:spacing w:val="-2"/>
              </w:rPr>
              <w:t xml:space="preserve">místo (graf </w:t>
            </w:r>
            <w:r w:rsidR="00354366">
              <w:rPr>
                <w:color w:val="000000"/>
                <w:spacing w:val="-2"/>
              </w:rPr>
              <w:t>6</w:t>
            </w:r>
            <w:r>
              <w:rPr>
                <w:color w:val="000000"/>
                <w:spacing w:val="-2"/>
              </w:rPr>
              <w:t xml:space="preserve">).  </w:t>
            </w:r>
            <w:r w:rsidRPr="00FA57FD">
              <w:rPr>
                <w:color w:val="000000"/>
                <w:spacing w:val="-2"/>
              </w:rPr>
              <w:t xml:space="preserve"> </w:t>
            </w:r>
          </w:p>
          <w:p w:rsidR="005D5A35" w:rsidRDefault="005D5A35" w:rsidP="00121167">
            <w:pPr>
              <w:pStyle w:val="Textpoznpodarou"/>
              <w:jc w:val="both"/>
              <w:rPr>
                <w:color w:val="000000"/>
                <w:spacing w:val="-2"/>
              </w:rPr>
            </w:pPr>
            <w:r>
              <w:rPr>
                <w:color w:val="000000"/>
                <w:spacing w:val="-2"/>
              </w:rPr>
              <w:t xml:space="preserve"> </w:t>
            </w:r>
          </w:p>
          <w:p w:rsidR="00241C02" w:rsidRDefault="00241C02" w:rsidP="00121167">
            <w:pPr>
              <w:pStyle w:val="Textpoznpodarou"/>
              <w:jc w:val="both"/>
              <w:rPr>
                <w:color w:val="000000"/>
                <w:spacing w:val="-2"/>
              </w:rPr>
            </w:pPr>
          </w:p>
          <w:p w:rsidR="00241C02" w:rsidRDefault="00241C02" w:rsidP="00121167">
            <w:pPr>
              <w:pStyle w:val="Textpoznpodarou"/>
              <w:jc w:val="both"/>
              <w:rPr>
                <w:color w:val="000000"/>
                <w:spacing w:val="-2"/>
              </w:rPr>
            </w:pPr>
          </w:p>
          <w:p w:rsidR="00241C02" w:rsidRDefault="00241C02" w:rsidP="00121167">
            <w:pPr>
              <w:pStyle w:val="Textpoznpodarou"/>
              <w:jc w:val="both"/>
              <w:rPr>
                <w:color w:val="000000"/>
                <w:spacing w:val="-2"/>
              </w:rPr>
            </w:pPr>
          </w:p>
          <w:p w:rsidR="00241C02" w:rsidRDefault="00241C02" w:rsidP="00121167">
            <w:pPr>
              <w:pStyle w:val="Textpoznpodarou"/>
              <w:jc w:val="both"/>
              <w:rPr>
                <w:color w:val="000000"/>
                <w:spacing w:val="-2"/>
              </w:rPr>
            </w:pPr>
          </w:p>
          <w:p w:rsidR="00241C02" w:rsidRDefault="00241C02" w:rsidP="00121167">
            <w:pPr>
              <w:pStyle w:val="Textpoznpodarou"/>
              <w:jc w:val="both"/>
              <w:rPr>
                <w:color w:val="000000"/>
                <w:spacing w:val="-2"/>
              </w:rPr>
            </w:pPr>
          </w:p>
          <w:p w:rsidR="00241C02" w:rsidRDefault="00241C02" w:rsidP="00121167">
            <w:pPr>
              <w:pStyle w:val="Textpoznpodarou"/>
              <w:jc w:val="both"/>
              <w:rPr>
                <w:color w:val="000000"/>
                <w:spacing w:val="-2"/>
              </w:rPr>
            </w:pPr>
          </w:p>
          <w:p w:rsidR="00241C02" w:rsidRDefault="00241C02" w:rsidP="00121167">
            <w:pPr>
              <w:pStyle w:val="Textpoznpodarou"/>
              <w:jc w:val="both"/>
              <w:rPr>
                <w:color w:val="000000"/>
                <w:spacing w:val="-2"/>
              </w:rPr>
            </w:pPr>
          </w:p>
          <w:p w:rsidR="00241C02" w:rsidRDefault="00241C02" w:rsidP="00121167">
            <w:pPr>
              <w:pStyle w:val="Textpoznpodarou"/>
              <w:jc w:val="both"/>
              <w:rPr>
                <w:color w:val="000000"/>
                <w:spacing w:val="-2"/>
              </w:rPr>
            </w:pPr>
          </w:p>
          <w:p w:rsidR="00241C02" w:rsidRPr="00FA57FD" w:rsidRDefault="00241C02" w:rsidP="00121167">
            <w:pPr>
              <w:pStyle w:val="Textpoznpodarou"/>
              <w:jc w:val="both"/>
              <w:rPr>
                <w:color w:val="000000"/>
                <w:spacing w:val="-2"/>
              </w:rPr>
            </w:pPr>
          </w:p>
        </w:tc>
      </w:tr>
    </w:tbl>
    <w:p w:rsidR="005D5A35" w:rsidRPr="00E04A40" w:rsidRDefault="005D5A35" w:rsidP="00494FA0">
      <w:pPr>
        <w:jc w:val="both"/>
        <w:rPr>
          <w:szCs w:val="20"/>
        </w:rPr>
      </w:pPr>
      <w:r w:rsidRPr="00241C02">
        <w:rPr>
          <w:szCs w:val="20"/>
        </w:rPr>
        <w:lastRenderedPageBreak/>
        <w:t xml:space="preserve">Graf </w:t>
      </w:r>
      <w:r w:rsidR="00F55CC2" w:rsidRPr="00241C02">
        <w:rPr>
          <w:szCs w:val="20"/>
        </w:rPr>
        <w:t>č. 6</w:t>
      </w:r>
      <w:r w:rsidRPr="00241C02">
        <w:rPr>
          <w:szCs w:val="20"/>
        </w:rPr>
        <w:t>:</w:t>
      </w:r>
      <w:r w:rsidRPr="009348E3">
        <w:rPr>
          <w:b/>
          <w:szCs w:val="20"/>
        </w:rPr>
        <w:t xml:space="preserve"> </w:t>
      </w:r>
      <w:r>
        <w:rPr>
          <w:b/>
          <w:szCs w:val="20"/>
        </w:rPr>
        <w:t xml:space="preserve">Čistý disponibilní důchod na obyvatele v krajích ČR v letech 1995, 2004 a 2013 </w:t>
      </w:r>
      <w:r w:rsidRPr="00E04A40">
        <w:rPr>
          <w:szCs w:val="20"/>
        </w:rPr>
        <w:t>(v korunách)</w:t>
      </w:r>
    </w:p>
    <w:p w:rsidR="005D5A35" w:rsidRDefault="00513C6F" w:rsidP="00807A2C">
      <w:pPr>
        <w:jc w:val="center"/>
      </w:pPr>
      <w:r>
        <w:pict>
          <v:shape id="_x0000_i1123" type="#_x0000_t75" style="width:386.25pt;height:177.75pt">
            <v:imagedata r:id="rId115" o:title=""/>
          </v:shape>
        </w:pict>
      </w:r>
    </w:p>
    <w:p w:rsidR="005D5A35" w:rsidRPr="0094760E" w:rsidRDefault="00540BBC" w:rsidP="00241C02">
      <w:pPr>
        <w:spacing w:line="240" w:lineRule="auto"/>
        <w:jc w:val="right"/>
        <w:rPr>
          <w:sz w:val="18"/>
          <w:szCs w:val="18"/>
        </w:rPr>
      </w:pPr>
      <w:r>
        <w:rPr>
          <w:sz w:val="18"/>
          <w:szCs w:val="18"/>
        </w:rPr>
        <w:t>Zdroj</w:t>
      </w:r>
      <w:r w:rsidR="005D5A35" w:rsidRPr="0094760E">
        <w:rPr>
          <w:sz w:val="18"/>
          <w:szCs w:val="18"/>
        </w:rPr>
        <w:t>: ČSÚ</w:t>
      </w:r>
    </w:p>
    <w:p w:rsidR="005D5A35" w:rsidRPr="00241C02" w:rsidRDefault="005D5A35" w:rsidP="0094760E">
      <w:pPr>
        <w:jc w:val="both"/>
        <w:rPr>
          <w:b/>
          <w:szCs w:val="20"/>
        </w:rPr>
      </w:pPr>
    </w:p>
    <w:tbl>
      <w:tblPr>
        <w:tblW w:w="5043" w:type="pct"/>
        <w:tblInd w:w="-42" w:type="dxa"/>
        <w:tblCellMar>
          <w:left w:w="28" w:type="dxa"/>
          <w:right w:w="28" w:type="dxa"/>
        </w:tblCellMar>
        <w:tblLook w:val="00A0"/>
      </w:tblPr>
      <w:tblGrid>
        <w:gridCol w:w="2037"/>
        <w:gridCol w:w="272"/>
        <w:gridCol w:w="7468"/>
      </w:tblGrid>
      <w:tr w:rsidR="005D5A35" w:rsidRPr="00FA57FD" w:rsidTr="00121167">
        <w:tc>
          <w:tcPr>
            <w:tcW w:w="1042" w:type="pct"/>
          </w:tcPr>
          <w:p w:rsidR="005D5A35" w:rsidRDefault="005D5A35" w:rsidP="0002366A">
            <w:pPr>
              <w:spacing w:line="240" w:lineRule="auto"/>
              <w:rPr>
                <w:color w:val="000000"/>
                <w:sz w:val="16"/>
                <w:szCs w:val="16"/>
              </w:rPr>
            </w:pPr>
            <w:r>
              <w:rPr>
                <w:color w:val="000000"/>
                <w:sz w:val="16"/>
                <w:szCs w:val="16"/>
              </w:rPr>
              <w:t>Zatímco v roce 2004 byl podle příjmů na obyvatele nejchudší kraj Ústecký - relativně prudká ztráta jeho pozice se tak odehrála v letech 1995-2004, zřejmě vliv změn v ekonomické struktuře s dopady do</w:t>
            </w:r>
            <w:r w:rsidR="0002366A">
              <w:rPr>
                <w:color w:val="000000"/>
                <w:sz w:val="16"/>
                <w:szCs w:val="16"/>
              </w:rPr>
              <w:t> </w:t>
            </w:r>
            <w:r>
              <w:rPr>
                <w:color w:val="000000"/>
                <w:sz w:val="16"/>
                <w:szCs w:val="16"/>
              </w:rPr>
              <w:t xml:space="preserve">sociálních podmínek  </w:t>
            </w:r>
          </w:p>
        </w:tc>
        <w:tc>
          <w:tcPr>
            <w:tcW w:w="139" w:type="pct"/>
          </w:tcPr>
          <w:p w:rsidR="005D5A35" w:rsidRDefault="005D5A35" w:rsidP="00121167">
            <w:pPr>
              <w:pStyle w:val="Textpoznpodarou"/>
              <w:jc w:val="both"/>
            </w:pPr>
          </w:p>
        </w:tc>
        <w:tc>
          <w:tcPr>
            <w:tcW w:w="3819" w:type="pct"/>
          </w:tcPr>
          <w:p w:rsidR="005D5A35" w:rsidRPr="00241C02" w:rsidRDefault="005D5A35" w:rsidP="00121167">
            <w:pPr>
              <w:pStyle w:val="Textpoznpodarou"/>
              <w:jc w:val="both"/>
              <w:rPr>
                <w:color w:val="000000"/>
              </w:rPr>
            </w:pPr>
            <w:r w:rsidRPr="00241C02">
              <w:rPr>
                <w:color w:val="000000"/>
              </w:rPr>
              <w:t>V roce 2004 byly nejchudšími kraji podle výše příjmů na obyvatele kraj Moravskoslezský a Ústecký. Do roku 2013 se však Moravskoslezský kraj dostal</w:t>
            </w:r>
            <w:r w:rsidR="0002366A">
              <w:rPr>
                <w:color w:val="000000"/>
              </w:rPr>
              <w:t>,</w:t>
            </w:r>
            <w:r w:rsidRPr="00241C02">
              <w:rPr>
                <w:color w:val="000000"/>
              </w:rPr>
              <w:t xml:space="preserve"> co se dynamiky těchto příjmů týká</w:t>
            </w:r>
            <w:r w:rsidR="0002366A">
              <w:rPr>
                <w:color w:val="000000"/>
              </w:rPr>
              <w:t>,</w:t>
            </w:r>
            <w:r w:rsidRPr="00241C02">
              <w:rPr>
                <w:color w:val="000000"/>
              </w:rPr>
              <w:t xml:space="preserve"> do skupiny krajů rostoucích nadprůměrně (příjmy zde stouply 1,32krát), ovšem podle příjmů v nominálním vyjádření v žebříčku krajů postoupil jen o tři příčky na 11. místo. Přírůstek příjmů v Ústeckém kraji byl v letech 2004-2013 nižší než průměr (příjmy byly vyšší 1,28krát), což znamenalo v nominálním vyjádření nejnižší příjmy na obyvatele za rok 2013 ze všech krajů České republiky.  </w:t>
            </w:r>
          </w:p>
          <w:p w:rsidR="005D5A35" w:rsidRPr="00241C02" w:rsidRDefault="005D5A35" w:rsidP="00121167">
            <w:pPr>
              <w:pStyle w:val="Textpoznpodarou"/>
              <w:jc w:val="both"/>
              <w:rPr>
                <w:color w:val="000000"/>
                <w:spacing w:val="-2"/>
              </w:rPr>
            </w:pPr>
            <w:r>
              <w:rPr>
                <w:color w:val="000000"/>
                <w:spacing w:val="-2"/>
              </w:rPr>
              <w:t xml:space="preserve"> </w:t>
            </w:r>
          </w:p>
        </w:tc>
      </w:tr>
      <w:tr w:rsidR="005D5A35" w:rsidRPr="00FA57FD" w:rsidTr="00006CF8">
        <w:tc>
          <w:tcPr>
            <w:tcW w:w="1042" w:type="pct"/>
          </w:tcPr>
          <w:p w:rsidR="005D5A35" w:rsidRDefault="005D5A35" w:rsidP="00121167">
            <w:pPr>
              <w:spacing w:line="240" w:lineRule="auto"/>
              <w:rPr>
                <w:color w:val="000000"/>
                <w:sz w:val="16"/>
                <w:szCs w:val="16"/>
              </w:rPr>
            </w:pPr>
            <w:r>
              <w:rPr>
                <w:color w:val="000000"/>
                <w:sz w:val="16"/>
                <w:szCs w:val="16"/>
              </w:rPr>
              <w:t>Recese 2012-2013 poznamenal</w:t>
            </w:r>
            <w:r w:rsidR="006A23BA">
              <w:rPr>
                <w:color w:val="000000"/>
                <w:sz w:val="16"/>
                <w:szCs w:val="16"/>
              </w:rPr>
              <w:t>a vývoj příjmů</w:t>
            </w:r>
            <w:r>
              <w:rPr>
                <w:color w:val="000000"/>
                <w:sz w:val="16"/>
                <w:szCs w:val="16"/>
              </w:rPr>
              <w:t xml:space="preserve"> obyvatel krajů ČR negat</w:t>
            </w:r>
            <w:r w:rsidR="006A23BA">
              <w:rPr>
                <w:color w:val="000000"/>
                <w:sz w:val="16"/>
                <w:szCs w:val="16"/>
              </w:rPr>
              <w:t>ivně - ty meziročně neklesly pouze v Jihomoravském kraji, K</w:t>
            </w:r>
            <w:r>
              <w:rPr>
                <w:color w:val="000000"/>
                <w:sz w:val="16"/>
                <w:szCs w:val="16"/>
              </w:rPr>
              <w:t xml:space="preserve">raji Vysočina a v Karlovarském kraji  </w:t>
            </w:r>
          </w:p>
        </w:tc>
        <w:tc>
          <w:tcPr>
            <w:tcW w:w="139" w:type="pct"/>
          </w:tcPr>
          <w:p w:rsidR="005D5A35" w:rsidRDefault="005D5A35" w:rsidP="00121167">
            <w:pPr>
              <w:pStyle w:val="Textpoznpodarou"/>
              <w:jc w:val="both"/>
            </w:pPr>
          </w:p>
        </w:tc>
        <w:tc>
          <w:tcPr>
            <w:tcW w:w="3819" w:type="pct"/>
          </w:tcPr>
          <w:p w:rsidR="005D5A35" w:rsidRPr="00241C02" w:rsidRDefault="005D5A35" w:rsidP="00121167">
            <w:pPr>
              <w:pStyle w:val="Textpoznpodarou"/>
              <w:jc w:val="both"/>
              <w:rPr>
                <w:color w:val="000000"/>
              </w:rPr>
            </w:pPr>
            <w:r w:rsidRPr="00241C02">
              <w:rPr>
                <w:color w:val="000000"/>
              </w:rPr>
              <w:t>Rok 2013 jako druhý rok recese, poznamena</w:t>
            </w:r>
            <w:r w:rsidR="00D24DA0">
              <w:rPr>
                <w:color w:val="000000"/>
              </w:rPr>
              <w:t>l</w:t>
            </w:r>
            <w:r w:rsidRPr="00241C02">
              <w:rPr>
                <w:color w:val="000000"/>
              </w:rPr>
              <w:t xml:space="preserve"> příjmy domácností negativně - čistý disponibilní důchod na obyvatele u většiny krajů meziročně klesl s</w:t>
            </w:r>
            <w:r w:rsidR="006A23BA">
              <w:rPr>
                <w:color w:val="000000"/>
              </w:rPr>
              <w:t> </w:t>
            </w:r>
            <w:r w:rsidRPr="00241C02">
              <w:rPr>
                <w:color w:val="000000"/>
              </w:rPr>
              <w:t>výjimkou</w:t>
            </w:r>
            <w:r w:rsidR="006A23BA">
              <w:rPr>
                <w:color w:val="000000"/>
              </w:rPr>
              <w:t xml:space="preserve"> </w:t>
            </w:r>
            <w:r w:rsidRPr="00241C02">
              <w:rPr>
                <w:color w:val="000000"/>
              </w:rPr>
              <w:t>J</w:t>
            </w:r>
            <w:r w:rsidR="00D24DA0">
              <w:rPr>
                <w:color w:val="000000"/>
              </w:rPr>
              <w:t>ihomoravského kraje (+0,2 %) a K</w:t>
            </w:r>
            <w:r w:rsidRPr="00241C02">
              <w:rPr>
                <w:color w:val="000000"/>
              </w:rPr>
              <w:t xml:space="preserve">raje Vysočina (+0,7 %), resp. stagnace v Karlovarském kraji (0,1 %). Ovšem nominální HDP na obyvatele takovýto vývoj nezaznamenal – naopak, většina krajů ČR vykázala jeho meziroční růst. </w:t>
            </w:r>
          </w:p>
          <w:p w:rsidR="005D5A35" w:rsidRPr="00241C02" w:rsidRDefault="005D5A35" w:rsidP="00121167">
            <w:pPr>
              <w:pStyle w:val="Textpoznpodarou"/>
              <w:jc w:val="both"/>
              <w:rPr>
                <w:color w:val="000000"/>
              </w:rPr>
            </w:pPr>
          </w:p>
          <w:p w:rsidR="005D5A35" w:rsidRPr="00241C02" w:rsidRDefault="005D5A35" w:rsidP="001C573E">
            <w:pPr>
              <w:pStyle w:val="Textpoznpodarou"/>
              <w:jc w:val="both"/>
              <w:rPr>
                <w:color w:val="000000"/>
              </w:rPr>
            </w:pPr>
            <w:r w:rsidRPr="00241C02">
              <w:rPr>
                <w:color w:val="000000"/>
              </w:rPr>
              <w:t xml:space="preserve">Z toho plyne, že obecně mohou být změny HDP výraznější než změny v čistém disponibilním </w:t>
            </w:r>
            <w:r w:rsidR="004C6ED6">
              <w:rPr>
                <w:color w:val="000000"/>
              </w:rPr>
              <w:t>důchodu, což je patrné z grafu 7</w:t>
            </w:r>
            <w:r w:rsidRPr="00241C02">
              <w:rPr>
                <w:color w:val="000000"/>
              </w:rPr>
              <w:t>, který ukazuje rozdíly mezi oběma veličinami v přepočtu na obyvatele jednak v nominálním vyjádření, jednak v odlišných tempech v roce 2013. Nejmarkantnějším příkladem je hlavní město Praha, kde nominální HDP v přepočtu na obyvatele činil 816 tisíc korun, ale čistý disponibilní důchod na obyvatele 258 tis. korun.</w:t>
            </w:r>
          </w:p>
          <w:p w:rsidR="005D5A35" w:rsidRPr="00241C02" w:rsidRDefault="005D5A35" w:rsidP="001C573E">
            <w:pPr>
              <w:pStyle w:val="Textpoznpodarou"/>
              <w:jc w:val="both"/>
              <w:rPr>
                <w:color w:val="000000"/>
                <w:spacing w:val="-2"/>
              </w:rPr>
            </w:pPr>
            <w:r>
              <w:rPr>
                <w:color w:val="000000"/>
                <w:spacing w:val="-2"/>
              </w:rPr>
              <w:t xml:space="preserve"> </w:t>
            </w:r>
          </w:p>
        </w:tc>
      </w:tr>
    </w:tbl>
    <w:p w:rsidR="005D5A35" w:rsidRDefault="005D5A35" w:rsidP="00241C02">
      <w:pPr>
        <w:spacing w:line="240" w:lineRule="auto"/>
        <w:jc w:val="both"/>
        <w:rPr>
          <w:b/>
          <w:szCs w:val="20"/>
        </w:rPr>
      </w:pPr>
      <w:r w:rsidRPr="00241C02">
        <w:rPr>
          <w:szCs w:val="20"/>
        </w:rPr>
        <w:t xml:space="preserve">Graf č. </w:t>
      </w:r>
      <w:r w:rsidR="00F55CC2" w:rsidRPr="00241C02">
        <w:rPr>
          <w:szCs w:val="20"/>
        </w:rPr>
        <w:t>7</w:t>
      </w:r>
      <w:r w:rsidRPr="00241C02">
        <w:rPr>
          <w:szCs w:val="20"/>
        </w:rPr>
        <w:t>:</w:t>
      </w:r>
      <w:r>
        <w:rPr>
          <w:b/>
          <w:szCs w:val="20"/>
        </w:rPr>
        <w:t xml:space="preserve"> Rozdíly v přírůstcích/dynamice čistého disponibilního důchodu domácností/</w:t>
      </w:r>
      <w:proofErr w:type="spellStart"/>
      <w:r>
        <w:rPr>
          <w:b/>
          <w:szCs w:val="20"/>
        </w:rPr>
        <w:t>obyv</w:t>
      </w:r>
      <w:proofErr w:type="spellEnd"/>
      <w:r>
        <w:rPr>
          <w:b/>
          <w:szCs w:val="20"/>
        </w:rPr>
        <w:t>. a</w:t>
      </w:r>
      <w:r w:rsidR="00241C02">
        <w:rPr>
          <w:b/>
          <w:szCs w:val="20"/>
        </w:rPr>
        <w:t> </w:t>
      </w:r>
      <w:r>
        <w:rPr>
          <w:b/>
          <w:szCs w:val="20"/>
        </w:rPr>
        <w:t>HDP/</w:t>
      </w:r>
      <w:proofErr w:type="spellStart"/>
      <w:r>
        <w:rPr>
          <w:b/>
          <w:szCs w:val="20"/>
        </w:rPr>
        <w:t>obyv</w:t>
      </w:r>
      <w:proofErr w:type="spellEnd"/>
      <w:r>
        <w:rPr>
          <w:b/>
          <w:szCs w:val="20"/>
        </w:rPr>
        <w:t xml:space="preserve">. v roce 2013 </w:t>
      </w:r>
      <w:r>
        <w:rPr>
          <w:szCs w:val="20"/>
        </w:rPr>
        <w:t>(nominální rozdíl v tis. korun, rozdíl procentních růstů vyjádřený v </w:t>
      </w:r>
      <w:proofErr w:type="spellStart"/>
      <w:r>
        <w:rPr>
          <w:szCs w:val="20"/>
        </w:rPr>
        <w:t>pb</w:t>
      </w:r>
      <w:proofErr w:type="spellEnd"/>
      <w:r>
        <w:rPr>
          <w:szCs w:val="20"/>
        </w:rPr>
        <w:t>.)</w:t>
      </w:r>
      <w:r>
        <w:rPr>
          <w:b/>
          <w:szCs w:val="20"/>
        </w:rPr>
        <w:t xml:space="preserve"> </w:t>
      </w:r>
    </w:p>
    <w:p w:rsidR="005D5A35" w:rsidRPr="0094760E" w:rsidRDefault="005D5A35" w:rsidP="0094760E">
      <w:pPr>
        <w:spacing w:line="240" w:lineRule="auto"/>
        <w:rPr>
          <w:b/>
          <w:sz w:val="4"/>
          <w:szCs w:val="4"/>
        </w:rPr>
      </w:pPr>
    </w:p>
    <w:p w:rsidR="005D5A35" w:rsidRDefault="00513C6F" w:rsidP="00063BCF">
      <w:pPr>
        <w:jc w:val="center"/>
        <w:rPr>
          <w:b/>
          <w:sz w:val="24"/>
        </w:rPr>
      </w:pPr>
      <w:r w:rsidRPr="00513C6F">
        <w:rPr>
          <w:b/>
          <w:noProof/>
          <w:sz w:val="24"/>
        </w:rPr>
        <w:pict>
          <v:shape id="_x0000_i1124" type="#_x0000_t75" style="width:392.25pt;height:180.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">
            <v:imagedata r:id="rId116" o:title="" cropbottom="-83f"/>
            <o:lock v:ext="edit" aspectratio="f"/>
          </v:shape>
        </w:pict>
      </w:r>
    </w:p>
    <w:p w:rsidR="005D5A35" w:rsidRDefault="00540BBC" w:rsidP="0094760E">
      <w:pPr>
        <w:jc w:val="right"/>
        <w:rPr>
          <w:sz w:val="18"/>
          <w:szCs w:val="18"/>
        </w:rPr>
      </w:pPr>
      <w:r>
        <w:rPr>
          <w:sz w:val="18"/>
          <w:szCs w:val="18"/>
        </w:rPr>
        <w:t>Zdroj</w:t>
      </w:r>
      <w:r w:rsidR="005D5A35" w:rsidRPr="001E0BE1">
        <w:rPr>
          <w:sz w:val="18"/>
          <w:szCs w:val="18"/>
        </w:rPr>
        <w:t>: ČSÚ</w:t>
      </w:r>
    </w:p>
    <w:p w:rsidR="00241C02" w:rsidRDefault="00241C02" w:rsidP="0094760E">
      <w:pPr>
        <w:jc w:val="right"/>
        <w:rPr>
          <w:sz w:val="16"/>
          <w:szCs w:val="16"/>
        </w:rPr>
      </w:pPr>
    </w:p>
    <w:p w:rsidR="00241C02" w:rsidRDefault="00241C02" w:rsidP="0094760E">
      <w:pPr>
        <w:jc w:val="right"/>
        <w:rPr>
          <w:sz w:val="16"/>
          <w:szCs w:val="16"/>
        </w:rPr>
      </w:pPr>
    </w:p>
    <w:tbl>
      <w:tblPr>
        <w:tblW w:w="5043" w:type="pct"/>
        <w:tblInd w:w="-42" w:type="dxa"/>
        <w:tblCellMar>
          <w:left w:w="28" w:type="dxa"/>
          <w:right w:w="28" w:type="dxa"/>
        </w:tblCellMar>
        <w:tblLook w:val="00A0"/>
      </w:tblPr>
      <w:tblGrid>
        <w:gridCol w:w="2037"/>
        <w:gridCol w:w="272"/>
        <w:gridCol w:w="7468"/>
      </w:tblGrid>
      <w:tr w:rsidR="001804ED" w:rsidRPr="00FA57FD" w:rsidTr="001804ED">
        <w:tc>
          <w:tcPr>
            <w:tcW w:w="1042" w:type="pct"/>
          </w:tcPr>
          <w:p w:rsidR="001804ED" w:rsidRDefault="009F3FD0" w:rsidP="009F3FD0">
            <w:pPr>
              <w:spacing w:line="240" w:lineRule="auto"/>
              <w:rPr>
                <w:color w:val="000000"/>
                <w:sz w:val="16"/>
                <w:szCs w:val="16"/>
              </w:rPr>
            </w:pPr>
            <w:r>
              <w:rPr>
                <w:color w:val="000000"/>
                <w:sz w:val="16"/>
                <w:szCs w:val="16"/>
              </w:rPr>
              <w:lastRenderedPageBreak/>
              <w:t>Několik rovin regionálních disparit</w:t>
            </w:r>
            <w:r w:rsidR="001804ED">
              <w:rPr>
                <w:color w:val="000000"/>
                <w:sz w:val="16"/>
                <w:szCs w:val="16"/>
              </w:rPr>
              <w:t xml:space="preserve"> </w:t>
            </w:r>
            <w:r>
              <w:rPr>
                <w:color w:val="000000"/>
                <w:sz w:val="16"/>
                <w:szCs w:val="16"/>
              </w:rPr>
              <w:t>…</w:t>
            </w:r>
          </w:p>
        </w:tc>
        <w:tc>
          <w:tcPr>
            <w:tcW w:w="139" w:type="pct"/>
          </w:tcPr>
          <w:p w:rsidR="001804ED" w:rsidRDefault="001804ED" w:rsidP="001804ED">
            <w:pPr>
              <w:pStyle w:val="Textpoznpodarou"/>
              <w:jc w:val="both"/>
            </w:pPr>
          </w:p>
        </w:tc>
        <w:tc>
          <w:tcPr>
            <w:tcW w:w="3819" w:type="pct"/>
          </w:tcPr>
          <w:p w:rsidR="001804ED" w:rsidRPr="00241C02" w:rsidRDefault="001804ED" w:rsidP="001804ED">
            <w:pPr>
              <w:pStyle w:val="Textpoznpodarou"/>
              <w:jc w:val="both"/>
              <w:rPr>
                <w:color w:val="000000"/>
              </w:rPr>
            </w:pPr>
            <w:r w:rsidRPr="00241C02">
              <w:rPr>
                <w:color w:val="000000"/>
              </w:rPr>
              <w:t>V úhrnu lze říci, že regionální disparity se v České republice projevují v několika rovinách – především ve výlučnos</w:t>
            </w:r>
            <w:r w:rsidR="009F3FD0" w:rsidRPr="00241C02">
              <w:rPr>
                <w:color w:val="000000"/>
              </w:rPr>
              <w:t>ti postavení hlavní města a tak</w:t>
            </w:r>
            <w:r w:rsidRPr="00241C02">
              <w:rPr>
                <w:color w:val="000000"/>
              </w:rPr>
              <w:t>é v</w:t>
            </w:r>
            <w:r w:rsidR="00D74A6A">
              <w:rPr>
                <w:color w:val="000000"/>
              </w:rPr>
              <w:t> </w:t>
            </w:r>
            <w:r w:rsidRPr="00241C02">
              <w:rPr>
                <w:color w:val="000000"/>
              </w:rPr>
              <w:t xml:space="preserve">diferencovaných rozdílech (i jejich změnách v čase) u jednotlivých krajů pokud jde o růst HDP na obyvatele a čistého disponibilního důchodu na obyvatele (platí však jen částečně, že chudé kraje se stávají ještě chudšími a bohaté ještě bohatšími). Dalším zjištěním je </w:t>
            </w:r>
            <w:r w:rsidR="009F3FD0" w:rsidRPr="00241C02">
              <w:rPr>
                <w:color w:val="000000"/>
              </w:rPr>
              <w:t xml:space="preserve">např. </w:t>
            </w:r>
            <w:r w:rsidRPr="00241C02">
              <w:rPr>
                <w:color w:val="000000"/>
              </w:rPr>
              <w:t>významné zhoršení pozice (příjmové i ve vytvořeném HDP na obyvatele) u Jihočeského a Ústeckého kraje, které byly v roce 1995 třetím resp. pátým příjmově „nejbohatším“ krajem ČR.</w:t>
            </w:r>
            <w:r w:rsidR="009F3FD0" w:rsidRPr="00241C02">
              <w:rPr>
                <w:color w:val="000000"/>
              </w:rPr>
              <w:t xml:space="preserve"> U nich více než v ostatních regionech platí, že důvodem je především změna ekonomické struktury s dopady do sociální oblasti.</w:t>
            </w:r>
          </w:p>
          <w:p w:rsidR="001804ED" w:rsidRPr="00241C02" w:rsidRDefault="001804ED" w:rsidP="001804ED">
            <w:pPr>
              <w:pStyle w:val="Textpoznpodarou"/>
              <w:jc w:val="both"/>
              <w:rPr>
                <w:color w:val="000000"/>
              </w:rPr>
            </w:pPr>
          </w:p>
        </w:tc>
      </w:tr>
      <w:tr w:rsidR="001804ED" w:rsidRPr="00FA57FD" w:rsidTr="001804ED">
        <w:tc>
          <w:tcPr>
            <w:tcW w:w="1042" w:type="pct"/>
          </w:tcPr>
          <w:p w:rsidR="001804ED" w:rsidRDefault="009F3FD0" w:rsidP="001804ED">
            <w:pPr>
              <w:spacing w:line="240" w:lineRule="auto"/>
              <w:rPr>
                <w:color w:val="000000"/>
                <w:sz w:val="16"/>
                <w:szCs w:val="16"/>
              </w:rPr>
            </w:pPr>
            <w:r>
              <w:rPr>
                <w:color w:val="000000"/>
                <w:sz w:val="16"/>
                <w:szCs w:val="16"/>
              </w:rPr>
              <w:t>… a faktory, které je ovlivňují</w:t>
            </w:r>
          </w:p>
        </w:tc>
        <w:tc>
          <w:tcPr>
            <w:tcW w:w="139" w:type="pct"/>
          </w:tcPr>
          <w:p w:rsidR="001804ED" w:rsidRDefault="001804ED" w:rsidP="001804ED">
            <w:pPr>
              <w:pStyle w:val="Textpoznpodarou"/>
              <w:jc w:val="both"/>
            </w:pPr>
          </w:p>
        </w:tc>
        <w:tc>
          <w:tcPr>
            <w:tcW w:w="3819" w:type="pct"/>
          </w:tcPr>
          <w:p w:rsidR="001804ED" w:rsidRPr="00241C02" w:rsidRDefault="001804ED" w:rsidP="009F3FD0">
            <w:pPr>
              <w:pStyle w:val="Textpoznpodarou"/>
              <w:jc w:val="both"/>
              <w:rPr>
                <w:color w:val="000000"/>
              </w:rPr>
            </w:pPr>
            <w:r w:rsidRPr="00241C02">
              <w:rPr>
                <w:color w:val="000000"/>
              </w:rPr>
              <w:t>Pří</w:t>
            </w:r>
            <w:r w:rsidR="009F3FD0" w:rsidRPr="00241C02">
              <w:rPr>
                <w:color w:val="000000"/>
              </w:rPr>
              <w:t>či</w:t>
            </w:r>
            <w:r w:rsidRPr="00241C02">
              <w:rPr>
                <w:color w:val="000000"/>
              </w:rPr>
              <w:t xml:space="preserve">nou </w:t>
            </w:r>
            <w:r w:rsidR="009F3FD0" w:rsidRPr="00241C02">
              <w:rPr>
                <w:color w:val="000000"/>
              </w:rPr>
              <w:t xml:space="preserve">regionálních </w:t>
            </w:r>
            <w:r w:rsidRPr="00241C02">
              <w:rPr>
                <w:color w:val="000000"/>
              </w:rPr>
              <w:t xml:space="preserve">disparit </w:t>
            </w:r>
            <w:r w:rsidR="009F3FD0" w:rsidRPr="00241C02">
              <w:rPr>
                <w:color w:val="000000"/>
              </w:rPr>
              <w:t>v ČR, tak jak se měnily v čase, je kromě často velmi výrazných změn jejich ekonomické struktury (zániky či významná redukce aktivit např. klíčových průmyslových podniků, aj.) také rozdílná intenzita přílivu přímých zahraničních investic anebo čerpání peněz z evropských fondů. Ve svém důsledku tyto faktory změnily význa</w:t>
            </w:r>
            <w:r w:rsidR="00CE090E" w:rsidRPr="00241C02">
              <w:rPr>
                <w:color w:val="000000"/>
              </w:rPr>
              <w:t xml:space="preserve">mně </w:t>
            </w:r>
            <w:r w:rsidR="009F3FD0" w:rsidRPr="00241C02">
              <w:rPr>
                <w:color w:val="000000"/>
              </w:rPr>
              <w:t xml:space="preserve">do té doby charakteristické rysy mnoha lokalit s dopady do kvality života lidí. </w:t>
            </w:r>
            <w:r w:rsidRPr="00241C02">
              <w:rPr>
                <w:color w:val="000000"/>
              </w:rPr>
              <w:t xml:space="preserve"> </w:t>
            </w:r>
          </w:p>
        </w:tc>
      </w:tr>
    </w:tbl>
    <w:p w:rsidR="00A25E57" w:rsidRDefault="00A25E57" w:rsidP="00354366">
      <w:pPr>
        <w:jc w:val="both"/>
        <w:rPr>
          <w:szCs w:val="20"/>
        </w:rPr>
      </w:pPr>
    </w:p>
    <w:p w:rsidR="00A25E57" w:rsidRPr="00901236" w:rsidRDefault="00A25E57" w:rsidP="00A25E57">
      <w:pPr>
        <w:pStyle w:val="Nadpis2"/>
        <w:numPr>
          <w:ilvl w:val="1"/>
          <w:numId w:val="6"/>
        </w:numPr>
      </w:pPr>
      <w:bookmarkStart w:id="40" w:name="_Toc424903544"/>
      <w:bookmarkStart w:id="41" w:name="_Toc426017682"/>
      <w:r w:rsidRPr="00901236">
        <w:t>Sociální rozdíly</w:t>
      </w:r>
      <w:bookmarkEnd w:id="40"/>
      <w:bookmarkEnd w:id="41"/>
    </w:p>
    <w:p w:rsidR="00A25E57" w:rsidRDefault="00A25E57" w:rsidP="00A25E57">
      <w:pPr>
        <w:spacing w:line="240" w:lineRule="auto"/>
        <w:jc w:val="both"/>
        <w:rPr>
          <w:szCs w:val="20"/>
        </w:rPr>
      </w:pPr>
      <w:r>
        <w:rPr>
          <w:szCs w:val="20"/>
        </w:rPr>
        <w:t>Společenské změny, které přináší přechod na jiný systém – tak jako tomu bylo po roce 1989 i v České republice – jsou spojeny také se změnami v sociální oblasti. Přechod na tržní systém je zpravidla v dalším doprovázen i vyostřením sociálních rozdílů. Pokusme se tedy sledovat, jak se tento fenomén projevoval v České republice, resp. na jeho vyústění podle naposled známých dat.</w:t>
      </w:r>
    </w:p>
    <w:p w:rsidR="00A25E57" w:rsidRPr="00241C02" w:rsidRDefault="00A25E57" w:rsidP="00A25E57">
      <w:pPr>
        <w:spacing w:line="240" w:lineRule="auto"/>
        <w:jc w:val="both"/>
        <w:rPr>
          <w:sz w:val="22"/>
          <w:szCs w:val="22"/>
        </w:rPr>
      </w:pPr>
      <w:r>
        <w:rPr>
          <w:szCs w:val="20"/>
        </w:rPr>
        <w:t xml:space="preserve"> </w:t>
      </w:r>
    </w:p>
    <w:p w:rsidR="00A25E57" w:rsidRPr="00901236" w:rsidRDefault="00A25E57" w:rsidP="00A25E57">
      <w:pPr>
        <w:pStyle w:val="Nadpis3"/>
        <w:numPr>
          <w:ilvl w:val="2"/>
          <w:numId w:val="6"/>
        </w:numPr>
      </w:pPr>
      <w:bookmarkStart w:id="42" w:name="_Toc424903545"/>
      <w:bookmarkStart w:id="43" w:name="_Toc426017683"/>
      <w:r w:rsidRPr="00901236">
        <w:t>Změny ve struktuře disponibilních příjmů domácností</w:t>
      </w:r>
      <w:bookmarkEnd w:id="42"/>
      <w:bookmarkEnd w:id="43"/>
    </w:p>
    <w:tbl>
      <w:tblPr>
        <w:tblW w:w="5043" w:type="pct"/>
        <w:tblInd w:w="-42" w:type="dxa"/>
        <w:tblCellMar>
          <w:left w:w="28" w:type="dxa"/>
          <w:right w:w="28" w:type="dxa"/>
        </w:tblCellMar>
        <w:tblLook w:val="00A0"/>
      </w:tblPr>
      <w:tblGrid>
        <w:gridCol w:w="2037"/>
        <w:gridCol w:w="272"/>
        <w:gridCol w:w="7468"/>
      </w:tblGrid>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Struktura komplexních příjmů domácností</w:t>
            </w:r>
          </w:p>
        </w:tc>
        <w:tc>
          <w:tcPr>
            <w:tcW w:w="139" w:type="pct"/>
          </w:tcPr>
          <w:p w:rsidR="00A25E57" w:rsidRDefault="00A25E57" w:rsidP="00072F46">
            <w:pPr>
              <w:pStyle w:val="Textpoznpodarou"/>
              <w:jc w:val="both"/>
            </w:pPr>
          </w:p>
        </w:tc>
        <w:tc>
          <w:tcPr>
            <w:tcW w:w="3819" w:type="pct"/>
          </w:tcPr>
          <w:p w:rsidR="00A25E57" w:rsidRPr="00241C02" w:rsidRDefault="00A25E57" w:rsidP="00072F46">
            <w:pPr>
              <w:pStyle w:val="Textpoznpodarou"/>
              <w:jc w:val="both"/>
              <w:rPr>
                <w:color w:val="000000"/>
              </w:rPr>
            </w:pPr>
            <w:r w:rsidRPr="00241C02">
              <w:rPr>
                <w:color w:val="000000"/>
              </w:rPr>
              <w:t>Příjmy lid</w:t>
            </w:r>
            <w:r w:rsidR="00D24DA0">
              <w:rPr>
                <w:color w:val="000000"/>
              </w:rPr>
              <w:t>í</w:t>
            </w:r>
            <w:r w:rsidRPr="00241C02">
              <w:rPr>
                <w:color w:val="000000"/>
              </w:rPr>
              <w:t xml:space="preserve"> v jejich “komplexní“ podobě lze sledovat na </w:t>
            </w:r>
            <w:proofErr w:type="spellStart"/>
            <w:r w:rsidRPr="00241C02">
              <w:rPr>
                <w:color w:val="000000"/>
              </w:rPr>
              <w:t>makroúrovni</w:t>
            </w:r>
            <w:proofErr w:type="spellEnd"/>
            <w:r w:rsidRPr="00241C02">
              <w:rPr>
                <w:color w:val="000000"/>
              </w:rPr>
              <w:t xml:space="preserve"> podle disponibilního důchodu domácností, ukazatele národních účtů konstruovaného v hrubém a čistém vyjádření (zde se zohledněním spotřeby kapitálu).  Disponibilní důchod domácností sestává -</w:t>
            </w:r>
            <w:r>
              <w:rPr>
                <w:color w:val="000000"/>
              </w:rPr>
              <w:t xml:space="preserve"> jak již bylo naznačeno v kap. 6</w:t>
            </w:r>
            <w:r w:rsidRPr="00241C02">
              <w:rPr>
                <w:color w:val="000000"/>
              </w:rPr>
              <w:t>.1.</w:t>
            </w:r>
            <w:r>
              <w:rPr>
                <w:color w:val="000000"/>
              </w:rPr>
              <w:t>2.</w:t>
            </w:r>
            <w:r w:rsidRPr="00241C02">
              <w:rPr>
                <w:color w:val="000000"/>
              </w:rPr>
              <w:t xml:space="preserve"> - nejen z mezd a</w:t>
            </w:r>
            <w:r>
              <w:rPr>
                <w:color w:val="000000"/>
              </w:rPr>
              <w:t> </w:t>
            </w:r>
            <w:r w:rsidRPr="00241C02">
              <w:rPr>
                <w:color w:val="000000"/>
              </w:rPr>
              <w:t xml:space="preserve">platů, ale také z příjmů z podnikání, čistých příjmů z majetku a salda z přerozdělení (tj. čistých sociálních příjmů). </w:t>
            </w:r>
          </w:p>
          <w:p w:rsidR="00A25E57" w:rsidRPr="00241C02" w:rsidRDefault="00A25E57" w:rsidP="00072F46">
            <w:pPr>
              <w:pStyle w:val="Textpoznpodarou"/>
              <w:jc w:val="both"/>
              <w:rPr>
                <w:color w:val="000000"/>
              </w:rPr>
            </w:pPr>
            <w:r w:rsidRPr="00241C02">
              <w:rPr>
                <w:color w:val="000000"/>
              </w:rPr>
              <w:t xml:space="preserve"> </w:t>
            </w: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 xml:space="preserve">Za roky 1999-2014 se hrubý disponibilní důchod domácností ČR zvýšil o čtyři pětiny na dva a čtvrt bilionu korun, za roky 2004-2014 o dvě pětiny </w:t>
            </w:r>
          </w:p>
        </w:tc>
        <w:tc>
          <w:tcPr>
            <w:tcW w:w="139" w:type="pct"/>
          </w:tcPr>
          <w:p w:rsidR="00A25E57" w:rsidRDefault="00A25E57" w:rsidP="00072F46">
            <w:pPr>
              <w:pStyle w:val="Textpoznpodarou"/>
              <w:jc w:val="both"/>
            </w:pPr>
          </w:p>
        </w:tc>
        <w:tc>
          <w:tcPr>
            <w:tcW w:w="3819" w:type="pct"/>
          </w:tcPr>
          <w:p w:rsidR="00A25E57" w:rsidRPr="00241C02" w:rsidRDefault="00A25E57" w:rsidP="00072F46">
            <w:pPr>
              <w:pStyle w:val="Textpoznpodarou"/>
              <w:jc w:val="both"/>
              <w:rPr>
                <w:color w:val="000000"/>
              </w:rPr>
            </w:pPr>
            <w:r w:rsidRPr="00241C02">
              <w:rPr>
                <w:color w:val="000000"/>
              </w:rPr>
              <w:t>Růst hrubého disponibilního důchodu domác</w:t>
            </w:r>
            <w:r>
              <w:rPr>
                <w:color w:val="000000"/>
              </w:rPr>
              <w:t>ností v běžných cenách (graf 8</w:t>
            </w:r>
            <w:r w:rsidRPr="00241C02">
              <w:rPr>
                <w:color w:val="000000"/>
              </w:rPr>
              <w:t>) sledovaný k bázi roku 1999</w:t>
            </w:r>
            <w:r w:rsidR="00D24DA0">
              <w:rPr>
                <w:color w:val="000000"/>
              </w:rPr>
              <w:t>,</w:t>
            </w:r>
            <w:r w:rsidRPr="00241C02">
              <w:rPr>
                <w:rStyle w:val="Znakapoznpodarou"/>
                <w:color w:val="000000"/>
              </w:rPr>
              <w:footnoteReference w:id="16"/>
            </w:r>
            <w:r w:rsidRPr="00241C02">
              <w:rPr>
                <w:color w:val="000000"/>
              </w:rPr>
              <w:t xml:space="preserve"> resp. 2004, ukazuje, že v letech 1999-2014 stouply tyto komplexní příjmy domácností o téměř čtyři pětiny</w:t>
            </w:r>
            <w:r>
              <w:rPr>
                <w:color w:val="000000"/>
              </w:rPr>
              <w:t xml:space="preserve"> (+79,3 % na 2 259,8 mld. korun</w:t>
            </w:r>
            <w:r w:rsidRPr="00241C02">
              <w:rPr>
                <w:color w:val="000000"/>
              </w:rPr>
              <w:t>). Významnou část tohoto růstu lze však identifikovat právě prvními roky nového milénia, neboť naopak za léta 2004-2014 - tedy v období členství České republiky v EU - činil přírůstek hrubého disponibilního důchodu domácností +38,7</w:t>
            </w:r>
            <w:r>
              <w:rPr>
                <w:color w:val="000000"/>
              </w:rPr>
              <w:t> </w:t>
            </w:r>
            <w:r w:rsidRPr="00241C02">
              <w:rPr>
                <w:color w:val="000000"/>
              </w:rPr>
              <w:t>% a představoval tak fakticky polovinu celého růstu za roky 1999-2014. Roli však hraje i postupně rostoucí základna.</w:t>
            </w:r>
          </w:p>
          <w:p w:rsidR="00A25E57" w:rsidRPr="00241C02" w:rsidRDefault="00A25E57" w:rsidP="00072F46">
            <w:pPr>
              <w:pStyle w:val="Textpoznpodarou"/>
              <w:jc w:val="both"/>
              <w:rPr>
                <w:color w:val="000000"/>
              </w:rPr>
            </w:pP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Náhrady zaměstnancům se za roky 1999-2014 zdvojnásobily, příjmy z podnikání byly vyšší o polovinu a čisté příjmy z majetku o čtvrtinu</w:t>
            </w:r>
          </w:p>
        </w:tc>
        <w:tc>
          <w:tcPr>
            <w:tcW w:w="139" w:type="pct"/>
          </w:tcPr>
          <w:p w:rsidR="00A25E57" w:rsidRDefault="00A25E57" w:rsidP="00072F46">
            <w:pPr>
              <w:pStyle w:val="Textpoznpodarou"/>
              <w:jc w:val="both"/>
            </w:pPr>
          </w:p>
        </w:tc>
        <w:tc>
          <w:tcPr>
            <w:tcW w:w="3819" w:type="pct"/>
          </w:tcPr>
          <w:p w:rsidR="00A25E57" w:rsidRPr="00241C02" w:rsidRDefault="00A25E57" w:rsidP="00072F46">
            <w:pPr>
              <w:pStyle w:val="Textpoznpodarou"/>
              <w:jc w:val="both"/>
              <w:rPr>
                <w:color w:val="000000"/>
              </w:rPr>
            </w:pPr>
            <w:r w:rsidRPr="00241C02">
              <w:rPr>
                <w:color w:val="000000"/>
              </w:rPr>
              <w:t>Co se týká složek hrubého disponibilního důchodu domácností (graf 8), pak příjmy ze závislé činnosti ve formě náhrad zaměstnancům se za roky 1999-2014 prakticky zdvojnásobily (+97,5 % na 1 712,3 mld. korun). Naproti tomu ale příjmy domácností z podnikání stouply jen o polovinu (+51,3 % na 674,9 mld.) a čisté příjmy z majetku o zhruba čtvrtinu (+26,7 % na 124 mld. korun). Čisté sociální příjmy domácností jako saldo z přerozdělení byly v roce 2014 vyšší oproti roku 1999 o dvě třetiny</w:t>
            </w:r>
            <w:r>
              <w:rPr>
                <w:color w:val="000000"/>
              </w:rPr>
              <w:t> </w:t>
            </w:r>
            <w:r w:rsidRPr="00241C02">
              <w:rPr>
                <w:color w:val="000000"/>
              </w:rPr>
              <w:t>(67,2</w:t>
            </w:r>
            <w:r>
              <w:rPr>
                <w:color w:val="000000"/>
              </w:rPr>
              <w:t> </w:t>
            </w:r>
            <w:r w:rsidRPr="00241C02">
              <w:rPr>
                <w:color w:val="000000"/>
              </w:rPr>
              <w:t>%), což v roce 2014 představovalo úroveň záporného salda ve výši 252 mld. korun.</w:t>
            </w:r>
          </w:p>
        </w:tc>
      </w:tr>
    </w:tbl>
    <w:p w:rsidR="00A25E57" w:rsidRDefault="00A25E57" w:rsidP="00A25E57">
      <w:pPr>
        <w:rPr>
          <w:szCs w:val="20"/>
        </w:rPr>
      </w:pPr>
    </w:p>
    <w:p w:rsidR="00A25E57" w:rsidRDefault="00A25E57" w:rsidP="00A25E57">
      <w:pPr>
        <w:rPr>
          <w:szCs w:val="20"/>
        </w:rPr>
      </w:pPr>
    </w:p>
    <w:p w:rsidR="00A25E57" w:rsidRDefault="00A25E57" w:rsidP="00A25E57">
      <w:pPr>
        <w:rPr>
          <w:szCs w:val="20"/>
        </w:rPr>
      </w:pPr>
    </w:p>
    <w:p w:rsidR="00A25E57" w:rsidRDefault="00A25E57" w:rsidP="00A25E57">
      <w:pPr>
        <w:rPr>
          <w:szCs w:val="20"/>
        </w:rPr>
      </w:pPr>
    </w:p>
    <w:p w:rsidR="00A25E57" w:rsidRDefault="00A25E57" w:rsidP="00A25E57">
      <w:pPr>
        <w:rPr>
          <w:szCs w:val="20"/>
        </w:rPr>
      </w:pPr>
    </w:p>
    <w:p w:rsidR="00A25E57" w:rsidRDefault="00A25E57" w:rsidP="00A25E57">
      <w:pPr>
        <w:rPr>
          <w:szCs w:val="20"/>
        </w:rPr>
      </w:pPr>
    </w:p>
    <w:p w:rsidR="00A25E57" w:rsidRDefault="00A25E57" w:rsidP="00A25E57">
      <w:pPr>
        <w:rPr>
          <w:szCs w:val="20"/>
        </w:rPr>
      </w:pPr>
    </w:p>
    <w:p w:rsidR="00A25E57" w:rsidRDefault="00A25E57" w:rsidP="00A25E57">
      <w:pPr>
        <w:rPr>
          <w:szCs w:val="20"/>
        </w:rPr>
      </w:pPr>
    </w:p>
    <w:p w:rsidR="00A25E57" w:rsidRPr="00375F77" w:rsidRDefault="00A25E57" w:rsidP="00A25E57">
      <w:pPr>
        <w:jc w:val="both"/>
        <w:rPr>
          <w:noProof/>
          <w:szCs w:val="20"/>
        </w:rPr>
      </w:pPr>
      <w:r w:rsidRPr="00241C02">
        <w:rPr>
          <w:noProof/>
          <w:szCs w:val="20"/>
        </w:rPr>
        <w:lastRenderedPageBreak/>
        <w:t>Graf č. 8:</w:t>
      </w:r>
      <w:r>
        <w:rPr>
          <w:b/>
          <w:noProof/>
          <w:szCs w:val="20"/>
        </w:rPr>
        <w:t xml:space="preserve"> Struktura hrubého disponibilního důchodu domácností v letech 2000-2014 </w:t>
      </w:r>
      <w:r>
        <w:rPr>
          <w:noProof/>
          <w:szCs w:val="20"/>
        </w:rPr>
        <w:t>(v mil. korun)</w:t>
      </w:r>
    </w:p>
    <w:p w:rsidR="00A25E57" w:rsidRDefault="00513C6F" w:rsidP="00A25E57">
      <w:pPr>
        <w:jc w:val="center"/>
        <w:rPr>
          <w:b/>
          <w:noProof/>
          <w:sz w:val="24"/>
        </w:rPr>
      </w:pPr>
      <w:r w:rsidRPr="00513C6F">
        <w:rPr>
          <w:b/>
          <w:noProof/>
          <w:sz w:val="24"/>
        </w:rPr>
        <w:pict>
          <v:shape id="_x0000_i1125" type="#_x0000_t75" style="width:418.5pt;height:17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">
            <v:imagedata r:id="rId117" o:title=""/>
            <o:lock v:ext="edit" aspectratio="f"/>
          </v:shape>
        </w:pict>
      </w:r>
    </w:p>
    <w:p w:rsidR="00A25E57" w:rsidRDefault="00A25E57" w:rsidP="00A25E57">
      <w:pPr>
        <w:jc w:val="right"/>
        <w:rPr>
          <w:sz w:val="18"/>
          <w:szCs w:val="18"/>
        </w:rPr>
      </w:pPr>
      <w:r>
        <w:rPr>
          <w:sz w:val="18"/>
          <w:szCs w:val="18"/>
        </w:rPr>
        <w:t>Zdroj</w:t>
      </w:r>
      <w:r w:rsidRPr="00375F77">
        <w:rPr>
          <w:sz w:val="18"/>
          <w:szCs w:val="18"/>
        </w:rPr>
        <w:t>: ČSÚ</w:t>
      </w:r>
    </w:p>
    <w:p w:rsidR="00A25E57" w:rsidRDefault="00A25E57" w:rsidP="00A25E57">
      <w:pPr>
        <w:jc w:val="both"/>
        <w:rPr>
          <w:sz w:val="18"/>
          <w:szCs w:val="18"/>
        </w:rPr>
      </w:pPr>
    </w:p>
    <w:tbl>
      <w:tblPr>
        <w:tblW w:w="5043" w:type="pct"/>
        <w:tblInd w:w="-42" w:type="dxa"/>
        <w:tblCellMar>
          <w:left w:w="28" w:type="dxa"/>
          <w:right w:w="28" w:type="dxa"/>
        </w:tblCellMar>
        <w:tblLook w:val="00A0"/>
      </w:tblPr>
      <w:tblGrid>
        <w:gridCol w:w="2037"/>
        <w:gridCol w:w="272"/>
        <w:gridCol w:w="7468"/>
      </w:tblGrid>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Mzdy a platy tvoří více než polovinu příjmů domácností</w:t>
            </w:r>
          </w:p>
        </w:tc>
        <w:tc>
          <w:tcPr>
            <w:tcW w:w="139" w:type="pct"/>
          </w:tcPr>
          <w:p w:rsidR="00A25E57" w:rsidRDefault="00A25E57" w:rsidP="00072F46">
            <w:pPr>
              <w:pStyle w:val="Textpoznpodarou"/>
              <w:jc w:val="both"/>
            </w:pPr>
          </w:p>
        </w:tc>
        <w:tc>
          <w:tcPr>
            <w:tcW w:w="3819" w:type="pct"/>
          </w:tcPr>
          <w:p w:rsidR="00A25E57" w:rsidRDefault="00A25E57" w:rsidP="00072F46">
            <w:pPr>
              <w:pStyle w:val="Textpoznpodarou"/>
              <w:jc w:val="both"/>
              <w:rPr>
                <w:color w:val="000000"/>
                <w:spacing w:val="-2"/>
              </w:rPr>
            </w:pPr>
            <w:r>
              <w:rPr>
                <w:color w:val="000000"/>
                <w:spacing w:val="-2"/>
              </w:rPr>
              <w:t xml:space="preserve">Hlavní příjem domácností tvoří příjmy ze závislé činnosti: mzdy a platy představovaly v roce 2014 víc než polovinu (57 %) hrubého disponibilního důchodu domácností (celé náhrady zaměstnancům se na něm podílely třemi čtvrtinami, tj. ze 75,8 %). Podíl mezd se pohybuje dlouhodobě mezi 50-60 % hrubého disponibilního důchodu (v roce 1999 to bylo 52 %, v roce 2004 pak 56 %). </w:t>
            </w:r>
          </w:p>
          <w:p w:rsidR="00A25E57" w:rsidRPr="00241C02" w:rsidRDefault="00A25E57" w:rsidP="00072F46">
            <w:pPr>
              <w:pStyle w:val="Textpoznpodarou"/>
              <w:jc w:val="both"/>
              <w:rPr>
                <w:color w:val="000000"/>
                <w:spacing w:val="-2"/>
                <w:sz w:val="16"/>
                <w:szCs w:val="16"/>
              </w:rPr>
            </w:pP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Ve struktuře komplexních příjmů domácností narůstá podíl mezd a platů, naopak klesají podíly příjmů z podnikání a čistých příjmů z majetku…</w:t>
            </w:r>
          </w:p>
        </w:tc>
        <w:tc>
          <w:tcPr>
            <w:tcW w:w="139" w:type="pct"/>
          </w:tcPr>
          <w:p w:rsidR="00A25E57" w:rsidRDefault="00A25E57" w:rsidP="00072F46">
            <w:pPr>
              <w:pStyle w:val="Textpoznpodarou"/>
              <w:jc w:val="both"/>
            </w:pPr>
          </w:p>
        </w:tc>
        <w:tc>
          <w:tcPr>
            <w:tcW w:w="3819" w:type="pct"/>
          </w:tcPr>
          <w:p w:rsidR="00A25E57" w:rsidRPr="00FA57FD" w:rsidRDefault="00A25E57" w:rsidP="00072F46">
            <w:pPr>
              <w:pStyle w:val="Textpoznpodarou"/>
              <w:jc w:val="both"/>
              <w:rPr>
                <w:color w:val="000000"/>
                <w:spacing w:val="-2"/>
              </w:rPr>
            </w:pPr>
            <w:r>
              <w:rPr>
                <w:color w:val="000000"/>
                <w:spacing w:val="-2"/>
              </w:rPr>
              <w:t>Zatímco podíl příjmů ze závislé činnosti na výši celkových příjmů domácností v podobě hrubého disponibilního důchodu v čase narůstá, podíl příjmů z podnikání naopak klesá (v letech 1999, 2004 a 2014 to bylo 35,4 %, 34,4 % a 29,9 %), stejně jako v případě příjmů z majetku (pokles podílu ze 7,8 % v roce 1999 na 6,5 % v roce 2004 a 5,5 % v roce 2014).</w:t>
            </w:r>
            <w:r w:rsidRPr="00FA57FD">
              <w:rPr>
                <w:color w:val="000000"/>
                <w:spacing w:val="-2"/>
              </w:rPr>
              <w:t xml:space="preserve"> </w:t>
            </w:r>
          </w:p>
          <w:p w:rsidR="00A25E57" w:rsidRPr="00241C02" w:rsidRDefault="00A25E57" w:rsidP="00072F46">
            <w:pPr>
              <w:pStyle w:val="Textpoznpodarou"/>
              <w:jc w:val="both"/>
              <w:rPr>
                <w:color w:val="000000"/>
                <w:spacing w:val="-2"/>
                <w:sz w:val="18"/>
                <w:szCs w:val="18"/>
              </w:rPr>
            </w:pPr>
            <w:r>
              <w:rPr>
                <w:color w:val="000000"/>
                <w:spacing w:val="-2"/>
              </w:rPr>
              <w:t xml:space="preserve"> </w:t>
            </w: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 přičemž vývoj salda z přerozdělení jako další složky hrubého disponibilního důchodu domácností byl specifický…</w:t>
            </w:r>
          </w:p>
        </w:tc>
        <w:tc>
          <w:tcPr>
            <w:tcW w:w="139" w:type="pct"/>
          </w:tcPr>
          <w:p w:rsidR="00A25E57" w:rsidRDefault="00A25E57" w:rsidP="00072F46">
            <w:pPr>
              <w:pStyle w:val="Textpoznpodarou"/>
              <w:jc w:val="both"/>
            </w:pPr>
          </w:p>
        </w:tc>
        <w:tc>
          <w:tcPr>
            <w:tcW w:w="3819" w:type="pct"/>
          </w:tcPr>
          <w:p w:rsidR="00A25E57" w:rsidRDefault="00A25E57" w:rsidP="00072F46">
            <w:pPr>
              <w:pStyle w:val="Textpoznpodarou"/>
              <w:jc w:val="both"/>
              <w:rPr>
                <w:color w:val="000000"/>
                <w:spacing w:val="-2"/>
              </w:rPr>
            </w:pPr>
            <w:r>
              <w:rPr>
                <w:color w:val="000000"/>
                <w:spacing w:val="-2"/>
              </w:rPr>
              <w:t xml:space="preserve">Zvláštní vývoj ovlivněný sociální politikou státu a reformami zaznamenává saldo z přerozdělení. </w:t>
            </w:r>
          </w:p>
          <w:p w:rsidR="00A25E57" w:rsidRPr="00241C02" w:rsidRDefault="00A25E57" w:rsidP="00072F46">
            <w:pPr>
              <w:pStyle w:val="Textpoznpodarou"/>
              <w:jc w:val="both"/>
              <w:rPr>
                <w:color w:val="000000"/>
                <w:spacing w:val="-2"/>
                <w:sz w:val="16"/>
                <w:szCs w:val="16"/>
              </w:rPr>
            </w:pPr>
          </w:p>
          <w:p w:rsidR="00A25E57" w:rsidRDefault="00A25E57" w:rsidP="00072F46">
            <w:pPr>
              <w:pStyle w:val="Textpoznpodarou"/>
              <w:jc w:val="both"/>
              <w:rPr>
                <w:color w:val="000000"/>
                <w:spacing w:val="-2"/>
              </w:rPr>
            </w:pPr>
            <w:r>
              <w:rPr>
                <w:color w:val="000000"/>
                <w:spacing w:val="-2"/>
              </w:rPr>
              <w:t>Logické převýšení placených daní, sociálních příspěvků</w:t>
            </w:r>
            <w:r>
              <w:rPr>
                <w:rStyle w:val="Znakapoznpodarou"/>
                <w:color w:val="000000"/>
                <w:spacing w:val="-2"/>
              </w:rPr>
              <w:footnoteReference w:id="17"/>
            </w:r>
            <w:r>
              <w:rPr>
                <w:color w:val="000000"/>
                <w:spacing w:val="-2"/>
              </w:rPr>
              <w:t xml:space="preserve"> a ostatních transferů (z pohledu domácností strana užití) nad stranou zdrojů, tj. přijatých sociálních dávek a ostatních transferů, se po roce 1999 výrazně zvětšovalo (z -150 mld. korun v roce 1999 na -154 mld. v roce 2004 a -310 mld. korun v roce 2007). Zjednodušeně řečeno, lidé odváděli sektoru vládních institucí (vč. příspěvků zaměstnavatelů) stále více, než od něj získávali. Je zřejmé, že takovýto vývoj byl umožněn celkov</w:t>
            </w:r>
            <w:r w:rsidR="00D24DA0">
              <w:rPr>
                <w:color w:val="000000"/>
                <w:spacing w:val="-2"/>
              </w:rPr>
              <w:t>ou ekonomickou prosperitou</w:t>
            </w:r>
            <w:r>
              <w:rPr>
                <w:color w:val="000000"/>
                <w:spacing w:val="-2"/>
              </w:rPr>
              <w:t xml:space="preserve">, kdy rostoucí zaměstnanost zejména v období konjunktury posilovala z pohledu rozpočtů výši daňového inkasa i výběr pojistného.   </w:t>
            </w:r>
          </w:p>
          <w:p w:rsidR="00A25E57" w:rsidRPr="00241C02" w:rsidRDefault="00A25E57" w:rsidP="00072F46">
            <w:pPr>
              <w:pStyle w:val="Textpoznpodarou"/>
              <w:jc w:val="both"/>
              <w:rPr>
                <w:color w:val="000000"/>
                <w:spacing w:val="-2"/>
                <w:sz w:val="16"/>
                <w:szCs w:val="16"/>
              </w:rPr>
            </w:pP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 a ovlivněný výrazně legislativními změnami s dopady v roce 2008 a zejména v roce 2009</w:t>
            </w:r>
          </w:p>
        </w:tc>
        <w:tc>
          <w:tcPr>
            <w:tcW w:w="139" w:type="pct"/>
          </w:tcPr>
          <w:p w:rsidR="00A25E57" w:rsidRDefault="00A25E57" w:rsidP="00072F46">
            <w:pPr>
              <w:pStyle w:val="Textpoznpodarou"/>
              <w:jc w:val="both"/>
            </w:pPr>
          </w:p>
        </w:tc>
        <w:tc>
          <w:tcPr>
            <w:tcW w:w="3819" w:type="pct"/>
          </w:tcPr>
          <w:p w:rsidR="00A25E57" w:rsidRPr="001C3178" w:rsidRDefault="00A25E57" w:rsidP="00072F46">
            <w:pPr>
              <w:pStyle w:val="Textpoznpodarou"/>
              <w:jc w:val="both"/>
              <w:rPr>
                <w:color w:val="000000" w:themeColor="text1"/>
                <w:spacing w:val="-6"/>
              </w:rPr>
            </w:pPr>
            <w:r w:rsidRPr="001C3178">
              <w:rPr>
                <w:color w:val="000000" w:themeColor="text1"/>
                <w:spacing w:val="-6"/>
              </w:rPr>
              <w:t xml:space="preserve">V roce 2008 a 2009 po legislativních změnách (zavedení rovné daně a jiná opatření reagující na krizový vývoj roku 2009 týkající se </w:t>
            </w:r>
            <w:proofErr w:type="gramStart"/>
            <w:r w:rsidRPr="001C3178">
              <w:rPr>
                <w:color w:val="000000" w:themeColor="text1"/>
                <w:spacing w:val="-6"/>
              </w:rPr>
              <w:t>sociálního</w:t>
            </w:r>
            <w:proofErr w:type="gramEnd"/>
            <w:r w:rsidRPr="001C3178">
              <w:rPr>
                <w:color w:val="000000" w:themeColor="text1"/>
                <w:spacing w:val="-6"/>
              </w:rPr>
              <w:t xml:space="preserve"> pojistného, úlev živnostníkům, aj.) se zmenšilo záporné saldo z přerozdělení jako složky hrubého disponibilního příjmu domácností. Lidem tak zůstalo - jednoduše řečeno - více peněz (čisté sociální příjmy činily v uvedených letech 291 mld., resp. 210 mld. korun). Od roku 2010 se však toto záporné saldo z přerozdělení opět prohlubuje až na 252 mld. korun v roce 2014.</w:t>
            </w:r>
          </w:p>
          <w:p w:rsidR="00A25E57" w:rsidRPr="00FA57FD" w:rsidRDefault="00A25E57" w:rsidP="00072F46">
            <w:pPr>
              <w:pStyle w:val="Textpoznpodarou"/>
              <w:jc w:val="both"/>
              <w:rPr>
                <w:color w:val="000000"/>
                <w:spacing w:val="-2"/>
              </w:rPr>
            </w:pP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V roce 2014 bylo saldo z přerozdělení, tj. čisté sociální příjmy domácností zhruba stejné jako v roce 2004</w:t>
            </w:r>
          </w:p>
        </w:tc>
        <w:tc>
          <w:tcPr>
            <w:tcW w:w="139" w:type="pct"/>
          </w:tcPr>
          <w:p w:rsidR="00A25E57" w:rsidRDefault="00A25E57" w:rsidP="00072F46">
            <w:pPr>
              <w:pStyle w:val="Textpoznpodarou"/>
              <w:jc w:val="both"/>
            </w:pPr>
          </w:p>
        </w:tc>
        <w:tc>
          <w:tcPr>
            <w:tcW w:w="3819" w:type="pct"/>
          </w:tcPr>
          <w:p w:rsidR="00A25E57" w:rsidRPr="00FA57FD" w:rsidRDefault="00A25E57" w:rsidP="00072F46">
            <w:pPr>
              <w:pStyle w:val="Textpoznpodarou"/>
              <w:jc w:val="both"/>
              <w:rPr>
                <w:color w:val="000000"/>
                <w:spacing w:val="-2"/>
              </w:rPr>
            </w:pPr>
            <w:r>
              <w:rPr>
                <w:color w:val="000000"/>
                <w:spacing w:val="-2"/>
              </w:rPr>
              <w:t xml:space="preserve">Tento vývoj také znamená, že saldo z přerozdělení bylo v roce 2014 na zhruba stejné úrovni, jako v roce 2004, takže celá procentní změna patrná ze srovnání let 2014 a 1999 - záporné saldo z přerozdělení se prohloubilo o dvě třetiny - , připadá na období 1999-2004. </w:t>
            </w:r>
          </w:p>
          <w:p w:rsidR="00A25E57" w:rsidRPr="00FA57FD" w:rsidRDefault="00A25E57" w:rsidP="00072F46">
            <w:pPr>
              <w:pStyle w:val="Textpoznpodarou"/>
              <w:jc w:val="both"/>
              <w:rPr>
                <w:color w:val="000000"/>
                <w:spacing w:val="-2"/>
              </w:rPr>
            </w:pPr>
          </w:p>
        </w:tc>
      </w:tr>
    </w:tbl>
    <w:p w:rsidR="00A25E57" w:rsidRDefault="00A25E57" w:rsidP="00A25E57">
      <w:pPr>
        <w:jc w:val="both"/>
        <w:rPr>
          <w:sz w:val="18"/>
          <w:szCs w:val="18"/>
        </w:rPr>
      </w:pPr>
    </w:p>
    <w:p w:rsidR="00A25E57" w:rsidRPr="00901236" w:rsidRDefault="00A25E57" w:rsidP="00A25E57">
      <w:pPr>
        <w:pStyle w:val="Nadpis3"/>
        <w:numPr>
          <w:ilvl w:val="2"/>
          <w:numId w:val="6"/>
        </w:numPr>
      </w:pPr>
      <w:bookmarkStart w:id="44" w:name="_Toc424903546"/>
      <w:bookmarkStart w:id="45" w:name="_Toc426017684"/>
      <w:r w:rsidRPr="00901236">
        <w:t>Spotřeba a hrubé úspory</w:t>
      </w:r>
      <w:bookmarkEnd w:id="44"/>
      <w:bookmarkEnd w:id="45"/>
    </w:p>
    <w:tbl>
      <w:tblPr>
        <w:tblW w:w="5043" w:type="pct"/>
        <w:tblInd w:w="-42" w:type="dxa"/>
        <w:tblCellMar>
          <w:left w:w="28" w:type="dxa"/>
          <w:right w:w="28" w:type="dxa"/>
        </w:tblCellMar>
        <w:tblLook w:val="00A0"/>
      </w:tblPr>
      <w:tblGrid>
        <w:gridCol w:w="2037"/>
        <w:gridCol w:w="272"/>
        <w:gridCol w:w="7468"/>
      </w:tblGrid>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 xml:space="preserve">V roce 2014 vydali lidé na spotřebu 2 041,5 mld. korun a odložili v podobě </w:t>
            </w:r>
            <w:r>
              <w:rPr>
                <w:color w:val="000000"/>
                <w:sz w:val="16"/>
                <w:szCs w:val="16"/>
              </w:rPr>
              <w:lastRenderedPageBreak/>
              <w:t>hrubých úspor 253,7 mld. korun</w:t>
            </w:r>
          </w:p>
        </w:tc>
        <w:tc>
          <w:tcPr>
            <w:tcW w:w="139" w:type="pct"/>
          </w:tcPr>
          <w:p w:rsidR="00A25E57" w:rsidRDefault="00A25E57" w:rsidP="00072F46">
            <w:pPr>
              <w:pStyle w:val="Textpoznpodarou"/>
              <w:jc w:val="both"/>
            </w:pPr>
          </w:p>
        </w:tc>
        <w:tc>
          <w:tcPr>
            <w:tcW w:w="3819" w:type="pct"/>
          </w:tcPr>
          <w:p w:rsidR="00A25E57" w:rsidRPr="00FA57FD" w:rsidRDefault="00A25E57" w:rsidP="00D24DA0">
            <w:pPr>
              <w:pStyle w:val="Textpoznpodarou"/>
              <w:jc w:val="both"/>
              <w:rPr>
                <w:color w:val="000000"/>
                <w:spacing w:val="-2"/>
              </w:rPr>
            </w:pPr>
            <w:r>
              <w:rPr>
                <w:color w:val="000000"/>
                <w:spacing w:val="-2"/>
              </w:rPr>
              <w:t>Domácnosti užívají své disponibilní příjmy na spotřebu, nespotřebovaná část představuje výši jejich hrubých úspor. Zejména po ro</w:t>
            </w:r>
            <w:r w:rsidR="00D24DA0">
              <w:rPr>
                <w:color w:val="000000"/>
                <w:spacing w:val="-2"/>
              </w:rPr>
              <w:t>ce</w:t>
            </w:r>
            <w:r>
              <w:rPr>
                <w:color w:val="000000"/>
                <w:spacing w:val="-2"/>
              </w:rPr>
              <w:t xml:space="preserve"> 2009 docházelo k významným změnám nejen ve výdajích na konečnou spotřebu, ale i ve vývoji </w:t>
            </w:r>
            <w:r>
              <w:rPr>
                <w:color w:val="000000"/>
                <w:spacing w:val="-2"/>
              </w:rPr>
              <w:lastRenderedPageBreak/>
              <w:t xml:space="preserve">hrubých úspor domácností (graf 9), které většinou meziročně klesaly. Porovnejme však toto období s předchozími čtyřletými periodami (graf 10), které byly pro českou ekonomiku a sektor domácností v několika směrech typické. </w:t>
            </w:r>
            <w:r w:rsidRPr="00FA57FD">
              <w:rPr>
                <w:color w:val="000000"/>
                <w:spacing w:val="-2"/>
              </w:rPr>
              <w:t xml:space="preserve"> </w:t>
            </w:r>
          </w:p>
        </w:tc>
      </w:tr>
    </w:tbl>
    <w:p w:rsidR="00A25E57" w:rsidRPr="0094760E" w:rsidRDefault="00A25E57" w:rsidP="00A25E57">
      <w:pPr>
        <w:rPr>
          <w:b/>
          <w:sz w:val="16"/>
          <w:szCs w:val="16"/>
        </w:rPr>
      </w:pPr>
    </w:p>
    <w:tbl>
      <w:tblPr>
        <w:tblW w:w="5021" w:type="pct"/>
        <w:tblLayout w:type="fixed"/>
        <w:tblCellMar>
          <w:left w:w="28" w:type="dxa"/>
          <w:right w:w="28" w:type="dxa"/>
        </w:tblCellMar>
        <w:tblLook w:val="00A0"/>
      </w:tblPr>
      <w:tblGrid>
        <w:gridCol w:w="732"/>
        <w:gridCol w:w="4079"/>
        <w:gridCol w:w="705"/>
        <w:gridCol w:w="4219"/>
      </w:tblGrid>
      <w:tr w:rsidR="00A25E57" w:rsidRPr="00817C98" w:rsidTr="00072F46">
        <w:tc>
          <w:tcPr>
            <w:tcW w:w="376" w:type="pct"/>
          </w:tcPr>
          <w:p w:rsidR="00A25E57" w:rsidRDefault="00A25E57" w:rsidP="00072F46">
            <w:pPr>
              <w:spacing w:line="240" w:lineRule="auto"/>
            </w:pPr>
            <w:r>
              <w:t>Graf č. 9</w:t>
            </w:r>
          </w:p>
        </w:tc>
        <w:tc>
          <w:tcPr>
            <w:tcW w:w="2095" w:type="pct"/>
          </w:tcPr>
          <w:p w:rsidR="00A25E57" w:rsidRDefault="00A25E57" w:rsidP="00072F46">
            <w:pPr>
              <w:pStyle w:val="Textpoznpodarou"/>
              <w:rPr>
                <w:rFonts w:cs="Arial"/>
                <w:b/>
                <w:bCs/>
              </w:rPr>
            </w:pPr>
            <w:r>
              <w:rPr>
                <w:rFonts w:cs="Arial"/>
                <w:b/>
                <w:bCs/>
              </w:rPr>
              <w:t>Změny výdajů na konečnou spotřebu domácností a hrubých úspor</w:t>
            </w:r>
          </w:p>
          <w:p w:rsidR="00A25E57" w:rsidRDefault="00A25E57" w:rsidP="00072F46">
            <w:pPr>
              <w:pStyle w:val="Textpoznpodarou"/>
              <w:rPr>
                <w:rFonts w:cs="Arial"/>
                <w:szCs w:val="24"/>
              </w:rPr>
            </w:pPr>
            <w:r w:rsidRPr="00DB06E9">
              <w:rPr>
                <w:rFonts w:cs="Arial"/>
                <w:bCs/>
              </w:rPr>
              <w:t>(</w:t>
            </w:r>
            <w:r>
              <w:rPr>
                <w:rFonts w:cs="Arial"/>
                <w:bCs/>
              </w:rPr>
              <w:t xml:space="preserve">y/y, </w:t>
            </w:r>
            <w:r w:rsidRPr="00DB06E9">
              <w:rPr>
                <w:rFonts w:cs="Arial"/>
                <w:bCs/>
              </w:rPr>
              <w:t>v m</w:t>
            </w:r>
            <w:r>
              <w:rPr>
                <w:rFonts w:cs="Arial"/>
                <w:bCs/>
              </w:rPr>
              <w:t>i</w:t>
            </w:r>
            <w:r w:rsidRPr="00DB06E9">
              <w:rPr>
                <w:rFonts w:cs="Arial"/>
                <w:bCs/>
              </w:rPr>
              <w:t>l. korun)</w:t>
            </w:r>
          </w:p>
        </w:tc>
        <w:tc>
          <w:tcPr>
            <w:tcW w:w="362" w:type="pct"/>
          </w:tcPr>
          <w:p w:rsidR="00A25E57" w:rsidRDefault="00A25E57" w:rsidP="00072F46">
            <w:pPr>
              <w:spacing w:line="240" w:lineRule="auto"/>
            </w:pPr>
            <w:r>
              <w:t>Graf č. 10</w:t>
            </w:r>
          </w:p>
        </w:tc>
        <w:tc>
          <w:tcPr>
            <w:tcW w:w="2167" w:type="pct"/>
          </w:tcPr>
          <w:p w:rsidR="00A25E57" w:rsidRPr="00817C98" w:rsidRDefault="00A25E57" w:rsidP="00072F46">
            <w:pPr>
              <w:spacing w:line="240" w:lineRule="auto"/>
              <w:rPr>
                <w:rFonts w:cs="Arial"/>
                <w:b/>
                <w:bCs/>
              </w:rPr>
            </w:pPr>
            <w:r>
              <w:rPr>
                <w:rFonts w:cs="Arial"/>
                <w:b/>
                <w:bCs/>
              </w:rPr>
              <w:t xml:space="preserve">Průměrné meziroční změny spotřeby a hrubých úspor domácností v časových intervalech </w:t>
            </w:r>
            <w:r w:rsidRPr="00DB06E9">
              <w:rPr>
                <w:rFonts w:cs="Arial"/>
                <w:bCs/>
              </w:rPr>
              <w:t>(v m</w:t>
            </w:r>
            <w:r>
              <w:rPr>
                <w:rFonts w:cs="Arial"/>
                <w:bCs/>
              </w:rPr>
              <w:t>i</w:t>
            </w:r>
            <w:r w:rsidRPr="00DB06E9">
              <w:rPr>
                <w:rFonts w:cs="Arial"/>
                <w:bCs/>
              </w:rPr>
              <w:t>l. korun</w:t>
            </w:r>
            <w:r>
              <w:rPr>
                <w:rFonts w:cs="Arial"/>
                <w:bCs/>
              </w:rPr>
              <w:t>)</w:t>
            </w:r>
            <w:r>
              <w:rPr>
                <w:rFonts w:cs="Arial"/>
                <w:b/>
                <w:bCs/>
              </w:rPr>
              <w:t xml:space="preserve"> </w:t>
            </w:r>
          </w:p>
        </w:tc>
      </w:tr>
      <w:tr w:rsidR="00A25E57" w:rsidTr="00072F46">
        <w:tc>
          <w:tcPr>
            <w:tcW w:w="2471" w:type="pct"/>
            <w:gridSpan w:val="2"/>
          </w:tcPr>
          <w:p w:rsidR="00A25E57" w:rsidRDefault="00513C6F" w:rsidP="00072F46">
            <w:pPr>
              <w:pStyle w:val="Textpoznpodarou"/>
              <w:jc w:val="both"/>
            </w:pPr>
            <w:r>
              <w:rPr>
                <w:noProof/>
              </w:rPr>
              <w:pict>
                <v:shape id="_x0000_i1126" type="#_x0000_t75" style="width:233.2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">
                  <v:imagedata r:id="rId118" o:title=""/>
                  <o:lock v:ext="edit" aspectratio="f"/>
                </v:shape>
              </w:pict>
            </w:r>
          </w:p>
        </w:tc>
        <w:tc>
          <w:tcPr>
            <w:tcW w:w="2529" w:type="pct"/>
            <w:gridSpan w:val="2"/>
          </w:tcPr>
          <w:p w:rsidR="00A25E57" w:rsidRPr="006C4BB5" w:rsidRDefault="00513C6F" w:rsidP="00072F46">
            <w:pPr>
              <w:pStyle w:val="Textpoznpodarou"/>
              <w:jc w:val="right"/>
            </w:pPr>
            <w:r>
              <w:pict>
                <v:shape id="_x0000_i1127" type="#_x0000_t75" style="width:239.25pt;height:184.5pt">
                  <v:imagedata r:id="rId119" o:title=""/>
                </v:shape>
              </w:pict>
            </w:r>
          </w:p>
        </w:tc>
      </w:tr>
    </w:tbl>
    <w:p w:rsidR="00A25E57" w:rsidRDefault="00A25E57" w:rsidP="00A25E57">
      <w:pPr>
        <w:jc w:val="right"/>
        <w:rPr>
          <w:sz w:val="18"/>
          <w:szCs w:val="18"/>
        </w:rPr>
      </w:pPr>
      <w:r>
        <w:rPr>
          <w:sz w:val="18"/>
          <w:szCs w:val="18"/>
        </w:rPr>
        <w:t>Zdroj</w:t>
      </w:r>
      <w:r w:rsidRPr="00375F77">
        <w:rPr>
          <w:sz w:val="18"/>
          <w:szCs w:val="18"/>
        </w:rPr>
        <w:t>: ČSÚ</w:t>
      </w:r>
      <w:r w:rsidR="00EA77C6">
        <w:rPr>
          <w:sz w:val="18"/>
          <w:szCs w:val="18"/>
        </w:rPr>
        <w:t>, vlastní vý</w:t>
      </w:r>
      <w:r>
        <w:rPr>
          <w:sz w:val="18"/>
          <w:szCs w:val="18"/>
        </w:rPr>
        <w:t>počty</w:t>
      </w:r>
    </w:p>
    <w:p w:rsidR="00A25E57" w:rsidRDefault="00A25E57" w:rsidP="00A25E57">
      <w:pPr>
        <w:jc w:val="right"/>
        <w:rPr>
          <w:sz w:val="18"/>
          <w:szCs w:val="18"/>
        </w:rPr>
      </w:pPr>
    </w:p>
    <w:tbl>
      <w:tblPr>
        <w:tblW w:w="5043" w:type="pct"/>
        <w:tblInd w:w="-42" w:type="dxa"/>
        <w:tblCellMar>
          <w:left w:w="28" w:type="dxa"/>
          <w:right w:w="28" w:type="dxa"/>
        </w:tblCellMar>
        <w:tblLook w:val="00A0"/>
      </w:tblPr>
      <w:tblGrid>
        <w:gridCol w:w="41"/>
        <w:gridCol w:w="731"/>
        <w:gridCol w:w="1265"/>
        <w:gridCol w:w="272"/>
        <w:gridCol w:w="2542"/>
        <w:gridCol w:w="706"/>
        <w:gridCol w:w="4220"/>
      </w:tblGrid>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t>Silná tempa spotřeby domácností z let 2002-2009 (v průměru ročně více než 5 %) vystřídala nižší dynamika v letech 2010-2014 (+1,5 % v průměru meziročně)</w:t>
            </w:r>
          </w:p>
        </w:tc>
        <w:tc>
          <w:tcPr>
            <w:tcW w:w="139" w:type="pct"/>
          </w:tcPr>
          <w:p w:rsidR="00A25E57" w:rsidRDefault="00A25E57" w:rsidP="00072F46">
            <w:pPr>
              <w:pStyle w:val="Textpoznpodarou"/>
              <w:jc w:val="both"/>
            </w:pPr>
          </w:p>
        </w:tc>
        <w:tc>
          <w:tcPr>
            <w:tcW w:w="3819" w:type="pct"/>
            <w:gridSpan w:val="3"/>
          </w:tcPr>
          <w:p w:rsidR="00A25E57" w:rsidRPr="00241C02" w:rsidRDefault="00A25E57" w:rsidP="00072F46">
            <w:pPr>
              <w:pStyle w:val="Textpoznpodarou"/>
              <w:jc w:val="both"/>
              <w:rPr>
                <w:color w:val="000000"/>
              </w:rPr>
            </w:pPr>
            <w:r w:rsidRPr="00241C02">
              <w:rPr>
                <w:color w:val="000000"/>
              </w:rPr>
              <w:t xml:space="preserve">Zatímco výdaje domácností na konečnou spotřebu v předchozí dekádě v letech 2002-2005 i 2006-2009 rostly v průměru přibližně pětiprocentním tempem (+5 %, resp. +5,2 %), což byly přírůstky relativně značně silné, v období 2010-2014 se tato spotřeba domácností vlivem let recese zvyšovala ročně jen o 1,5 %. Růst spotřeby domácností by byl ještě slabší nebýt ovlivnění výsledkem za rok 2014 (+2 %), který byl nejmarkantnější meziročním zvýšením spotřeby domácností od roku 2008. </w:t>
            </w:r>
          </w:p>
          <w:p w:rsidR="00A25E57" w:rsidRPr="00FA57FD" w:rsidRDefault="00A25E57" w:rsidP="00072F46">
            <w:pPr>
              <w:pStyle w:val="Textpoznpodarou"/>
              <w:jc w:val="both"/>
              <w:rPr>
                <w:color w:val="000000"/>
                <w:spacing w:val="-2"/>
              </w:rPr>
            </w:pPr>
            <w:r>
              <w:rPr>
                <w:color w:val="000000"/>
                <w:spacing w:val="-2"/>
              </w:rPr>
              <w:t xml:space="preserve"> </w:t>
            </w:r>
          </w:p>
        </w:tc>
      </w:tr>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t>Hrubé úspory domácností</w:t>
            </w:r>
          </w:p>
          <w:p w:rsidR="00A25E57" w:rsidRDefault="00A25E57" w:rsidP="00072F46">
            <w:pPr>
              <w:spacing w:line="240" w:lineRule="auto"/>
              <w:rPr>
                <w:color w:val="000000"/>
                <w:sz w:val="16"/>
                <w:szCs w:val="16"/>
              </w:rPr>
            </w:pPr>
            <w:r>
              <w:rPr>
                <w:color w:val="000000"/>
                <w:sz w:val="16"/>
                <w:szCs w:val="16"/>
              </w:rPr>
              <w:t>rostly nejvíce…</w:t>
            </w:r>
          </w:p>
        </w:tc>
        <w:tc>
          <w:tcPr>
            <w:tcW w:w="139" w:type="pct"/>
          </w:tcPr>
          <w:p w:rsidR="00A25E57" w:rsidRDefault="00A25E57" w:rsidP="00072F46">
            <w:pPr>
              <w:pStyle w:val="Textpoznpodarou"/>
              <w:jc w:val="both"/>
            </w:pPr>
          </w:p>
        </w:tc>
        <w:tc>
          <w:tcPr>
            <w:tcW w:w="3819" w:type="pct"/>
            <w:gridSpan w:val="3"/>
          </w:tcPr>
          <w:p w:rsidR="00A25E57" w:rsidRDefault="00A25E57" w:rsidP="00072F46">
            <w:pPr>
              <w:pStyle w:val="Textpoznpodarou"/>
              <w:jc w:val="both"/>
              <w:rPr>
                <w:color w:val="000000"/>
                <w:spacing w:val="-2"/>
              </w:rPr>
            </w:pPr>
            <w:r>
              <w:rPr>
                <w:color w:val="000000"/>
                <w:spacing w:val="-2"/>
              </w:rPr>
              <w:t>Vývoj hrubých úspor domácností byl oproti vývoji jejich spotřeby „</w:t>
            </w:r>
            <w:proofErr w:type="spellStart"/>
            <w:r>
              <w:rPr>
                <w:color w:val="000000"/>
                <w:spacing w:val="-2"/>
              </w:rPr>
              <w:t>excentričtější</w:t>
            </w:r>
            <w:proofErr w:type="spellEnd"/>
            <w:r>
              <w:rPr>
                <w:color w:val="000000"/>
                <w:spacing w:val="-2"/>
              </w:rPr>
              <w:t xml:space="preserve">“. V období 2002-2005 rostly hrubé úspory domácností v průměru ročně pomaleji (+4,2 %) než výdaje na konečnou spotřebu (+5 %) vlivem otevřených horizontů spotřeby patrných zejména od druhé poloviny 90. let. </w:t>
            </w:r>
          </w:p>
          <w:p w:rsidR="00A25E57" w:rsidRPr="00FA57FD" w:rsidRDefault="00A25E57" w:rsidP="00072F46">
            <w:pPr>
              <w:pStyle w:val="Textpoznpodarou"/>
              <w:jc w:val="both"/>
              <w:rPr>
                <w:color w:val="000000"/>
                <w:spacing w:val="-2"/>
              </w:rPr>
            </w:pPr>
          </w:p>
        </w:tc>
      </w:tr>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t>… v letech konjunktury a byly investovány především do vlastnického bydlení</w:t>
            </w:r>
          </w:p>
        </w:tc>
        <w:tc>
          <w:tcPr>
            <w:tcW w:w="139" w:type="pct"/>
          </w:tcPr>
          <w:p w:rsidR="00A25E57" w:rsidRDefault="00A25E57" w:rsidP="00072F46">
            <w:pPr>
              <w:pStyle w:val="Textpoznpodarou"/>
              <w:jc w:val="both"/>
            </w:pPr>
          </w:p>
        </w:tc>
        <w:tc>
          <w:tcPr>
            <w:tcW w:w="3819" w:type="pct"/>
            <w:gridSpan w:val="3"/>
          </w:tcPr>
          <w:p w:rsidR="00A25E57" w:rsidRPr="00241C02" w:rsidRDefault="00A25E57" w:rsidP="00072F46">
            <w:pPr>
              <w:pStyle w:val="Textpoznpodarou"/>
              <w:jc w:val="both"/>
              <w:rPr>
                <w:color w:val="000000"/>
              </w:rPr>
            </w:pPr>
            <w:r w:rsidRPr="00241C02">
              <w:rPr>
                <w:color w:val="000000"/>
              </w:rPr>
              <w:t>Naopak v nejsilnějších letech konjunktury české ekonomiky s přesahem do roku krize (2005-2009) stoupaly hrubé úspory českých domácností v průměru ročně tempem +11,8 %. Takovouto intenzitu růstu odkládaných prostředků umožňoval silný růst nominálních mezd (v průměru ročně o 64 mld., v roce 2007 dokonce o</w:t>
            </w:r>
            <w:r>
              <w:rPr>
                <w:color w:val="000000"/>
              </w:rPr>
              <w:t> </w:t>
            </w:r>
            <w:r w:rsidRPr="00241C02">
              <w:rPr>
                <w:color w:val="000000"/>
              </w:rPr>
              <w:t xml:space="preserve">112 mld. korun) i zisků živnostníků (o 29 mld. v průměru ročně) a obecně pozitivní očekávání. Lidé tyto své úspory investovali, především do pořizování vlastního bydlení.  </w:t>
            </w:r>
          </w:p>
          <w:p w:rsidR="00A25E57" w:rsidRPr="00241C02" w:rsidRDefault="00A25E57" w:rsidP="00072F46">
            <w:pPr>
              <w:pStyle w:val="Textpoznpodarou"/>
              <w:jc w:val="both"/>
              <w:rPr>
                <w:color w:val="000000"/>
                <w:spacing w:val="-2"/>
              </w:rPr>
            </w:pPr>
          </w:p>
          <w:p w:rsidR="00A25E57" w:rsidRPr="00FA57FD" w:rsidRDefault="00A25E57" w:rsidP="00072F46">
            <w:pPr>
              <w:pStyle w:val="Textpoznpodarou"/>
              <w:jc w:val="both"/>
              <w:rPr>
                <w:color w:val="000000"/>
                <w:spacing w:val="-2"/>
              </w:rPr>
            </w:pPr>
            <w:r>
              <w:rPr>
                <w:color w:val="000000"/>
                <w:spacing w:val="-2"/>
              </w:rPr>
              <w:t xml:space="preserve">V úhrnu pak hospodařili s přebytky, které v celém sektoru domácností činily v průměru let 2005-2009 každý rok 71 mld. korun. Jimi se financovaly potřeby ostatních institucionálních sektorů v ekonomice. </w:t>
            </w:r>
          </w:p>
          <w:p w:rsidR="00A25E57" w:rsidRPr="00FA57FD" w:rsidRDefault="00A25E57" w:rsidP="00072F46">
            <w:pPr>
              <w:pStyle w:val="Textpoznpodarou"/>
              <w:jc w:val="both"/>
              <w:rPr>
                <w:color w:val="000000"/>
                <w:spacing w:val="-2"/>
              </w:rPr>
            </w:pPr>
            <w:r>
              <w:rPr>
                <w:color w:val="000000"/>
                <w:spacing w:val="-2"/>
              </w:rPr>
              <w:t xml:space="preserve"> </w:t>
            </w:r>
          </w:p>
        </w:tc>
      </w:tr>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t>V letech 2010-2014 docházelo v průměru ročně k poklesu hrubých úspor o 2,8 %, ale v roce 2014 domácnosti odložily o 4 % více než v roce 2013 a investovaly 182 mld. korun – v úhrnu činil přebytek jejich hospodaření 104 mld. korun (vyšší v celé časové řadě byl jen v roce 2009, tj. 106 mld. korun)</w:t>
            </w:r>
          </w:p>
        </w:tc>
        <w:tc>
          <w:tcPr>
            <w:tcW w:w="139" w:type="pct"/>
          </w:tcPr>
          <w:p w:rsidR="00A25E57" w:rsidRDefault="00A25E57" w:rsidP="00072F46">
            <w:pPr>
              <w:pStyle w:val="Textpoznpodarou"/>
              <w:jc w:val="both"/>
            </w:pPr>
          </w:p>
        </w:tc>
        <w:tc>
          <w:tcPr>
            <w:tcW w:w="3819" w:type="pct"/>
            <w:gridSpan w:val="3"/>
          </w:tcPr>
          <w:p w:rsidR="00A25E57" w:rsidRDefault="00A25E57" w:rsidP="00072F46">
            <w:pPr>
              <w:pStyle w:val="Textpoznpodarou"/>
              <w:jc w:val="both"/>
              <w:rPr>
                <w:color w:val="000000"/>
                <w:spacing w:val="-2"/>
              </w:rPr>
            </w:pPr>
            <w:r>
              <w:rPr>
                <w:color w:val="000000"/>
                <w:spacing w:val="-2"/>
              </w:rPr>
              <w:t xml:space="preserve">Období 2010-2014 znamenalo nejen snížení dynamiky výdajů na konečnou spotřebu domácností, ale u hrubých úspor dokonce jejich pokles – v průměru se každý rok snižovaly meziročně o 2,8 % (hlavně vlivem slabých let 2010 a 2011 s meziročními poklesy hrubých úspor o -5,6 % a -11,6 %, naopak v letech 2012 a 2014 rostly, a to o 3,4 %, resp. 4 %). Vývoj odrážel horší příjmovou situaci českých domácností po většinu uvedeného období. </w:t>
            </w:r>
          </w:p>
          <w:p w:rsidR="00A25E57" w:rsidRPr="00241C02" w:rsidRDefault="00A25E57" w:rsidP="00072F46">
            <w:pPr>
              <w:pStyle w:val="Textpoznpodarou"/>
              <w:jc w:val="both"/>
              <w:rPr>
                <w:color w:val="000000"/>
                <w:spacing w:val="-2"/>
              </w:rPr>
            </w:pPr>
          </w:p>
          <w:p w:rsidR="00A25E57" w:rsidRPr="00FA57FD" w:rsidRDefault="00A25E57" w:rsidP="00072F46">
            <w:pPr>
              <w:pStyle w:val="Textpoznpodarou"/>
              <w:jc w:val="both"/>
              <w:rPr>
                <w:color w:val="000000"/>
                <w:spacing w:val="-2"/>
              </w:rPr>
            </w:pPr>
            <w:r>
              <w:rPr>
                <w:color w:val="000000"/>
                <w:spacing w:val="-2"/>
              </w:rPr>
              <w:t xml:space="preserve">V samotném roce 2014 domácnosti ze svých úspor investovaly (tvorba hrubého kapitálu vč. čistého pořízení nevyráběných nefinančních aktiv) téměř 182 mld. korun. Zbytek spolu se saldem kapitálových transferů představoval přebytek hospodaření sektoru domácností v roce 2014, který činil 104 mld. korun. Byl druhý nejvyšší v časové řadě od roku 1999 (v roce 2009 činil 106 mld. korun).  </w:t>
            </w:r>
            <w:r w:rsidRPr="00FA57FD">
              <w:rPr>
                <w:color w:val="000000"/>
                <w:spacing w:val="-2"/>
              </w:rPr>
              <w:t xml:space="preserve"> </w:t>
            </w:r>
          </w:p>
        </w:tc>
      </w:tr>
      <w:tr w:rsidR="00A25E57" w:rsidRPr="00817C98" w:rsidTr="00072F46">
        <w:trPr>
          <w:gridBefore w:val="1"/>
          <w:wBefore w:w="21" w:type="pct"/>
        </w:trPr>
        <w:tc>
          <w:tcPr>
            <w:tcW w:w="374" w:type="pct"/>
          </w:tcPr>
          <w:p w:rsidR="00A25E57" w:rsidRDefault="00A25E57" w:rsidP="00072F46">
            <w:pPr>
              <w:spacing w:line="240" w:lineRule="auto"/>
            </w:pPr>
            <w:r>
              <w:lastRenderedPageBreak/>
              <w:t>Graf č. 11</w:t>
            </w:r>
          </w:p>
        </w:tc>
        <w:tc>
          <w:tcPr>
            <w:tcW w:w="2086" w:type="pct"/>
            <w:gridSpan w:val="3"/>
          </w:tcPr>
          <w:p w:rsidR="00A25E57" w:rsidRDefault="00A25E57" w:rsidP="00072F46">
            <w:pPr>
              <w:pStyle w:val="Textpoznpodarou"/>
              <w:rPr>
                <w:rFonts w:cs="Arial"/>
                <w:szCs w:val="24"/>
              </w:rPr>
            </w:pPr>
            <w:r>
              <w:rPr>
                <w:rFonts w:cs="Arial"/>
                <w:b/>
                <w:bCs/>
              </w:rPr>
              <w:t xml:space="preserve">Dynamika spotřeby a hrubých úspor 2000-2014 </w:t>
            </w:r>
            <w:r w:rsidRPr="00DB06E9">
              <w:rPr>
                <w:rFonts w:cs="Arial"/>
                <w:bCs/>
              </w:rPr>
              <w:t>(</w:t>
            </w:r>
            <w:r>
              <w:rPr>
                <w:rFonts w:cs="Arial"/>
                <w:bCs/>
              </w:rPr>
              <w:t xml:space="preserve">meziroční změny v </w:t>
            </w:r>
            <w:r w:rsidRPr="00DB06E9">
              <w:rPr>
                <w:rFonts w:cs="Arial"/>
                <w:bCs/>
              </w:rPr>
              <w:t>mld. korun)</w:t>
            </w:r>
          </w:p>
        </w:tc>
        <w:tc>
          <w:tcPr>
            <w:tcW w:w="361" w:type="pct"/>
          </w:tcPr>
          <w:p w:rsidR="00A25E57" w:rsidRDefault="00A25E57" w:rsidP="00072F46">
            <w:pPr>
              <w:spacing w:line="240" w:lineRule="auto"/>
            </w:pPr>
            <w:r>
              <w:t>Graf č. 12</w:t>
            </w:r>
          </w:p>
        </w:tc>
        <w:tc>
          <w:tcPr>
            <w:tcW w:w="2158" w:type="pct"/>
          </w:tcPr>
          <w:p w:rsidR="00A25E57" w:rsidRPr="00817C98" w:rsidRDefault="00A25E57" w:rsidP="00072F46">
            <w:pPr>
              <w:spacing w:line="240" w:lineRule="auto"/>
              <w:rPr>
                <w:rFonts w:cs="Arial"/>
                <w:b/>
                <w:bCs/>
              </w:rPr>
            </w:pPr>
            <w:r>
              <w:rPr>
                <w:rFonts w:cs="Arial"/>
                <w:b/>
                <w:bCs/>
              </w:rPr>
              <w:t xml:space="preserve">Meziroční změny výdajů domácností na konečnou spotřebu a hrubých úspor </w:t>
            </w:r>
            <w:r w:rsidRPr="001C573E">
              <w:rPr>
                <w:rFonts w:cs="Arial"/>
                <w:bCs/>
              </w:rPr>
              <w:t>(v %)</w:t>
            </w:r>
          </w:p>
        </w:tc>
      </w:tr>
      <w:tr w:rsidR="00A25E57" w:rsidTr="00072F46">
        <w:trPr>
          <w:gridBefore w:val="1"/>
          <w:wBefore w:w="21" w:type="pct"/>
        </w:trPr>
        <w:tc>
          <w:tcPr>
            <w:tcW w:w="2460" w:type="pct"/>
            <w:gridSpan w:val="4"/>
          </w:tcPr>
          <w:p w:rsidR="00A25E57" w:rsidRDefault="00513C6F" w:rsidP="00072F46">
            <w:pPr>
              <w:pStyle w:val="Textpoznpodarou"/>
              <w:jc w:val="both"/>
            </w:pPr>
            <w:r>
              <w:rPr>
                <w:noProof/>
              </w:rPr>
              <w:pict>
                <v:shape id="_x0000_i1128" type="#_x0000_t75" style="width:234pt;height:189pt;visibility:visible" o:bordertopcolor="this" o:borderleftcolor="this" o:borderbottomcolor="this" o:borderrightcolor="this">
                  <v:imagedata r:id="rId120" o:title=""/>
                  <o:lock v:ext="edit" aspectratio="f"/>
                  <w10:bordertop type="single" width="2"/>
                  <w10:borderleft type="single" width="2"/>
                  <w10:borderbottom type="single" width="2"/>
                  <w10:borderright type="single" width="2"/>
                </v:shape>
              </w:pict>
            </w:r>
          </w:p>
        </w:tc>
        <w:tc>
          <w:tcPr>
            <w:tcW w:w="2518" w:type="pct"/>
            <w:gridSpan w:val="2"/>
          </w:tcPr>
          <w:p w:rsidR="00A25E57" w:rsidRPr="00AF659A" w:rsidRDefault="00513C6F" w:rsidP="00072F46">
            <w:pPr>
              <w:pStyle w:val="Textpoznpodarou"/>
              <w:jc w:val="both"/>
            </w:pPr>
            <w:r>
              <w:pict>
                <v:shape id="_x0000_i1129" type="#_x0000_t75" style="width:234.75pt;height:193.5pt">
                  <v:imagedata r:id="rId121" o:title=""/>
                </v:shape>
              </w:pict>
            </w:r>
          </w:p>
        </w:tc>
      </w:tr>
    </w:tbl>
    <w:p w:rsidR="00A25E57" w:rsidRPr="00D85A88" w:rsidRDefault="00A25E57" w:rsidP="00A25E57">
      <w:pPr>
        <w:spacing w:line="240" w:lineRule="auto"/>
        <w:jc w:val="right"/>
        <w:rPr>
          <w:sz w:val="18"/>
          <w:szCs w:val="18"/>
        </w:rPr>
      </w:pPr>
      <w:r w:rsidRPr="00D85A88">
        <w:rPr>
          <w:sz w:val="18"/>
          <w:szCs w:val="18"/>
        </w:rPr>
        <w:t>Zdroj: ČSÚ</w:t>
      </w:r>
    </w:p>
    <w:p w:rsidR="00A25E57" w:rsidRPr="00060A26" w:rsidRDefault="00A25E57" w:rsidP="00A25E57">
      <w:pPr>
        <w:rPr>
          <w:sz w:val="14"/>
          <w:szCs w:val="14"/>
        </w:rPr>
      </w:pPr>
    </w:p>
    <w:p w:rsidR="00A25E57" w:rsidRPr="00901236" w:rsidRDefault="00A25E57" w:rsidP="00A25E57">
      <w:pPr>
        <w:pStyle w:val="Nadpis3"/>
        <w:numPr>
          <w:ilvl w:val="2"/>
          <w:numId w:val="6"/>
        </w:numPr>
      </w:pPr>
      <w:bookmarkStart w:id="46" w:name="_Toc424903547"/>
      <w:bookmarkStart w:id="47" w:name="_Toc426017685"/>
      <w:r w:rsidRPr="00901236">
        <w:t xml:space="preserve">Příjmová </w:t>
      </w:r>
      <w:proofErr w:type="spellStart"/>
      <w:r w:rsidRPr="00901236">
        <w:t>rozvrstvenost</w:t>
      </w:r>
      <w:proofErr w:type="spellEnd"/>
      <w:r w:rsidRPr="00901236">
        <w:t xml:space="preserve"> domácností a jejich vydání</w:t>
      </w:r>
      <w:bookmarkEnd w:id="46"/>
      <w:bookmarkEnd w:id="47"/>
    </w:p>
    <w:tbl>
      <w:tblPr>
        <w:tblW w:w="5043" w:type="pct"/>
        <w:tblInd w:w="-42" w:type="dxa"/>
        <w:tblCellMar>
          <w:left w:w="28" w:type="dxa"/>
          <w:right w:w="28" w:type="dxa"/>
        </w:tblCellMar>
        <w:tblLook w:val="00A0"/>
      </w:tblPr>
      <w:tblGrid>
        <w:gridCol w:w="2037"/>
        <w:gridCol w:w="272"/>
        <w:gridCol w:w="7468"/>
      </w:tblGrid>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Příjmy, spotřební a nespotřební vydání domácností</w:t>
            </w:r>
          </w:p>
        </w:tc>
        <w:tc>
          <w:tcPr>
            <w:tcW w:w="139" w:type="pct"/>
          </w:tcPr>
          <w:p w:rsidR="00A25E57" w:rsidRDefault="00A25E57" w:rsidP="00072F46">
            <w:pPr>
              <w:pStyle w:val="Textpoznpodarou"/>
              <w:jc w:val="both"/>
            </w:pPr>
          </w:p>
        </w:tc>
        <w:tc>
          <w:tcPr>
            <w:tcW w:w="3819" w:type="pct"/>
          </w:tcPr>
          <w:p w:rsidR="00A25E57" w:rsidRPr="00B37A71" w:rsidRDefault="00A25E57" w:rsidP="00072F46">
            <w:pPr>
              <w:pStyle w:val="Textpoznpodarou"/>
              <w:jc w:val="both"/>
              <w:rPr>
                <w:color w:val="000000"/>
              </w:rPr>
            </w:pPr>
            <w:r w:rsidRPr="00B37A71">
              <w:rPr>
                <w:color w:val="000000"/>
              </w:rPr>
              <w:t>Jak spotřeba, tak i hrubé úspory představující spotřebu odloženou jsou diferencované, pokud jde o jednotlivé sociální skupiny domácnosti i domácnosti jednotlivě.  V závislosti na velikosti příjmů i jejich struktuře se odvíjejí i spotřební a</w:t>
            </w:r>
            <w:r>
              <w:rPr>
                <w:color w:val="000000"/>
              </w:rPr>
              <w:t> </w:t>
            </w:r>
            <w:r w:rsidRPr="00B37A71">
              <w:rPr>
                <w:color w:val="000000"/>
              </w:rPr>
              <w:t>nespotřební výdaje domácností.</w:t>
            </w:r>
          </w:p>
          <w:p w:rsidR="00A25E57" w:rsidRPr="00060A26" w:rsidRDefault="00A25E57" w:rsidP="00072F46">
            <w:pPr>
              <w:pStyle w:val="Textpoznpodarou"/>
              <w:jc w:val="both"/>
              <w:rPr>
                <w:color w:val="000000"/>
                <w:spacing w:val="-2"/>
              </w:rPr>
            </w:pP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Datové zdroje a možnosti kvantilového rozdělení</w:t>
            </w:r>
          </w:p>
        </w:tc>
        <w:tc>
          <w:tcPr>
            <w:tcW w:w="139" w:type="pct"/>
          </w:tcPr>
          <w:p w:rsidR="00A25E57" w:rsidRDefault="00A25E57" w:rsidP="00072F46">
            <w:pPr>
              <w:pStyle w:val="Textpoznpodarou"/>
              <w:jc w:val="both"/>
            </w:pPr>
          </w:p>
        </w:tc>
        <w:tc>
          <w:tcPr>
            <w:tcW w:w="3819" w:type="pct"/>
          </w:tcPr>
          <w:p w:rsidR="00A25E57" w:rsidRDefault="00A25E57" w:rsidP="00072F46">
            <w:pPr>
              <w:pStyle w:val="Textpoznpodarou"/>
              <w:jc w:val="both"/>
              <w:rPr>
                <w:color w:val="000000"/>
                <w:spacing w:val="-2"/>
              </w:rPr>
            </w:pPr>
            <w:r>
              <w:rPr>
                <w:color w:val="000000"/>
                <w:spacing w:val="-2"/>
              </w:rPr>
              <w:t>Zdroje dat z rodinných účtů a z šetření životních podmínek domácností</w:t>
            </w:r>
            <w:r w:rsidR="00D24DA0">
              <w:rPr>
                <w:color w:val="000000"/>
                <w:spacing w:val="-2"/>
              </w:rPr>
              <w:t xml:space="preserve"> (SILC)</w:t>
            </w:r>
            <w:r>
              <w:rPr>
                <w:rStyle w:val="Znakapoznpodarou"/>
                <w:color w:val="000000"/>
                <w:spacing w:val="-2"/>
              </w:rPr>
              <w:footnoteReference w:id="18"/>
            </w:r>
            <w:r>
              <w:rPr>
                <w:color w:val="000000"/>
                <w:spacing w:val="-2"/>
              </w:rPr>
              <w:t xml:space="preserve"> umožňují na základě kvantilového rozdělení porovnat příjmovou situaci a rozdíly ve vydáních podle zvolených skupin domácností vycházejících z </w:t>
            </w:r>
            <w:proofErr w:type="spellStart"/>
            <w:r>
              <w:rPr>
                <w:color w:val="000000"/>
                <w:spacing w:val="-2"/>
              </w:rPr>
              <w:t>rozvrstvenosti</w:t>
            </w:r>
            <w:proofErr w:type="spellEnd"/>
            <w:r>
              <w:rPr>
                <w:color w:val="000000"/>
                <w:spacing w:val="-2"/>
              </w:rPr>
              <w:t xml:space="preserve"> jejich příjmů. Jde o roční příjmy na člena domácnosti, což platí pro celý prováděný rozbor kapitoly 6.2.3. i vydání </w:t>
            </w:r>
            <w:r w:rsidR="00D24DA0">
              <w:rPr>
                <w:color w:val="000000"/>
                <w:spacing w:val="-2"/>
              </w:rPr>
              <w:t>analyzovaná</w:t>
            </w:r>
            <w:r>
              <w:rPr>
                <w:color w:val="000000"/>
                <w:spacing w:val="-2"/>
              </w:rPr>
              <w:t xml:space="preserve"> v kapitole 6.2.4., pokud není uvedeno jinak.   </w:t>
            </w:r>
          </w:p>
          <w:p w:rsidR="00A25E57" w:rsidRPr="00060A26" w:rsidRDefault="00A25E57" w:rsidP="00072F46">
            <w:pPr>
              <w:pStyle w:val="Textpoznpodarou"/>
              <w:jc w:val="both"/>
              <w:rPr>
                <w:color w:val="000000"/>
                <w:spacing w:val="-2"/>
              </w:rPr>
            </w:pPr>
          </w:p>
          <w:p w:rsidR="00A25E57" w:rsidRDefault="00A25E57" w:rsidP="00072F46">
            <w:pPr>
              <w:pStyle w:val="Textpoznpodarou"/>
              <w:jc w:val="both"/>
              <w:rPr>
                <w:color w:val="000000"/>
                <w:spacing w:val="-2"/>
              </w:rPr>
            </w:pPr>
            <w:r>
              <w:rPr>
                <w:color w:val="000000"/>
                <w:spacing w:val="-2"/>
              </w:rPr>
              <w:t xml:space="preserve">Při dělení skupin domácností podle výše čistého peněžního příjmu na jednoho člena domácnosti za rok je možné použít decilové rozdělení, tj. vzorek deseti skupin (decilů) ve škále od 10 % domácností s nejnižšími příjmy po 10 % domácností s nejvyššími příjmy. Kromě tohoto dělení použijeme v dalších ještě dělení </w:t>
            </w:r>
            <w:proofErr w:type="spellStart"/>
            <w:r>
              <w:rPr>
                <w:color w:val="000000"/>
                <w:spacing w:val="-2"/>
              </w:rPr>
              <w:t>kvintilové</w:t>
            </w:r>
            <w:proofErr w:type="spellEnd"/>
            <w:r>
              <w:rPr>
                <w:color w:val="000000"/>
                <w:spacing w:val="-2"/>
              </w:rPr>
              <w:t xml:space="preserve">, tj. obdobně dělené skupiny domácností na pětinové intervaly. </w:t>
            </w:r>
          </w:p>
          <w:p w:rsidR="00A25E57" w:rsidRPr="00060A26" w:rsidRDefault="00A25E57" w:rsidP="00072F46">
            <w:pPr>
              <w:pStyle w:val="Textpoznpodarou"/>
              <w:jc w:val="both"/>
              <w:rPr>
                <w:color w:val="000000"/>
                <w:spacing w:val="-2"/>
              </w:rPr>
            </w:pP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Možnosti a současně omezení daná sledováním a porovnáváním skupin domácností desetiny s nejnižšími a desetiny s nejvyššími příjmy</w:t>
            </w:r>
          </w:p>
        </w:tc>
        <w:tc>
          <w:tcPr>
            <w:tcW w:w="139" w:type="pct"/>
          </w:tcPr>
          <w:p w:rsidR="00A25E57" w:rsidRDefault="00A25E57" w:rsidP="00072F46">
            <w:pPr>
              <w:pStyle w:val="Textpoznpodarou"/>
              <w:jc w:val="both"/>
            </w:pPr>
          </w:p>
        </w:tc>
        <w:tc>
          <w:tcPr>
            <w:tcW w:w="3819" w:type="pct"/>
          </w:tcPr>
          <w:p w:rsidR="00A25E57" w:rsidRPr="00FA57FD" w:rsidRDefault="00A25E57" w:rsidP="00D24DA0">
            <w:pPr>
              <w:pStyle w:val="Textpoznpodarou"/>
              <w:jc w:val="both"/>
              <w:rPr>
                <w:color w:val="000000"/>
                <w:spacing w:val="-2"/>
              </w:rPr>
            </w:pPr>
            <w:r>
              <w:rPr>
                <w:color w:val="000000"/>
                <w:spacing w:val="-2"/>
              </w:rPr>
              <w:t xml:space="preserve">Sledováním skupiny domácností s nejnižšími příjmy a skupiny s nejvyššími příjmy lze porovnávat tyto dvě „extrémní“ příjmové skupiny podle toho, jak hospodaří se svými peněžními prostředky. Je také možné pozorovat největší rozdíly v útratách, resp. jakou váhu mají jednotlivé položky spotřeby v jejich spotřebních vydáních, kolik utrácejí za zboží a služby „zbytné“ a „nezbytné“, aj.  </w:t>
            </w:r>
          </w:p>
        </w:tc>
      </w:tr>
    </w:tbl>
    <w:p w:rsidR="00A25E57" w:rsidRPr="00060A26" w:rsidRDefault="00A25E57" w:rsidP="00A25E57">
      <w:pPr>
        <w:rPr>
          <w:b/>
          <w:szCs w:val="20"/>
        </w:rPr>
      </w:pPr>
    </w:p>
    <w:p w:rsidR="00A25E57" w:rsidRPr="00C0165A" w:rsidRDefault="00A25E57" w:rsidP="00A25E57">
      <w:pPr>
        <w:pStyle w:val="Nadpis3"/>
        <w:numPr>
          <w:ilvl w:val="3"/>
          <w:numId w:val="6"/>
        </w:numPr>
        <w:rPr>
          <w:color w:val="auto"/>
          <w:sz w:val="20"/>
          <w:szCs w:val="20"/>
        </w:rPr>
      </w:pPr>
      <w:bookmarkStart w:id="48" w:name="_Toc424903548"/>
      <w:bookmarkStart w:id="49" w:name="_Toc426017686"/>
      <w:r w:rsidRPr="00C0165A">
        <w:rPr>
          <w:color w:val="auto"/>
          <w:sz w:val="20"/>
          <w:szCs w:val="20"/>
        </w:rPr>
        <w:t>Peněžní příjmy domácností horního a dolního decilu</w:t>
      </w:r>
      <w:bookmarkEnd w:id="48"/>
      <w:bookmarkEnd w:id="49"/>
    </w:p>
    <w:tbl>
      <w:tblPr>
        <w:tblW w:w="5043" w:type="pct"/>
        <w:tblInd w:w="-42" w:type="dxa"/>
        <w:tblCellMar>
          <w:left w:w="28" w:type="dxa"/>
          <w:right w:w="28" w:type="dxa"/>
        </w:tblCellMar>
        <w:tblLook w:val="00A0"/>
      </w:tblPr>
      <w:tblGrid>
        <w:gridCol w:w="41"/>
        <w:gridCol w:w="731"/>
        <w:gridCol w:w="1265"/>
        <w:gridCol w:w="272"/>
        <w:gridCol w:w="2542"/>
        <w:gridCol w:w="706"/>
        <w:gridCol w:w="4220"/>
      </w:tblGrid>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t>V desetině domácnosti s nejnižšími příjmy žilo v roce 2014 téměř 1,5 mil. lidí (v roce 2013 přes 1,5 milionu osob)…</w:t>
            </w:r>
          </w:p>
        </w:tc>
        <w:tc>
          <w:tcPr>
            <w:tcW w:w="139" w:type="pct"/>
          </w:tcPr>
          <w:p w:rsidR="00A25E57" w:rsidRDefault="00A25E57" w:rsidP="00072F46">
            <w:pPr>
              <w:pStyle w:val="Textpoznpodarou"/>
              <w:jc w:val="both"/>
            </w:pPr>
          </w:p>
        </w:tc>
        <w:tc>
          <w:tcPr>
            <w:tcW w:w="3819" w:type="pct"/>
            <w:gridSpan w:val="3"/>
          </w:tcPr>
          <w:p w:rsidR="00A25E57" w:rsidRPr="00B37A71" w:rsidRDefault="00B160A4" w:rsidP="00072F46">
            <w:pPr>
              <w:pStyle w:val="Textpoznpodarou"/>
              <w:jc w:val="both"/>
              <w:rPr>
                <w:color w:val="000000"/>
              </w:rPr>
            </w:pPr>
            <w:r>
              <w:rPr>
                <w:color w:val="000000"/>
              </w:rPr>
              <w:t>Ze šetření „Životní</w:t>
            </w:r>
            <w:r w:rsidR="00A25E57" w:rsidRPr="00B37A71">
              <w:rPr>
                <w:color w:val="000000"/>
              </w:rPr>
              <w:t xml:space="preserve"> podmín</w:t>
            </w:r>
            <w:r>
              <w:rPr>
                <w:color w:val="000000"/>
              </w:rPr>
              <w:t>ky</w:t>
            </w:r>
            <w:r w:rsidR="00A25E57" w:rsidRPr="00B37A71">
              <w:rPr>
                <w:color w:val="000000"/>
              </w:rPr>
              <w:t xml:space="preserve"> domácností 2014</w:t>
            </w:r>
            <w:r>
              <w:rPr>
                <w:color w:val="000000"/>
              </w:rPr>
              <w:t>“</w:t>
            </w:r>
            <w:r w:rsidR="00A25E57" w:rsidRPr="00B37A71">
              <w:rPr>
                <w:color w:val="000000"/>
              </w:rPr>
              <w:t xml:space="preserve"> (z příjmů </w:t>
            </w:r>
            <w:r w:rsidR="00D24DA0">
              <w:rPr>
                <w:color w:val="000000"/>
              </w:rPr>
              <w:t>a</w:t>
            </w:r>
            <w:r w:rsidR="00A25E57" w:rsidRPr="00B37A71">
              <w:rPr>
                <w:color w:val="000000"/>
              </w:rPr>
              <w:t> výdajů roku 2013) vyplývá, že nejvíce lidí žije v domácnostech s nejnižšími příjmy (dolní decil)</w:t>
            </w:r>
            <w:r w:rsidR="00A25E57" w:rsidRPr="00B37A71">
              <w:rPr>
                <w:rStyle w:val="Znakapoznpodarou"/>
                <w:color w:val="000000"/>
              </w:rPr>
              <w:footnoteReference w:id="19"/>
            </w:r>
            <w:r w:rsidR="00A25E57" w:rsidRPr="00B37A71">
              <w:rPr>
                <w:color w:val="000000"/>
              </w:rPr>
              <w:t>, a to 1 466,8 tis. osob. V domácnostech s nejvyššími příjmy (horní decil) žilo v roce 2014 téměř 806,7 tis. osob. Počet lidí žijící</w:t>
            </w:r>
            <w:r w:rsidR="00D24DA0">
              <w:rPr>
                <w:color w:val="000000"/>
              </w:rPr>
              <w:t>ch</w:t>
            </w:r>
            <w:r w:rsidR="00A25E57" w:rsidRPr="00B37A71">
              <w:rPr>
                <w:color w:val="000000"/>
              </w:rPr>
              <w:t xml:space="preserve"> v domácnostech s nejnižšími příjmy se proti roku 2013 mírně snížil (přibližně o 43 tis. osob), naopak počty členů domácností s nejvyššími příjmy o necelých šest tisíc narostly   </w:t>
            </w:r>
          </w:p>
          <w:p w:rsidR="00A25E57" w:rsidRPr="00060A26" w:rsidRDefault="00A25E57" w:rsidP="00072F46">
            <w:pPr>
              <w:pStyle w:val="Textpoznpodarou"/>
              <w:jc w:val="both"/>
              <w:rPr>
                <w:color w:val="000000"/>
                <w:spacing w:val="-2"/>
              </w:rPr>
            </w:pPr>
          </w:p>
        </w:tc>
      </w:tr>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t xml:space="preserve">… a na jednu domácnost připadalo 3,41 osoby proti 1,88 osobě u desetiny </w:t>
            </w:r>
            <w:r>
              <w:rPr>
                <w:color w:val="000000"/>
                <w:sz w:val="16"/>
                <w:szCs w:val="16"/>
              </w:rPr>
              <w:lastRenderedPageBreak/>
              <w:t>domácností s nejvyššími příjmy - proti roku 2013 nepatrný pozitivní posun</w:t>
            </w:r>
          </w:p>
        </w:tc>
        <w:tc>
          <w:tcPr>
            <w:tcW w:w="139" w:type="pct"/>
          </w:tcPr>
          <w:p w:rsidR="00A25E57" w:rsidRDefault="00A25E57" w:rsidP="00072F46">
            <w:pPr>
              <w:pStyle w:val="Textpoznpodarou"/>
              <w:jc w:val="both"/>
            </w:pPr>
          </w:p>
        </w:tc>
        <w:tc>
          <w:tcPr>
            <w:tcW w:w="3819" w:type="pct"/>
            <w:gridSpan w:val="3"/>
          </w:tcPr>
          <w:p w:rsidR="00A25E57" w:rsidRDefault="00A25E57" w:rsidP="00072F46">
            <w:pPr>
              <w:pStyle w:val="Textpoznpodarou"/>
              <w:jc w:val="both"/>
              <w:rPr>
                <w:color w:val="000000"/>
                <w:spacing w:val="-2"/>
              </w:rPr>
            </w:pPr>
            <w:r>
              <w:rPr>
                <w:color w:val="000000"/>
                <w:spacing w:val="-2"/>
              </w:rPr>
              <w:t>V domácnostech s nejnižšími příjmy žilo v roce 2014 v průměru 3,41 osob v jedné domácnosti, v domácnostech s nejvyššími příjmy pak 1,88 osob. Oproti roku 2013 klesl průměrný počet členů domácností s nejnižšími příjmy (</w:t>
            </w:r>
            <w:proofErr w:type="gramStart"/>
            <w:r>
              <w:rPr>
                <w:color w:val="000000"/>
                <w:spacing w:val="-2"/>
              </w:rPr>
              <w:t>ze</w:t>
            </w:r>
            <w:proofErr w:type="gramEnd"/>
            <w:r>
              <w:rPr>
                <w:color w:val="000000"/>
                <w:spacing w:val="-2"/>
              </w:rPr>
              <w:t xml:space="preserve"> 3,51 osob), </w:t>
            </w:r>
            <w:r>
              <w:rPr>
                <w:color w:val="000000"/>
                <w:spacing w:val="-2"/>
              </w:rPr>
              <w:lastRenderedPageBreak/>
              <w:t>u domácností s nejvyšší</w:t>
            </w:r>
            <w:r w:rsidR="00D24DA0">
              <w:rPr>
                <w:color w:val="000000"/>
                <w:spacing w:val="-2"/>
              </w:rPr>
              <w:t>mi</w:t>
            </w:r>
            <w:r>
              <w:rPr>
                <w:color w:val="000000"/>
                <w:spacing w:val="-2"/>
              </w:rPr>
              <w:t xml:space="preserve"> příjmy byl pohyb jen nepatrný (1,87 členů domácnosti v průměru v roce 2013). U obou decilů jde sice o pohyb nepatrný, ale pozitivní.</w:t>
            </w:r>
          </w:p>
          <w:p w:rsidR="00A25E57" w:rsidRPr="00FA57FD" w:rsidRDefault="00A25E57" w:rsidP="00072F46">
            <w:pPr>
              <w:pStyle w:val="Textpoznpodarou"/>
              <w:jc w:val="both"/>
              <w:rPr>
                <w:color w:val="000000"/>
                <w:spacing w:val="-2"/>
              </w:rPr>
            </w:pPr>
          </w:p>
        </w:tc>
      </w:tr>
      <w:tr w:rsidR="00A25E57" w:rsidRPr="00817C98" w:rsidTr="00072F46">
        <w:trPr>
          <w:gridBefore w:val="1"/>
          <w:wBefore w:w="21" w:type="pct"/>
        </w:trPr>
        <w:tc>
          <w:tcPr>
            <w:tcW w:w="374" w:type="pct"/>
          </w:tcPr>
          <w:p w:rsidR="00A25E57" w:rsidRDefault="00A25E57" w:rsidP="00072F46">
            <w:pPr>
              <w:spacing w:line="240" w:lineRule="auto"/>
            </w:pPr>
            <w:r>
              <w:lastRenderedPageBreak/>
              <w:t>Graf č. 13</w:t>
            </w:r>
          </w:p>
        </w:tc>
        <w:tc>
          <w:tcPr>
            <w:tcW w:w="2086" w:type="pct"/>
            <w:gridSpan w:val="3"/>
          </w:tcPr>
          <w:p w:rsidR="00A25E57" w:rsidRDefault="00A25E57" w:rsidP="00072F46">
            <w:pPr>
              <w:pStyle w:val="Textpoznpodarou"/>
              <w:rPr>
                <w:rFonts w:cs="Arial"/>
                <w:b/>
                <w:bCs/>
              </w:rPr>
            </w:pPr>
            <w:r>
              <w:rPr>
                <w:rFonts w:cs="Arial"/>
                <w:b/>
                <w:bCs/>
              </w:rPr>
              <w:t xml:space="preserve">Hrubé peněžní příjmy na člena domácnosti za rok - dolní a horní decil </w:t>
            </w:r>
          </w:p>
          <w:p w:rsidR="00A25E57" w:rsidRDefault="00A25E57" w:rsidP="00072F46">
            <w:pPr>
              <w:pStyle w:val="Textpoznpodarou"/>
              <w:rPr>
                <w:rFonts w:cs="Arial"/>
                <w:szCs w:val="24"/>
              </w:rPr>
            </w:pPr>
            <w:r w:rsidRPr="00DB06E9">
              <w:rPr>
                <w:rFonts w:cs="Arial"/>
                <w:bCs/>
              </w:rPr>
              <w:t>(</w:t>
            </w:r>
            <w:r>
              <w:rPr>
                <w:rFonts w:cs="Arial"/>
                <w:bCs/>
              </w:rPr>
              <w:t xml:space="preserve">2013, v </w:t>
            </w:r>
            <w:r w:rsidRPr="00DB06E9">
              <w:rPr>
                <w:rFonts w:cs="Arial"/>
                <w:bCs/>
              </w:rPr>
              <w:t>korun</w:t>
            </w:r>
            <w:r>
              <w:rPr>
                <w:rFonts w:cs="Arial"/>
                <w:bCs/>
              </w:rPr>
              <w:t>ách</w:t>
            </w:r>
            <w:r w:rsidRPr="00DB06E9">
              <w:rPr>
                <w:rFonts w:cs="Arial"/>
                <w:bCs/>
              </w:rPr>
              <w:t>)</w:t>
            </w:r>
          </w:p>
        </w:tc>
        <w:tc>
          <w:tcPr>
            <w:tcW w:w="361" w:type="pct"/>
          </w:tcPr>
          <w:p w:rsidR="00A25E57" w:rsidRDefault="00A25E57" w:rsidP="00072F46">
            <w:pPr>
              <w:spacing w:line="240" w:lineRule="auto"/>
            </w:pPr>
            <w:r>
              <w:t>Graf č. 14</w:t>
            </w:r>
          </w:p>
        </w:tc>
        <w:tc>
          <w:tcPr>
            <w:tcW w:w="2158" w:type="pct"/>
          </w:tcPr>
          <w:p w:rsidR="00A25E57" w:rsidRDefault="00A25E57" w:rsidP="00072F46">
            <w:pPr>
              <w:spacing w:line="240" w:lineRule="auto"/>
              <w:rPr>
                <w:rFonts w:cs="Arial"/>
                <w:b/>
                <w:bCs/>
              </w:rPr>
            </w:pPr>
            <w:r>
              <w:rPr>
                <w:rFonts w:cs="Arial"/>
                <w:b/>
                <w:bCs/>
              </w:rPr>
              <w:t xml:space="preserve">Počty pracujících a vyživovaných dětí v domácnostech – dolní a horní decil </w:t>
            </w:r>
          </w:p>
          <w:p w:rsidR="00A25E57" w:rsidRPr="00817C98" w:rsidRDefault="00A25E57" w:rsidP="00072F46">
            <w:pPr>
              <w:rPr>
                <w:rFonts w:cs="Arial"/>
                <w:b/>
                <w:bCs/>
              </w:rPr>
            </w:pPr>
            <w:r w:rsidRPr="00DB06E9">
              <w:rPr>
                <w:rFonts w:cs="Arial"/>
                <w:bCs/>
              </w:rPr>
              <w:t>(</w:t>
            </w:r>
            <w:r>
              <w:rPr>
                <w:rFonts w:cs="Arial"/>
                <w:bCs/>
              </w:rPr>
              <w:t>2014, osoby, v průměru na domácnost</w:t>
            </w:r>
            <w:r w:rsidRPr="00DB06E9">
              <w:rPr>
                <w:rFonts w:cs="Arial"/>
                <w:bCs/>
              </w:rPr>
              <w:t>)</w:t>
            </w:r>
          </w:p>
        </w:tc>
      </w:tr>
      <w:tr w:rsidR="00A25E57" w:rsidTr="00072F46">
        <w:trPr>
          <w:gridBefore w:val="1"/>
          <w:wBefore w:w="21" w:type="pct"/>
        </w:trPr>
        <w:tc>
          <w:tcPr>
            <w:tcW w:w="2460" w:type="pct"/>
            <w:gridSpan w:val="4"/>
          </w:tcPr>
          <w:p w:rsidR="00A25E57" w:rsidRPr="005E0D10" w:rsidRDefault="00513C6F" w:rsidP="00072F46">
            <w:pPr>
              <w:pStyle w:val="Textpoznpodarou"/>
              <w:jc w:val="both"/>
            </w:pPr>
            <w:r>
              <w:pict>
                <v:shape id="_x0000_i1130" type="#_x0000_t75" style="width:237pt;height:196.5pt">
                  <v:imagedata r:id="rId122" o:title=""/>
                </v:shape>
              </w:pict>
            </w:r>
          </w:p>
        </w:tc>
        <w:tc>
          <w:tcPr>
            <w:tcW w:w="2518" w:type="pct"/>
            <w:gridSpan w:val="2"/>
          </w:tcPr>
          <w:p w:rsidR="00A25E57" w:rsidRDefault="00513C6F" w:rsidP="00072F46">
            <w:pPr>
              <w:pStyle w:val="Textpoznpodarou"/>
              <w:jc w:val="right"/>
            </w:pPr>
            <w:r>
              <w:pict>
                <v:shape id="_x0000_i1131" type="#_x0000_t75" style="width:236.25pt;height:195.75pt">
                  <v:imagedata r:id="rId123" o:title=""/>
                </v:shape>
              </w:pict>
            </w:r>
          </w:p>
          <w:p w:rsidR="00A25E57" w:rsidRPr="003B50F0" w:rsidRDefault="00A25E57" w:rsidP="00072F46">
            <w:pPr>
              <w:pStyle w:val="Textpoznpodarou"/>
              <w:jc w:val="right"/>
              <w:rPr>
                <w:sz w:val="18"/>
                <w:szCs w:val="18"/>
              </w:rPr>
            </w:pPr>
            <w:r>
              <w:rPr>
                <w:sz w:val="18"/>
                <w:szCs w:val="18"/>
              </w:rPr>
              <w:t>Zdroj</w:t>
            </w:r>
            <w:r w:rsidR="0025186A">
              <w:rPr>
                <w:sz w:val="18"/>
                <w:szCs w:val="18"/>
              </w:rPr>
              <w:t>: ČSÚ</w:t>
            </w:r>
            <w:r w:rsidRPr="003B50F0">
              <w:rPr>
                <w:sz w:val="18"/>
                <w:szCs w:val="18"/>
              </w:rPr>
              <w:t xml:space="preserve"> </w:t>
            </w:r>
            <w:r w:rsidR="0025186A">
              <w:rPr>
                <w:sz w:val="18"/>
                <w:szCs w:val="18"/>
              </w:rPr>
              <w:t>(</w:t>
            </w:r>
            <w:r w:rsidRPr="003B50F0">
              <w:rPr>
                <w:sz w:val="18"/>
                <w:szCs w:val="18"/>
              </w:rPr>
              <w:t>SILC</w:t>
            </w:r>
            <w:r w:rsidR="0025186A">
              <w:rPr>
                <w:sz w:val="18"/>
                <w:szCs w:val="18"/>
              </w:rPr>
              <w:t>)</w:t>
            </w:r>
          </w:p>
        </w:tc>
      </w:tr>
    </w:tbl>
    <w:p w:rsidR="00A25E57" w:rsidRPr="003B50F0" w:rsidRDefault="00A25E57" w:rsidP="00A25E57">
      <w:pPr>
        <w:rPr>
          <w:b/>
          <w:sz w:val="12"/>
          <w:szCs w:val="12"/>
        </w:rPr>
      </w:pPr>
    </w:p>
    <w:tbl>
      <w:tblPr>
        <w:tblW w:w="5043" w:type="pct"/>
        <w:tblInd w:w="-42" w:type="dxa"/>
        <w:tblCellMar>
          <w:left w:w="28" w:type="dxa"/>
          <w:right w:w="28" w:type="dxa"/>
        </w:tblCellMar>
        <w:tblLook w:val="00A0"/>
      </w:tblPr>
      <w:tblGrid>
        <w:gridCol w:w="26"/>
        <w:gridCol w:w="737"/>
        <w:gridCol w:w="1279"/>
        <w:gridCol w:w="274"/>
        <w:gridCol w:w="2567"/>
        <w:gridCol w:w="690"/>
        <w:gridCol w:w="4204"/>
      </w:tblGrid>
      <w:tr w:rsidR="00A25E57" w:rsidRPr="00060A26" w:rsidTr="00072F46">
        <w:tc>
          <w:tcPr>
            <w:tcW w:w="1044" w:type="pct"/>
            <w:gridSpan w:val="3"/>
          </w:tcPr>
          <w:p w:rsidR="00A25E57" w:rsidRDefault="00A25E57" w:rsidP="00072F46">
            <w:pPr>
              <w:spacing w:line="240" w:lineRule="auto"/>
              <w:rPr>
                <w:color w:val="000000"/>
                <w:sz w:val="16"/>
                <w:szCs w:val="16"/>
              </w:rPr>
            </w:pPr>
            <w:r>
              <w:rPr>
                <w:color w:val="000000"/>
                <w:sz w:val="16"/>
                <w:szCs w:val="16"/>
              </w:rPr>
              <w:t>Nerovnost mezi horním a dolním decilem ukazuje téměř sedminásobné převýšení hrubých peněžních příjmů na člena domácnosti</w:t>
            </w:r>
          </w:p>
        </w:tc>
        <w:tc>
          <w:tcPr>
            <w:tcW w:w="140" w:type="pct"/>
          </w:tcPr>
          <w:p w:rsidR="00A25E57" w:rsidRDefault="00A25E57" w:rsidP="00072F46">
            <w:pPr>
              <w:pStyle w:val="Textpoznpodarou"/>
              <w:jc w:val="both"/>
            </w:pPr>
          </w:p>
        </w:tc>
        <w:tc>
          <w:tcPr>
            <w:tcW w:w="3816" w:type="pct"/>
            <w:gridSpan w:val="3"/>
          </w:tcPr>
          <w:p w:rsidR="00A25E57" w:rsidRPr="00060A26" w:rsidRDefault="00A25E57" w:rsidP="00072F46">
            <w:pPr>
              <w:pStyle w:val="Textpoznpodarou"/>
              <w:jc w:val="both"/>
              <w:rPr>
                <w:color w:val="000000"/>
              </w:rPr>
            </w:pPr>
            <w:r w:rsidRPr="00060A26">
              <w:rPr>
                <w:color w:val="000000"/>
              </w:rPr>
              <w:t xml:space="preserve">Hrubé peněžní příjmy na člena domácnosti s nejnižšími a nejvyššími příjmy ukazují (graf 13), že u domácností v horní desetině převyšovaly podle šetření v roce 2014 tyto hrubé příjmy za rok 2013 téměř sedmkrát (6,9krát) hrubé příjmy domácností v dolní desetině.  V případě čistých příjmů je převýšení menší (5,9krát) vlivem vyšších daňových a dalších odvodů z hrubých příjmů, které v rámci přerozdělení odvádějí </w:t>
            </w:r>
            <w:proofErr w:type="spellStart"/>
            <w:r w:rsidRPr="00060A26">
              <w:rPr>
                <w:color w:val="000000"/>
              </w:rPr>
              <w:t>výšepříjmoví</w:t>
            </w:r>
            <w:proofErr w:type="spellEnd"/>
            <w:r w:rsidRPr="00060A26">
              <w:rPr>
                <w:color w:val="000000"/>
              </w:rPr>
              <w:t xml:space="preserve">.  </w:t>
            </w:r>
          </w:p>
          <w:p w:rsidR="00A25E57" w:rsidRPr="00060A26" w:rsidRDefault="00A25E57" w:rsidP="00072F46">
            <w:pPr>
              <w:pStyle w:val="Textpoznpodarou"/>
              <w:jc w:val="both"/>
              <w:rPr>
                <w:color w:val="000000"/>
              </w:rPr>
            </w:pPr>
          </w:p>
        </w:tc>
      </w:tr>
      <w:tr w:rsidR="00A25E57" w:rsidRPr="00FA57FD" w:rsidTr="00072F46">
        <w:tc>
          <w:tcPr>
            <w:tcW w:w="1044" w:type="pct"/>
            <w:gridSpan w:val="3"/>
          </w:tcPr>
          <w:p w:rsidR="00A25E57" w:rsidRDefault="00A25E57" w:rsidP="00B160A4">
            <w:pPr>
              <w:spacing w:line="240" w:lineRule="auto"/>
              <w:rPr>
                <w:color w:val="000000"/>
                <w:sz w:val="16"/>
                <w:szCs w:val="16"/>
              </w:rPr>
            </w:pPr>
            <w:r>
              <w:rPr>
                <w:color w:val="000000"/>
                <w:sz w:val="16"/>
                <w:szCs w:val="16"/>
              </w:rPr>
              <w:t>V desetině nejníže příjmových domácností jsou nejnižší počty pracujících členů a přitom počet vyživovaných dětí je u nich nejvyšší…,</w:t>
            </w:r>
          </w:p>
        </w:tc>
        <w:tc>
          <w:tcPr>
            <w:tcW w:w="140" w:type="pct"/>
          </w:tcPr>
          <w:p w:rsidR="00A25E57" w:rsidRDefault="00A25E57" w:rsidP="00072F46">
            <w:pPr>
              <w:pStyle w:val="Textpoznpodarou"/>
              <w:jc w:val="both"/>
            </w:pPr>
          </w:p>
        </w:tc>
        <w:tc>
          <w:tcPr>
            <w:tcW w:w="3816" w:type="pct"/>
            <w:gridSpan w:val="3"/>
          </w:tcPr>
          <w:p w:rsidR="00A25E57" w:rsidRPr="00B37A71" w:rsidRDefault="00A25E57" w:rsidP="00072F46">
            <w:pPr>
              <w:pStyle w:val="Textpoznpodarou"/>
              <w:jc w:val="both"/>
              <w:rPr>
                <w:color w:val="000000"/>
              </w:rPr>
            </w:pPr>
            <w:r w:rsidRPr="00B37A71">
              <w:rPr>
                <w:color w:val="000000"/>
              </w:rPr>
              <w:t>D</w:t>
            </w:r>
            <w:r>
              <w:rPr>
                <w:color w:val="000000"/>
              </w:rPr>
              <w:t>alší nerovností je podle grafu 14</w:t>
            </w:r>
            <w:r w:rsidRPr="00B37A71">
              <w:rPr>
                <w:color w:val="000000"/>
              </w:rPr>
              <w:t xml:space="preserve"> počet pracujících členů nízko- a </w:t>
            </w:r>
            <w:proofErr w:type="spellStart"/>
            <w:r w:rsidRPr="00B37A71">
              <w:rPr>
                <w:color w:val="000000"/>
              </w:rPr>
              <w:t>vysokopříjmových</w:t>
            </w:r>
            <w:proofErr w:type="spellEnd"/>
            <w:r w:rsidRPr="00B37A71">
              <w:rPr>
                <w:color w:val="000000"/>
              </w:rPr>
              <w:t xml:space="preserve"> domácností</w:t>
            </w:r>
            <w:r>
              <w:rPr>
                <w:color w:val="000000"/>
              </w:rPr>
              <w:t xml:space="preserve">. V domácnostech </w:t>
            </w:r>
            <w:r w:rsidRPr="00B37A71">
              <w:rPr>
                <w:color w:val="000000"/>
              </w:rPr>
              <w:t xml:space="preserve">dolního decilu pracuje </w:t>
            </w:r>
            <w:r>
              <w:rPr>
                <w:color w:val="000000"/>
              </w:rPr>
              <w:t xml:space="preserve">podle údajů </w:t>
            </w:r>
            <w:r w:rsidRPr="00E43F41">
              <w:rPr>
                <w:color w:val="000000"/>
              </w:rPr>
              <w:t>S</w:t>
            </w:r>
            <w:r>
              <w:rPr>
                <w:color w:val="000000"/>
              </w:rPr>
              <w:t>I</w:t>
            </w:r>
            <w:r w:rsidRPr="00E43F41">
              <w:rPr>
                <w:color w:val="000000"/>
              </w:rPr>
              <w:t>LC ze</w:t>
            </w:r>
            <w:r w:rsidRPr="00B37A71">
              <w:rPr>
                <w:color w:val="000000"/>
              </w:rPr>
              <w:t xml:space="preserve"> zmíněných 3,41 osob připadajících na jednu takovouto domácnost v průměru jen 0,82 osob a přitom počet vyživovaných dětí je v nich nejvyšší ze</w:t>
            </w:r>
            <w:r>
              <w:rPr>
                <w:color w:val="000000"/>
              </w:rPr>
              <w:t> </w:t>
            </w:r>
            <w:r w:rsidRPr="00B37A71">
              <w:rPr>
                <w:color w:val="000000"/>
              </w:rPr>
              <w:t xml:space="preserve">všech skupin decilového rozdělení (v průměru 1,48 dítěte). </w:t>
            </w:r>
          </w:p>
          <w:p w:rsidR="00A25E57" w:rsidRPr="00060A26" w:rsidRDefault="00A25E57" w:rsidP="00072F46">
            <w:pPr>
              <w:pStyle w:val="Textpoznpodarou"/>
              <w:jc w:val="both"/>
              <w:rPr>
                <w:color w:val="000000"/>
              </w:rPr>
            </w:pPr>
          </w:p>
        </w:tc>
      </w:tr>
      <w:tr w:rsidR="00A25E57" w:rsidRPr="00FA57FD" w:rsidTr="00072F46">
        <w:tc>
          <w:tcPr>
            <w:tcW w:w="1044" w:type="pct"/>
            <w:gridSpan w:val="3"/>
          </w:tcPr>
          <w:p w:rsidR="00A25E57" w:rsidRPr="00B37A71" w:rsidRDefault="00A25E57" w:rsidP="00072F46">
            <w:pPr>
              <w:spacing w:line="240" w:lineRule="auto"/>
              <w:rPr>
                <w:color w:val="000000"/>
                <w:spacing w:val="-4"/>
                <w:sz w:val="16"/>
                <w:szCs w:val="16"/>
              </w:rPr>
            </w:pPr>
            <w:r w:rsidRPr="00B37A71">
              <w:rPr>
                <w:color w:val="000000"/>
                <w:spacing w:val="-4"/>
                <w:sz w:val="16"/>
                <w:szCs w:val="16"/>
              </w:rPr>
              <w:t xml:space="preserve">… ale v domácnostech </w:t>
            </w:r>
            <w:proofErr w:type="spellStart"/>
            <w:r w:rsidRPr="00B37A71">
              <w:rPr>
                <w:color w:val="000000"/>
                <w:spacing w:val="-4"/>
                <w:sz w:val="16"/>
                <w:szCs w:val="16"/>
              </w:rPr>
              <w:t>vysokopříjmových</w:t>
            </w:r>
            <w:proofErr w:type="spellEnd"/>
            <w:r w:rsidRPr="00B37A71">
              <w:rPr>
                <w:color w:val="000000"/>
                <w:spacing w:val="-4"/>
                <w:sz w:val="16"/>
                <w:szCs w:val="16"/>
              </w:rPr>
              <w:t xml:space="preserve"> je tomu naopak – z průměrných 1,88 člena na desetinu nejvýše příjmových pracuje 1,50 člena</w:t>
            </w:r>
            <w:r>
              <w:rPr>
                <w:color w:val="000000"/>
                <w:spacing w:val="-4"/>
                <w:sz w:val="16"/>
                <w:szCs w:val="16"/>
              </w:rPr>
              <w:t>,</w:t>
            </w:r>
            <w:r w:rsidRPr="00B37A71">
              <w:rPr>
                <w:color w:val="000000"/>
                <w:spacing w:val="-4"/>
                <w:sz w:val="16"/>
                <w:szCs w:val="16"/>
              </w:rPr>
              <w:t xml:space="preserve"> počty vyživovaných dětí jsou minimální; významné změny sociologického charakteru</w:t>
            </w:r>
          </w:p>
        </w:tc>
        <w:tc>
          <w:tcPr>
            <w:tcW w:w="140" w:type="pct"/>
          </w:tcPr>
          <w:p w:rsidR="00A25E57" w:rsidRDefault="00A25E57" w:rsidP="00072F46">
            <w:pPr>
              <w:pStyle w:val="Textpoznpodarou"/>
              <w:jc w:val="both"/>
            </w:pPr>
          </w:p>
        </w:tc>
        <w:tc>
          <w:tcPr>
            <w:tcW w:w="3816" w:type="pct"/>
            <w:gridSpan w:val="3"/>
          </w:tcPr>
          <w:p w:rsidR="00A25E57" w:rsidRPr="00B160A4" w:rsidRDefault="00A25E57" w:rsidP="00072F46">
            <w:pPr>
              <w:pStyle w:val="Textpoznpodarou"/>
              <w:jc w:val="both"/>
              <w:rPr>
                <w:color w:val="000000"/>
                <w:spacing w:val="-4"/>
              </w:rPr>
            </w:pPr>
            <w:r w:rsidRPr="00B160A4">
              <w:rPr>
                <w:color w:val="000000"/>
                <w:spacing w:val="-4"/>
              </w:rPr>
              <w:t xml:space="preserve">Naopak u domácností </w:t>
            </w:r>
            <w:proofErr w:type="spellStart"/>
            <w:r w:rsidRPr="00B160A4">
              <w:rPr>
                <w:color w:val="000000"/>
                <w:spacing w:val="-4"/>
              </w:rPr>
              <w:t>vysokopříjmových</w:t>
            </w:r>
            <w:proofErr w:type="spellEnd"/>
            <w:r w:rsidRPr="00B160A4">
              <w:rPr>
                <w:color w:val="000000"/>
                <w:spacing w:val="-4"/>
              </w:rPr>
              <w:t xml:space="preserve"> není </w:t>
            </w:r>
            <w:r w:rsidR="00B160A4" w:rsidRPr="00B160A4">
              <w:rPr>
                <w:color w:val="000000"/>
                <w:spacing w:val="-4"/>
              </w:rPr>
              <w:t xml:space="preserve">zřejmě </w:t>
            </w:r>
            <w:r w:rsidRPr="00B160A4">
              <w:rPr>
                <w:color w:val="000000"/>
                <w:spacing w:val="-4"/>
              </w:rPr>
              <w:t xml:space="preserve">s prací problém  - z průměrných 1,88 osob připadajících na takovouto domácností pracovalo v roce 2014 v průměru 1,50 člena. Navíc šlo o domácnosti prakticky bez dětí (na jednu domácnost z desetiny nejvýše příjmových připadalo v průměru pouze 0,19 vyživovaných dětí). </w:t>
            </w:r>
          </w:p>
          <w:p w:rsidR="00A25E57" w:rsidRPr="00060A26" w:rsidRDefault="00A25E57" w:rsidP="00072F46">
            <w:pPr>
              <w:pStyle w:val="Textpoznpodarou"/>
              <w:jc w:val="both"/>
              <w:rPr>
                <w:color w:val="000000"/>
                <w:spacing w:val="-2"/>
              </w:rPr>
            </w:pPr>
          </w:p>
          <w:p w:rsidR="00A25E57" w:rsidRDefault="00A25E57" w:rsidP="00072F46">
            <w:pPr>
              <w:pStyle w:val="Textpoznpodarou"/>
              <w:jc w:val="both"/>
              <w:rPr>
                <w:color w:val="000000"/>
                <w:spacing w:val="-2"/>
                <w:sz w:val="16"/>
                <w:szCs w:val="16"/>
              </w:rPr>
            </w:pPr>
            <w:r>
              <w:rPr>
                <w:color w:val="000000"/>
                <w:spacing w:val="-2"/>
              </w:rPr>
              <w:t xml:space="preserve">Tento stav ukazuje na významné sociologické změny v charakteru rodin v posledních zhruba dvou dekádách – jednak odklon od rodin </w:t>
            </w:r>
            <w:proofErr w:type="spellStart"/>
            <w:r>
              <w:rPr>
                <w:color w:val="000000"/>
                <w:spacing w:val="-2"/>
              </w:rPr>
              <w:t>vícegeneračních</w:t>
            </w:r>
            <w:proofErr w:type="spellEnd"/>
            <w:r>
              <w:rPr>
                <w:color w:val="000000"/>
                <w:spacing w:val="-2"/>
              </w:rPr>
              <w:t>, ale i kariérní preference před zakládáním rodin s dětmi, aj.</w:t>
            </w:r>
          </w:p>
          <w:p w:rsidR="00A25E57" w:rsidRPr="00060A26" w:rsidRDefault="00A25E57" w:rsidP="00072F46">
            <w:pPr>
              <w:pStyle w:val="Textpoznpodarou"/>
              <w:jc w:val="both"/>
              <w:rPr>
                <w:color w:val="000000"/>
                <w:spacing w:val="-2"/>
              </w:rPr>
            </w:pPr>
          </w:p>
        </w:tc>
      </w:tr>
      <w:tr w:rsidR="00A25E57" w:rsidRPr="00FA57FD" w:rsidTr="00072F46">
        <w:tc>
          <w:tcPr>
            <w:tcW w:w="1044" w:type="pct"/>
            <w:gridSpan w:val="3"/>
          </w:tcPr>
          <w:p w:rsidR="00A25E57" w:rsidRDefault="00A25E57" w:rsidP="00072F46">
            <w:pPr>
              <w:spacing w:line="240" w:lineRule="auto"/>
              <w:rPr>
                <w:color w:val="000000"/>
                <w:sz w:val="16"/>
                <w:szCs w:val="16"/>
              </w:rPr>
            </w:pPr>
            <w:r>
              <w:rPr>
                <w:color w:val="000000"/>
                <w:sz w:val="16"/>
                <w:szCs w:val="16"/>
              </w:rPr>
              <w:t xml:space="preserve">Zatímco u </w:t>
            </w:r>
            <w:proofErr w:type="spellStart"/>
            <w:r>
              <w:rPr>
                <w:color w:val="000000"/>
                <w:sz w:val="16"/>
                <w:szCs w:val="16"/>
              </w:rPr>
              <w:t>nízkopříjmových</w:t>
            </w:r>
            <w:proofErr w:type="spellEnd"/>
            <w:r>
              <w:rPr>
                <w:color w:val="000000"/>
                <w:sz w:val="16"/>
                <w:szCs w:val="16"/>
              </w:rPr>
              <w:t xml:space="preserve"> domácností tvořily v roce 2013 třetinu hrubých příjmů sociální příjmy, u </w:t>
            </w:r>
            <w:proofErr w:type="spellStart"/>
            <w:r>
              <w:rPr>
                <w:color w:val="000000"/>
                <w:sz w:val="16"/>
                <w:szCs w:val="16"/>
              </w:rPr>
              <w:t>vysokopřímových</w:t>
            </w:r>
            <w:proofErr w:type="spellEnd"/>
            <w:r>
              <w:rPr>
                <w:color w:val="000000"/>
                <w:sz w:val="16"/>
                <w:szCs w:val="16"/>
              </w:rPr>
              <w:t xml:space="preserve"> pocházelo</w:t>
            </w:r>
          </w:p>
          <w:p w:rsidR="00A25E57" w:rsidRPr="00B37A71" w:rsidRDefault="00A25E57" w:rsidP="00072F46">
            <w:pPr>
              <w:spacing w:line="240" w:lineRule="auto"/>
              <w:rPr>
                <w:color w:val="000000"/>
                <w:spacing w:val="-4"/>
                <w:sz w:val="16"/>
                <w:szCs w:val="16"/>
              </w:rPr>
            </w:pPr>
            <w:r>
              <w:rPr>
                <w:color w:val="000000"/>
                <w:sz w:val="16"/>
                <w:szCs w:val="16"/>
              </w:rPr>
              <w:t>téměř devět desetin příjmů z mezd a z podnikání</w:t>
            </w:r>
          </w:p>
        </w:tc>
        <w:tc>
          <w:tcPr>
            <w:tcW w:w="140" w:type="pct"/>
          </w:tcPr>
          <w:p w:rsidR="00A25E57" w:rsidRDefault="00A25E57" w:rsidP="00072F46">
            <w:pPr>
              <w:pStyle w:val="Textpoznpodarou"/>
              <w:jc w:val="both"/>
            </w:pPr>
          </w:p>
        </w:tc>
        <w:tc>
          <w:tcPr>
            <w:tcW w:w="3816" w:type="pct"/>
            <w:gridSpan w:val="3"/>
          </w:tcPr>
          <w:p w:rsidR="00A25E57" w:rsidRDefault="00A25E57" w:rsidP="00072F46">
            <w:pPr>
              <w:pStyle w:val="Textpoznpodarou"/>
              <w:jc w:val="both"/>
              <w:rPr>
                <w:color w:val="000000"/>
                <w:spacing w:val="-2"/>
              </w:rPr>
            </w:pPr>
            <w:r>
              <w:rPr>
                <w:color w:val="000000"/>
                <w:spacing w:val="-2"/>
              </w:rPr>
              <w:t xml:space="preserve">Pohled na strukturu příjmů nízko- a </w:t>
            </w:r>
            <w:proofErr w:type="spellStart"/>
            <w:r>
              <w:rPr>
                <w:color w:val="000000"/>
                <w:spacing w:val="-2"/>
              </w:rPr>
              <w:t>vysokopříjmových</w:t>
            </w:r>
            <w:proofErr w:type="spellEnd"/>
            <w:r>
              <w:rPr>
                <w:color w:val="000000"/>
                <w:spacing w:val="-2"/>
              </w:rPr>
              <w:t xml:space="preserve"> domácností (grafy 15 a 16) dokládá výše zmíněné konstatace týkající se složení těchto příjmů. Zatímco v desetině nejníže příjmových tvořil podle SILC v roce 2013 podíl mezd a platů (příjmů ze závislé činnosti) jen polovinu jejich celkových hrubých příjmů (51 %) a nízký byl i podíl příjmů z podnikání (11,3 %), třetinu hrubých příjmů naopak představovaly sociální příjmy. Z charakteru </w:t>
            </w:r>
            <w:proofErr w:type="spellStart"/>
            <w:r>
              <w:rPr>
                <w:color w:val="000000"/>
                <w:spacing w:val="-2"/>
              </w:rPr>
              <w:t>nízkopříjmových</w:t>
            </w:r>
            <w:proofErr w:type="spellEnd"/>
            <w:r>
              <w:rPr>
                <w:color w:val="000000"/>
                <w:spacing w:val="-2"/>
              </w:rPr>
              <w:t xml:space="preserve"> domácností je takováto struktura logická. </w:t>
            </w:r>
          </w:p>
          <w:p w:rsidR="00A25E57" w:rsidRPr="00060A26" w:rsidRDefault="00A25E57" w:rsidP="00072F46">
            <w:pPr>
              <w:pStyle w:val="Textpoznpodarou"/>
              <w:jc w:val="both"/>
              <w:rPr>
                <w:color w:val="000000"/>
                <w:spacing w:val="-2"/>
              </w:rPr>
            </w:pPr>
          </w:p>
          <w:p w:rsidR="00A25E57" w:rsidRDefault="00A25E57" w:rsidP="00072F46">
            <w:pPr>
              <w:pStyle w:val="Textpoznpodarou"/>
              <w:jc w:val="both"/>
              <w:rPr>
                <w:color w:val="000000"/>
                <w:spacing w:val="-2"/>
              </w:rPr>
            </w:pPr>
            <w:r>
              <w:rPr>
                <w:color w:val="000000"/>
                <w:spacing w:val="-2"/>
              </w:rPr>
              <w:t xml:space="preserve">U </w:t>
            </w:r>
            <w:proofErr w:type="spellStart"/>
            <w:r>
              <w:rPr>
                <w:color w:val="000000"/>
                <w:spacing w:val="-2"/>
              </w:rPr>
              <w:t>vysokopříjmových</w:t>
            </w:r>
            <w:proofErr w:type="spellEnd"/>
            <w:r>
              <w:rPr>
                <w:color w:val="000000"/>
                <w:spacing w:val="-2"/>
              </w:rPr>
              <w:t xml:space="preserve"> domácností pocházelo v roce 2013 téměř devět desetin (88,9 %) všech hrubých peněžních příjmů z mezd a platů a z podnikání (ze závislé činnosti téměř dvě třetiny těchto příjmů).</w:t>
            </w:r>
          </w:p>
          <w:p w:rsidR="00A25E57" w:rsidRPr="00060A26" w:rsidRDefault="00A25E57" w:rsidP="00072F46">
            <w:pPr>
              <w:pStyle w:val="Textpoznpodarou"/>
              <w:jc w:val="both"/>
              <w:rPr>
                <w:color w:val="000000"/>
                <w:spacing w:val="-2"/>
              </w:rPr>
            </w:pPr>
          </w:p>
        </w:tc>
      </w:tr>
      <w:tr w:rsidR="00A25E57" w:rsidRPr="00FA57FD" w:rsidTr="00072F46">
        <w:tc>
          <w:tcPr>
            <w:tcW w:w="1044" w:type="pct"/>
            <w:gridSpan w:val="3"/>
          </w:tcPr>
          <w:p w:rsidR="00A25E57" w:rsidRPr="00B37A71" w:rsidRDefault="00A25E57" w:rsidP="00072F46">
            <w:pPr>
              <w:spacing w:line="240" w:lineRule="auto"/>
              <w:rPr>
                <w:color w:val="000000"/>
                <w:spacing w:val="-4"/>
                <w:sz w:val="16"/>
                <w:szCs w:val="16"/>
              </w:rPr>
            </w:pPr>
            <w:r>
              <w:rPr>
                <w:color w:val="000000"/>
                <w:sz w:val="16"/>
                <w:szCs w:val="16"/>
              </w:rPr>
              <w:t xml:space="preserve">Nerovnost mezi nízko- a </w:t>
            </w:r>
            <w:proofErr w:type="spellStart"/>
            <w:r>
              <w:rPr>
                <w:color w:val="000000"/>
                <w:sz w:val="16"/>
                <w:szCs w:val="16"/>
              </w:rPr>
              <w:t>vysokopříjmovými</w:t>
            </w:r>
            <w:proofErr w:type="spellEnd"/>
            <w:r>
              <w:rPr>
                <w:color w:val="000000"/>
                <w:sz w:val="16"/>
                <w:szCs w:val="16"/>
              </w:rPr>
              <w:t xml:space="preserve"> domácnostmi se ve druhém roce recese české </w:t>
            </w:r>
            <w:r>
              <w:rPr>
                <w:color w:val="000000"/>
                <w:sz w:val="16"/>
                <w:szCs w:val="16"/>
              </w:rPr>
              <w:lastRenderedPageBreak/>
              <w:t>ekonomiky (2013) meziročně dále zvětšila</w:t>
            </w:r>
          </w:p>
        </w:tc>
        <w:tc>
          <w:tcPr>
            <w:tcW w:w="140" w:type="pct"/>
          </w:tcPr>
          <w:p w:rsidR="00A25E57" w:rsidRDefault="00A25E57" w:rsidP="00072F46">
            <w:pPr>
              <w:pStyle w:val="Textpoznpodarou"/>
              <w:jc w:val="both"/>
            </w:pPr>
          </w:p>
        </w:tc>
        <w:tc>
          <w:tcPr>
            <w:tcW w:w="3816" w:type="pct"/>
            <w:gridSpan w:val="3"/>
          </w:tcPr>
          <w:p w:rsidR="00A25E57" w:rsidRDefault="00A25E57" w:rsidP="00072F46">
            <w:pPr>
              <w:pStyle w:val="Textpoznpodarou"/>
              <w:jc w:val="both"/>
              <w:rPr>
                <w:color w:val="000000"/>
                <w:spacing w:val="-2"/>
              </w:rPr>
            </w:pPr>
            <w:r>
              <w:rPr>
                <w:color w:val="000000"/>
                <w:spacing w:val="-2"/>
              </w:rPr>
              <w:t>V úhrnu představovaly za rok 2013 hrubé peněžní příjmy na osobu v desetině nejníže příjmových domácností 68 0</w:t>
            </w:r>
            <w:r w:rsidR="00A674E1">
              <w:rPr>
                <w:color w:val="000000"/>
                <w:spacing w:val="-2"/>
              </w:rPr>
              <w:t>8</w:t>
            </w:r>
            <w:r>
              <w:rPr>
                <w:color w:val="000000"/>
                <w:spacing w:val="-2"/>
              </w:rPr>
              <w:t>5 korun, zatímco u desetiny domácností s nejvyššími příjmy 470 741 korun na osobu.</w:t>
            </w:r>
          </w:p>
          <w:p w:rsidR="00A25E57" w:rsidRPr="00060A26" w:rsidRDefault="00A25E57" w:rsidP="00072F46">
            <w:pPr>
              <w:pStyle w:val="Textpoznpodarou"/>
              <w:jc w:val="both"/>
              <w:rPr>
                <w:color w:val="000000"/>
              </w:rPr>
            </w:pPr>
            <w:r w:rsidRPr="00060A26">
              <w:rPr>
                <w:color w:val="000000"/>
              </w:rPr>
              <w:lastRenderedPageBreak/>
              <w:t>Srovnáme-li tyto částky s ob</w:t>
            </w:r>
            <w:r>
              <w:rPr>
                <w:color w:val="000000"/>
              </w:rPr>
              <w:t>dobnými za rok 2012, tedy první rok</w:t>
            </w:r>
            <w:r w:rsidRPr="00060A26">
              <w:rPr>
                <w:color w:val="000000"/>
              </w:rPr>
              <w:t xml:space="preserve"> recese české ekonomiky, je z nich patrné, že sociální disparita měřená rozdíly mezi desetinou nejníže příjmových a desetinou nejvýše příjmových domácností se v roce 2013 dále zvětšila. Zatímco hrubé peněžní příjmy na osobu domácností v dolním decilu meziročně pouze stagnovaly (-0,04 %), příjmy domácností v horním decilu významně stouply (+5 %).</w:t>
            </w:r>
          </w:p>
          <w:p w:rsidR="00A25E57" w:rsidRPr="00477A06" w:rsidRDefault="00A25E57" w:rsidP="00072F46">
            <w:pPr>
              <w:pStyle w:val="Textpoznpodarou"/>
              <w:jc w:val="both"/>
              <w:rPr>
                <w:color w:val="000000"/>
                <w:spacing w:val="-2"/>
                <w:sz w:val="16"/>
                <w:szCs w:val="16"/>
              </w:rPr>
            </w:pPr>
          </w:p>
        </w:tc>
      </w:tr>
      <w:tr w:rsidR="00A25E57" w:rsidRPr="00817C98" w:rsidTr="00072F46">
        <w:trPr>
          <w:gridBefore w:val="1"/>
          <w:wBefore w:w="13" w:type="pct"/>
        </w:trPr>
        <w:tc>
          <w:tcPr>
            <w:tcW w:w="377" w:type="pct"/>
          </w:tcPr>
          <w:p w:rsidR="00A25E57" w:rsidRDefault="00A25E57" w:rsidP="00072F46">
            <w:pPr>
              <w:spacing w:line="240" w:lineRule="auto"/>
            </w:pPr>
            <w:r>
              <w:lastRenderedPageBreak/>
              <w:t>Graf č. 15</w:t>
            </w:r>
          </w:p>
        </w:tc>
        <w:tc>
          <w:tcPr>
            <w:tcW w:w="2107" w:type="pct"/>
            <w:gridSpan w:val="3"/>
          </w:tcPr>
          <w:p w:rsidR="00A25E57" w:rsidRDefault="00A25E57" w:rsidP="00072F46">
            <w:pPr>
              <w:pStyle w:val="Textpoznpodarou"/>
              <w:rPr>
                <w:rFonts w:cs="Arial"/>
                <w:szCs w:val="24"/>
              </w:rPr>
            </w:pPr>
            <w:r>
              <w:rPr>
                <w:rFonts w:cs="Arial"/>
                <w:b/>
                <w:bCs/>
              </w:rPr>
              <w:t xml:space="preserve">Dolní decil – struktura hrubých peněžních příjmů domácností na osobu </w:t>
            </w:r>
            <w:r w:rsidRPr="00DB06E9">
              <w:rPr>
                <w:rFonts w:cs="Arial"/>
                <w:bCs/>
              </w:rPr>
              <w:t>(</w:t>
            </w:r>
            <w:r>
              <w:rPr>
                <w:rFonts w:cs="Arial"/>
                <w:bCs/>
              </w:rPr>
              <w:t>podíly v %)</w:t>
            </w:r>
          </w:p>
        </w:tc>
        <w:tc>
          <w:tcPr>
            <w:tcW w:w="353" w:type="pct"/>
          </w:tcPr>
          <w:p w:rsidR="00A25E57" w:rsidRDefault="00A25E57" w:rsidP="00072F46">
            <w:pPr>
              <w:spacing w:line="240" w:lineRule="auto"/>
            </w:pPr>
            <w:r>
              <w:t>Graf č. 16</w:t>
            </w:r>
          </w:p>
        </w:tc>
        <w:tc>
          <w:tcPr>
            <w:tcW w:w="2150" w:type="pct"/>
          </w:tcPr>
          <w:p w:rsidR="00A25E57" w:rsidRPr="00817C98" w:rsidRDefault="00A25E57" w:rsidP="00072F46">
            <w:pPr>
              <w:rPr>
                <w:rFonts w:cs="Arial"/>
                <w:b/>
                <w:bCs/>
              </w:rPr>
            </w:pPr>
            <w:r>
              <w:rPr>
                <w:rFonts w:cs="Arial"/>
                <w:b/>
                <w:bCs/>
              </w:rPr>
              <w:t xml:space="preserve">Horní decil – struktura hrubých peněžních příjmů domácností na osobu </w:t>
            </w:r>
            <w:r w:rsidRPr="00DB06E9">
              <w:rPr>
                <w:rFonts w:cs="Arial"/>
                <w:bCs/>
              </w:rPr>
              <w:t>(</w:t>
            </w:r>
            <w:r>
              <w:rPr>
                <w:rFonts w:cs="Arial"/>
                <w:bCs/>
              </w:rPr>
              <w:t xml:space="preserve">podíly v %) </w:t>
            </w:r>
          </w:p>
        </w:tc>
      </w:tr>
      <w:tr w:rsidR="00A25E57" w:rsidTr="00072F46">
        <w:trPr>
          <w:gridBefore w:val="1"/>
          <w:wBefore w:w="13" w:type="pct"/>
        </w:trPr>
        <w:tc>
          <w:tcPr>
            <w:tcW w:w="2484" w:type="pct"/>
            <w:gridSpan w:val="4"/>
          </w:tcPr>
          <w:p w:rsidR="00A25E57" w:rsidRPr="008A5942" w:rsidRDefault="00513C6F" w:rsidP="00072F46">
            <w:pPr>
              <w:pStyle w:val="Textpoznpodarou"/>
              <w:jc w:val="both"/>
            </w:pPr>
            <w:r>
              <w:pict>
                <v:shape id="_x0000_i1132" type="#_x0000_t75" style="width:240pt;height:195.75pt">
                  <v:imagedata r:id="rId124" o:title=""/>
                </v:shape>
              </w:pict>
            </w:r>
          </w:p>
        </w:tc>
        <w:tc>
          <w:tcPr>
            <w:tcW w:w="2503" w:type="pct"/>
            <w:gridSpan w:val="2"/>
          </w:tcPr>
          <w:p w:rsidR="00A25E57" w:rsidRPr="002155A9" w:rsidRDefault="00513C6F" w:rsidP="00072F46">
            <w:pPr>
              <w:pStyle w:val="Textpoznpodarou"/>
              <w:jc w:val="right"/>
              <w:rPr>
                <w:noProof/>
              </w:rPr>
            </w:pPr>
            <w:r>
              <w:rPr>
                <w:noProof/>
              </w:rPr>
              <w:pict>
                <v:shape id="_x0000_i1133" type="#_x0000_t75" style="width:240pt;height:195.75pt">
                  <v:imagedata r:id="rId125" o:title=""/>
                </v:shape>
              </w:pict>
            </w:r>
          </w:p>
          <w:p w:rsidR="00A25E57" w:rsidRPr="000F5E7A" w:rsidRDefault="00A25E57" w:rsidP="00072F46">
            <w:pPr>
              <w:pStyle w:val="Textpoznpodarou"/>
              <w:jc w:val="right"/>
              <w:rPr>
                <w:sz w:val="18"/>
                <w:szCs w:val="18"/>
              </w:rPr>
            </w:pPr>
            <w:r>
              <w:rPr>
                <w:sz w:val="18"/>
                <w:szCs w:val="18"/>
              </w:rPr>
              <w:t>Zdroj</w:t>
            </w:r>
            <w:r w:rsidR="0025186A">
              <w:rPr>
                <w:sz w:val="18"/>
                <w:szCs w:val="18"/>
              </w:rPr>
              <w:t>: ČSÚ</w:t>
            </w:r>
            <w:r w:rsidRPr="000F5E7A">
              <w:rPr>
                <w:sz w:val="18"/>
                <w:szCs w:val="18"/>
              </w:rPr>
              <w:t xml:space="preserve"> </w:t>
            </w:r>
            <w:r w:rsidR="0025186A">
              <w:rPr>
                <w:sz w:val="18"/>
                <w:szCs w:val="18"/>
              </w:rPr>
              <w:t>(</w:t>
            </w:r>
            <w:r w:rsidRPr="000F5E7A">
              <w:rPr>
                <w:sz w:val="18"/>
                <w:szCs w:val="18"/>
              </w:rPr>
              <w:t>SILC</w:t>
            </w:r>
            <w:r w:rsidR="0025186A">
              <w:rPr>
                <w:sz w:val="18"/>
                <w:szCs w:val="18"/>
              </w:rPr>
              <w:t>)</w:t>
            </w:r>
          </w:p>
        </w:tc>
      </w:tr>
    </w:tbl>
    <w:p w:rsidR="00A25E57" w:rsidRPr="00060A26" w:rsidRDefault="00A25E57" w:rsidP="00A25E57">
      <w:pPr>
        <w:rPr>
          <w:b/>
          <w:szCs w:val="20"/>
        </w:rPr>
      </w:pPr>
    </w:p>
    <w:p w:rsidR="00A25E57" w:rsidRPr="00C0165A" w:rsidRDefault="00A25E57" w:rsidP="00A25E57">
      <w:pPr>
        <w:pStyle w:val="Nadpis3"/>
        <w:numPr>
          <w:ilvl w:val="3"/>
          <w:numId w:val="6"/>
        </w:numPr>
        <w:rPr>
          <w:color w:val="auto"/>
          <w:sz w:val="20"/>
          <w:szCs w:val="20"/>
        </w:rPr>
      </w:pPr>
      <w:bookmarkStart w:id="50" w:name="_Toc424903549"/>
      <w:bookmarkStart w:id="51" w:name="_Toc426017687"/>
      <w:r w:rsidRPr="00C0165A">
        <w:rPr>
          <w:color w:val="auto"/>
          <w:sz w:val="20"/>
          <w:szCs w:val="20"/>
        </w:rPr>
        <w:t>Rozdíly mezi domácnostmi zaměstnanců a domácnostmi důchodců</w:t>
      </w:r>
      <w:bookmarkEnd w:id="50"/>
      <w:bookmarkEnd w:id="51"/>
    </w:p>
    <w:tbl>
      <w:tblPr>
        <w:tblW w:w="5043" w:type="pct"/>
        <w:tblInd w:w="-42" w:type="dxa"/>
        <w:tblCellMar>
          <w:left w:w="28" w:type="dxa"/>
          <w:right w:w="28" w:type="dxa"/>
        </w:tblCellMar>
        <w:tblLook w:val="00A0"/>
      </w:tblPr>
      <w:tblGrid>
        <w:gridCol w:w="30"/>
        <w:gridCol w:w="630"/>
        <w:gridCol w:w="1377"/>
        <w:gridCol w:w="272"/>
        <w:gridCol w:w="2532"/>
        <w:gridCol w:w="706"/>
        <w:gridCol w:w="4230"/>
      </w:tblGrid>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t>Domácnosti zaměstnanců a domácnosti důchodců mají rozdílnou strukturu spotřeby, struktur členů domácnosti i rozdíly v příjmech</w:t>
            </w:r>
          </w:p>
        </w:tc>
        <w:tc>
          <w:tcPr>
            <w:tcW w:w="139" w:type="pct"/>
          </w:tcPr>
          <w:p w:rsidR="00A25E57" w:rsidRDefault="00A25E57" w:rsidP="00072F46">
            <w:pPr>
              <w:pStyle w:val="Textpoznpodarou"/>
              <w:jc w:val="both"/>
            </w:pPr>
          </w:p>
        </w:tc>
        <w:tc>
          <w:tcPr>
            <w:tcW w:w="3819" w:type="pct"/>
            <w:gridSpan w:val="3"/>
          </w:tcPr>
          <w:p w:rsidR="00A25E57" w:rsidRDefault="00A25E57" w:rsidP="00072F46">
            <w:pPr>
              <w:pStyle w:val="Textpoznpodarou"/>
              <w:jc w:val="both"/>
              <w:rPr>
                <w:color w:val="000000"/>
                <w:spacing w:val="-2"/>
              </w:rPr>
            </w:pPr>
            <w:r>
              <w:rPr>
                <w:color w:val="000000"/>
                <w:spacing w:val="-2"/>
              </w:rPr>
              <w:t>O disparitách mezi sociálními skupinami vypovídají i data za domácnosti zaměstnanců a domácnosti důchodců. Jde</w:t>
            </w:r>
            <w:r w:rsidR="0025186A">
              <w:rPr>
                <w:color w:val="000000"/>
                <w:spacing w:val="-2"/>
              </w:rPr>
              <w:t xml:space="preserve"> h</w:t>
            </w:r>
            <w:r w:rsidR="00D24DA0">
              <w:rPr>
                <w:color w:val="000000"/>
                <w:spacing w:val="-2"/>
              </w:rPr>
              <w:t>l</w:t>
            </w:r>
            <w:r w:rsidR="0025186A">
              <w:rPr>
                <w:color w:val="000000"/>
                <w:spacing w:val="-2"/>
              </w:rPr>
              <w:t>a</w:t>
            </w:r>
            <w:r w:rsidR="00D24DA0">
              <w:rPr>
                <w:color w:val="000000"/>
                <w:spacing w:val="-2"/>
              </w:rPr>
              <w:t>vně</w:t>
            </w:r>
            <w:r>
              <w:rPr>
                <w:color w:val="000000"/>
                <w:spacing w:val="-2"/>
              </w:rPr>
              <w:t xml:space="preserve"> o strukturu jejich spotřeby, která je rozdílná (v domácnostech důchodců mají větší váhu základní potřeby jako potraviny a bydlení, ale i výdaje za zdraví), v domácnostech zaměstnanců pak hraje roli, zda jde o domácnosti s dětmi či bez dětí. </w:t>
            </w:r>
          </w:p>
          <w:p w:rsidR="00A25E57" w:rsidRPr="00477A06" w:rsidRDefault="00A25E57" w:rsidP="00072F46">
            <w:pPr>
              <w:pStyle w:val="Textpoznpodarou"/>
              <w:jc w:val="both"/>
              <w:rPr>
                <w:color w:val="000000"/>
                <w:spacing w:val="-2"/>
                <w:sz w:val="16"/>
                <w:szCs w:val="16"/>
              </w:rPr>
            </w:pPr>
          </w:p>
          <w:p w:rsidR="00A25E57" w:rsidRDefault="00A25E57" w:rsidP="00072F46">
            <w:pPr>
              <w:pStyle w:val="Textpoznpodarou"/>
              <w:jc w:val="both"/>
              <w:rPr>
                <w:color w:val="000000"/>
                <w:spacing w:val="-2"/>
              </w:rPr>
            </w:pPr>
            <w:r>
              <w:rPr>
                <w:color w:val="000000"/>
                <w:spacing w:val="-2"/>
              </w:rPr>
              <w:t>Rozdíly mezi oběma typy domácností však panují i v příjmech, resp. jejich struktuře. I zde lze sledovat diference podle kvantilového rozdělení, v tomto případě po </w:t>
            </w:r>
            <w:proofErr w:type="spellStart"/>
            <w:r>
              <w:rPr>
                <w:color w:val="000000"/>
                <w:spacing w:val="-2"/>
              </w:rPr>
              <w:t>kvintilech</w:t>
            </w:r>
            <w:proofErr w:type="spellEnd"/>
            <w:r>
              <w:rPr>
                <w:color w:val="000000"/>
                <w:spacing w:val="-2"/>
              </w:rPr>
              <w:t xml:space="preserve"> – jako pětině nejvýše a nejníže příjmových v každé sociální skupině. </w:t>
            </w:r>
          </w:p>
          <w:p w:rsidR="00A25E57" w:rsidRPr="00477A06" w:rsidRDefault="00A25E57" w:rsidP="00072F46">
            <w:pPr>
              <w:pStyle w:val="Textpoznpodarou"/>
              <w:jc w:val="both"/>
              <w:rPr>
                <w:color w:val="000000"/>
                <w:spacing w:val="-2"/>
                <w:sz w:val="16"/>
                <w:szCs w:val="16"/>
              </w:rPr>
            </w:pPr>
            <w:r>
              <w:rPr>
                <w:color w:val="000000"/>
                <w:spacing w:val="-2"/>
              </w:rPr>
              <w:t xml:space="preserve"> </w:t>
            </w:r>
          </w:p>
        </w:tc>
      </w:tr>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t>V příjmové struktuře pětiny domácností s nejnižšími příjmy fakticky vůbec nefigurují příjmy z podnikání a jejich chudobu dokládá i velmi nízký podíl tzv. ostatních příjmů</w:t>
            </w:r>
          </w:p>
        </w:tc>
        <w:tc>
          <w:tcPr>
            <w:tcW w:w="139" w:type="pct"/>
          </w:tcPr>
          <w:p w:rsidR="00A25E57" w:rsidRDefault="00A25E57" w:rsidP="00072F46">
            <w:pPr>
              <w:pStyle w:val="Textpoznpodarou"/>
              <w:jc w:val="both"/>
            </w:pPr>
          </w:p>
        </w:tc>
        <w:tc>
          <w:tcPr>
            <w:tcW w:w="3819" w:type="pct"/>
            <w:gridSpan w:val="3"/>
          </w:tcPr>
          <w:p w:rsidR="00A25E57" w:rsidRDefault="00A25E57" w:rsidP="00072F46">
            <w:pPr>
              <w:pStyle w:val="Textpoznpodarou"/>
              <w:jc w:val="both"/>
              <w:rPr>
                <w:color w:val="000000"/>
              </w:rPr>
            </w:pPr>
            <w:r w:rsidRPr="00B37A71">
              <w:rPr>
                <w:color w:val="000000"/>
              </w:rPr>
              <w:t>Srovnáme-li pětinu nejníže příjmových domácností zaměstnanců a pětinu nejníže příjmových d</w:t>
            </w:r>
            <w:r>
              <w:rPr>
                <w:color w:val="000000"/>
              </w:rPr>
              <w:t>omácností důchodců, je z grafu 17</w:t>
            </w:r>
            <w:r w:rsidRPr="00B37A71">
              <w:rPr>
                <w:color w:val="000000"/>
              </w:rPr>
              <w:t xml:space="preserve"> patrná nejen evidentní skutečnost, že v příjmech zaměstnanců převažují mzdy a platy a v příjmech důchodců sociální příjmy. U nejníže příjmových důchodců prakticky vůbec nefigurují příjmy z podnikání, což lze zřejmě vysvětlit charakterem předchozího pracovního působení těchto lidí (před odchodem do důchodu vykonávali pravděpodobně méně placenou práci v pracovním poměru). I v důchodu z nich zřejmě dále pracuje jen velmi malá část (ve struktuře příjmů jsou u pětiny nejníže příjmových důchodců zastoupeny příjmy ze závislé činnosti jen </w:t>
            </w:r>
            <w:proofErr w:type="gramStart"/>
            <w:r w:rsidRPr="00B37A71">
              <w:rPr>
                <w:color w:val="000000"/>
              </w:rPr>
              <w:t>z</w:t>
            </w:r>
            <w:r>
              <w:rPr>
                <w:color w:val="000000"/>
              </w:rPr>
              <w:t>e</w:t>
            </w:r>
            <w:proofErr w:type="gramEnd"/>
            <w:r>
              <w:rPr>
                <w:color w:val="000000"/>
              </w:rPr>
              <w:t xml:space="preserve"> 2</w:t>
            </w:r>
            <w:r w:rsidRPr="00B37A71">
              <w:rPr>
                <w:color w:val="000000"/>
              </w:rPr>
              <w:t xml:space="preserve"> %). O jejich relativní chudobě svědčí i velmi nízké zastoupení ostatních příjmů (1</w:t>
            </w:r>
            <w:r>
              <w:rPr>
                <w:color w:val="000000"/>
              </w:rPr>
              <w:t>,7</w:t>
            </w:r>
            <w:r w:rsidRPr="00B37A71">
              <w:rPr>
                <w:color w:val="000000"/>
              </w:rPr>
              <w:t xml:space="preserve"> % hrubých peněžních příjmů).</w:t>
            </w:r>
          </w:p>
          <w:p w:rsidR="00A25E57" w:rsidRPr="00477A06" w:rsidRDefault="00A25E57" w:rsidP="00072F46">
            <w:pPr>
              <w:pStyle w:val="Textpoznpodarou"/>
              <w:jc w:val="both"/>
              <w:rPr>
                <w:color w:val="000000"/>
                <w:spacing w:val="-2"/>
                <w:sz w:val="16"/>
                <w:szCs w:val="16"/>
              </w:rPr>
            </w:pPr>
          </w:p>
        </w:tc>
      </w:tr>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t>U pětiny nejvýše příjmových zaměstnanců představují mzdy a platy jen tři pětiny příjmů (u pětiny nejníže příjmových pak tři čtvrtiny), relativně silné jsou tzv. ostatní příjmy a překvapivě i sociální příjmy</w:t>
            </w:r>
          </w:p>
        </w:tc>
        <w:tc>
          <w:tcPr>
            <w:tcW w:w="139" w:type="pct"/>
          </w:tcPr>
          <w:p w:rsidR="00A25E57" w:rsidRDefault="00A25E57" w:rsidP="00072F46">
            <w:pPr>
              <w:pStyle w:val="Textpoznpodarou"/>
              <w:jc w:val="both"/>
            </w:pPr>
          </w:p>
        </w:tc>
        <w:tc>
          <w:tcPr>
            <w:tcW w:w="3819" w:type="pct"/>
            <w:gridSpan w:val="3"/>
          </w:tcPr>
          <w:p w:rsidR="00A25E57" w:rsidRPr="00B37A71" w:rsidRDefault="00A25E57" w:rsidP="00D24DA0">
            <w:pPr>
              <w:pStyle w:val="Textpoznpodarou"/>
              <w:jc w:val="both"/>
              <w:rPr>
                <w:color w:val="000000"/>
              </w:rPr>
            </w:pPr>
            <w:r w:rsidRPr="00B37A71">
              <w:rPr>
                <w:color w:val="000000"/>
              </w:rPr>
              <w:t xml:space="preserve">U pětiny nejníže příjmových zaměstnanců převažují v příjmové struktuře mzdy, a to </w:t>
            </w:r>
            <w:r>
              <w:rPr>
                <w:color w:val="000000"/>
              </w:rPr>
              <w:t>více než čtyřmi pěti</w:t>
            </w:r>
            <w:r w:rsidRPr="00B37A71">
              <w:rPr>
                <w:color w:val="000000"/>
              </w:rPr>
              <w:t>nami (graf 17)</w:t>
            </w:r>
            <w:r>
              <w:rPr>
                <w:rStyle w:val="Znakapoznpodarou"/>
                <w:color w:val="000000"/>
              </w:rPr>
              <w:footnoteReference w:id="20"/>
            </w:r>
            <w:r w:rsidRPr="00B37A71">
              <w:rPr>
                <w:color w:val="000000"/>
              </w:rPr>
              <w:t>. U pětiny nejvýše příjmových (graf</w:t>
            </w:r>
            <w:r>
              <w:rPr>
                <w:color w:val="000000"/>
              </w:rPr>
              <w:t xml:space="preserve"> </w:t>
            </w:r>
            <w:r w:rsidRPr="00B37A71">
              <w:rPr>
                <w:color w:val="000000"/>
              </w:rPr>
              <w:t xml:space="preserve">18) </w:t>
            </w:r>
            <w:r>
              <w:rPr>
                <w:color w:val="000000"/>
              </w:rPr>
              <w:t xml:space="preserve">je </w:t>
            </w:r>
            <w:r w:rsidRPr="00B37A71">
              <w:rPr>
                <w:color w:val="000000"/>
              </w:rPr>
              <w:t xml:space="preserve">však </w:t>
            </w:r>
            <w:r>
              <w:rPr>
                <w:color w:val="000000"/>
              </w:rPr>
              <w:t>podíl mezd ještě vyšší. To je poněkud překvapující zjištění, neboť by bylo možné předpokládat, že nejbohatší domácnosti mají ve větším rozsahu i jiné než mzdové typy příjmů (</w:t>
            </w:r>
            <w:r w:rsidRPr="00B37A71">
              <w:rPr>
                <w:color w:val="000000"/>
              </w:rPr>
              <w:t>například příjmy z</w:t>
            </w:r>
            <w:r>
              <w:rPr>
                <w:color w:val="000000"/>
              </w:rPr>
              <w:t> </w:t>
            </w:r>
            <w:r w:rsidRPr="00B37A71">
              <w:rPr>
                <w:color w:val="000000"/>
              </w:rPr>
              <w:t>majetku</w:t>
            </w:r>
            <w:r>
              <w:rPr>
                <w:color w:val="000000"/>
              </w:rPr>
              <w:t>, tj.</w:t>
            </w:r>
            <w:r w:rsidRPr="00B37A71">
              <w:rPr>
                <w:color w:val="000000"/>
              </w:rPr>
              <w:t xml:space="preserve"> z</w:t>
            </w:r>
            <w:r>
              <w:rPr>
                <w:color w:val="000000"/>
              </w:rPr>
              <w:t> </w:t>
            </w:r>
            <w:r w:rsidRPr="00B37A71">
              <w:rPr>
                <w:color w:val="000000"/>
              </w:rPr>
              <w:t xml:space="preserve">pronájmu, úrokové příjmy z vkladů, výnosy z cenných papírů, aj.). Ty jsou u těchto domácností výše příjmových zaměstnanců zastoupeny </w:t>
            </w:r>
            <w:r>
              <w:rPr>
                <w:color w:val="000000"/>
              </w:rPr>
              <w:t xml:space="preserve">jen </w:t>
            </w:r>
            <w:r w:rsidRPr="00B37A71">
              <w:rPr>
                <w:color w:val="000000"/>
              </w:rPr>
              <w:t>relativně s</w:t>
            </w:r>
            <w:r>
              <w:rPr>
                <w:color w:val="000000"/>
              </w:rPr>
              <w:t>labě</w:t>
            </w:r>
            <w:r w:rsidRPr="00B37A71">
              <w:rPr>
                <w:color w:val="000000"/>
              </w:rPr>
              <w:t xml:space="preserve"> (</w:t>
            </w:r>
            <w:r>
              <w:rPr>
                <w:color w:val="000000"/>
              </w:rPr>
              <w:t>3,3</w:t>
            </w:r>
            <w:r w:rsidRPr="00B37A71">
              <w:rPr>
                <w:color w:val="000000"/>
              </w:rPr>
              <w:t xml:space="preserve"> % celkových hrubých peněžních příjmů</w:t>
            </w:r>
            <w:r>
              <w:rPr>
                <w:color w:val="000000"/>
              </w:rPr>
              <w:t>), a to nejen ve srovnání s pětinou nejníže příjmových zaměstnanců (2,9 %), ale dokonce i s pětinou nejlépe příjmově disponovaných důchodců (7,1 %).</w:t>
            </w:r>
          </w:p>
        </w:tc>
      </w:tr>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lastRenderedPageBreak/>
              <w:t>V příjmově „bohatších“ domácnostech důchodců jsou zastoupeny ostatní příjmy dokonce větším podílem, než u „bohatších“ domácností zaměstnanců</w:t>
            </w:r>
          </w:p>
        </w:tc>
        <w:tc>
          <w:tcPr>
            <w:tcW w:w="139" w:type="pct"/>
          </w:tcPr>
          <w:p w:rsidR="00A25E57" w:rsidRDefault="00A25E57" w:rsidP="00072F46">
            <w:pPr>
              <w:pStyle w:val="Textpoznpodarou"/>
              <w:jc w:val="both"/>
            </w:pPr>
          </w:p>
        </w:tc>
        <w:tc>
          <w:tcPr>
            <w:tcW w:w="3819" w:type="pct"/>
            <w:gridSpan w:val="3"/>
          </w:tcPr>
          <w:p w:rsidR="00A25E57" w:rsidRDefault="00A25E57" w:rsidP="00072F46">
            <w:pPr>
              <w:pStyle w:val="Textpoznpodarou"/>
              <w:jc w:val="both"/>
              <w:rPr>
                <w:color w:val="000000"/>
              </w:rPr>
            </w:pPr>
            <w:r w:rsidRPr="00B37A71">
              <w:rPr>
                <w:color w:val="000000"/>
              </w:rPr>
              <w:t>Také u domácností důchodců je patrný významný rozdíl ve struktuře příjmů podle toho, zda jde o seniorskou domácnost „chudou“ či „bohatší“. V pětině příjmově nejvyšších jsou relativně významně zastoupeny ostatní příjmy (</w:t>
            </w:r>
            <w:r>
              <w:rPr>
                <w:color w:val="000000"/>
              </w:rPr>
              <w:t>7,1</w:t>
            </w:r>
            <w:r w:rsidRPr="00B37A71">
              <w:rPr>
                <w:color w:val="000000"/>
              </w:rPr>
              <w:t xml:space="preserve"> % hrubých příjmů), což zřejmě souvisí se</w:t>
            </w:r>
            <w:r w:rsidR="00D24DA0">
              <w:rPr>
                <w:color w:val="000000"/>
              </w:rPr>
              <w:t xml:space="preserve"> skutečností, že tyto domácnosti</w:t>
            </w:r>
            <w:r w:rsidRPr="00B37A71">
              <w:rPr>
                <w:color w:val="000000"/>
              </w:rPr>
              <w:t xml:space="preserve"> důchodců si byly schopny před odchodem do důchodu našetřit, resp. investovat a nyní jim plynou výnosy z majetku. </w:t>
            </w:r>
            <w:r>
              <w:rPr>
                <w:color w:val="000000"/>
              </w:rPr>
              <w:t xml:space="preserve">Necelých 5 % členů </w:t>
            </w:r>
            <w:r w:rsidRPr="00B37A71">
              <w:rPr>
                <w:color w:val="000000"/>
              </w:rPr>
              <w:t>příjmově nejvyšší</w:t>
            </w:r>
            <w:r>
              <w:rPr>
                <w:color w:val="000000"/>
              </w:rPr>
              <w:t>ch</w:t>
            </w:r>
            <w:r w:rsidRPr="00B37A71">
              <w:rPr>
                <w:color w:val="000000"/>
              </w:rPr>
              <w:t xml:space="preserve"> domácností důchodců však také pracuje za mzdu, Příjmy z podnikání js</w:t>
            </w:r>
            <w:r>
              <w:rPr>
                <w:color w:val="000000"/>
              </w:rPr>
              <w:t>ou u nich jen okrajové (1,6 %).</w:t>
            </w:r>
          </w:p>
          <w:p w:rsidR="00A25E57" w:rsidRPr="00B37A71" w:rsidRDefault="00A25E57" w:rsidP="00072F46">
            <w:pPr>
              <w:pStyle w:val="Textpoznpodarou"/>
              <w:jc w:val="both"/>
              <w:rPr>
                <w:color w:val="000000"/>
              </w:rPr>
            </w:pPr>
          </w:p>
        </w:tc>
      </w:tr>
      <w:tr w:rsidR="00A25E57" w:rsidRPr="00817C98" w:rsidTr="00072F46">
        <w:trPr>
          <w:gridBefore w:val="1"/>
          <w:wBefore w:w="16" w:type="pct"/>
        </w:trPr>
        <w:tc>
          <w:tcPr>
            <w:tcW w:w="322" w:type="pct"/>
          </w:tcPr>
          <w:p w:rsidR="00A25E57" w:rsidRDefault="00A25E57" w:rsidP="00072F46">
            <w:pPr>
              <w:spacing w:line="240" w:lineRule="auto"/>
            </w:pPr>
            <w:r>
              <w:t>Graf č. 17</w:t>
            </w:r>
          </w:p>
        </w:tc>
        <w:tc>
          <w:tcPr>
            <w:tcW w:w="2138" w:type="pct"/>
            <w:gridSpan w:val="3"/>
          </w:tcPr>
          <w:p w:rsidR="00E95594" w:rsidRPr="00E95594" w:rsidRDefault="00A25E57" w:rsidP="00E95594">
            <w:pPr>
              <w:pStyle w:val="Textpoznpodarou"/>
              <w:rPr>
                <w:rFonts w:cs="Arial"/>
                <w:bCs/>
                <w:sz w:val="18"/>
                <w:szCs w:val="18"/>
              </w:rPr>
            </w:pPr>
            <w:r>
              <w:rPr>
                <w:rFonts w:cs="Arial"/>
                <w:b/>
                <w:bCs/>
              </w:rPr>
              <w:t xml:space="preserve">Skladba příjmů – pětina domácností s nejnižšími příjmy </w:t>
            </w:r>
            <w:r>
              <w:rPr>
                <w:rFonts w:cs="Arial"/>
                <w:bCs/>
                <w:sz w:val="18"/>
                <w:szCs w:val="18"/>
              </w:rPr>
              <w:t xml:space="preserve">(v % hr. </w:t>
            </w:r>
            <w:proofErr w:type="spellStart"/>
            <w:r>
              <w:rPr>
                <w:rFonts w:cs="Arial"/>
                <w:bCs/>
                <w:sz w:val="18"/>
                <w:szCs w:val="18"/>
              </w:rPr>
              <w:t>pen</w:t>
            </w:r>
            <w:proofErr w:type="spellEnd"/>
            <w:r>
              <w:rPr>
                <w:rFonts w:cs="Arial"/>
                <w:bCs/>
                <w:sz w:val="18"/>
                <w:szCs w:val="18"/>
              </w:rPr>
              <w:t>.</w:t>
            </w:r>
            <w:r w:rsidRPr="004902E2">
              <w:rPr>
                <w:rFonts w:cs="Arial"/>
                <w:bCs/>
                <w:sz w:val="18"/>
                <w:szCs w:val="18"/>
              </w:rPr>
              <w:t xml:space="preserve"> příjmů; zaměstnanci=vnější kruh</w:t>
            </w:r>
            <w:r>
              <w:rPr>
                <w:rFonts w:cs="Arial"/>
                <w:bCs/>
              </w:rPr>
              <w:t xml:space="preserve">, </w:t>
            </w:r>
            <w:r w:rsidRPr="004902E2">
              <w:rPr>
                <w:rFonts w:cs="Arial"/>
                <w:bCs/>
                <w:sz w:val="18"/>
                <w:szCs w:val="18"/>
              </w:rPr>
              <w:t>důchodci= vnitřní kruh)</w:t>
            </w:r>
          </w:p>
        </w:tc>
        <w:tc>
          <w:tcPr>
            <w:tcW w:w="361" w:type="pct"/>
          </w:tcPr>
          <w:p w:rsidR="00A25E57" w:rsidRDefault="00A25E57" w:rsidP="00072F46">
            <w:pPr>
              <w:spacing w:line="240" w:lineRule="auto"/>
            </w:pPr>
            <w:r>
              <w:t>Graf č. 18</w:t>
            </w:r>
          </w:p>
        </w:tc>
        <w:tc>
          <w:tcPr>
            <w:tcW w:w="2162" w:type="pct"/>
          </w:tcPr>
          <w:p w:rsidR="00A25E57" w:rsidRPr="00817C98" w:rsidRDefault="00A25E57" w:rsidP="00072F46">
            <w:pPr>
              <w:spacing w:line="240" w:lineRule="auto"/>
              <w:rPr>
                <w:rFonts w:cs="Arial"/>
                <w:b/>
                <w:bCs/>
              </w:rPr>
            </w:pPr>
            <w:r>
              <w:rPr>
                <w:rFonts w:cs="Arial"/>
                <w:b/>
                <w:bCs/>
              </w:rPr>
              <w:t xml:space="preserve">Skladba příjmů – pětina domácností s nejvyššími příjmy </w:t>
            </w:r>
            <w:r>
              <w:rPr>
                <w:rFonts w:cs="Arial"/>
                <w:bCs/>
                <w:sz w:val="18"/>
                <w:szCs w:val="18"/>
              </w:rPr>
              <w:t xml:space="preserve">(v % hr. </w:t>
            </w:r>
            <w:proofErr w:type="spellStart"/>
            <w:r>
              <w:rPr>
                <w:rFonts w:cs="Arial"/>
                <w:bCs/>
                <w:sz w:val="18"/>
                <w:szCs w:val="18"/>
              </w:rPr>
              <w:t>pen</w:t>
            </w:r>
            <w:proofErr w:type="spellEnd"/>
            <w:r>
              <w:rPr>
                <w:rFonts w:cs="Arial"/>
                <w:bCs/>
                <w:sz w:val="18"/>
                <w:szCs w:val="18"/>
              </w:rPr>
              <w:t>.</w:t>
            </w:r>
            <w:r w:rsidRPr="004902E2">
              <w:rPr>
                <w:rFonts w:cs="Arial"/>
                <w:bCs/>
                <w:sz w:val="18"/>
                <w:szCs w:val="18"/>
              </w:rPr>
              <w:t xml:space="preserve"> příjmů; zaměstnanci=vnější kruh</w:t>
            </w:r>
            <w:r>
              <w:rPr>
                <w:rFonts w:cs="Arial"/>
                <w:bCs/>
              </w:rPr>
              <w:t xml:space="preserve">, </w:t>
            </w:r>
            <w:r w:rsidRPr="004902E2">
              <w:rPr>
                <w:rFonts w:cs="Arial"/>
                <w:bCs/>
                <w:sz w:val="18"/>
                <w:szCs w:val="18"/>
              </w:rPr>
              <w:t>důchodci= vnitřní kruh)</w:t>
            </w:r>
          </w:p>
        </w:tc>
      </w:tr>
      <w:tr w:rsidR="00A25E57" w:rsidTr="00072F46">
        <w:trPr>
          <w:gridBefore w:val="1"/>
          <w:wBefore w:w="16" w:type="pct"/>
        </w:trPr>
        <w:tc>
          <w:tcPr>
            <w:tcW w:w="2460" w:type="pct"/>
            <w:gridSpan w:val="4"/>
          </w:tcPr>
          <w:p w:rsidR="00A25E57" w:rsidRPr="004902E2" w:rsidRDefault="00513C6F" w:rsidP="00072F46">
            <w:pPr>
              <w:pStyle w:val="Textpoznpodarou"/>
              <w:jc w:val="both"/>
            </w:pPr>
            <w:r>
              <w:rPr>
                <w:noProof/>
              </w:rPr>
              <w:pict>
                <v:shape id="Graf 3" o:spid="_x0000_i1134" type="#_x0000_t75" style="width:236.25pt;height:20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">
                  <v:imagedata r:id="rId126" o:title=""/>
                  <o:lock v:ext="edit" aspectratio="f"/>
                </v:shape>
              </w:pict>
            </w:r>
          </w:p>
        </w:tc>
        <w:tc>
          <w:tcPr>
            <w:tcW w:w="2523" w:type="pct"/>
            <w:gridSpan w:val="2"/>
          </w:tcPr>
          <w:p w:rsidR="00A25E57" w:rsidRDefault="00513C6F" w:rsidP="00072F46">
            <w:pPr>
              <w:pStyle w:val="Textpoznpodarou"/>
              <w:jc w:val="both"/>
            </w:pPr>
            <w:r>
              <w:rPr>
                <w:noProof/>
              </w:rPr>
              <w:pict>
                <v:shape id="_x0000_i1135" type="#_x0000_t75" style="width:226.5pt;height:20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">
                  <v:imagedata r:id="rId127" o:title=""/>
                  <o:lock v:ext="edit" aspectratio="f"/>
                </v:shape>
              </w:pict>
            </w:r>
          </w:p>
          <w:p w:rsidR="00A25E57" w:rsidRPr="00DB3CFB" w:rsidRDefault="00A25E57" w:rsidP="00072F46">
            <w:pPr>
              <w:pStyle w:val="Textpoznpodarou"/>
              <w:jc w:val="right"/>
              <w:rPr>
                <w:sz w:val="18"/>
                <w:szCs w:val="18"/>
              </w:rPr>
            </w:pPr>
            <w:r>
              <w:rPr>
                <w:sz w:val="18"/>
                <w:szCs w:val="18"/>
              </w:rPr>
              <w:t>Zdroj</w:t>
            </w:r>
            <w:r w:rsidR="0025186A">
              <w:rPr>
                <w:sz w:val="18"/>
                <w:szCs w:val="18"/>
              </w:rPr>
              <w:t>: ČSÚ</w:t>
            </w:r>
            <w:r w:rsidRPr="00DB3CFB">
              <w:rPr>
                <w:sz w:val="18"/>
                <w:szCs w:val="18"/>
              </w:rPr>
              <w:t xml:space="preserve"> </w:t>
            </w:r>
            <w:r w:rsidR="0025186A">
              <w:rPr>
                <w:sz w:val="18"/>
                <w:szCs w:val="18"/>
              </w:rPr>
              <w:t>(</w:t>
            </w:r>
            <w:r w:rsidRPr="00DB3CFB">
              <w:rPr>
                <w:sz w:val="18"/>
                <w:szCs w:val="18"/>
              </w:rPr>
              <w:t>SILC</w:t>
            </w:r>
            <w:r w:rsidR="0025186A">
              <w:rPr>
                <w:sz w:val="18"/>
                <w:szCs w:val="18"/>
              </w:rPr>
              <w:t>)</w:t>
            </w:r>
          </w:p>
        </w:tc>
      </w:tr>
    </w:tbl>
    <w:p w:rsidR="00A25E57" w:rsidRPr="00FD1FB0" w:rsidRDefault="00A25E57" w:rsidP="00A25E57">
      <w:pPr>
        <w:rPr>
          <w:sz w:val="16"/>
          <w:szCs w:val="16"/>
        </w:rPr>
      </w:pPr>
    </w:p>
    <w:tbl>
      <w:tblPr>
        <w:tblW w:w="5043" w:type="pct"/>
        <w:tblInd w:w="-42" w:type="dxa"/>
        <w:tblCellMar>
          <w:left w:w="28" w:type="dxa"/>
          <w:right w:w="28" w:type="dxa"/>
        </w:tblCellMar>
        <w:tblLook w:val="00A0"/>
      </w:tblPr>
      <w:tblGrid>
        <w:gridCol w:w="2037"/>
        <w:gridCol w:w="272"/>
        <w:gridCol w:w="7468"/>
      </w:tblGrid>
      <w:tr w:rsidR="00A25E57" w:rsidRPr="00B37A71" w:rsidTr="00072F46">
        <w:tc>
          <w:tcPr>
            <w:tcW w:w="1042" w:type="pct"/>
          </w:tcPr>
          <w:p w:rsidR="00A25E57" w:rsidRDefault="00A25E57" w:rsidP="00072F46">
            <w:pPr>
              <w:spacing w:line="240" w:lineRule="auto"/>
              <w:rPr>
                <w:color w:val="000000"/>
                <w:sz w:val="16"/>
                <w:szCs w:val="16"/>
              </w:rPr>
            </w:pPr>
            <w:r>
              <w:rPr>
                <w:color w:val="000000"/>
                <w:sz w:val="16"/>
                <w:szCs w:val="16"/>
              </w:rPr>
              <w:t>„Bohatších“ domácností důchodců je v jejich populaci relativně málo</w:t>
            </w:r>
          </w:p>
        </w:tc>
        <w:tc>
          <w:tcPr>
            <w:tcW w:w="139" w:type="pct"/>
          </w:tcPr>
          <w:p w:rsidR="00A25E57" w:rsidRDefault="00A25E57" w:rsidP="00072F46">
            <w:pPr>
              <w:pStyle w:val="Textpoznpodarou"/>
              <w:jc w:val="both"/>
            </w:pPr>
          </w:p>
        </w:tc>
        <w:tc>
          <w:tcPr>
            <w:tcW w:w="3819" w:type="pct"/>
          </w:tcPr>
          <w:p w:rsidR="00A25E57" w:rsidRPr="00B37A71" w:rsidRDefault="00A25E57" w:rsidP="00072F46">
            <w:pPr>
              <w:pStyle w:val="Textpoznpodarou"/>
              <w:jc w:val="both"/>
              <w:rPr>
                <w:color w:val="000000"/>
              </w:rPr>
            </w:pPr>
            <w:r w:rsidRPr="00B37A71">
              <w:rPr>
                <w:color w:val="000000"/>
              </w:rPr>
              <w:t>Hrubé peněžní příjmy na osobu v roce 2013 u všech skupin domácností důchodců v </w:t>
            </w:r>
            <w:proofErr w:type="spellStart"/>
            <w:r w:rsidRPr="00B37A71">
              <w:rPr>
                <w:color w:val="000000"/>
              </w:rPr>
              <w:t>kvintilovém</w:t>
            </w:r>
            <w:proofErr w:type="spellEnd"/>
            <w:r w:rsidRPr="00B37A71">
              <w:rPr>
                <w:color w:val="000000"/>
              </w:rPr>
              <w:t xml:space="preserve"> rozdělení ukazuje graf 19. Je z něj patrný pokles podílu sociálních příjmů na hrubých peněžních příjmech, ale až u pětiny nejvýše příjmových domácností důchodců, nikoli v předchozích skupinách. Lze tedy soudit, že takovýchto „bohatších“ domácností seniorů je v jejich populaci relativně málo.</w:t>
            </w:r>
          </w:p>
          <w:p w:rsidR="00A25E57" w:rsidRPr="00B37A71" w:rsidRDefault="00A25E57" w:rsidP="00072F46">
            <w:pPr>
              <w:pStyle w:val="Textpoznpodarou"/>
              <w:jc w:val="both"/>
              <w:rPr>
                <w:color w:val="000000"/>
              </w:rPr>
            </w:pPr>
            <w:r w:rsidRPr="00B37A71">
              <w:rPr>
                <w:color w:val="000000"/>
              </w:rPr>
              <w:t xml:space="preserve"> </w:t>
            </w:r>
          </w:p>
        </w:tc>
      </w:tr>
    </w:tbl>
    <w:p w:rsidR="00A25E57" w:rsidRDefault="00A25E57" w:rsidP="00A25E57">
      <w:r w:rsidRPr="00B37A71">
        <w:t>Graf č. 19:</w:t>
      </w:r>
      <w:r>
        <w:rPr>
          <w:b/>
        </w:rPr>
        <w:t xml:space="preserve"> D</w:t>
      </w:r>
      <w:r w:rsidRPr="00303FCA">
        <w:rPr>
          <w:b/>
        </w:rPr>
        <w:t>omácnosti důchodců – příjmy na osobu</w:t>
      </w:r>
      <w:r>
        <w:t xml:space="preserve"> (2013, v korunách za rok, </w:t>
      </w:r>
      <w:proofErr w:type="spellStart"/>
      <w:r>
        <w:t>kvintilové</w:t>
      </w:r>
      <w:proofErr w:type="spellEnd"/>
      <w:r>
        <w:t xml:space="preserve"> rozdělení) </w:t>
      </w:r>
    </w:p>
    <w:p w:rsidR="00A25E57" w:rsidRDefault="00513C6F" w:rsidP="00A25E57">
      <w:pPr>
        <w:jc w:val="center"/>
      </w:pPr>
      <w:r>
        <w:rPr>
          <w:noProof/>
        </w:rPr>
        <w:pict>
          <v:shape id="Graf 2" o:spid="_x0000_i1136" type="#_x0000_t75" style="width:413.2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">
            <v:imagedata r:id="rId128" o:title="" cropbottom="-17f"/>
            <o:lock v:ext="edit" aspectratio="f"/>
          </v:shape>
        </w:pict>
      </w:r>
    </w:p>
    <w:p w:rsidR="00A25E57" w:rsidRDefault="00A25E57" w:rsidP="00A25E57">
      <w:pPr>
        <w:jc w:val="right"/>
        <w:rPr>
          <w:sz w:val="18"/>
          <w:szCs w:val="18"/>
        </w:rPr>
      </w:pPr>
      <w:r>
        <w:rPr>
          <w:sz w:val="18"/>
          <w:szCs w:val="18"/>
        </w:rPr>
        <w:t>Zdroj</w:t>
      </w:r>
      <w:r w:rsidR="0025186A">
        <w:rPr>
          <w:sz w:val="18"/>
          <w:szCs w:val="18"/>
        </w:rPr>
        <w:t>: ČSÚ</w:t>
      </w:r>
      <w:r w:rsidRPr="00E6715B">
        <w:rPr>
          <w:sz w:val="18"/>
          <w:szCs w:val="18"/>
        </w:rPr>
        <w:t xml:space="preserve"> </w:t>
      </w:r>
      <w:r w:rsidR="0025186A">
        <w:rPr>
          <w:sz w:val="18"/>
          <w:szCs w:val="18"/>
        </w:rPr>
        <w:t>(</w:t>
      </w:r>
      <w:r w:rsidRPr="00E6715B">
        <w:rPr>
          <w:sz w:val="18"/>
          <w:szCs w:val="18"/>
        </w:rPr>
        <w:t>SILC</w:t>
      </w:r>
      <w:r w:rsidR="0025186A">
        <w:rPr>
          <w:sz w:val="18"/>
          <w:szCs w:val="18"/>
        </w:rPr>
        <w:t>)</w:t>
      </w:r>
    </w:p>
    <w:p w:rsidR="00A25E57" w:rsidRDefault="00A25E57" w:rsidP="00A25E57">
      <w:pPr>
        <w:jc w:val="both"/>
        <w:rPr>
          <w:sz w:val="12"/>
          <w:szCs w:val="12"/>
        </w:rPr>
      </w:pPr>
    </w:p>
    <w:p w:rsidR="00A25E57" w:rsidRDefault="00A25E57" w:rsidP="00A25E57">
      <w:pPr>
        <w:jc w:val="both"/>
        <w:rPr>
          <w:sz w:val="12"/>
          <w:szCs w:val="12"/>
        </w:rPr>
      </w:pPr>
    </w:p>
    <w:p w:rsidR="00E95594" w:rsidRDefault="00E95594" w:rsidP="00A25E57">
      <w:pPr>
        <w:jc w:val="both"/>
        <w:rPr>
          <w:sz w:val="12"/>
          <w:szCs w:val="12"/>
        </w:rPr>
      </w:pPr>
    </w:p>
    <w:p w:rsidR="00E95594" w:rsidRDefault="00E95594" w:rsidP="00A25E57">
      <w:pPr>
        <w:jc w:val="both"/>
        <w:rPr>
          <w:sz w:val="12"/>
          <w:szCs w:val="12"/>
        </w:rPr>
      </w:pPr>
    </w:p>
    <w:p w:rsidR="00E95594" w:rsidRDefault="00E95594" w:rsidP="00A25E57">
      <w:pPr>
        <w:jc w:val="both"/>
        <w:rPr>
          <w:sz w:val="12"/>
          <w:szCs w:val="12"/>
        </w:rPr>
      </w:pPr>
    </w:p>
    <w:p w:rsidR="00E95594" w:rsidRDefault="00E95594" w:rsidP="00A25E57">
      <w:pPr>
        <w:jc w:val="both"/>
        <w:rPr>
          <w:sz w:val="12"/>
          <w:szCs w:val="12"/>
        </w:rPr>
      </w:pPr>
    </w:p>
    <w:p w:rsidR="00072F46" w:rsidRDefault="00072F46" w:rsidP="00A25E57">
      <w:pPr>
        <w:jc w:val="both"/>
        <w:rPr>
          <w:sz w:val="12"/>
          <w:szCs w:val="12"/>
        </w:rPr>
      </w:pPr>
    </w:p>
    <w:tbl>
      <w:tblPr>
        <w:tblW w:w="5043" w:type="pct"/>
        <w:tblInd w:w="-42" w:type="dxa"/>
        <w:tblCellMar>
          <w:left w:w="28" w:type="dxa"/>
          <w:right w:w="28" w:type="dxa"/>
        </w:tblCellMar>
        <w:tblLook w:val="00A0"/>
      </w:tblPr>
      <w:tblGrid>
        <w:gridCol w:w="2037"/>
        <w:gridCol w:w="272"/>
        <w:gridCol w:w="7468"/>
      </w:tblGrid>
      <w:tr w:rsidR="00A25E57" w:rsidRPr="00B37A71" w:rsidTr="00072F46">
        <w:tc>
          <w:tcPr>
            <w:tcW w:w="1042" w:type="pct"/>
          </w:tcPr>
          <w:p w:rsidR="00A25E57" w:rsidRDefault="00A25E57" w:rsidP="00072F46">
            <w:pPr>
              <w:spacing w:line="240" w:lineRule="auto"/>
              <w:rPr>
                <w:color w:val="000000"/>
                <w:sz w:val="16"/>
                <w:szCs w:val="16"/>
              </w:rPr>
            </w:pPr>
            <w:r>
              <w:rPr>
                <w:color w:val="000000"/>
                <w:sz w:val="16"/>
                <w:szCs w:val="16"/>
              </w:rPr>
              <w:lastRenderedPageBreak/>
              <w:t xml:space="preserve">Relativní „rovnost“ domácností důchodců v roce 2013 spíše posílila a také převýšení příjmů u pětiny zaměstnanců s nejvyššími příjmy nad pětinou zaměstnanců s nejnižšími příjmy se proti roku 2012 nezvětšilo – znamená to, že druhý rok recese české ekonomiky nepřinesl u těchto dvou sociálních skupin zvětšení nerovností   </w:t>
            </w:r>
          </w:p>
        </w:tc>
        <w:tc>
          <w:tcPr>
            <w:tcW w:w="139" w:type="pct"/>
          </w:tcPr>
          <w:p w:rsidR="00A25E57" w:rsidRDefault="00A25E57" w:rsidP="00072F46">
            <w:pPr>
              <w:pStyle w:val="Textpoznpodarou"/>
              <w:jc w:val="both"/>
            </w:pPr>
          </w:p>
        </w:tc>
        <w:tc>
          <w:tcPr>
            <w:tcW w:w="3819" w:type="pct"/>
          </w:tcPr>
          <w:p w:rsidR="00A25E57" w:rsidRPr="006C5561" w:rsidRDefault="00A25E57" w:rsidP="00072F46">
            <w:pPr>
              <w:pStyle w:val="Textpoznpodarou"/>
              <w:jc w:val="both"/>
              <w:rPr>
                <w:color w:val="000000"/>
                <w:spacing w:val="-6"/>
              </w:rPr>
            </w:pPr>
            <w:r w:rsidRPr="006C5561">
              <w:rPr>
                <w:color w:val="000000"/>
                <w:spacing w:val="-6"/>
              </w:rPr>
              <w:t>Jestliže u domácností zaměstnanců byly v roce 2013 čisté peněžní příjmy pětiny nejvýše příjmových domácností větší než příjmy pětiny nejníže příjmových domácností zaměstnanců 3,</w:t>
            </w:r>
            <w:r>
              <w:rPr>
                <w:color w:val="000000"/>
                <w:spacing w:val="-6"/>
              </w:rPr>
              <w:t>8</w:t>
            </w:r>
            <w:r w:rsidRPr="006C5561">
              <w:rPr>
                <w:color w:val="000000"/>
                <w:spacing w:val="-6"/>
              </w:rPr>
              <w:t xml:space="preserve">krát, analogicky u domácností důchodců bylo toto převýšení jen </w:t>
            </w:r>
            <w:r>
              <w:rPr>
                <w:color w:val="000000"/>
                <w:spacing w:val="-6"/>
              </w:rPr>
              <w:t>2,1</w:t>
            </w:r>
            <w:r w:rsidRPr="006C5561">
              <w:rPr>
                <w:color w:val="000000"/>
                <w:spacing w:val="-6"/>
              </w:rPr>
              <w:t xml:space="preserve">krát. Znamená to, že příjmová </w:t>
            </w:r>
            <w:proofErr w:type="spellStart"/>
            <w:r w:rsidRPr="006C5561">
              <w:rPr>
                <w:color w:val="000000"/>
                <w:spacing w:val="-6"/>
              </w:rPr>
              <w:t>rozvrstvenost</w:t>
            </w:r>
            <w:proofErr w:type="spellEnd"/>
            <w:r w:rsidRPr="006C5561">
              <w:rPr>
                <w:color w:val="000000"/>
                <w:spacing w:val="-6"/>
              </w:rPr>
              <w:t xml:space="preserve"> podle </w:t>
            </w:r>
            <w:proofErr w:type="spellStart"/>
            <w:r w:rsidRPr="006C5561">
              <w:rPr>
                <w:color w:val="000000"/>
                <w:spacing w:val="-6"/>
              </w:rPr>
              <w:t>kvintilového</w:t>
            </w:r>
            <w:proofErr w:type="spellEnd"/>
            <w:r w:rsidRPr="006C5561">
              <w:rPr>
                <w:color w:val="000000"/>
                <w:spacing w:val="-6"/>
              </w:rPr>
              <w:t xml:space="preserve"> rozdělení je u domácností českých důchodců „plošší“ a ukazuje na relativní rovnost vyplácených důchodů tvořících v této sociální skupině v logice věci </w:t>
            </w:r>
            <w:r w:rsidR="00C93A94">
              <w:rPr>
                <w:color w:val="000000"/>
                <w:spacing w:val="-6"/>
              </w:rPr>
              <w:t>„</w:t>
            </w:r>
            <w:proofErr w:type="spellStart"/>
            <w:r w:rsidRPr="006C5561">
              <w:rPr>
                <w:color w:val="000000"/>
                <w:spacing w:val="-6"/>
              </w:rPr>
              <w:t>gró</w:t>
            </w:r>
            <w:proofErr w:type="spellEnd"/>
            <w:r w:rsidR="00C93A94">
              <w:rPr>
                <w:color w:val="000000"/>
                <w:spacing w:val="-6"/>
              </w:rPr>
              <w:t>“</w:t>
            </w:r>
            <w:r w:rsidRPr="006C5561">
              <w:rPr>
                <w:color w:val="000000"/>
                <w:spacing w:val="-6"/>
              </w:rPr>
              <w:t xml:space="preserve"> jejích celkových peněžních příjmů. </w:t>
            </w:r>
          </w:p>
          <w:p w:rsidR="00A25E57" w:rsidRPr="00901D1E" w:rsidRDefault="00A25E57" w:rsidP="00072F46">
            <w:pPr>
              <w:pStyle w:val="Textpoznpodarou"/>
              <w:jc w:val="both"/>
              <w:rPr>
                <w:color w:val="000000"/>
                <w:sz w:val="16"/>
                <w:szCs w:val="16"/>
              </w:rPr>
            </w:pPr>
          </w:p>
          <w:p w:rsidR="00A25E57" w:rsidRPr="00B37A71" w:rsidRDefault="00A25E57" w:rsidP="00544EBB">
            <w:pPr>
              <w:pStyle w:val="Textpoznpodarou"/>
              <w:jc w:val="both"/>
              <w:rPr>
                <w:color w:val="000000"/>
              </w:rPr>
            </w:pPr>
            <w:r w:rsidRPr="00B37A71">
              <w:rPr>
                <w:color w:val="000000"/>
              </w:rPr>
              <w:t>Proti roku 201</w:t>
            </w:r>
            <w:r w:rsidR="00544EBB">
              <w:rPr>
                <w:color w:val="000000"/>
              </w:rPr>
              <w:t>3</w:t>
            </w:r>
            <w:r w:rsidRPr="00B37A71">
              <w:rPr>
                <w:color w:val="000000"/>
              </w:rPr>
              <w:t xml:space="preserve"> se však převýšení horního příjmového </w:t>
            </w:r>
            <w:proofErr w:type="spellStart"/>
            <w:r w:rsidRPr="00B37A71">
              <w:rPr>
                <w:color w:val="000000"/>
              </w:rPr>
              <w:t>kvintilu</w:t>
            </w:r>
            <w:proofErr w:type="spellEnd"/>
            <w:r w:rsidRPr="00B37A71">
              <w:rPr>
                <w:color w:val="000000"/>
              </w:rPr>
              <w:t xml:space="preserve"> domácností zaměstnanců i domácností důchodců nad </w:t>
            </w:r>
            <w:proofErr w:type="spellStart"/>
            <w:r w:rsidRPr="00B37A71">
              <w:rPr>
                <w:color w:val="000000"/>
              </w:rPr>
              <w:t>kvintilem</w:t>
            </w:r>
            <w:proofErr w:type="spellEnd"/>
            <w:r w:rsidRPr="00B37A71">
              <w:rPr>
                <w:color w:val="000000"/>
              </w:rPr>
              <w:t xml:space="preserve"> dolním zmenšilo, což značí, že příjmová diskrepance se v obou těchto sociálních skupinách ve druhém roce ekonomické recese snížila a nerovnosti nerostly.  </w:t>
            </w:r>
          </w:p>
        </w:tc>
      </w:tr>
    </w:tbl>
    <w:p w:rsidR="00A25E57" w:rsidRPr="006C5561" w:rsidRDefault="00A25E57" w:rsidP="00A25E57">
      <w:pPr>
        <w:jc w:val="both"/>
        <w:rPr>
          <w:szCs w:val="20"/>
        </w:rPr>
      </w:pPr>
    </w:p>
    <w:p w:rsidR="00A25E57" w:rsidRPr="00901236" w:rsidRDefault="00A25E57" w:rsidP="00A25E57">
      <w:pPr>
        <w:pStyle w:val="Nadpis3"/>
        <w:numPr>
          <w:ilvl w:val="2"/>
          <w:numId w:val="6"/>
        </w:numPr>
      </w:pPr>
      <w:bookmarkStart w:id="52" w:name="_Toc424903550"/>
      <w:bookmarkStart w:id="53" w:name="_Toc426017688"/>
      <w:r w:rsidRPr="00901236">
        <w:t>Čistá peněžní vydání domácností na osobu podle decilového rozdělení příjmů</w:t>
      </w:r>
      <w:bookmarkEnd w:id="52"/>
      <w:bookmarkEnd w:id="53"/>
      <w:r w:rsidRPr="00901236">
        <w:t xml:space="preserve">  </w:t>
      </w:r>
    </w:p>
    <w:tbl>
      <w:tblPr>
        <w:tblW w:w="5043" w:type="pct"/>
        <w:tblInd w:w="-42" w:type="dxa"/>
        <w:tblCellMar>
          <w:left w:w="28" w:type="dxa"/>
          <w:right w:w="28" w:type="dxa"/>
        </w:tblCellMar>
        <w:tblLook w:val="00A0"/>
      </w:tblPr>
      <w:tblGrid>
        <w:gridCol w:w="741"/>
        <w:gridCol w:w="1324"/>
        <w:gridCol w:w="276"/>
        <w:gridCol w:w="2532"/>
        <w:gridCol w:w="694"/>
        <w:gridCol w:w="4210"/>
      </w:tblGrid>
      <w:tr w:rsidR="00A25E57" w:rsidRPr="00FA57FD" w:rsidTr="00072F46">
        <w:tc>
          <w:tcPr>
            <w:tcW w:w="1056" w:type="pct"/>
            <w:gridSpan w:val="2"/>
          </w:tcPr>
          <w:p w:rsidR="00A25E57" w:rsidRDefault="00A25E57" w:rsidP="00072F46">
            <w:pPr>
              <w:spacing w:line="240" w:lineRule="auto"/>
              <w:rPr>
                <w:color w:val="000000"/>
                <w:sz w:val="16"/>
                <w:szCs w:val="16"/>
              </w:rPr>
            </w:pPr>
            <w:r>
              <w:rPr>
                <w:color w:val="000000"/>
                <w:sz w:val="16"/>
                <w:szCs w:val="16"/>
              </w:rPr>
              <w:t>Peněžní vydání domácností charakteru spotřebního a nespotřebního jsou různě silná podle výše příjmů domácností</w:t>
            </w:r>
          </w:p>
        </w:tc>
        <w:tc>
          <w:tcPr>
            <w:tcW w:w="141" w:type="pct"/>
          </w:tcPr>
          <w:p w:rsidR="00A25E57" w:rsidRPr="00505923" w:rsidRDefault="00A25E57" w:rsidP="00072F46">
            <w:pPr>
              <w:pStyle w:val="Textpoznpodarou"/>
              <w:jc w:val="both"/>
              <w:rPr>
                <w:spacing w:val="-2"/>
              </w:rPr>
            </w:pPr>
          </w:p>
        </w:tc>
        <w:tc>
          <w:tcPr>
            <w:tcW w:w="3804" w:type="pct"/>
            <w:gridSpan w:val="3"/>
          </w:tcPr>
          <w:p w:rsidR="00A25E57" w:rsidRPr="00505923" w:rsidRDefault="00A25E57" w:rsidP="00072F46">
            <w:pPr>
              <w:pStyle w:val="Textpoznpodarou"/>
              <w:jc w:val="both"/>
              <w:rPr>
                <w:color w:val="000000"/>
                <w:spacing w:val="-2"/>
              </w:rPr>
            </w:pPr>
            <w:r w:rsidRPr="00505923">
              <w:rPr>
                <w:color w:val="000000"/>
                <w:spacing w:val="-2"/>
              </w:rPr>
              <w:t xml:space="preserve">Peněžní vydání domácností jsou závislá na jejich příjmech. Mají podobu vydání spotřebních a vydání klasifikovaných jako nespotřební, což jsou u </w:t>
            </w:r>
            <w:proofErr w:type="spellStart"/>
            <w:r w:rsidRPr="00505923">
              <w:rPr>
                <w:color w:val="000000"/>
                <w:spacing w:val="-2"/>
              </w:rPr>
              <w:t>výšepříjmových</w:t>
            </w:r>
            <w:proofErr w:type="spellEnd"/>
            <w:r w:rsidRPr="00505923">
              <w:rPr>
                <w:color w:val="000000"/>
                <w:spacing w:val="-2"/>
              </w:rPr>
              <w:t xml:space="preserve"> domácností především investice a u níže příjmových domácností pak spíše „peněžní transfery osobám mimo domácnost“, což znamená finanční podporu rodin dětí rodinám starších rodičů anebo naopak. Údaje poskytují data z rodinných účtů.</w:t>
            </w:r>
          </w:p>
          <w:p w:rsidR="00A25E57" w:rsidRPr="00901D1E" w:rsidRDefault="00A25E57" w:rsidP="00072F46">
            <w:pPr>
              <w:pStyle w:val="Textpoznpodarou"/>
              <w:jc w:val="both"/>
              <w:rPr>
                <w:color w:val="000000"/>
                <w:spacing w:val="-2"/>
                <w:sz w:val="16"/>
                <w:szCs w:val="16"/>
              </w:rPr>
            </w:pPr>
          </w:p>
        </w:tc>
      </w:tr>
      <w:tr w:rsidR="00A25E57" w:rsidRPr="00FA57FD" w:rsidTr="00072F46">
        <w:tc>
          <w:tcPr>
            <w:tcW w:w="1056" w:type="pct"/>
            <w:gridSpan w:val="2"/>
          </w:tcPr>
          <w:p w:rsidR="00A25E57" w:rsidRDefault="00A25E57" w:rsidP="00072F46">
            <w:pPr>
              <w:spacing w:line="240" w:lineRule="auto"/>
              <w:rPr>
                <w:color w:val="000000"/>
                <w:sz w:val="16"/>
                <w:szCs w:val="16"/>
              </w:rPr>
            </w:pPr>
            <w:r>
              <w:rPr>
                <w:color w:val="000000"/>
                <w:sz w:val="16"/>
                <w:szCs w:val="16"/>
              </w:rPr>
              <w:t xml:space="preserve">U desetiny nejníže příjmových domácností se blíží podíl domácností pod úrovní životního minima jedné třetině, v roce 2013 dále narostl;  ve druhém a třetím decilu v úhrnu tvoří dohromady </w:t>
            </w:r>
            <w:r w:rsidR="00544EBB">
              <w:rPr>
                <w:color w:val="000000"/>
                <w:sz w:val="16"/>
                <w:szCs w:val="16"/>
              </w:rPr>
              <w:t>přes 7 %</w:t>
            </w:r>
          </w:p>
          <w:p w:rsidR="00A25E57" w:rsidRDefault="00A25E57" w:rsidP="00072F46">
            <w:pPr>
              <w:spacing w:line="240" w:lineRule="auto"/>
              <w:rPr>
                <w:color w:val="000000"/>
                <w:sz w:val="16"/>
                <w:szCs w:val="16"/>
              </w:rPr>
            </w:pPr>
          </w:p>
          <w:p w:rsidR="00A25E57" w:rsidRDefault="00A25E57" w:rsidP="00072F46">
            <w:pPr>
              <w:spacing w:line="240" w:lineRule="auto"/>
              <w:rPr>
                <w:color w:val="000000"/>
                <w:sz w:val="16"/>
                <w:szCs w:val="16"/>
              </w:rPr>
            </w:pPr>
            <w:r>
              <w:rPr>
                <w:color w:val="000000"/>
                <w:sz w:val="16"/>
                <w:szCs w:val="16"/>
              </w:rPr>
              <w:t xml:space="preserve">Podíl domácností pod úrovní životního minima narostl v roce 2013 i v pátém decilu, kde jsou soustředěny největší měrou domácnosti důchodců – mohlo jít o vliv nízké valorizace penzí </w:t>
            </w:r>
          </w:p>
        </w:tc>
        <w:tc>
          <w:tcPr>
            <w:tcW w:w="141" w:type="pct"/>
          </w:tcPr>
          <w:p w:rsidR="00A25E57" w:rsidRDefault="00A25E57" w:rsidP="00072F46">
            <w:pPr>
              <w:pStyle w:val="Textpoznpodarou"/>
              <w:jc w:val="both"/>
            </w:pPr>
          </w:p>
        </w:tc>
        <w:tc>
          <w:tcPr>
            <w:tcW w:w="3804" w:type="pct"/>
            <w:gridSpan w:val="3"/>
          </w:tcPr>
          <w:p w:rsidR="00A25E57" w:rsidRPr="00B37A71" w:rsidRDefault="00A25E57" w:rsidP="00072F46">
            <w:pPr>
              <w:pStyle w:val="Textpoznpodarou"/>
              <w:jc w:val="both"/>
              <w:rPr>
                <w:color w:val="000000"/>
              </w:rPr>
            </w:pPr>
            <w:r w:rsidRPr="00B37A71">
              <w:rPr>
                <w:color w:val="000000"/>
              </w:rPr>
              <w:t>Kolik lidé vydávají na spotřebu, na výdaje nespotřebního charakteru, resp. kolik peněz odkládají je limitováno výší příjmů, což platí zejména u domácností s příjmy pod úrovní životního minima</w:t>
            </w:r>
            <w:r w:rsidR="00544EBB">
              <w:rPr>
                <w:rStyle w:val="Znakapoznpodarou"/>
                <w:color w:val="000000"/>
              </w:rPr>
              <w:footnoteReference w:id="21"/>
            </w:r>
            <w:r w:rsidRPr="00B37A71">
              <w:rPr>
                <w:color w:val="000000"/>
              </w:rPr>
              <w:t xml:space="preserve"> (to jsou čisté příjmy po odečtení nákladů na bydlení). Není od věci, že takovéto domácnosti jsou zastoupeny zejména v první a druhé desetině domácností podle decilového rozdělení příjmů. Právě v prvním decilu se blíží počet domácností s příjmy pod úrovní životního minima jedné třetině. </w:t>
            </w:r>
          </w:p>
          <w:p w:rsidR="00A25E57" w:rsidRPr="00901D1E" w:rsidRDefault="00A25E57" w:rsidP="00072F46">
            <w:pPr>
              <w:pStyle w:val="Textpoznpodarou"/>
              <w:jc w:val="both"/>
              <w:rPr>
                <w:color w:val="000000"/>
                <w:sz w:val="16"/>
                <w:szCs w:val="16"/>
              </w:rPr>
            </w:pPr>
          </w:p>
          <w:p w:rsidR="00A25E57" w:rsidRPr="00B37A71" w:rsidRDefault="00A25E57" w:rsidP="00072F46">
            <w:pPr>
              <w:pStyle w:val="Textpoznpodarou"/>
              <w:jc w:val="both"/>
              <w:rPr>
                <w:color w:val="000000"/>
              </w:rPr>
            </w:pPr>
            <w:r w:rsidRPr="00B37A71">
              <w:rPr>
                <w:color w:val="000000"/>
              </w:rPr>
              <w:t xml:space="preserve">V roce </w:t>
            </w:r>
            <w:r w:rsidRPr="00C93A94">
              <w:rPr>
                <w:color w:val="000000"/>
              </w:rPr>
              <w:t>2013 stoupl podle dat SILC  podíl domácností s příjmy pod úrovní životního minima – jde o č</w:t>
            </w:r>
            <w:r w:rsidRPr="00C93A94">
              <w:t>isté příjmy po odečtení nákladů na bydlení</w:t>
            </w:r>
            <w:r w:rsidRPr="00C93A94">
              <w:rPr>
                <w:color w:val="000000"/>
              </w:rPr>
              <w:t xml:space="preserve"> - v desetině domácností s nejnižšími příjmy na 32,4 % z 30,3 % v roce 2012 a nepatrně se zvýšil</w:t>
            </w:r>
            <w:r w:rsidRPr="00B37A71">
              <w:rPr>
                <w:color w:val="000000"/>
              </w:rPr>
              <w:t xml:space="preserve"> i jejich podíl ve druhém decilu (na 4,7 % ze 4,6 %). V ostatní decilech – s výjimkou pátého - podíl těchto domácností klesl, ve dvou nejvyšších je</w:t>
            </w:r>
            <w:r>
              <w:rPr>
                <w:color w:val="000000"/>
              </w:rPr>
              <w:t> </w:t>
            </w:r>
            <w:r w:rsidRPr="00B37A71">
              <w:rPr>
                <w:color w:val="000000"/>
              </w:rPr>
              <w:t>v logice věci nulový. Nárůst podílu domácností s příjmy pod úrovní životního minima v pátém decilu souvisí zřejmě s domácnostmi důchodců</w:t>
            </w:r>
            <w:r w:rsidRPr="00B37A71">
              <w:rPr>
                <w:rStyle w:val="Znakapoznpodarou"/>
                <w:color w:val="000000"/>
              </w:rPr>
              <w:footnoteReference w:id="22"/>
            </w:r>
            <w:r w:rsidRPr="00B37A71">
              <w:rPr>
                <w:color w:val="000000"/>
              </w:rPr>
              <w:t>, kde se minimální valorizace důchodů v daném roce promítla i do těchto potíží (právě</w:t>
            </w:r>
            <w:r>
              <w:rPr>
                <w:color w:val="000000"/>
              </w:rPr>
              <w:t> </w:t>
            </w:r>
            <w:r w:rsidRPr="00B37A71">
              <w:rPr>
                <w:color w:val="000000"/>
              </w:rPr>
              <w:t>v pátém decilu je soustředěn největší příjem na osobu v domácnostech důchodců)</w:t>
            </w:r>
            <w:r>
              <w:rPr>
                <w:color w:val="000000"/>
              </w:rPr>
              <w:t>.</w:t>
            </w:r>
          </w:p>
          <w:p w:rsidR="00A25E57" w:rsidRPr="00901D1E" w:rsidRDefault="00A25E57" w:rsidP="00072F46">
            <w:pPr>
              <w:pStyle w:val="Textpoznpodarou"/>
              <w:jc w:val="both"/>
              <w:rPr>
                <w:color w:val="000000"/>
                <w:sz w:val="16"/>
                <w:szCs w:val="16"/>
              </w:rPr>
            </w:pPr>
          </w:p>
        </w:tc>
      </w:tr>
      <w:tr w:rsidR="00A25E57" w:rsidRPr="00817C98" w:rsidTr="00072F46">
        <w:tc>
          <w:tcPr>
            <w:tcW w:w="379" w:type="pct"/>
          </w:tcPr>
          <w:p w:rsidR="00A25E57" w:rsidRDefault="00A25E57" w:rsidP="00072F46">
            <w:pPr>
              <w:spacing w:line="240" w:lineRule="auto"/>
            </w:pPr>
            <w:r>
              <w:t>Graf č. 20</w:t>
            </w:r>
          </w:p>
        </w:tc>
        <w:tc>
          <w:tcPr>
            <w:tcW w:w="2113" w:type="pct"/>
            <w:gridSpan w:val="3"/>
          </w:tcPr>
          <w:p w:rsidR="00A25E57" w:rsidRDefault="00A25E57" w:rsidP="00072F46">
            <w:pPr>
              <w:pStyle w:val="Textpoznpodarou"/>
              <w:rPr>
                <w:rFonts w:cs="Arial"/>
                <w:b/>
                <w:bCs/>
              </w:rPr>
            </w:pPr>
            <w:r>
              <w:rPr>
                <w:rFonts w:cs="Arial"/>
                <w:b/>
                <w:bCs/>
              </w:rPr>
              <w:t xml:space="preserve">Čistá peněžní vydání domácností celkem a v horním a dolním příjmovém decilu </w:t>
            </w:r>
          </w:p>
          <w:p w:rsidR="00A25E57" w:rsidRDefault="00A25E57" w:rsidP="00072F46">
            <w:pPr>
              <w:pStyle w:val="Textpoznpodarou"/>
              <w:rPr>
                <w:rFonts w:cs="Arial"/>
                <w:szCs w:val="24"/>
              </w:rPr>
            </w:pPr>
            <w:r w:rsidRPr="00DB06E9">
              <w:rPr>
                <w:rFonts w:cs="Arial"/>
                <w:bCs/>
              </w:rPr>
              <w:t xml:space="preserve">(v </w:t>
            </w:r>
            <w:r>
              <w:rPr>
                <w:rFonts w:cs="Arial"/>
                <w:bCs/>
              </w:rPr>
              <w:t>korunách na osobu, 2014)</w:t>
            </w:r>
          </w:p>
        </w:tc>
        <w:tc>
          <w:tcPr>
            <w:tcW w:w="355" w:type="pct"/>
          </w:tcPr>
          <w:p w:rsidR="00A25E57" w:rsidRDefault="00A25E57" w:rsidP="00072F46">
            <w:pPr>
              <w:spacing w:line="240" w:lineRule="auto"/>
            </w:pPr>
            <w:r>
              <w:t>Graf č. 21</w:t>
            </w:r>
          </w:p>
        </w:tc>
        <w:tc>
          <w:tcPr>
            <w:tcW w:w="2154" w:type="pct"/>
          </w:tcPr>
          <w:p w:rsidR="00A25E57" w:rsidRPr="00817C98" w:rsidRDefault="00A25E57" w:rsidP="00072F46">
            <w:pPr>
              <w:spacing w:line="240" w:lineRule="auto"/>
              <w:rPr>
                <w:rFonts w:cs="Arial"/>
                <w:b/>
                <w:bCs/>
              </w:rPr>
            </w:pPr>
            <w:r>
              <w:rPr>
                <w:rFonts w:cs="Arial"/>
                <w:b/>
                <w:bCs/>
              </w:rPr>
              <w:t xml:space="preserve">Podíl domácností s příjmy pod úrovní životního minima* na celkovém počtu domácností daného decilu </w:t>
            </w:r>
            <w:r w:rsidRPr="00DB06E9">
              <w:rPr>
                <w:rFonts w:cs="Arial"/>
                <w:bCs/>
              </w:rPr>
              <w:t xml:space="preserve">(v </w:t>
            </w:r>
            <w:r>
              <w:rPr>
                <w:rFonts w:cs="Arial"/>
                <w:bCs/>
              </w:rPr>
              <w:t>%</w:t>
            </w:r>
            <w:r w:rsidRPr="00DB06E9">
              <w:rPr>
                <w:rFonts w:cs="Arial"/>
                <w:bCs/>
              </w:rPr>
              <w:t>)</w:t>
            </w:r>
          </w:p>
        </w:tc>
      </w:tr>
      <w:tr w:rsidR="00A25E57" w:rsidTr="00072F46">
        <w:tc>
          <w:tcPr>
            <w:tcW w:w="2492" w:type="pct"/>
            <w:gridSpan w:val="4"/>
          </w:tcPr>
          <w:p w:rsidR="00A25E57" w:rsidRPr="008064E9" w:rsidRDefault="00513C6F" w:rsidP="00072F46">
            <w:pPr>
              <w:pStyle w:val="Textpoznpodarou"/>
              <w:jc w:val="both"/>
            </w:pPr>
            <w:r>
              <w:pict>
                <v:shape id="_x0000_i1137" type="#_x0000_t75" style="width:240.75pt;height:186pt">
                  <v:imagedata r:id="rId129" o:title=""/>
                </v:shape>
              </w:pict>
            </w:r>
          </w:p>
        </w:tc>
        <w:tc>
          <w:tcPr>
            <w:tcW w:w="2508" w:type="pct"/>
            <w:gridSpan w:val="2"/>
          </w:tcPr>
          <w:p w:rsidR="00A25E57" w:rsidRPr="008064E9" w:rsidRDefault="00513C6F" w:rsidP="00072F46">
            <w:pPr>
              <w:pStyle w:val="Textpoznpodarou"/>
              <w:jc w:val="both"/>
            </w:pPr>
            <w:r>
              <w:pict>
                <v:shape id="_x0000_i1138" type="#_x0000_t75" style="width:241.5pt;height:186pt">
                  <v:imagedata r:id="rId130" o:title=""/>
                </v:shape>
              </w:pict>
            </w:r>
          </w:p>
        </w:tc>
      </w:tr>
    </w:tbl>
    <w:p w:rsidR="006148B8" w:rsidRDefault="00A25E57" w:rsidP="006148B8">
      <w:pPr>
        <w:ind w:left="1416" w:firstLine="708"/>
        <w:rPr>
          <w:sz w:val="18"/>
          <w:szCs w:val="18"/>
        </w:rPr>
      </w:pPr>
      <w:r>
        <w:rPr>
          <w:sz w:val="18"/>
          <w:szCs w:val="18"/>
        </w:rPr>
        <w:t xml:space="preserve">           Zdroj</w:t>
      </w:r>
      <w:r w:rsidR="003D030B">
        <w:rPr>
          <w:sz w:val="18"/>
          <w:szCs w:val="18"/>
        </w:rPr>
        <w:t>: ČSÚ</w:t>
      </w:r>
      <w:r w:rsidRPr="001A7C15">
        <w:rPr>
          <w:sz w:val="18"/>
          <w:szCs w:val="18"/>
        </w:rPr>
        <w:t xml:space="preserve"> </w:t>
      </w:r>
      <w:r w:rsidR="003D030B">
        <w:rPr>
          <w:sz w:val="18"/>
          <w:szCs w:val="18"/>
        </w:rPr>
        <w:t>(</w:t>
      </w:r>
      <w:r w:rsidRPr="001A7C15">
        <w:rPr>
          <w:sz w:val="18"/>
          <w:szCs w:val="18"/>
        </w:rPr>
        <w:t>rodinné účty</w:t>
      </w:r>
      <w:r w:rsidR="003D030B">
        <w:rPr>
          <w:sz w:val="18"/>
          <w:szCs w:val="18"/>
        </w:rPr>
        <w:t>)</w:t>
      </w:r>
      <w:r>
        <w:rPr>
          <w:sz w:val="18"/>
          <w:szCs w:val="18"/>
        </w:rPr>
        <w:tab/>
      </w:r>
      <w:r w:rsidR="006148B8">
        <w:rPr>
          <w:sz w:val="18"/>
          <w:szCs w:val="18"/>
        </w:rPr>
        <w:t>*</w:t>
      </w:r>
      <w:proofErr w:type="spellStart"/>
      <w:r w:rsidR="006148B8">
        <w:rPr>
          <w:sz w:val="18"/>
          <w:szCs w:val="18"/>
        </w:rPr>
        <w:t>Pozn</w:t>
      </w:r>
      <w:proofErr w:type="spellEnd"/>
      <w:r w:rsidR="006148B8">
        <w:rPr>
          <w:sz w:val="18"/>
          <w:szCs w:val="18"/>
        </w:rPr>
        <w:t xml:space="preserve">: </w:t>
      </w:r>
      <w:r w:rsidR="006148B8" w:rsidRPr="00CF1152">
        <w:rPr>
          <w:sz w:val="18"/>
          <w:szCs w:val="18"/>
        </w:rPr>
        <w:t>Čisté příjmy po odečtení nákladů na bydlení</w:t>
      </w:r>
    </w:p>
    <w:p w:rsidR="00A25E57" w:rsidRDefault="00A25E57" w:rsidP="00A25E57">
      <w:pPr>
        <w:ind w:left="1416" w:firstLine="708"/>
        <w:rPr>
          <w:sz w:val="18"/>
          <w:szCs w:val="18"/>
        </w:rPr>
      </w:pPr>
      <w:r>
        <w:rPr>
          <w:sz w:val="18"/>
          <w:szCs w:val="18"/>
        </w:rPr>
        <w:tab/>
      </w:r>
      <w:r>
        <w:rPr>
          <w:sz w:val="18"/>
          <w:szCs w:val="18"/>
        </w:rPr>
        <w:tab/>
      </w:r>
      <w:r>
        <w:rPr>
          <w:sz w:val="18"/>
          <w:szCs w:val="18"/>
        </w:rPr>
        <w:tab/>
        <w:t xml:space="preserve">  </w:t>
      </w:r>
      <w:r w:rsidR="003D030B">
        <w:rPr>
          <w:sz w:val="18"/>
          <w:szCs w:val="18"/>
        </w:rPr>
        <w:t xml:space="preserve">                   </w:t>
      </w:r>
      <w:r w:rsidR="006148B8">
        <w:rPr>
          <w:sz w:val="18"/>
          <w:szCs w:val="18"/>
        </w:rPr>
        <w:tab/>
      </w:r>
      <w:r w:rsidR="006148B8">
        <w:rPr>
          <w:sz w:val="18"/>
          <w:szCs w:val="18"/>
        </w:rPr>
        <w:tab/>
      </w:r>
      <w:r w:rsidR="006148B8">
        <w:rPr>
          <w:sz w:val="18"/>
          <w:szCs w:val="18"/>
        </w:rPr>
        <w:tab/>
      </w:r>
      <w:r w:rsidR="006148B8">
        <w:rPr>
          <w:sz w:val="18"/>
          <w:szCs w:val="18"/>
        </w:rPr>
        <w:tab/>
        <w:t xml:space="preserve">      </w:t>
      </w:r>
      <w:r w:rsidR="003D030B">
        <w:rPr>
          <w:sz w:val="18"/>
          <w:szCs w:val="18"/>
        </w:rPr>
        <w:t>Zdroj: ČSÚ</w:t>
      </w:r>
      <w:r>
        <w:rPr>
          <w:sz w:val="18"/>
          <w:szCs w:val="18"/>
        </w:rPr>
        <w:t xml:space="preserve"> </w:t>
      </w:r>
      <w:r w:rsidR="003D030B">
        <w:rPr>
          <w:sz w:val="18"/>
          <w:szCs w:val="18"/>
        </w:rPr>
        <w:t>(</w:t>
      </w:r>
      <w:r>
        <w:rPr>
          <w:sz w:val="18"/>
          <w:szCs w:val="18"/>
        </w:rPr>
        <w:t>SILC</w:t>
      </w:r>
      <w:r w:rsidR="003D030B">
        <w:rPr>
          <w:sz w:val="18"/>
          <w:szCs w:val="18"/>
        </w:rPr>
        <w:t>)</w:t>
      </w:r>
    </w:p>
    <w:tbl>
      <w:tblPr>
        <w:tblW w:w="5043" w:type="pct"/>
        <w:tblInd w:w="-42" w:type="dxa"/>
        <w:tblCellMar>
          <w:left w:w="28" w:type="dxa"/>
          <w:right w:w="28" w:type="dxa"/>
        </w:tblCellMar>
        <w:tblLook w:val="00A0"/>
      </w:tblPr>
      <w:tblGrid>
        <w:gridCol w:w="2037"/>
        <w:gridCol w:w="272"/>
        <w:gridCol w:w="7468"/>
      </w:tblGrid>
      <w:tr w:rsidR="00A25E57" w:rsidRPr="00FA57FD" w:rsidTr="00072F46">
        <w:tc>
          <w:tcPr>
            <w:tcW w:w="1042" w:type="pct"/>
          </w:tcPr>
          <w:p w:rsidR="00A25E57" w:rsidRDefault="00521CC7" w:rsidP="00072F46">
            <w:pPr>
              <w:spacing w:line="240" w:lineRule="auto"/>
              <w:rPr>
                <w:color w:val="000000"/>
                <w:sz w:val="16"/>
                <w:szCs w:val="16"/>
              </w:rPr>
            </w:pPr>
            <w:r>
              <w:rPr>
                <w:color w:val="000000"/>
                <w:sz w:val="16"/>
                <w:szCs w:val="16"/>
              </w:rPr>
              <w:lastRenderedPageBreak/>
              <w:t>V roce 2014</w:t>
            </w:r>
            <w:r w:rsidR="00A25E57">
              <w:rPr>
                <w:color w:val="000000"/>
                <w:sz w:val="16"/>
                <w:szCs w:val="16"/>
              </w:rPr>
              <w:t xml:space="preserve"> se diskrepance mezi výší čistých peněžních vydání nejníže- a nejvýše příjmových domácností nepatrně zmenšila…</w:t>
            </w:r>
          </w:p>
        </w:tc>
        <w:tc>
          <w:tcPr>
            <w:tcW w:w="139" w:type="pct"/>
          </w:tcPr>
          <w:p w:rsidR="00A25E57" w:rsidRDefault="00A25E57" w:rsidP="00072F46">
            <w:pPr>
              <w:pStyle w:val="Textpoznpodarou"/>
              <w:jc w:val="both"/>
            </w:pPr>
          </w:p>
        </w:tc>
        <w:tc>
          <w:tcPr>
            <w:tcW w:w="3819" w:type="pct"/>
          </w:tcPr>
          <w:p w:rsidR="00A25E57" w:rsidRPr="00925217" w:rsidRDefault="00A25E57" w:rsidP="00072F46">
            <w:pPr>
              <w:pStyle w:val="Textpoznpodarou"/>
              <w:jc w:val="both"/>
              <w:rPr>
                <w:color w:val="000000"/>
              </w:rPr>
            </w:pPr>
            <w:r w:rsidRPr="00925217">
              <w:rPr>
                <w:color w:val="000000"/>
              </w:rPr>
              <w:t>Nepoměr mezi čistými peněžními vydáními desetiny domácností s nejvyššími příjmy oproti desetině s nejnižšími příjmy (graf 20) se v roce 201</w:t>
            </w:r>
            <w:r>
              <w:rPr>
                <w:color w:val="000000"/>
              </w:rPr>
              <w:t>4</w:t>
            </w:r>
            <w:r>
              <w:rPr>
                <w:rStyle w:val="Znakapoznpodarou"/>
                <w:color w:val="000000"/>
              </w:rPr>
              <w:footnoteReference w:id="23"/>
            </w:r>
            <w:r w:rsidRPr="00925217">
              <w:rPr>
                <w:color w:val="000000"/>
              </w:rPr>
              <w:t xml:space="preserve"> podle údajů z rodinných účtů mírně zmenšil - převýšení (3,7</w:t>
            </w:r>
            <w:r w:rsidR="00521CC7">
              <w:rPr>
                <w:color w:val="000000"/>
              </w:rPr>
              <w:t>krát) bylo nižší než v roce 2013</w:t>
            </w:r>
            <w:r w:rsidRPr="00925217">
              <w:rPr>
                <w:color w:val="000000"/>
              </w:rPr>
              <w:t xml:space="preserve"> (3,8krát). Může to souviset s tím, že domácnosti odložily více v podobě úspor, a to především domácnosti na vzdálenější škále decilového rozdělení příjmů. </w:t>
            </w:r>
          </w:p>
          <w:p w:rsidR="00A25E57" w:rsidRPr="006C5561" w:rsidRDefault="00A25E57" w:rsidP="00072F46">
            <w:pPr>
              <w:pStyle w:val="Textpoznpodarou"/>
              <w:jc w:val="both"/>
              <w:rPr>
                <w:color w:val="000000"/>
                <w:sz w:val="16"/>
                <w:szCs w:val="16"/>
              </w:rPr>
            </w:pP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 xml:space="preserve">… a také u vydání spotřebních se zmenšilo převýšení domácností horního decilu nad domácnostmi dolního decilu </w:t>
            </w:r>
          </w:p>
        </w:tc>
        <w:tc>
          <w:tcPr>
            <w:tcW w:w="139" w:type="pct"/>
          </w:tcPr>
          <w:p w:rsidR="00A25E57" w:rsidRDefault="00A25E57" w:rsidP="00072F46">
            <w:pPr>
              <w:pStyle w:val="Textpoznpodarou"/>
              <w:jc w:val="both"/>
            </w:pPr>
          </w:p>
        </w:tc>
        <w:tc>
          <w:tcPr>
            <w:tcW w:w="3819" w:type="pct"/>
          </w:tcPr>
          <w:p w:rsidR="00A25E57" w:rsidRPr="00925217" w:rsidRDefault="00A25E57" w:rsidP="00072F46">
            <w:pPr>
              <w:pStyle w:val="Textpoznpodarou"/>
              <w:jc w:val="both"/>
              <w:rPr>
                <w:color w:val="000000"/>
              </w:rPr>
            </w:pPr>
            <w:r w:rsidRPr="00925217">
              <w:rPr>
                <w:color w:val="000000"/>
              </w:rPr>
              <w:t>Zmenšilo se i předchozí převýšení z roku 201</w:t>
            </w:r>
            <w:r>
              <w:rPr>
                <w:color w:val="000000"/>
              </w:rPr>
              <w:t>3</w:t>
            </w:r>
            <w:r w:rsidRPr="00925217">
              <w:rPr>
                <w:color w:val="000000"/>
              </w:rPr>
              <w:t xml:space="preserve"> u spotřebních vydání domácností v horním decilu oproti domácnostem v dolním decilu (na 2,9krát oproti 3,1krát).  Ovšem daleko výraznější to bylo u vydání nespotřebních (na 27,4krát oproti 40,9krát v roce 201</w:t>
            </w:r>
            <w:r>
              <w:rPr>
                <w:color w:val="000000"/>
              </w:rPr>
              <w:t>3</w:t>
            </w:r>
            <w:r w:rsidRPr="00925217">
              <w:rPr>
                <w:color w:val="000000"/>
              </w:rPr>
              <w:t>). Vydání nespotřebního typu (graf 23) se u desetiny domácností s nejnižšími příjmy v roce 201</w:t>
            </w:r>
            <w:r>
              <w:rPr>
                <w:color w:val="000000"/>
              </w:rPr>
              <w:t>4</w:t>
            </w:r>
            <w:r w:rsidRPr="00925217">
              <w:rPr>
                <w:color w:val="000000"/>
              </w:rPr>
              <w:t xml:space="preserve"> meziročně zdvojnásobila, i když jsou</w:t>
            </w:r>
            <w:r w:rsidR="00521CC7">
              <w:rPr>
                <w:color w:val="000000"/>
              </w:rPr>
              <w:t> </w:t>
            </w:r>
            <w:r w:rsidRPr="00925217">
              <w:rPr>
                <w:color w:val="000000"/>
              </w:rPr>
              <w:t>velmi malá oproti desetině domácností s nejvyššími příjmy (jen necelé tři tisíce</w:t>
            </w:r>
            <w:r w:rsidR="00521CC7">
              <w:rPr>
                <w:color w:val="000000"/>
              </w:rPr>
              <w:t> </w:t>
            </w:r>
            <w:r w:rsidRPr="00925217">
              <w:rPr>
                <w:color w:val="000000"/>
              </w:rPr>
              <w:t>korun na osobu za rok proti téměř 72 tisícům v případě domácností horního decilu).</w:t>
            </w:r>
          </w:p>
          <w:p w:rsidR="00A25E57" w:rsidRPr="006C5561" w:rsidRDefault="00A25E57" w:rsidP="00072F46">
            <w:pPr>
              <w:pStyle w:val="Textpoznpodarou"/>
              <w:jc w:val="both"/>
              <w:rPr>
                <w:color w:val="000000"/>
                <w:sz w:val="16"/>
                <w:szCs w:val="16"/>
              </w:rPr>
            </w:pP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Největší disparity existují mezi desetinou nejvýše- a nejníže příjmových domácností v oblasti nespotřebních vydání</w:t>
            </w:r>
          </w:p>
        </w:tc>
        <w:tc>
          <w:tcPr>
            <w:tcW w:w="139" w:type="pct"/>
          </w:tcPr>
          <w:p w:rsidR="00A25E57" w:rsidRDefault="00A25E57" w:rsidP="00072F46">
            <w:pPr>
              <w:pStyle w:val="Textpoznpodarou"/>
              <w:jc w:val="both"/>
            </w:pPr>
          </w:p>
        </w:tc>
        <w:tc>
          <w:tcPr>
            <w:tcW w:w="3819" w:type="pct"/>
          </w:tcPr>
          <w:p w:rsidR="00A25E57" w:rsidRPr="00925217" w:rsidRDefault="00A25E57" w:rsidP="00072F46">
            <w:pPr>
              <w:pStyle w:val="Textpoznpodarou"/>
              <w:jc w:val="both"/>
              <w:rPr>
                <w:color w:val="000000"/>
              </w:rPr>
            </w:pPr>
            <w:r w:rsidRPr="00925217">
              <w:rPr>
                <w:color w:val="000000"/>
              </w:rPr>
              <w:t xml:space="preserve">Právě velmi vysoká diference mezi výdajovými možnostmi výdajů nespotřebního charakteru mezi nejníže- a nejvýše příjmovými domácnostmi dokládá rozsah disparity mezi úrovní života obou těchto skupin domácností v České republice. Tato disparita je navíc umocněna tím, že v dolním příjmovém decilu žije téměř dvakrát více lidí než v decilu horním.  </w:t>
            </w:r>
          </w:p>
        </w:tc>
      </w:tr>
    </w:tbl>
    <w:p w:rsidR="00A25E57" w:rsidRDefault="00A25E57" w:rsidP="00A25E57">
      <w:pPr>
        <w:rPr>
          <w:b/>
          <w:sz w:val="22"/>
          <w:szCs w:val="22"/>
        </w:rPr>
      </w:pPr>
    </w:p>
    <w:tbl>
      <w:tblPr>
        <w:tblW w:w="5021" w:type="pct"/>
        <w:tblLayout w:type="fixed"/>
        <w:tblCellMar>
          <w:left w:w="28" w:type="dxa"/>
          <w:right w:w="28" w:type="dxa"/>
        </w:tblCellMar>
        <w:tblLook w:val="00A0"/>
      </w:tblPr>
      <w:tblGrid>
        <w:gridCol w:w="732"/>
        <w:gridCol w:w="4079"/>
        <w:gridCol w:w="705"/>
        <w:gridCol w:w="4219"/>
      </w:tblGrid>
      <w:tr w:rsidR="00A25E57" w:rsidRPr="00817C98" w:rsidTr="00072F46">
        <w:tc>
          <w:tcPr>
            <w:tcW w:w="376" w:type="pct"/>
          </w:tcPr>
          <w:p w:rsidR="00A25E57" w:rsidRDefault="00A25E57" w:rsidP="00072F46">
            <w:pPr>
              <w:spacing w:line="240" w:lineRule="auto"/>
            </w:pPr>
            <w:r>
              <w:t>Graf č. 22</w:t>
            </w:r>
          </w:p>
        </w:tc>
        <w:tc>
          <w:tcPr>
            <w:tcW w:w="2095" w:type="pct"/>
          </w:tcPr>
          <w:p w:rsidR="00A25E57" w:rsidRDefault="00A25E57" w:rsidP="00072F46">
            <w:pPr>
              <w:pStyle w:val="Textpoznpodarou"/>
              <w:rPr>
                <w:rFonts w:cs="Arial"/>
                <w:szCs w:val="24"/>
              </w:rPr>
            </w:pPr>
            <w:r>
              <w:rPr>
                <w:rFonts w:cs="Arial"/>
                <w:b/>
                <w:bCs/>
              </w:rPr>
              <w:t xml:space="preserve">Spotřební vydání domácností v horním a dolním příjmovém decilu a za domácnosti celkem </w:t>
            </w:r>
            <w:r w:rsidRPr="006E5F51">
              <w:rPr>
                <w:rFonts w:cs="Arial"/>
                <w:bCs/>
              </w:rPr>
              <w:t>(v</w:t>
            </w:r>
            <w:r>
              <w:rPr>
                <w:rFonts w:cs="Arial"/>
                <w:bCs/>
              </w:rPr>
              <w:t xml:space="preserve"> korunách na osobu, 2014) </w:t>
            </w:r>
          </w:p>
        </w:tc>
        <w:tc>
          <w:tcPr>
            <w:tcW w:w="362" w:type="pct"/>
          </w:tcPr>
          <w:p w:rsidR="00A25E57" w:rsidRDefault="00A25E57" w:rsidP="00072F46">
            <w:pPr>
              <w:spacing w:line="240" w:lineRule="auto"/>
            </w:pPr>
            <w:r>
              <w:t>Graf č. 23</w:t>
            </w:r>
          </w:p>
        </w:tc>
        <w:tc>
          <w:tcPr>
            <w:tcW w:w="2167" w:type="pct"/>
          </w:tcPr>
          <w:p w:rsidR="00A25E57" w:rsidRPr="006E5F51" w:rsidRDefault="00A25E57" w:rsidP="00072F46">
            <w:pPr>
              <w:pStyle w:val="Textpoznpodarou"/>
              <w:rPr>
                <w:rFonts w:cs="Arial"/>
                <w:b/>
                <w:bCs/>
              </w:rPr>
            </w:pPr>
            <w:r w:rsidRPr="006E5F51">
              <w:rPr>
                <w:b/>
              </w:rPr>
              <w:t>Nespotřební vydání domácností v horním a dolním příjmovém decilu a za domácnosti celkem</w:t>
            </w:r>
            <w:r>
              <w:t xml:space="preserve"> </w:t>
            </w:r>
            <w:r w:rsidRPr="00DB06E9">
              <w:t xml:space="preserve">(v </w:t>
            </w:r>
            <w:r>
              <w:t xml:space="preserve">korunách na osobu, 2014) </w:t>
            </w:r>
          </w:p>
        </w:tc>
      </w:tr>
      <w:tr w:rsidR="00A25E57" w:rsidTr="00072F46">
        <w:tc>
          <w:tcPr>
            <w:tcW w:w="2471" w:type="pct"/>
            <w:gridSpan w:val="2"/>
          </w:tcPr>
          <w:p w:rsidR="00A25E57" w:rsidRPr="001A7C15" w:rsidRDefault="00513C6F" w:rsidP="00072F46">
            <w:pPr>
              <w:pStyle w:val="Textpoznpodarou"/>
              <w:jc w:val="both"/>
            </w:pPr>
            <w:r>
              <w:pict>
                <v:shape id="_x0000_i1139" type="#_x0000_t75" style="width:231pt;height:200.25pt">
                  <v:imagedata r:id="rId131" o:title=""/>
                </v:shape>
              </w:pict>
            </w:r>
          </w:p>
        </w:tc>
        <w:tc>
          <w:tcPr>
            <w:tcW w:w="2529" w:type="pct"/>
            <w:gridSpan w:val="2"/>
          </w:tcPr>
          <w:p w:rsidR="00A25E57" w:rsidRPr="001A7C15" w:rsidRDefault="00513C6F" w:rsidP="00072F46">
            <w:pPr>
              <w:pStyle w:val="Textpoznpodarou"/>
              <w:jc w:val="both"/>
            </w:pPr>
            <w:r>
              <w:pict>
                <v:shape id="_x0000_i1140" type="#_x0000_t75" style="width:235.5pt;height:200.25pt">
                  <v:imagedata r:id="rId132" o:title=""/>
                </v:shape>
              </w:pict>
            </w:r>
          </w:p>
        </w:tc>
      </w:tr>
    </w:tbl>
    <w:p w:rsidR="00A25E57" w:rsidRDefault="00A25E57" w:rsidP="00A25E57">
      <w:pPr>
        <w:jc w:val="right"/>
        <w:rPr>
          <w:sz w:val="18"/>
          <w:szCs w:val="18"/>
        </w:rPr>
      </w:pPr>
      <w:r>
        <w:rPr>
          <w:sz w:val="18"/>
          <w:szCs w:val="18"/>
        </w:rPr>
        <w:t>Zdroj</w:t>
      </w:r>
      <w:r w:rsidR="00B85E2C">
        <w:rPr>
          <w:sz w:val="18"/>
          <w:szCs w:val="18"/>
        </w:rPr>
        <w:t>: ČSÚ</w:t>
      </w:r>
      <w:r w:rsidRPr="001A7C15">
        <w:rPr>
          <w:sz w:val="18"/>
          <w:szCs w:val="18"/>
        </w:rPr>
        <w:t xml:space="preserve"> </w:t>
      </w:r>
      <w:r w:rsidR="00B85E2C">
        <w:rPr>
          <w:sz w:val="18"/>
          <w:szCs w:val="18"/>
        </w:rPr>
        <w:t>(</w:t>
      </w:r>
      <w:r w:rsidRPr="001A7C15">
        <w:rPr>
          <w:sz w:val="18"/>
          <w:szCs w:val="18"/>
        </w:rPr>
        <w:t>rodinné účty</w:t>
      </w:r>
      <w:r w:rsidR="00B85E2C">
        <w:rPr>
          <w:sz w:val="18"/>
          <w:szCs w:val="18"/>
        </w:rPr>
        <w:t>)</w:t>
      </w:r>
    </w:p>
    <w:p w:rsidR="00A25E57" w:rsidRPr="003B50F0" w:rsidRDefault="00A25E57" w:rsidP="00A25E57">
      <w:pPr>
        <w:jc w:val="both"/>
        <w:rPr>
          <w:sz w:val="12"/>
          <w:szCs w:val="12"/>
        </w:rPr>
      </w:pPr>
    </w:p>
    <w:tbl>
      <w:tblPr>
        <w:tblW w:w="5043" w:type="pct"/>
        <w:tblInd w:w="-42" w:type="dxa"/>
        <w:tblCellMar>
          <w:left w:w="28" w:type="dxa"/>
          <w:right w:w="28" w:type="dxa"/>
        </w:tblCellMar>
        <w:tblLook w:val="00A0"/>
      </w:tblPr>
      <w:tblGrid>
        <w:gridCol w:w="40"/>
        <w:gridCol w:w="732"/>
        <w:gridCol w:w="1266"/>
        <w:gridCol w:w="272"/>
        <w:gridCol w:w="2543"/>
        <w:gridCol w:w="705"/>
        <w:gridCol w:w="4219"/>
      </w:tblGrid>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t>Spotřeba podle jednotlivých položek</w:t>
            </w:r>
          </w:p>
        </w:tc>
        <w:tc>
          <w:tcPr>
            <w:tcW w:w="139" w:type="pct"/>
          </w:tcPr>
          <w:p w:rsidR="00A25E57" w:rsidRDefault="00A25E57" w:rsidP="00072F46">
            <w:pPr>
              <w:pStyle w:val="Textpoznpodarou"/>
              <w:jc w:val="both"/>
            </w:pPr>
          </w:p>
        </w:tc>
        <w:tc>
          <w:tcPr>
            <w:tcW w:w="3819" w:type="pct"/>
            <w:gridSpan w:val="3"/>
          </w:tcPr>
          <w:p w:rsidR="00A25E57" w:rsidRPr="00925217" w:rsidRDefault="00A25E57" w:rsidP="00072F46">
            <w:pPr>
              <w:pStyle w:val="Textpoznpodarou"/>
              <w:jc w:val="both"/>
              <w:rPr>
                <w:color w:val="000000"/>
              </w:rPr>
            </w:pPr>
            <w:r w:rsidRPr="00925217">
              <w:rPr>
                <w:color w:val="000000"/>
              </w:rPr>
              <w:t>Přejděme však ke konkrétnějšímu pohledu na spotřební vydání nejníže a nejvýše příjmových domácností v ČR podle decilového rozdělení příjmů, a to ve struktuře výdajů podle mezinárodní klas</w:t>
            </w:r>
            <w:r w:rsidR="001D5088">
              <w:rPr>
                <w:color w:val="000000"/>
              </w:rPr>
              <w:t>ifikace individuální spotřeby C</w:t>
            </w:r>
            <w:r w:rsidRPr="00925217">
              <w:rPr>
                <w:color w:val="000000"/>
              </w:rPr>
              <w:t>O</w:t>
            </w:r>
            <w:r w:rsidR="001D5088">
              <w:rPr>
                <w:color w:val="000000"/>
              </w:rPr>
              <w:t>I</w:t>
            </w:r>
            <w:r w:rsidRPr="00925217">
              <w:rPr>
                <w:color w:val="000000"/>
              </w:rPr>
              <w:t>COP (</w:t>
            </w:r>
            <w:proofErr w:type="spellStart"/>
            <w:r w:rsidRPr="00925217">
              <w:rPr>
                <w:color w:val="000000"/>
              </w:rPr>
              <w:t>Classification</w:t>
            </w:r>
            <w:proofErr w:type="spellEnd"/>
            <w:r w:rsidRPr="00925217">
              <w:rPr>
                <w:color w:val="000000"/>
              </w:rPr>
              <w:t xml:space="preserve"> </w:t>
            </w:r>
            <w:proofErr w:type="spellStart"/>
            <w:r w:rsidRPr="00925217">
              <w:rPr>
                <w:color w:val="000000"/>
              </w:rPr>
              <w:t>of</w:t>
            </w:r>
            <w:proofErr w:type="spellEnd"/>
            <w:r w:rsidRPr="00925217">
              <w:rPr>
                <w:color w:val="000000"/>
              </w:rPr>
              <w:t xml:space="preserve"> </w:t>
            </w:r>
            <w:proofErr w:type="spellStart"/>
            <w:r w:rsidRPr="00925217">
              <w:rPr>
                <w:color w:val="000000"/>
              </w:rPr>
              <w:t>Individual</w:t>
            </w:r>
            <w:proofErr w:type="spellEnd"/>
            <w:r w:rsidRPr="00925217">
              <w:rPr>
                <w:color w:val="000000"/>
              </w:rPr>
              <w:t xml:space="preserve"> </w:t>
            </w:r>
            <w:proofErr w:type="spellStart"/>
            <w:r w:rsidRPr="00925217">
              <w:rPr>
                <w:color w:val="000000"/>
              </w:rPr>
              <w:t>Consumption</w:t>
            </w:r>
            <w:proofErr w:type="spellEnd"/>
            <w:r w:rsidRPr="00925217">
              <w:rPr>
                <w:color w:val="000000"/>
              </w:rPr>
              <w:t xml:space="preserve"> </w:t>
            </w:r>
            <w:proofErr w:type="spellStart"/>
            <w:r w:rsidRPr="00925217">
              <w:rPr>
                <w:color w:val="000000"/>
              </w:rPr>
              <w:t>According</w:t>
            </w:r>
            <w:proofErr w:type="spellEnd"/>
            <w:r w:rsidRPr="00925217">
              <w:rPr>
                <w:color w:val="000000"/>
              </w:rPr>
              <w:t xml:space="preserve"> to </w:t>
            </w:r>
            <w:proofErr w:type="spellStart"/>
            <w:r w:rsidRPr="00925217">
              <w:rPr>
                <w:color w:val="000000"/>
              </w:rPr>
              <w:t>Purpose</w:t>
            </w:r>
            <w:proofErr w:type="spellEnd"/>
            <w:r w:rsidRPr="00925217">
              <w:rPr>
                <w:color w:val="000000"/>
              </w:rPr>
              <w:t xml:space="preserve">).  </w:t>
            </w:r>
          </w:p>
          <w:p w:rsidR="00A25E57" w:rsidRPr="00925217" w:rsidRDefault="00A25E57" w:rsidP="00072F46">
            <w:pPr>
              <w:pStyle w:val="Textpoznpodarou"/>
              <w:jc w:val="both"/>
              <w:rPr>
                <w:color w:val="000000"/>
              </w:rPr>
            </w:pPr>
            <w:r w:rsidRPr="00925217">
              <w:rPr>
                <w:color w:val="000000"/>
              </w:rPr>
              <w:t xml:space="preserve"> </w:t>
            </w:r>
          </w:p>
        </w:tc>
      </w:tr>
      <w:tr w:rsidR="00A25E57" w:rsidRPr="00FA57FD" w:rsidTr="00072F46">
        <w:tc>
          <w:tcPr>
            <w:tcW w:w="1042" w:type="pct"/>
            <w:gridSpan w:val="3"/>
          </w:tcPr>
          <w:p w:rsidR="00A25E57" w:rsidRDefault="00A25E57" w:rsidP="00072F46">
            <w:pPr>
              <w:spacing w:line="240" w:lineRule="auto"/>
              <w:rPr>
                <w:color w:val="000000"/>
                <w:sz w:val="16"/>
                <w:szCs w:val="16"/>
              </w:rPr>
            </w:pPr>
            <w:r>
              <w:rPr>
                <w:color w:val="000000"/>
                <w:sz w:val="16"/>
                <w:szCs w:val="16"/>
              </w:rPr>
              <w:t xml:space="preserve">„Nezbytné“ výdaje, tj. za potraviny vč. nealko </w:t>
            </w:r>
            <w:r w:rsidR="000D6946">
              <w:rPr>
                <w:color w:val="000000"/>
                <w:sz w:val="16"/>
                <w:szCs w:val="16"/>
              </w:rPr>
              <w:t>nápoje</w:t>
            </w:r>
            <w:r>
              <w:rPr>
                <w:color w:val="000000"/>
                <w:sz w:val="16"/>
                <w:szCs w:val="16"/>
              </w:rPr>
              <w:t xml:space="preserve"> a za služby spojené s bydlením vč. plateb za vodu a e</w:t>
            </w:r>
            <w:r w:rsidR="000D6946">
              <w:rPr>
                <w:color w:val="000000"/>
                <w:sz w:val="16"/>
                <w:szCs w:val="16"/>
              </w:rPr>
              <w:t>nergie představovaly v roce 2014</w:t>
            </w:r>
            <w:r>
              <w:rPr>
                <w:color w:val="000000"/>
                <w:sz w:val="16"/>
                <w:szCs w:val="16"/>
              </w:rPr>
              <w:t xml:space="preserve"> u příjmově nejslabší desetiny domácností skoro polovinu jejich celkových spotřebních vydání, u příjmově nejsilnější desetiny domácností jen zhruba třetinu</w:t>
            </w:r>
          </w:p>
        </w:tc>
        <w:tc>
          <w:tcPr>
            <w:tcW w:w="139" w:type="pct"/>
          </w:tcPr>
          <w:p w:rsidR="00A25E57" w:rsidRDefault="00A25E57" w:rsidP="00072F46">
            <w:pPr>
              <w:pStyle w:val="Textpoznpodarou"/>
              <w:jc w:val="both"/>
            </w:pPr>
          </w:p>
        </w:tc>
        <w:tc>
          <w:tcPr>
            <w:tcW w:w="3819" w:type="pct"/>
            <w:gridSpan w:val="3"/>
          </w:tcPr>
          <w:p w:rsidR="00A25E57" w:rsidRPr="00925217" w:rsidRDefault="00A25E57" w:rsidP="00072F46">
            <w:pPr>
              <w:pStyle w:val="Textpoznpodarou"/>
              <w:jc w:val="both"/>
              <w:rPr>
                <w:color w:val="000000"/>
              </w:rPr>
            </w:pPr>
            <w:r w:rsidRPr="00925217">
              <w:rPr>
                <w:color w:val="000000"/>
              </w:rPr>
              <w:t>„Nezbytné“ výdaje domácností, kterými jsou v zásadě výdaje za potraviny spolu s</w:t>
            </w:r>
            <w:r w:rsidR="00C93A94">
              <w:rPr>
                <w:color w:val="000000"/>
              </w:rPr>
              <w:t> </w:t>
            </w:r>
            <w:r w:rsidRPr="00925217">
              <w:rPr>
                <w:color w:val="000000"/>
              </w:rPr>
              <w:t>nealko</w:t>
            </w:r>
            <w:r w:rsidR="00C93A94">
              <w:rPr>
                <w:color w:val="000000"/>
              </w:rPr>
              <w:t xml:space="preserve">holickými </w:t>
            </w:r>
            <w:r w:rsidRPr="00925217">
              <w:rPr>
                <w:color w:val="000000"/>
              </w:rPr>
              <w:t>nápoji a výdaje spojené s bydlením včetně plateb za vodu a energie, dominují v úhrnu jak v desetině domácností s nejnižšími příjmy, tak i desetině domácností s příjmy nejvyššími. Tato dominance je však u domácností z příjmového pohledu „chudých“ výrazně vyšší – takto definované nezbytné výdaje tvořily v roce 201</w:t>
            </w:r>
            <w:r>
              <w:rPr>
                <w:color w:val="000000"/>
              </w:rPr>
              <w:t>4</w:t>
            </w:r>
            <w:r w:rsidRPr="00925217">
              <w:rPr>
                <w:color w:val="000000"/>
              </w:rPr>
              <w:t xml:space="preserve"> téměř polovinu (47,1 %) jejich spotřebních vydání, zatímco u</w:t>
            </w:r>
            <w:r>
              <w:rPr>
                <w:color w:val="000000"/>
              </w:rPr>
              <w:t> </w:t>
            </w:r>
            <w:r w:rsidRPr="00925217">
              <w:rPr>
                <w:color w:val="000000"/>
              </w:rPr>
              <w:t xml:space="preserve">příjmově „bohatých“ domácností jen asi třetinu (35 %). </w:t>
            </w:r>
          </w:p>
          <w:p w:rsidR="00A25E57" w:rsidRPr="00925217" w:rsidRDefault="00A25E57" w:rsidP="00072F46">
            <w:pPr>
              <w:pStyle w:val="Textpoznpodarou"/>
              <w:jc w:val="both"/>
              <w:rPr>
                <w:color w:val="000000"/>
                <w:sz w:val="12"/>
                <w:szCs w:val="12"/>
              </w:rPr>
            </w:pPr>
          </w:p>
          <w:p w:rsidR="00A25E57" w:rsidRDefault="00A25E57" w:rsidP="00072F46">
            <w:pPr>
              <w:pStyle w:val="Textpoznpodarou"/>
              <w:jc w:val="both"/>
              <w:rPr>
                <w:color w:val="000000"/>
              </w:rPr>
            </w:pPr>
            <w:r w:rsidRPr="00925217">
              <w:rPr>
                <w:color w:val="000000"/>
                <w:spacing w:val="-2"/>
              </w:rPr>
              <w:t xml:space="preserve">Rozdíl v této proporci byl dán především výdaji za potraviny a nealko nápoje (23,6 % </w:t>
            </w:r>
            <w:r w:rsidRPr="00925217">
              <w:rPr>
                <w:color w:val="000000"/>
              </w:rPr>
              <w:t xml:space="preserve">u domácností dolního decilu a 15,8 % u domácností horního decilu). U výdajů za bydlení, vodu a energie činila proporce 23,5 %, resp. 19,2 %. Rozdíly v přepočtu </w:t>
            </w:r>
            <w:r w:rsidRPr="00925217">
              <w:rPr>
                <w:color w:val="000000"/>
              </w:rPr>
              <w:lastRenderedPageBreak/>
              <w:t>na osobu v obou decilech ve vydáních za tyto položky v roce 201</w:t>
            </w:r>
            <w:r>
              <w:rPr>
                <w:color w:val="000000"/>
              </w:rPr>
              <w:t>4</w:t>
            </w:r>
            <w:r w:rsidRPr="00925217">
              <w:rPr>
                <w:color w:val="000000"/>
              </w:rPr>
              <w:t xml:space="preserve"> jsou patrné v grafech 23 a 24.  </w:t>
            </w:r>
          </w:p>
          <w:p w:rsidR="00A25E57" w:rsidRPr="00925217" w:rsidRDefault="00A25E57" w:rsidP="00072F46">
            <w:pPr>
              <w:pStyle w:val="Textpoznpodarou"/>
              <w:jc w:val="both"/>
              <w:rPr>
                <w:color w:val="000000"/>
              </w:rPr>
            </w:pPr>
            <w:r w:rsidRPr="00925217">
              <w:rPr>
                <w:color w:val="000000"/>
              </w:rPr>
              <w:t xml:space="preserve"> </w:t>
            </w:r>
          </w:p>
        </w:tc>
      </w:tr>
      <w:tr w:rsidR="00A25E57" w:rsidRPr="00817C98" w:rsidTr="00072F46">
        <w:trPr>
          <w:gridBefore w:val="1"/>
          <w:wBefore w:w="21" w:type="pct"/>
        </w:trPr>
        <w:tc>
          <w:tcPr>
            <w:tcW w:w="374" w:type="pct"/>
          </w:tcPr>
          <w:p w:rsidR="00A25E57" w:rsidRDefault="00A25E57" w:rsidP="00072F46">
            <w:pPr>
              <w:spacing w:line="240" w:lineRule="auto"/>
            </w:pPr>
            <w:r>
              <w:lastRenderedPageBreak/>
              <w:t>Graf č. 23</w:t>
            </w:r>
          </w:p>
        </w:tc>
        <w:tc>
          <w:tcPr>
            <w:tcW w:w="2086" w:type="pct"/>
            <w:gridSpan w:val="3"/>
          </w:tcPr>
          <w:p w:rsidR="00A25E57" w:rsidRDefault="00A25E57" w:rsidP="00072F46">
            <w:pPr>
              <w:pStyle w:val="Textpoznpodarou"/>
              <w:rPr>
                <w:rFonts w:cs="Arial"/>
                <w:szCs w:val="24"/>
              </w:rPr>
            </w:pPr>
            <w:r>
              <w:rPr>
                <w:rFonts w:cs="Arial"/>
                <w:b/>
                <w:bCs/>
              </w:rPr>
              <w:t xml:space="preserve">Výdaje domácností za potraviny a nealko nápoje </w:t>
            </w:r>
            <w:r w:rsidRPr="00BF6DE7">
              <w:rPr>
                <w:rFonts w:cs="Arial"/>
                <w:bCs/>
              </w:rPr>
              <w:t>(</w:t>
            </w:r>
            <w:r w:rsidR="004D5A97">
              <w:rPr>
                <w:rFonts w:cs="Arial"/>
                <w:bCs/>
              </w:rPr>
              <w:t xml:space="preserve">z dat </w:t>
            </w:r>
            <w:r w:rsidRPr="00BF6DE7">
              <w:rPr>
                <w:rFonts w:cs="Arial"/>
                <w:bCs/>
              </w:rPr>
              <w:t>v korunách na osobu, 201</w:t>
            </w:r>
            <w:r>
              <w:rPr>
                <w:rFonts w:cs="Arial"/>
                <w:bCs/>
              </w:rPr>
              <w:t>4</w:t>
            </w:r>
            <w:r w:rsidRPr="00BF6DE7">
              <w:rPr>
                <w:rFonts w:cs="Arial"/>
                <w:bCs/>
              </w:rPr>
              <w:t>)</w:t>
            </w:r>
          </w:p>
        </w:tc>
        <w:tc>
          <w:tcPr>
            <w:tcW w:w="361" w:type="pct"/>
          </w:tcPr>
          <w:p w:rsidR="00A25E57" w:rsidRDefault="00A25E57" w:rsidP="00072F46">
            <w:pPr>
              <w:spacing w:line="240" w:lineRule="auto"/>
            </w:pPr>
            <w:r>
              <w:t>Graf č. 24</w:t>
            </w:r>
          </w:p>
        </w:tc>
        <w:tc>
          <w:tcPr>
            <w:tcW w:w="2158" w:type="pct"/>
          </w:tcPr>
          <w:p w:rsidR="00A25E57" w:rsidRPr="004D5A97" w:rsidRDefault="00A25E57" w:rsidP="004D5A97">
            <w:pPr>
              <w:spacing w:line="240" w:lineRule="auto"/>
              <w:rPr>
                <w:rFonts w:cs="Arial"/>
                <w:b/>
                <w:bCs/>
                <w:spacing w:val="-6"/>
              </w:rPr>
            </w:pPr>
            <w:r w:rsidRPr="004D5A97">
              <w:rPr>
                <w:rFonts w:cs="Arial"/>
                <w:b/>
                <w:bCs/>
                <w:spacing w:val="-6"/>
              </w:rPr>
              <w:t>Výdaje domácností za bydlení, vodu, energie a</w:t>
            </w:r>
            <w:r w:rsidR="004D5A97">
              <w:rPr>
                <w:rFonts w:cs="Arial"/>
                <w:b/>
                <w:bCs/>
                <w:spacing w:val="-6"/>
              </w:rPr>
              <w:t> </w:t>
            </w:r>
            <w:r w:rsidRPr="004D5A97">
              <w:rPr>
                <w:rFonts w:cs="Arial"/>
                <w:b/>
                <w:bCs/>
                <w:spacing w:val="-6"/>
              </w:rPr>
              <w:t xml:space="preserve">paliva </w:t>
            </w:r>
            <w:r w:rsidR="004D5A97" w:rsidRPr="004D5A97">
              <w:rPr>
                <w:spacing w:val="-6"/>
                <w:szCs w:val="20"/>
              </w:rPr>
              <w:t>(z dat v korunách na osobu, 2014)</w:t>
            </w:r>
          </w:p>
        </w:tc>
      </w:tr>
      <w:tr w:rsidR="00A25E57" w:rsidTr="00072F46">
        <w:trPr>
          <w:gridBefore w:val="1"/>
          <w:wBefore w:w="21" w:type="pct"/>
        </w:trPr>
        <w:tc>
          <w:tcPr>
            <w:tcW w:w="2460" w:type="pct"/>
            <w:gridSpan w:val="4"/>
          </w:tcPr>
          <w:p w:rsidR="00A25E57" w:rsidRPr="00FC0AF4" w:rsidRDefault="00513C6F" w:rsidP="00072F46">
            <w:pPr>
              <w:pStyle w:val="Textpoznpodarou"/>
              <w:jc w:val="both"/>
            </w:pPr>
            <w:r>
              <w:rPr>
                <w:noProof/>
              </w:rPr>
              <w:pict>
                <v:shape id="_x0000_i1141" type="#_x0000_t75" style="width:237.75pt;height:1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">
                  <v:imagedata r:id="rId133" o:title=""/>
                  <o:lock v:ext="edit" aspectratio="f"/>
                </v:shape>
              </w:pict>
            </w:r>
          </w:p>
        </w:tc>
        <w:tc>
          <w:tcPr>
            <w:tcW w:w="2518" w:type="pct"/>
            <w:gridSpan w:val="2"/>
          </w:tcPr>
          <w:p w:rsidR="00A25E57" w:rsidRPr="00FC0AF4" w:rsidRDefault="00513C6F" w:rsidP="00072F46">
            <w:pPr>
              <w:pStyle w:val="Textpoznpodarou"/>
              <w:jc w:val="both"/>
            </w:pPr>
            <w:r>
              <w:rPr>
                <w:noProof/>
              </w:rPr>
              <w:pict>
                <v:shape id="_x0000_i1142" type="#_x0000_t75" style="width:239.25pt;height:19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">
                  <v:imagedata r:id="rId134" o:title="" cropbottom="-16f"/>
                  <o:lock v:ext="edit" aspectratio="f"/>
                </v:shape>
              </w:pict>
            </w:r>
          </w:p>
        </w:tc>
      </w:tr>
    </w:tbl>
    <w:p w:rsidR="00A25E57" w:rsidRDefault="00A25E57" w:rsidP="00A25E57">
      <w:pPr>
        <w:jc w:val="right"/>
        <w:rPr>
          <w:sz w:val="18"/>
          <w:szCs w:val="18"/>
        </w:rPr>
      </w:pPr>
      <w:r>
        <w:rPr>
          <w:sz w:val="18"/>
          <w:szCs w:val="18"/>
        </w:rPr>
        <w:t>Zdroj</w:t>
      </w:r>
      <w:r w:rsidR="00B85E2C">
        <w:rPr>
          <w:sz w:val="18"/>
          <w:szCs w:val="18"/>
        </w:rPr>
        <w:t>: ČSÚ</w:t>
      </w:r>
      <w:r w:rsidRPr="001A7C15">
        <w:rPr>
          <w:sz w:val="18"/>
          <w:szCs w:val="18"/>
        </w:rPr>
        <w:t xml:space="preserve"> </w:t>
      </w:r>
      <w:r w:rsidR="00B85E2C">
        <w:rPr>
          <w:sz w:val="18"/>
          <w:szCs w:val="18"/>
        </w:rPr>
        <w:t>(</w:t>
      </w:r>
      <w:r w:rsidRPr="001A7C15">
        <w:rPr>
          <w:sz w:val="18"/>
          <w:szCs w:val="18"/>
        </w:rPr>
        <w:t>rodinné účty</w:t>
      </w:r>
      <w:r w:rsidR="00B85E2C">
        <w:rPr>
          <w:sz w:val="18"/>
          <w:szCs w:val="18"/>
        </w:rPr>
        <w:t>)</w:t>
      </w:r>
    </w:p>
    <w:p w:rsidR="00A25E57" w:rsidRDefault="00A25E57" w:rsidP="00A25E57">
      <w:pPr>
        <w:jc w:val="right"/>
        <w:rPr>
          <w:sz w:val="18"/>
          <w:szCs w:val="18"/>
        </w:rPr>
      </w:pPr>
    </w:p>
    <w:tbl>
      <w:tblPr>
        <w:tblW w:w="5043" w:type="pct"/>
        <w:tblInd w:w="-42" w:type="dxa"/>
        <w:tblCellMar>
          <w:left w:w="28" w:type="dxa"/>
          <w:right w:w="28" w:type="dxa"/>
        </w:tblCellMar>
        <w:tblLook w:val="00A0"/>
      </w:tblPr>
      <w:tblGrid>
        <w:gridCol w:w="2037"/>
        <w:gridCol w:w="272"/>
        <w:gridCol w:w="7468"/>
      </w:tblGrid>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Analýza jednotlivých položek spotřeby a srovnání vydání u desetiny domácností s nejnižšími příjmy a desetiny domácností s nejvyššími příjmy ukázala, že největší disparita je ve vydáních za bytové vybavení, zařízení domácnosti a opravy, dále za dopravu a také za rekreaci a kulturu</w:t>
            </w:r>
          </w:p>
        </w:tc>
        <w:tc>
          <w:tcPr>
            <w:tcW w:w="139" w:type="pct"/>
          </w:tcPr>
          <w:p w:rsidR="00A25E57" w:rsidRDefault="00A25E57" w:rsidP="00072F46">
            <w:pPr>
              <w:pStyle w:val="Textpoznpodarou"/>
              <w:jc w:val="both"/>
            </w:pPr>
          </w:p>
        </w:tc>
        <w:tc>
          <w:tcPr>
            <w:tcW w:w="3819" w:type="pct"/>
          </w:tcPr>
          <w:p w:rsidR="00A25E57" w:rsidRPr="006C5561" w:rsidRDefault="00A25E57" w:rsidP="00072F46">
            <w:pPr>
              <w:pStyle w:val="Textpoznpodarou"/>
              <w:jc w:val="both"/>
              <w:rPr>
                <w:color w:val="000000"/>
              </w:rPr>
            </w:pPr>
            <w:r w:rsidRPr="006C5561">
              <w:rPr>
                <w:color w:val="000000"/>
              </w:rPr>
              <w:t>Také v dalších položkách spotřeby je patrný rozdíl v částkách, které vydávají lidé v desetině nejníže příjmových domácností oproti desetině nejvýše příjmových. Některé rozdíly jsou na první pohled logické, u jiných je třeba hledat hlubší důvody.</w:t>
            </w:r>
          </w:p>
          <w:p w:rsidR="00A25E57" w:rsidRPr="006C5561" w:rsidRDefault="00A25E57" w:rsidP="00072F46">
            <w:pPr>
              <w:pStyle w:val="Textpoznpodarou"/>
              <w:jc w:val="both"/>
              <w:rPr>
                <w:color w:val="000000"/>
                <w:sz w:val="22"/>
                <w:szCs w:val="22"/>
              </w:rPr>
            </w:pPr>
          </w:p>
          <w:p w:rsidR="00A25E57" w:rsidRPr="006C5561" w:rsidRDefault="00A25E57" w:rsidP="00072F46">
            <w:pPr>
              <w:pStyle w:val="Textpoznpodarou"/>
              <w:jc w:val="both"/>
              <w:rPr>
                <w:color w:val="000000"/>
              </w:rPr>
            </w:pPr>
            <w:r w:rsidRPr="006C5561">
              <w:rPr>
                <w:color w:val="000000"/>
              </w:rPr>
              <w:t xml:space="preserve">Např. u vydání v položce Stravování a ubytování (poslední obrázek v grafu 25) jsou podíly na celkových spotřebních vydáních v dolním i horním decilu domácností stejné (5,6 %), což může být na první pohled překvapující (očekávání by se spíše klonila k nižšímu podílu u „chudších“ domácností). Ovšem v této položce jsou zahrnuty např. i platby za stravu ve školních jídelnách či jídelnách zaměstnavatelů, což vzhledem k většímu počtu dětí v těchto rodinách může vysvětlovat stejně vysoký procentní podíl těchto vydání na celkové spotřebě jako u domácností </w:t>
            </w:r>
            <w:proofErr w:type="spellStart"/>
            <w:r w:rsidRPr="006C5561">
              <w:rPr>
                <w:color w:val="000000"/>
              </w:rPr>
              <w:t>vysokopříjmových</w:t>
            </w:r>
            <w:proofErr w:type="spellEnd"/>
            <w:r w:rsidRPr="006C5561">
              <w:rPr>
                <w:color w:val="000000"/>
              </w:rPr>
              <w:t>. V nich však činil v roce 201</w:t>
            </w:r>
            <w:r>
              <w:rPr>
                <w:color w:val="000000"/>
              </w:rPr>
              <w:t>4</w:t>
            </w:r>
            <w:r w:rsidRPr="006C5561">
              <w:rPr>
                <w:color w:val="000000"/>
              </w:rPr>
              <w:t xml:space="preserve"> roční výdaj za stravování a ubytování v nominální hodnotě téměř 12 tis. korun, zatímco u nejníže příjmových jen zhruba čtyři tisíce korun. Bylo to dáno především útratami v restauracích, kavárnách a podobných zařízeních poskytujících tyto služby, kde byl rozdíl u těchto dvou typů domácností 8400 korun na osobu ročně proti 1500 korunám u nejníže příjmových domácností.   </w:t>
            </w:r>
          </w:p>
          <w:p w:rsidR="00A25E57" w:rsidRPr="006C5561" w:rsidRDefault="00A25E57" w:rsidP="00072F46">
            <w:pPr>
              <w:pStyle w:val="Textpoznpodarou"/>
              <w:jc w:val="both"/>
              <w:rPr>
                <w:color w:val="000000"/>
                <w:sz w:val="22"/>
                <w:szCs w:val="22"/>
              </w:rPr>
            </w:pPr>
          </w:p>
        </w:tc>
      </w:tr>
      <w:tr w:rsidR="00A25E57" w:rsidRPr="00925217" w:rsidTr="00072F46">
        <w:tc>
          <w:tcPr>
            <w:tcW w:w="1042" w:type="pct"/>
          </w:tcPr>
          <w:p w:rsidR="00A25E57" w:rsidRDefault="00A25E57" w:rsidP="00072F46">
            <w:pPr>
              <w:spacing w:line="240" w:lineRule="auto"/>
              <w:rPr>
                <w:color w:val="000000"/>
                <w:sz w:val="16"/>
                <w:szCs w:val="16"/>
              </w:rPr>
            </w:pPr>
            <w:r>
              <w:rPr>
                <w:color w:val="000000"/>
                <w:sz w:val="16"/>
                <w:szCs w:val="16"/>
              </w:rPr>
              <w:t>Lidé v nejvýše příjmový</w:t>
            </w:r>
            <w:r w:rsidR="005F4CFA">
              <w:rPr>
                <w:color w:val="000000"/>
                <w:sz w:val="16"/>
                <w:szCs w:val="16"/>
              </w:rPr>
              <w:t>ch domácnostech dali v roce 2014</w:t>
            </w:r>
            <w:r>
              <w:rPr>
                <w:color w:val="000000"/>
                <w:sz w:val="16"/>
                <w:szCs w:val="16"/>
              </w:rPr>
              <w:t xml:space="preserve"> za vybavení a zařízení bytu v přepočtu na jednoho člena domácnosti téměř pětkrát víc než lidé v domácnostech s nejnižšími příjmy…</w:t>
            </w:r>
          </w:p>
        </w:tc>
        <w:tc>
          <w:tcPr>
            <w:tcW w:w="139" w:type="pct"/>
          </w:tcPr>
          <w:p w:rsidR="00A25E57" w:rsidRDefault="00A25E57" w:rsidP="00072F46">
            <w:pPr>
              <w:pStyle w:val="Textpoznpodarou"/>
              <w:jc w:val="both"/>
            </w:pPr>
          </w:p>
        </w:tc>
        <w:tc>
          <w:tcPr>
            <w:tcW w:w="3819" w:type="pct"/>
          </w:tcPr>
          <w:p w:rsidR="00A25E57" w:rsidRPr="006C5561" w:rsidRDefault="00A25E57" w:rsidP="00072F46">
            <w:pPr>
              <w:pStyle w:val="Textpoznpodarou"/>
              <w:jc w:val="both"/>
              <w:rPr>
                <w:color w:val="000000"/>
              </w:rPr>
            </w:pPr>
            <w:r w:rsidRPr="006C5561">
              <w:rPr>
                <w:color w:val="000000"/>
              </w:rPr>
              <w:t>U vydání za bytové vybavení, zařízení domácnosti a opravy (prostřední obrá</w:t>
            </w:r>
            <w:r w:rsidR="005F4CFA">
              <w:rPr>
                <w:color w:val="000000"/>
              </w:rPr>
              <w:t>zek v grafu 25) bylo v roce 2014</w:t>
            </w:r>
            <w:r w:rsidRPr="006C5561">
              <w:rPr>
                <w:color w:val="000000"/>
              </w:rPr>
              <w:t xml:space="preserve"> převýšení útrat domácností horního decilu nad útratami domácností dolního decilu vůbec nejvyšší ze všech položek spotřeby – jejich vydání se lišila 4,7krát. Je zřejmé, že „bohatší“ domácnosti mohou věnovat vylepšování svého nejbližšího životního prostoru více peněz než domácnosti příjmově nejchudší. Vzhledem k váze této položky na celkové spotřebě však diference v procentním zastoupení výdajů není extrémní (4,4 % proti 7,2 %). V absolutních částkách však jde o zhruba tři tisíce korun útrat ročně na osobu v příjmově „chudých“ domácnostech proti téměř 15 tisícům na osobu u domácností „bohatých“. Největší rozdíl je u pořizovaného nábytku, kde byly výdaje nejvýše příjmových větší šestkrát.  </w:t>
            </w:r>
          </w:p>
          <w:p w:rsidR="00A25E57" w:rsidRPr="006C5561" w:rsidRDefault="00A25E57" w:rsidP="00072F46">
            <w:pPr>
              <w:pStyle w:val="Textpoznpodarou"/>
              <w:jc w:val="both"/>
              <w:rPr>
                <w:color w:val="000000"/>
                <w:sz w:val="22"/>
                <w:szCs w:val="22"/>
              </w:rPr>
            </w:pPr>
          </w:p>
        </w:tc>
      </w:tr>
      <w:tr w:rsidR="00A25E57" w:rsidRPr="00925217" w:rsidTr="00072F46">
        <w:tc>
          <w:tcPr>
            <w:tcW w:w="1042" w:type="pct"/>
          </w:tcPr>
          <w:p w:rsidR="00A25E57" w:rsidRDefault="00A25E57" w:rsidP="00072F46">
            <w:pPr>
              <w:spacing w:line="240" w:lineRule="auto"/>
              <w:rPr>
                <w:color w:val="000000"/>
                <w:sz w:val="16"/>
                <w:szCs w:val="16"/>
              </w:rPr>
            </w:pPr>
            <w:r>
              <w:rPr>
                <w:color w:val="000000"/>
                <w:sz w:val="16"/>
                <w:szCs w:val="16"/>
              </w:rPr>
              <w:t>… a za odívání a obuv třikrát více</w:t>
            </w:r>
          </w:p>
        </w:tc>
        <w:tc>
          <w:tcPr>
            <w:tcW w:w="139" w:type="pct"/>
          </w:tcPr>
          <w:p w:rsidR="00A25E57" w:rsidRDefault="00A25E57" w:rsidP="00072F46">
            <w:pPr>
              <w:pStyle w:val="Textpoznpodarou"/>
              <w:jc w:val="both"/>
            </w:pPr>
          </w:p>
        </w:tc>
        <w:tc>
          <w:tcPr>
            <w:tcW w:w="3819" w:type="pct"/>
          </w:tcPr>
          <w:p w:rsidR="00A25E57" w:rsidRPr="006C5561" w:rsidRDefault="00A25E57" w:rsidP="00C93A94">
            <w:pPr>
              <w:pStyle w:val="Textpoznpodarou"/>
              <w:jc w:val="both"/>
              <w:rPr>
                <w:color w:val="000000"/>
              </w:rPr>
            </w:pPr>
            <w:r w:rsidRPr="006C5561">
              <w:rPr>
                <w:color w:val="000000"/>
              </w:rPr>
              <w:t xml:space="preserve">Za odívání a obuv (první obrázek grafu 25) si mohou nejvýše příjmové domácnosti </w:t>
            </w:r>
            <w:r w:rsidR="00C93A94">
              <w:rPr>
                <w:color w:val="000000"/>
              </w:rPr>
              <w:t xml:space="preserve">dovolit </w:t>
            </w:r>
            <w:r w:rsidRPr="006C5561">
              <w:rPr>
                <w:color w:val="000000"/>
              </w:rPr>
              <w:t xml:space="preserve">utratit sice </w:t>
            </w:r>
            <w:r w:rsidR="00C93A94">
              <w:rPr>
                <w:color w:val="000000"/>
              </w:rPr>
              <w:t xml:space="preserve">v </w:t>
            </w:r>
            <w:r w:rsidRPr="006C5561">
              <w:rPr>
                <w:color w:val="000000"/>
              </w:rPr>
              <w:t xml:space="preserve">procentu celkové spotřeby jen o málo </w:t>
            </w:r>
            <w:r w:rsidR="00C93A94">
              <w:rPr>
                <w:color w:val="000000"/>
              </w:rPr>
              <w:t>více</w:t>
            </w:r>
            <w:r w:rsidRPr="006C5561">
              <w:rPr>
                <w:color w:val="000000"/>
              </w:rPr>
              <w:t xml:space="preserve"> než domác</w:t>
            </w:r>
            <w:r w:rsidR="00C93A94">
              <w:rPr>
                <w:color w:val="000000"/>
              </w:rPr>
              <w:t>nosti</w:t>
            </w:r>
            <w:r w:rsidRPr="006C5561">
              <w:rPr>
                <w:color w:val="000000"/>
              </w:rPr>
              <w:t xml:space="preserve"> nejníže příjmové (5,4 % proti 4,9 %</w:t>
            </w:r>
            <w:r w:rsidR="00C93A94">
              <w:rPr>
                <w:color w:val="000000"/>
              </w:rPr>
              <w:t>)</w:t>
            </w:r>
            <w:r w:rsidRPr="006C5561">
              <w:rPr>
                <w:color w:val="000000"/>
              </w:rPr>
              <w:t>, ovšem i tak je jejich spotřeba vyšší 3,2krát. Zde navíc hraje roli i skutečnost, že nejníže příjmové domácnosti nakupují zřejmě toto zboží</w:t>
            </w:r>
            <w:r>
              <w:rPr>
                <w:color w:val="000000"/>
              </w:rPr>
              <w:t> </w:t>
            </w:r>
            <w:r w:rsidRPr="006C5561">
              <w:rPr>
                <w:color w:val="000000"/>
              </w:rPr>
              <w:t>v odlišných částech maloobchodní sítě oproti desetině domácností s nejvyššími příjmy.</w:t>
            </w:r>
          </w:p>
        </w:tc>
      </w:tr>
    </w:tbl>
    <w:p w:rsidR="00A25E57" w:rsidRDefault="00A25E57" w:rsidP="00A25E57">
      <w:pPr>
        <w:spacing w:line="240" w:lineRule="auto"/>
        <w:rPr>
          <w:b/>
        </w:rPr>
      </w:pPr>
    </w:p>
    <w:p w:rsidR="00A25E57" w:rsidRPr="00CB3ECF" w:rsidRDefault="00A25E57" w:rsidP="00A25E57">
      <w:pPr>
        <w:spacing w:line="269" w:lineRule="auto"/>
        <w:jc w:val="both"/>
        <w:rPr>
          <w:spacing w:val="-4"/>
        </w:rPr>
      </w:pPr>
      <w:r w:rsidRPr="00CB3ECF">
        <w:rPr>
          <w:spacing w:val="-4"/>
        </w:rPr>
        <w:lastRenderedPageBreak/>
        <w:t>Graf č. 25:</w:t>
      </w:r>
      <w:r w:rsidRPr="00CB3ECF">
        <w:rPr>
          <w:b/>
          <w:spacing w:val="-4"/>
        </w:rPr>
        <w:t xml:space="preserve"> Výdaje domácností za položky Odívání a obuv, Vybavení bytu, zařízení domácností a opravy a Stravování a ubytování </w:t>
      </w:r>
      <w:r w:rsidRPr="00CB3ECF">
        <w:rPr>
          <w:spacing w:val="-4"/>
        </w:rPr>
        <w:t>(dolní a horní decil příjmového rozdělení domác</w:t>
      </w:r>
      <w:r w:rsidR="00CB3ECF" w:rsidRPr="00CB3ECF">
        <w:rPr>
          <w:spacing w:val="-4"/>
        </w:rPr>
        <w:t>ností, z dat v korunách na osobu, 2014</w:t>
      </w:r>
      <w:r w:rsidRPr="00CB3ECF">
        <w:rPr>
          <w:spacing w:val="-4"/>
        </w:rPr>
        <w:t>)</w:t>
      </w:r>
    </w:p>
    <w:p w:rsidR="00A25E57" w:rsidRPr="0089668D" w:rsidRDefault="00A25E57" w:rsidP="00A25E57">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6"/>
        <w:gridCol w:w="3148"/>
        <w:gridCol w:w="3530"/>
      </w:tblGrid>
      <w:tr w:rsidR="00A25E57" w:rsidTr="00072F46">
        <w:trPr>
          <w:trHeight w:val="735"/>
        </w:trPr>
        <w:tc>
          <w:tcPr>
            <w:tcW w:w="3259" w:type="dxa"/>
          </w:tcPr>
          <w:p w:rsidR="00A25E57" w:rsidRDefault="00A25E57" w:rsidP="00072F46">
            <w:pPr>
              <w:rPr>
                <w:b/>
              </w:rPr>
            </w:pPr>
            <w:r w:rsidRPr="00FB3D7D">
              <w:rPr>
                <w:b/>
              </w:rPr>
              <w:t>Výdaje za odívání a obuv</w:t>
            </w:r>
          </w:p>
          <w:p w:rsidR="00A25E57" w:rsidRPr="00FB3D7D" w:rsidRDefault="00A25E57" w:rsidP="00072F46">
            <w:pPr>
              <w:rPr>
                <w:b/>
              </w:rPr>
            </w:pPr>
            <w:r w:rsidRPr="00FB3D7D">
              <w:rPr>
                <w:szCs w:val="20"/>
              </w:rPr>
              <w:t>(</w:t>
            </w:r>
            <w:r w:rsidR="004D5A97">
              <w:rPr>
                <w:sz w:val="18"/>
                <w:szCs w:val="18"/>
              </w:rPr>
              <w:t xml:space="preserve">z dat </w:t>
            </w:r>
            <w:r w:rsidR="004D5A97" w:rsidRPr="004D5A97">
              <w:rPr>
                <w:sz w:val="18"/>
                <w:szCs w:val="18"/>
              </w:rPr>
              <w:t>v korunách na osobu, 2014)</w:t>
            </w:r>
          </w:p>
        </w:tc>
        <w:tc>
          <w:tcPr>
            <w:tcW w:w="3259" w:type="dxa"/>
          </w:tcPr>
          <w:p w:rsidR="004D5A97" w:rsidRDefault="00A25E57" w:rsidP="00072F46">
            <w:pPr>
              <w:rPr>
                <w:b/>
                <w:spacing w:val="-6"/>
                <w:szCs w:val="20"/>
              </w:rPr>
            </w:pPr>
            <w:r w:rsidRPr="00493907">
              <w:rPr>
                <w:b/>
                <w:spacing w:val="-6"/>
                <w:szCs w:val="20"/>
              </w:rPr>
              <w:t xml:space="preserve">Výdaje za vybavení bytu, zař. </w:t>
            </w:r>
            <w:proofErr w:type="gramStart"/>
            <w:r w:rsidRPr="00493907">
              <w:rPr>
                <w:b/>
                <w:spacing w:val="-6"/>
                <w:szCs w:val="20"/>
              </w:rPr>
              <w:t>dom</w:t>
            </w:r>
            <w:proofErr w:type="gramEnd"/>
            <w:r w:rsidRPr="00493907">
              <w:rPr>
                <w:b/>
                <w:spacing w:val="-6"/>
                <w:szCs w:val="20"/>
              </w:rPr>
              <w:t xml:space="preserve">.; opravy </w:t>
            </w:r>
          </w:p>
          <w:p w:rsidR="00A25E57" w:rsidRPr="00493907" w:rsidRDefault="004D5A97" w:rsidP="00072F46">
            <w:pPr>
              <w:rPr>
                <w:b/>
                <w:spacing w:val="-6"/>
                <w:szCs w:val="20"/>
              </w:rPr>
            </w:pPr>
            <w:r>
              <w:rPr>
                <w:sz w:val="18"/>
                <w:szCs w:val="18"/>
              </w:rPr>
              <w:t xml:space="preserve">(z dat </w:t>
            </w:r>
            <w:r w:rsidRPr="004D5A97">
              <w:rPr>
                <w:sz w:val="18"/>
                <w:szCs w:val="18"/>
              </w:rPr>
              <w:t>v korunách na osobu, 2014)</w:t>
            </w:r>
          </w:p>
        </w:tc>
        <w:tc>
          <w:tcPr>
            <w:tcW w:w="3260" w:type="dxa"/>
          </w:tcPr>
          <w:p w:rsidR="00A25E57" w:rsidRPr="00FB3D7D" w:rsidRDefault="00A25E57" w:rsidP="00072F46">
            <w:pPr>
              <w:rPr>
                <w:b/>
              </w:rPr>
            </w:pPr>
            <w:r w:rsidRPr="00FB3D7D">
              <w:rPr>
                <w:b/>
              </w:rPr>
              <w:t xml:space="preserve">Výdaje za stravování a ubytování </w:t>
            </w:r>
            <w:r w:rsidR="004D5A97">
              <w:rPr>
                <w:sz w:val="18"/>
                <w:szCs w:val="18"/>
              </w:rPr>
              <w:t xml:space="preserve">(z dat </w:t>
            </w:r>
            <w:r w:rsidR="004D5A97" w:rsidRPr="004D5A97">
              <w:rPr>
                <w:sz w:val="18"/>
                <w:szCs w:val="18"/>
              </w:rPr>
              <w:t>v korunách na osobu, 2014)</w:t>
            </w:r>
          </w:p>
        </w:tc>
      </w:tr>
      <w:tr w:rsidR="00A25E57" w:rsidTr="00072F46">
        <w:trPr>
          <w:trHeight w:val="4293"/>
        </w:trPr>
        <w:tc>
          <w:tcPr>
            <w:tcW w:w="3259" w:type="dxa"/>
          </w:tcPr>
          <w:p w:rsidR="00A25E57" w:rsidRPr="00FC0AF4" w:rsidRDefault="00513C6F" w:rsidP="00072F46">
            <w:r>
              <w:rPr>
                <w:noProof/>
              </w:rPr>
              <w:pict>
                <v:shape id="_x0000_i1143" type="#_x0000_t75" style="width:147.75pt;height:21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">
                  <v:imagedata r:id="rId135" o:title="" cropbottom="-16f"/>
                  <o:lock v:ext="edit" aspectratio="f"/>
                </v:shape>
              </w:pict>
            </w:r>
          </w:p>
        </w:tc>
        <w:tc>
          <w:tcPr>
            <w:tcW w:w="3259" w:type="dxa"/>
          </w:tcPr>
          <w:p w:rsidR="00A25E57" w:rsidRPr="00FC0AF4" w:rsidRDefault="002A2083" w:rsidP="00072F46">
            <w:r w:rsidRPr="009879AA">
              <w:rPr>
                <w:noProof/>
              </w:rPr>
              <w:pict>
                <v:shape id="_x0000_i1155" type="#_x0000_t75" style="width:146.2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">
                  <v:imagedata r:id="rId136" o:title=""/>
                  <o:lock v:ext="edit" aspectratio="f"/>
                </v:shape>
              </w:pict>
            </w:r>
          </w:p>
        </w:tc>
        <w:tc>
          <w:tcPr>
            <w:tcW w:w="3260" w:type="dxa"/>
          </w:tcPr>
          <w:p w:rsidR="00A25E57" w:rsidRPr="00FC0AF4" w:rsidRDefault="002A2083" w:rsidP="00072F46">
            <w:r>
              <w:rPr>
                <w:noProof/>
              </w:rPr>
              <w:pict>
                <v:shape id="_x0000_i1145" type="#_x0000_t75" style="width:165.7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">
                  <v:imagedata r:id="rId137" o:title="" cropbottom="-31f"/>
                  <o:lock v:ext="edit" aspectratio="f"/>
                </v:shape>
              </w:pict>
            </w:r>
          </w:p>
        </w:tc>
      </w:tr>
    </w:tbl>
    <w:p w:rsidR="00A25E57" w:rsidRPr="00532C18" w:rsidRDefault="00A25E57" w:rsidP="00A25E57">
      <w:pPr>
        <w:jc w:val="right"/>
        <w:rPr>
          <w:sz w:val="18"/>
          <w:szCs w:val="18"/>
        </w:rPr>
      </w:pPr>
      <w:r>
        <w:rPr>
          <w:sz w:val="18"/>
          <w:szCs w:val="18"/>
        </w:rPr>
        <w:t>Zdroj</w:t>
      </w:r>
      <w:r w:rsidR="008712FB">
        <w:rPr>
          <w:sz w:val="18"/>
          <w:szCs w:val="18"/>
        </w:rPr>
        <w:t>: ČSÚ</w:t>
      </w:r>
      <w:r w:rsidRPr="00532C18">
        <w:rPr>
          <w:sz w:val="18"/>
          <w:szCs w:val="18"/>
        </w:rPr>
        <w:t xml:space="preserve"> </w:t>
      </w:r>
      <w:r w:rsidR="008712FB">
        <w:rPr>
          <w:sz w:val="18"/>
          <w:szCs w:val="18"/>
        </w:rPr>
        <w:t>(</w:t>
      </w:r>
      <w:r w:rsidRPr="00532C18">
        <w:rPr>
          <w:sz w:val="18"/>
          <w:szCs w:val="18"/>
        </w:rPr>
        <w:t>rodinné účty</w:t>
      </w:r>
      <w:r w:rsidR="008712FB">
        <w:rPr>
          <w:sz w:val="18"/>
          <w:szCs w:val="18"/>
        </w:rPr>
        <w:t>)</w:t>
      </w:r>
    </w:p>
    <w:p w:rsidR="00A25E57" w:rsidRDefault="00A25E57" w:rsidP="00A25E57">
      <w:pPr>
        <w:spacing w:line="269" w:lineRule="auto"/>
        <w:jc w:val="both"/>
        <w:rPr>
          <w:spacing w:val="-2"/>
        </w:rPr>
      </w:pPr>
    </w:p>
    <w:tbl>
      <w:tblPr>
        <w:tblW w:w="5043" w:type="pct"/>
        <w:tblInd w:w="-42" w:type="dxa"/>
        <w:tblCellMar>
          <w:left w:w="28" w:type="dxa"/>
          <w:right w:w="28" w:type="dxa"/>
        </w:tblCellMar>
        <w:tblLook w:val="00A0"/>
      </w:tblPr>
      <w:tblGrid>
        <w:gridCol w:w="2037"/>
        <w:gridCol w:w="272"/>
        <w:gridCol w:w="7468"/>
      </w:tblGrid>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Ve vydáních za dopravu jsou útraty nejvýše příjmových domácností (převyšující vydání domácností nejníže příjmových téměř čtyřikrát) vysvětlitelné intenzívnějším používáním automobilové dopravy, resp. pořizováním aut odlišných cenových relací</w:t>
            </w:r>
          </w:p>
        </w:tc>
        <w:tc>
          <w:tcPr>
            <w:tcW w:w="139" w:type="pct"/>
          </w:tcPr>
          <w:p w:rsidR="00A25E57" w:rsidRDefault="00A25E57" w:rsidP="00072F46">
            <w:pPr>
              <w:pStyle w:val="Textpoznpodarou"/>
              <w:jc w:val="both"/>
            </w:pPr>
          </w:p>
        </w:tc>
        <w:tc>
          <w:tcPr>
            <w:tcW w:w="3819" w:type="pct"/>
          </w:tcPr>
          <w:p w:rsidR="00A25E57" w:rsidRPr="00925217" w:rsidRDefault="00A25E57" w:rsidP="00072F46">
            <w:pPr>
              <w:pStyle w:val="Textpoznpodarou"/>
              <w:jc w:val="both"/>
              <w:rPr>
                <w:color w:val="000000"/>
              </w:rPr>
            </w:pPr>
            <w:r w:rsidRPr="00925217">
              <w:rPr>
                <w:color w:val="000000"/>
              </w:rPr>
              <w:t>Výrazné a logické převýšení u výdajů domácností na dopravu na prvním obrázku v grafu 26 – po výdajích na bytové vybavení a zařízení domácnosti a po útratách za rekreaci a kulturu v roce 20</w:t>
            </w:r>
            <w:r w:rsidR="00C72261">
              <w:rPr>
                <w:color w:val="000000"/>
              </w:rPr>
              <w:t>14</w:t>
            </w:r>
            <w:r w:rsidRPr="00925217">
              <w:rPr>
                <w:color w:val="000000"/>
              </w:rPr>
              <w:t xml:space="preserve"> třetí nejvyšší – má původ ve větším využívání nejen dražší osobní dopravy (automobilů), ale i ostatních druhů dopravy </w:t>
            </w:r>
            <w:proofErr w:type="spellStart"/>
            <w:r w:rsidRPr="00925217">
              <w:rPr>
                <w:color w:val="000000"/>
              </w:rPr>
              <w:t>vysokopříjmovými</w:t>
            </w:r>
            <w:proofErr w:type="spellEnd"/>
            <w:r w:rsidRPr="00925217">
              <w:rPr>
                <w:color w:val="000000"/>
              </w:rPr>
              <w:t xml:space="preserve"> domácnostmi, u nichž také je výdaj na osobu vyšší než u</w:t>
            </w:r>
            <w:r>
              <w:rPr>
                <w:color w:val="000000"/>
              </w:rPr>
              <w:t> </w:t>
            </w:r>
            <w:r w:rsidRPr="00925217">
              <w:rPr>
                <w:color w:val="000000"/>
              </w:rPr>
              <w:t>domácností nejníže příjmových. Součástí této položky je i nákup vozidel, takže vykázané výdaje na dopravu horního proti dolnímu decilu domácností, které jsou</w:t>
            </w:r>
            <w:r>
              <w:rPr>
                <w:color w:val="000000"/>
              </w:rPr>
              <w:t> </w:t>
            </w:r>
            <w:r w:rsidRPr="00925217">
              <w:rPr>
                <w:color w:val="000000"/>
              </w:rPr>
              <w:t>3,7krát vyšší, mají také svoji logiku. Jestliže nejníže příjmové domácnosti</w:t>
            </w:r>
            <w:r>
              <w:rPr>
                <w:color w:val="000000"/>
              </w:rPr>
              <w:t> </w:t>
            </w:r>
            <w:r w:rsidR="00C72261">
              <w:rPr>
                <w:color w:val="000000"/>
              </w:rPr>
              <w:t>použily v roce 2014</w:t>
            </w:r>
            <w:r w:rsidRPr="00925217">
              <w:rPr>
                <w:color w:val="000000"/>
              </w:rPr>
              <w:t xml:space="preserve"> na dopravu 9,2 % svých spotřebních vydání, nejvýše příjmové 11,8 %.     </w:t>
            </w:r>
          </w:p>
          <w:p w:rsidR="00A25E57" w:rsidRPr="006C5561" w:rsidRDefault="00A25E57" w:rsidP="00072F46">
            <w:pPr>
              <w:pStyle w:val="Textpoznpodarou"/>
              <w:jc w:val="both"/>
              <w:rPr>
                <w:color w:val="000000"/>
                <w:sz w:val="22"/>
                <w:szCs w:val="22"/>
              </w:rPr>
            </w:pP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V položce Re</w:t>
            </w:r>
            <w:r w:rsidR="00C72261">
              <w:rPr>
                <w:color w:val="000000"/>
                <w:sz w:val="16"/>
                <w:szCs w:val="16"/>
              </w:rPr>
              <w:t>kreace a kultura byl v roce 2014</w:t>
            </w:r>
            <w:r>
              <w:rPr>
                <w:color w:val="000000"/>
                <w:sz w:val="16"/>
                <w:szCs w:val="16"/>
              </w:rPr>
              <w:t xml:space="preserve"> největší rozdíl u domácností dolního a horního decilu u dovolených od cestovních kanceláří a útrat v loteriích a hernách; naopak relativně malé bylo výdajové převýšení u peněz věnovaných na kulturu</w:t>
            </w:r>
          </w:p>
        </w:tc>
        <w:tc>
          <w:tcPr>
            <w:tcW w:w="139" w:type="pct"/>
          </w:tcPr>
          <w:p w:rsidR="00A25E57" w:rsidRDefault="00A25E57" w:rsidP="00072F46">
            <w:pPr>
              <w:pStyle w:val="Textpoznpodarou"/>
              <w:jc w:val="both"/>
            </w:pPr>
          </w:p>
        </w:tc>
        <w:tc>
          <w:tcPr>
            <w:tcW w:w="3819" w:type="pct"/>
          </w:tcPr>
          <w:p w:rsidR="00A25E57" w:rsidRPr="00925217" w:rsidRDefault="00A25E57" w:rsidP="00072F46">
            <w:pPr>
              <w:pStyle w:val="Textpoznpodarou"/>
              <w:jc w:val="both"/>
              <w:rPr>
                <w:color w:val="000000"/>
              </w:rPr>
            </w:pPr>
            <w:r w:rsidRPr="00925217">
              <w:rPr>
                <w:color w:val="000000"/>
              </w:rPr>
              <w:t>Podobně nezbytný charakteru spotřeby, jako je intenz</w:t>
            </w:r>
            <w:r w:rsidR="00C93A94">
              <w:rPr>
                <w:color w:val="000000"/>
              </w:rPr>
              <w:t>i</w:t>
            </w:r>
            <w:r w:rsidRPr="00925217">
              <w:rPr>
                <w:color w:val="000000"/>
              </w:rPr>
              <w:t>vnější využívání automobilové dopravy v „bohatších“ domácnostech, mají většinou i výdaje na</w:t>
            </w:r>
            <w:r>
              <w:rPr>
                <w:color w:val="000000"/>
              </w:rPr>
              <w:t> </w:t>
            </w:r>
            <w:r w:rsidRPr="00925217">
              <w:rPr>
                <w:color w:val="000000"/>
              </w:rPr>
              <w:t>rekreaci a kulturu (druhý obráze</w:t>
            </w:r>
            <w:r w:rsidR="00C72261">
              <w:rPr>
                <w:color w:val="000000"/>
              </w:rPr>
              <w:t>k grafu 26). Ty byly v roce 2014</w:t>
            </w:r>
            <w:r w:rsidRPr="00925217">
              <w:rPr>
                <w:color w:val="000000"/>
              </w:rPr>
              <w:t xml:space="preserve"> vyšší 3,9 krát., když na jednoho člena domácnosti dolního decilu připadlo necelých šest tisíc korun takovýchto útrat, zatímco na člena horního decilu skoro 24 tisíc. Peníze věnované na kulturu byly přitom u „nejbohatších“ větší jen 2,8krát, u výdajů za dovolené od</w:t>
            </w:r>
            <w:r>
              <w:rPr>
                <w:color w:val="000000"/>
              </w:rPr>
              <w:t> </w:t>
            </w:r>
            <w:r w:rsidRPr="00925217">
              <w:rPr>
                <w:color w:val="000000"/>
              </w:rPr>
              <w:t>cestovních kanceláří však více než šestkrát, útraty v hernách a loteriích 9,5kr</w:t>
            </w:r>
            <w:r w:rsidR="00C72261">
              <w:rPr>
                <w:color w:val="000000"/>
              </w:rPr>
              <w:t>át. V úhrnu věnovaly v roce 2014</w:t>
            </w:r>
            <w:r w:rsidRPr="00925217">
              <w:rPr>
                <w:color w:val="000000"/>
              </w:rPr>
              <w:t xml:space="preserve"> „chudé“ domácnosti na rekreaci a kulturu 8,3 % své celkové spotřeby, „bohaté“ 11,3 %. </w:t>
            </w:r>
          </w:p>
          <w:p w:rsidR="00A25E57" w:rsidRPr="006C5561" w:rsidRDefault="00A25E57" w:rsidP="00072F46">
            <w:pPr>
              <w:pStyle w:val="Textpoznpodarou"/>
              <w:jc w:val="both"/>
              <w:rPr>
                <w:color w:val="000000"/>
                <w:sz w:val="22"/>
                <w:szCs w:val="22"/>
              </w:rPr>
            </w:pPr>
          </w:p>
        </w:tc>
      </w:tr>
      <w:tr w:rsidR="00A25E57" w:rsidRPr="00FA57FD" w:rsidTr="00072F46">
        <w:tc>
          <w:tcPr>
            <w:tcW w:w="1042" w:type="pct"/>
          </w:tcPr>
          <w:p w:rsidR="00A25E57" w:rsidRDefault="00A25E57" w:rsidP="00333234">
            <w:pPr>
              <w:spacing w:line="240" w:lineRule="auto"/>
              <w:rPr>
                <w:color w:val="000000"/>
                <w:sz w:val="16"/>
                <w:szCs w:val="16"/>
              </w:rPr>
            </w:pPr>
            <w:r>
              <w:rPr>
                <w:color w:val="000000"/>
                <w:sz w:val="16"/>
                <w:szCs w:val="16"/>
              </w:rPr>
              <w:t xml:space="preserve">Na osobní péči vydaly „bohaté“ domácnosti </w:t>
            </w:r>
            <w:r w:rsidR="00333234">
              <w:rPr>
                <w:color w:val="000000"/>
                <w:sz w:val="16"/>
                <w:szCs w:val="16"/>
              </w:rPr>
              <w:t>zhruba třikrát</w:t>
            </w:r>
            <w:r>
              <w:rPr>
                <w:color w:val="000000"/>
                <w:sz w:val="16"/>
                <w:szCs w:val="16"/>
              </w:rPr>
              <w:t xml:space="preserve"> než domácností „chudé“</w:t>
            </w:r>
          </w:p>
        </w:tc>
        <w:tc>
          <w:tcPr>
            <w:tcW w:w="139" w:type="pct"/>
          </w:tcPr>
          <w:p w:rsidR="00A25E57" w:rsidRDefault="00A25E57" w:rsidP="00072F46">
            <w:pPr>
              <w:pStyle w:val="Textpoznpodarou"/>
              <w:jc w:val="both"/>
            </w:pPr>
          </w:p>
        </w:tc>
        <w:tc>
          <w:tcPr>
            <w:tcW w:w="3819" w:type="pct"/>
          </w:tcPr>
          <w:p w:rsidR="00A25E57" w:rsidRPr="00925217" w:rsidRDefault="00A25E57" w:rsidP="00072F46">
            <w:pPr>
              <w:pStyle w:val="Textpoznpodarou"/>
              <w:jc w:val="both"/>
              <w:rPr>
                <w:color w:val="000000"/>
              </w:rPr>
            </w:pPr>
            <w:r w:rsidRPr="00925217">
              <w:rPr>
                <w:color w:val="000000"/>
              </w:rPr>
              <w:t>V položce Ostatní zboží a služby (třetí obrázek grafu 26), která je co do utracených peněz také relativně silná  - domácnosti v ČR jako celek za ně v r</w:t>
            </w:r>
            <w:r w:rsidR="00C72261">
              <w:rPr>
                <w:color w:val="000000"/>
              </w:rPr>
              <w:t>oce 2014</w:t>
            </w:r>
            <w:r w:rsidRPr="00925217">
              <w:rPr>
                <w:color w:val="000000"/>
              </w:rPr>
              <w:t xml:space="preserve"> vydaly 12 % své celkové spotřeby, „nejchudší“ 10,1 % a „nejbohatší“ 14,2 % - převyšovaly výdaje domácností horního </w:t>
            </w:r>
            <w:r w:rsidR="00C93A94">
              <w:rPr>
                <w:color w:val="000000"/>
              </w:rPr>
              <w:t xml:space="preserve">decilu </w:t>
            </w:r>
            <w:r w:rsidRPr="00925217">
              <w:rPr>
                <w:color w:val="000000"/>
              </w:rPr>
              <w:t>čtyřikrát výdaje domácností dolního decilu. U zboží a služeb týkající</w:t>
            </w:r>
            <w:r w:rsidR="00C93A94">
              <w:rPr>
                <w:color w:val="000000"/>
              </w:rPr>
              <w:t>ch</w:t>
            </w:r>
            <w:r w:rsidRPr="00925217">
              <w:rPr>
                <w:color w:val="000000"/>
              </w:rPr>
              <w:t xml:space="preserve"> se osobní péče byly výdaje</w:t>
            </w:r>
            <w:r>
              <w:rPr>
                <w:color w:val="000000"/>
              </w:rPr>
              <w:t> </w:t>
            </w:r>
            <w:r w:rsidRPr="00925217">
              <w:rPr>
                <w:color w:val="000000"/>
              </w:rPr>
              <w:t>vyšší 3,1krát, ale např. za kadeřníka a další podobné služby související s osobní péčí dali nejbohatší více 6,</w:t>
            </w:r>
            <w:r w:rsidR="00333234">
              <w:rPr>
                <w:color w:val="000000"/>
              </w:rPr>
              <w:t>3</w:t>
            </w:r>
            <w:r w:rsidRPr="00925217">
              <w:rPr>
                <w:color w:val="000000"/>
              </w:rPr>
              <w:t xml:space="preserve">krát.  </w:t>
            </w:r>
          </w:p>
          <w:p w:rsidR="00A25E57" w:rsidRDefault="00A25E57" w:rsidP="00072F46">
            <w:pPr>
              <w:pStyle w:val="Textpoznpodarou"/>
              <w:jc w:val="both"/>
              <w:rPr>
                <w:color w:val="000000"/>
              </w:rPr>
            </w:pPr>
          </w:p>
          <w:p w:rsidR="00A25E57" w:rsidRDefault="00A25E57" w:rsidP="00072F46">
            <w:pPr>
              <w:pStyle w:val="Textpoznpodarou"/>
              <w:jc w:val="both"/>
              <w:rPr>
                <w:color w:val="000000"/>
              </w:rPr>
            </w:pPr>
          </w:p>
          <w:p w:rsidR="00597C5E" w:rsidRDefault="00597C5E" w:rsidP="00072F46">
            <w:pPr>
              <w:pStyle w:val="Textpoznpodarou"/>
              <w:jc w:val="both"/>
              <w:rPr>
                <w:color w:val="000000"/>
              </w:rPr>
            </w:pPr>
          </w:p>
          <w:p w:rsidR="00597C5E" w:rsidRDefault="00597C5E" w:rsidP="00072F46">
            <w:pPr>
              <w:pStyle w:val="Textpoznpodarou"/>
              <w:jc w:val="both"/>
              <w:rPr>
                <w:color w:val="000000"/>
              </w:rPr>
            </w:pPr>
          </w:p>
          <w:p w:rsidR="00A25E57" w:rsidRPr="00925217" w:rsidRDefault="00A25E57" w:rsidP="00072F46">
            <w:pPr>
              <w:pStyle w:val="Textpoznpodarou"/>
              <w:jc w:val="both"/>
              <w:rPr>
                <w:color w:val="000000"/>
              </w:rPr>
            </w:pPr>
          </w:p>
        </w:tc>
      </w:tr>
    </w:tbl>
    <w:p w:rsidR="00A25E57" w:rsidRPr="00332E05" w:rsidRDefault="00A25E57" w:rsidP="00A25E57">
      <w:pPr>
        <w:spacing w:line="269" w:lineRule="auto"/>
        <w:jc w:val="both"/>
        <w:rPr>
          <w:spacing w:val="-2"/>
        </w:rPr>
      </w:pPr>
      <w:r w:rsidRPr="00332E05">
        <w:rPr>
          <w:spacing w:val="-2"/>
        </w:rPr>
        <w:lastRenderedPageBreak/>
        <w:t xml:space="preserve">Graf č. 26: </w:t>
      </w:r>
      <w:r w:rsidRPr="00332E05">
        <w:rPr>
          <w:b/>
          <w:spacing w:val="-2"/>
        </w:rPr>
        <w:t xml:space="preserve">Výdaje domácností za položky Doprava, Rekreace a kultura a Ostatní zboží a služby </w:t>
      </w:r>
      <w:r w:rsidRPr="00332E05">
        <w:rPr>
          <w:spacing w:val="-2"/>
        </w:rPr>
        <w:t>(dolní a</w:t>
      </w:r>
      <w:r>
        <w:rPr>
          <w:spacing w:val="-2"/>
        </w:rPr>
        <w:t> </w:t>
      </w:r>
      <w:r w:rsidRPr="00332E05">
        <w:rPr>
          <w:spacing w:val="-2"/>
        </w:rPr>
        <w:t>horní decil př</w:t>
      </w:r>
      <w:r w:rsidR="00C72261">
        <w:rPr>
          <w:spacing w:val="-2"/>
        </w:rPr>
        <w:t>íjmového rozdělení domácností, z dat v</w:t>
      </w:r>
      <w:r w:rsidRPr="00332E05">
        <w:rPr>
          <w:spacing w:val="-2"/>
        </w:rPr>
        <w:t> korunác</w:t>
      </w:r>
      <w:r w:rsidR="00C72261">
        <w:rPr>
          <w:spacing w:val="-2"/>
        </w:rPr>
        <w:t>h na osobu, 2014</w:t>
      </w:r>
      <w:r w:rsidRPr="00332E05">
        <w:rPr>
          <w:spacing w:val="-2"/>
        </w:rPr>
        <w:t>)</w:t>
      </w:r>
    </w:p>
    <w:p w:rsidR="00A25E57" w:rsidRPr="00532C18" w:rsidRDefault="00A25E57" w:rsidP="00A25E57">
      <w:pPr>
        <w:spacing w:line="269" w:lineRule="auto"/>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3353"/>
        <w:gridCol w:w="3313"/>
      </w:tblGrid>
      <w:tr w:rsidR="00A25E57" w:rsidTr="00072F46">
        <w:trPr>
          <w:trHeight w:val="735"/>
        </w:trPr>
        <w:tc>
          <w:tcPr>
            <w:tcW w:w="3207" w:type="dxa"/>
          </w:tcPr>
          <w:p w:rsidR="00A25E57" w:rsidRDefault="00A25E57" w:rsidP="00072F46">
            <w:pPr>
              <w:spacing w:line="240" w:lineRule="auto"/>
            </w:pPr>
            <w:r w:rsidRPr="00FB3D7D">
              <w:rPr>
                <w:b/>
              </w:rPr>
              <w:t>Výdaje za dopravu</w:t>
            </w:r>
            <w:r>
              <w:t xml:space="preserve"> </w:t>
            </w:r>
          </w:p>
          <w:p w:rsidR="00A25E57" w:rsidRPr="004D5A97" w:rsidRDefault="00A25E57" w:rsidP="00211036">
            <w:pPr>
              <w:spacing w:line="240" w:lineRule="auto"/>
              <w:rPr>
                <w:sz w:val="18"/>
                <w:szCs w:val="18"/>
              </w:rPr>
            </w:pPr>
            <w:r w:rsidRPr="004D5A97">
              <w:rPr>
                <w:sz w:val="18"/>
                <w:szCs w:val="18"/>
              </w:rPr>
              <w:t>(</w:t>
            </w:r>
            <w:r w:rsidR="004D5A97" w:rsidRPr="004D5A97">
              <w:rPr>
                <w:sz w:val="18"/>
                <w:szCs w:val="18"/>
              </w:rPr>
              <w:t xml:space="preserve">z dat </w:t>
            </w:r>
            <w:r w:rsidRPr="004D5A97">
              <w:rPr>
                <w:sz w:val="18"/>
                <w:szCs w:val="18"/>
              </w:rPr>
              <w:t>v korunách na osobu, 201</w:t>
            </w:r>
            <w:r w:rsidR="00211036" w:rsidRPr="004D5A97">
              <w:rPr>
                <w:sz w:val="18"/>
                <w:szCs w:val="18"/>
              </w:rPr>
              <w:t>4</w:t>
            </w:r>
            <w:r w:rsidRPr="004D5A97">
              <w:rPr>
                <w:sz w:val="18"/>
                <w:szCs w:val="18"/>
              </w:rPr>
              <w:t>)</w:t>
            </w:r>
          </w:p>
        </w:tc>
        <w:tc>
          <w:tcPr>
            <w:tcW w:w="3281" w:type="dxa"/>
          </w:tcPr>
          <w:p w:rsidR="00A25E57" w:rsidRPr="00FB3D7D" w:rsidRDefault="00A25E57" w:rsidP="00072F46">
            <w:pPr>
              <w:spacing w:line="240" w:lineRule="auto"/>
              <w:rPr>
                <w:b/>
              </w:rPr>
            </w:pPr>
            <w:r w:rsidRPr="00FB3D7D">
              <w:rPr>
                <w:b/>
              </w:rPr>
              <w:t xml:space="preserve">Výdaje za rekreaci a kulturu </w:t>
            </w:r>
          </w:p>
          <w:p w:rsidR="00A25E57" w:rsidRPr="00FB3D7D" w:rsidRDefault="004D5A97" w:rsidP="004D5A97">
            <w:pPr>
              <w:spacing w:line="240" w:lineRule="auto"/>
              <w:rPr>
                <w:b/>
              </w:rPr>
            </w:pPr>
            <w:r>
              <w:rPr>
                <w:sz w:val="18"/>
                <w:szCs w:val="18"/>
              </w:rPr>
              <w:t xml:space="preserve">(z dat </w:t>
            </w:r>
            <w:r w:rsidRPr="004D5A97">
              <w:rPr>
                <w:sz w:val="18"/>
                <w:szCs w:val="18"/>
              </w:rPr>
              <w:t>v korunách na osobu, 2014)</w:t>
            </w:r>
            <w:r w:rsidRPr="00FB3D7D">
              <w:rPr>
                <w:szCs w:val="20"/>
              </w:rPr>
              <w:t xml:space="preserve"> </w:t>
            </w:r>
          </w:p>
        </w:tc>
        <w:tc>
          <w:tcPr>
            <w:tcW w:w="3366" w:type="dxa"/>
          </w:tcPr>
          <w:p w:rsidR="00A25E57" w:rsidRPr="00FB3D7D" w:rsidRDefault="00A25E57" w:rsidP="004D5A97">
            <w:pPr>
              <w:spacing w:line="240" w:lineRule="auto"/>
              <w:rPr>
                <w:b/>
              </w:rPr>
            </w:pPr>
            <w:r w:rsidRPr="00FB3D7D">
              <w:rPr>
                <w:b/>
              </w:rPr>
              <w:t xml:space="preserve">Výdaje za ostatní zboží a služby </w:t>
            </w:r>
            <w:r w:rsidR="004D5A97">
              <w:rPr>
                <w:sz w:val="18"/>
                <w:szCs w:val="18"/>
              </w:rPr>
              <w:t xml:space="preserve">(z dat </w:t>
            </w:r>
            <w:r w:rsidR="004D5A97" w:rsidRPr="004D5A97">
              <w:rPr>
                <w:sz w:val="18"/>
                <w:szCs w:val="18"/>
              </w:rPr>
              <w:t>v korunách na osobu, 2014)</w:t>
            </w:r>
          </w:p>
        </w:tc>
      </w:tr>
      <w:tr w:rsidR="00A25E57" w:rsidRPr="00FC0AF4" w:rsidTr="00072F46">
        <w:trPr>
          <w:trHeight w:val="4293"/>
        </w:trPr>
        <w:tc>
          <w:tcPr>
            <w:tcW w:w="3207" w:type="dxa"/>
          </w:tcPr>
          <w:p w:rsidR="00A25E57" w:rsidRPr="001962A3" w:rsidRDefault="00513C6F" w:rsidP="00072F46">
            <w:r>
              <w:rPr>
                <w:noProof/>
              </w:rPr>
              <w:pict>
                <v:shape id="Graf 24" o:spid="_x0000_i1146" type="#_x0000_t75" style="width:147.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">
                  <v:imagedata r:id="rId138" o:title=""/>
                  <o:lock v:ext="edit" aspectratio="f"/>
                </v:shape>
              </w:pict>
            </w:r>
          </w:p>
        </w:tc>
        <w:tc>
          <w:tcPr>
            <w:tcW w:w="3281" w:type="dxa"/>
          </w:tcPr>
          <w:p w:rsidR="00A25E57" w:rsidRPr="001962A3" w:rsidRDefault="00513C6F" w:rsidP="00072F46">
            <w:r>
              <w:rPr>
                <w:noProof/>
              </w:rPr>
              <w:pict>
                <v:shape id="Graf 23" o:spid="_x0000_i1147" type="#_x0000_t75" style="width:156.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">
                  <v:imagedata r:id="rId139" o:title="" cropbottom="-63f"/>
                  <o:lock v:ext="edit" aspectratio="f"/>
                </v:shape>
              </w:pict>
            </w:r>
          </w:p>
        </w:tc>
        <w:tc>
          <w:tcPr>
            <w:tcW w:w="3366" w:type="dxa"/>
          </w:tcPr>
          <w:p w:rsidR="00A25E57" w:rsidRPr="001962A3" w:rsidRDefault="00513C6F" w:rsidP="00072F46">
            <w:r>
              <w:rPr>
                <w:noProof/>
              </w:rPr>
              <w:pict>
                <v:shape id="Graf 22" o:spid="_x0000_i1148" type="#_x0000_t75" style="width:152.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witc3QAAAAUBAAAPAAAAZHJzL2Rvd25y&#10;ZXYueG1sTI/BTsMwEETvSPyDtUjcqN0mqSBkU6EKxAGBRMuFmxsvcdR4HcVuG/h6DBe4rDSa0czb&#10;ajW5XhxpDJ1nhPlMgSBuvOm4RXjbPlxdgwhRs9G9Z0L4pACr+vys0qXxJ36l4ya2IpVwKDWCjXEo&#10;pQyNJafDzA/Eyfvwo9MxybGVZtSnVO56uVBqKZ3uOC1YPdDaUrPfHBzC402xV1/L++x5yrunbWiz&#10;F/ueIV5eTHe3ICJN8S8MP/gJHerEtPMHNkH0COmR+HuTl6m8ALFDyOdFAbKu5H/6+hs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">
                  <v:imagedata r:id="rId140" o:title="" cropbottom="-31f"/>
                  <o:lock v:ext="edit" aspectratio="f"/>
                </v:shape>
              </w:pict>
            </w:r>
          </w:p>
        </w:tc>
      </w:tr>
    </w:tbl>
    <w:p w:rsidR="00A25E57" w:rsidRPr="00532C18" w:rsidRDefault="00A25E57" w:rsidP="00A25E57">
      <w:pPr>
        <w:spacing w:line="240" w:lineRule="auto"/>
        <w:jc w:val="right"/>
        <w:rPr>
          <w:sz w:val="18"/>
          <w:szCs w:val="18"/>
        </w:rPr>
      </w:pPr>
      <w:r>
        <w:rPr>
          <w:sz w:val="18"/>
          <w:szCs w:val="18"/>
        </w:rPr>
        <w:t>Zdroj</w:t>
      </w:r>
      <w:r w:rsidR="008712FB">
        <w:rPr>
          <w:sz w:val="18"/>
          <w:szCs w:val="18"/>
        </w:rPr>
        <w:t>: ČSÚ</w:t>
      </w:r>
      <w:r w:rsidRPr="00532C18">
        <w:rPr>
          <w:sz w:val="18"/>
          <w:szCs w:val="18"/>
        </w:rPr>
        <w:t xml:space="preserve"> </w:t>
      </w:r>
      <w:r w:rsidR="008712FB">
        <w:rPr>
          <w:sz w:val="18"/>
          <w:szCs w:val="18"/>
        </w:rPr>
        <w:t>(</w:t>
      </w:r>
      <w:r w:rsidRPr="00532C18">
        <w:rPr>
          <w:sz w:val="18"/>
          <w:szCs w:val="18"/>
        </w:rPr>
        <w:t>rodinné účty</w:t>
      </w:r>
      <w:r w:rsidR="008712FB">
        <w:rPr>
          <w:sz w:val="18"/>
          <w:szCs w:val="18"/>
        </w:rPr>
        <w:t>)</w:t>
      </w:r>
    </w:p>
    <w:p w:rsidR="00A25E57" w:rsidRDefault="00A25E57" w:rsidP="00A25E57">
      <w:pPr>
        <w:spacing w:line="269" w:lineRule="auto"/>
        <w:jc w:val="both"/>
        <w:rPr>
          <w:spacing w:val="-2"/>
        </w:rPr>
      </w:pPr>
    </w:p>
    <w:tbl>
      <w:tblPr>
        <w:tblW w:w="5043" w:type="pct"/>
        <w:tblInd w:w="-42" w:type="dxa"/>
        <w:tblCellMar>
          <w:left w:w="28" w:type="dxa"/>
          <w:right w:w="28" w:type="dxa"/>
        </w:tblCellMar>
        <w:tblLook w:val="00A0"/>
      </w:tblPr>
      <w:tblGrid>
        <w:gridCol w:w="2037"/>
        <w:gridCol w:w="272"/>
        <w:gridCol w:w="7468"/>
      </w:tblGrid>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Nižší spolehlivost u vykazovaných výdajů za alkoholické nápoje a tabákové výrobky</w:t>
            </w:r>
          </w:p>
        </w:tc>
        <w:tc>
          <w:tcPr>
            <w:tcW w:w="139" w:type="pct"/>
          </w:tcPr>
          <w:p w:rsidR="00A25E57" w:rsidRDefault="00A25E57" w:rsidP="00072F46">
            <w:pPr>
              <w:pStyle w:val="Textpoznpodarou"/>
              <w:jc w:val="both"/>
            </w:pPr>
          </w:p>
        </w:tc>
        <w:tc>
          <w:tcPr>
            <w:tcW w:w="3819" w:type="pct"/>
          </w:tcPr>
          <w:p w:rsidR="00A25E57" w:rsidRPr="00925217" w:rsidRDefault="00A25E57" w:rsidP="00072F46">
            <w:pPr>
              <w:pStyle w:val="Textpoznpodarou"/>
              <w:jc w:val="both"/>
              <w:rPr>
                <w:color w:val="000000"/>
              </w:rPr>
            </w:pPr>
            <w:r w:rsidRPr="00925217">
              <w:rPr>
                <w:color w:val="000000"/>
              </w:rPr>
              <w:t>Některé položky ve struktuře spotřeby mají specifický charakter v tom, že v nich vykazované výdaje jsou zřejmě ze strany domácností trvale spíše podhodnocovány. Je to typické pro položku Alkoholické nápoje a tabákové výrobky (první obrázek v grafu 27). I s touto výhradou lze uvést, že v roce 201</w:t>
            </w:r>
            <w:r>
              <w:rPr>
                <w:color w:val="000000"/>
              </w:rPr>
              <w:t>4</w:t>
            </w:r>
            <w:r w:rsidRPr="00925217">
              <w:rPr>
                <w:color w:val="000000"/>
              </w:rPr>
              <w:t xml:space="preserve"> činily výdaje nejníže příjmových za alkohol a tabák 2,6 % jejich celkové spotřeby, zatímco u</w:t>
            </w:r>
            <w:r>
              <w:rPr>
                <w:color w:val="000000"/>
              </w:rPr>
              <w:t> </w:t>
            </w:r>
            <w:r w:rsidRPr="00925217">
              <w:rPr>
                <w:color w:val="000000"/>
              </w:rPr>
              <w:t>nejvýše příjmo</w:t>
            </w:r>
            <w:r>
              <w:rPr>
                <w:color w:val="000000"/>
              </w:rPr>
              <w:t>vých 2,8 %. Přitom za domácnosti</w:t>
            </w:r>
            <w:r w:rsidRPr="00925217">
              <w:rPr>
                <w:color w:val="000000"/>
              </w:rPr>
              <w:t xml:space="preserve"> ČR celkem byl vykázán podíl 2,9 %. Je tomu tak proto, že nadprůměrnou spotřebu alkoholu a cigaret měly domácnosti v příjmových decilech 7 až 9, tedy nikoli ti v nejvyšším decilu. Ti zřejmě více dbají na zdravý životní styl a nepijí ve větší míře alkoholické nápoje ani nekouří tolik cigaret</w:t>
            </w:r>
            <w:r w:rsidR="00333234">
              <w:rPr>
                <w:color w:val="000000"/>
              </w:rPr>
              <w:t xml:space="preserve"> (nebereme zde však v úvahu, že </w:t>
            </w:r>
            <w:proofErr w:type="spellStart"/>
            <w:proofErr w:type="gramStart"/>
            <w:r w:rsidR="00333234">
              <w:rPr>
                <w:color w:val="000000"/>
              </w:rPr>
              <w:t>vysokopříjmové</w:t>
            </w:r>
            <w:proofErr w:type="spellEnd"/>
            <w:r w:rsidR="00333234">
              <w:rPr>
                <w:color w:val="000000"/>
              </w:rPr>
              <w:t xml:space="preserve">  domácnosti</w:t>
            </w:r>
            <w:proofErr w:type="gramEnd"/>
            <w:r w:rsidR="00333234">
              <w:rPr>
                <w:color w:val="000000"/>
              </w:rPr>
              <w:t xml:space="preserve"> mohou za toto zboží utrácet např. i v restauracích a podobných zařízeních).</w:t>
            </w:r>
            <w:r w:rsidRPr="00925217">
              <w:rPr>
                <w:color w:val="000000"/>
              </w:rPr>
              <w:t xml:space="preserve"> I tak </w:t>
            </w:r>
            <w:r w:rsidR="00333234">
              <w:rPr>
                <w:color w:val="000000"/>
              </w:rPr>
              <w:t>ale</w:t>
            </w:r>
            <w:r w:rsidRPr="00925217">
              <w:rPr>
                <w:color w:val="000000"/>
              </w:rPr>
              <w:t xml:space="preserve"> u nich převyšují výdaje za alkohol a tabák </w:t>
            </w:r>
            <w:r w:rsidR="00333234" w:rsidRPr="00925217">
              <w:rPr>
                <w:color w:val="000000"/>
              </w:rPr>
              <w:t xml:space="preserve">třikrát </w:t>
            </w:r>
            <w:r w:rsidRPr="00925217">
              <w:rPr>
                <w:color w:val="000000"/>
              </w:rPr>
              <w:t xml:space="preserve">výdaje domácností nejníže příjmových.  </w:t>
            </w:r>
          </w:p>
          <w:p w:rsidR="00A25E57" w:rsidRPr="0085317A" w:rsidRDefault="00A25E57" w:rsidP="00072F46">
            <w:pPr>
              <w:pStyle w:val="Textpoznpodarou"/>
              <w:jc w:val="both"/>
              <w:rPr>
                <w:color w:val="000000"/>
                <w:sz w:val="16"/>
                <w:szCs w:val="16"/>
              </w:rPr>
            </w:pP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U telekomunikačních služeb vybočuje zjištění z většinového hodnocení disparit, neboť jejich podíl na spotřebních vydáních je u desetiny nejníže příjmových domácností větší než u desetiny domácností nejvýše příjmových</w:t>
            </w:r>
          </w:p>
        </w:tc>
        <w:tc>
          <w:tcPr>
            <w:tcW w:w="139" w:type="pct"/>
          </w:tcPr>
          <w:p w:rsidR="00A25E57" w:rsidRDefault="00A25E57" w:rsidP="00072F46">
            <w:pPr>
              <w:pStyle w:val="Textpoznpodarou"/>
              <w:jc w:val="both"/>
            </w:pPr>
          </w:p>
        </w:tc>
        <w:tc>
          <w:tcPr>
            <w:tcW w:w="3819" w:type="pct"/>
          </w:tcPr>
          <w:p w:rsidR="00A25E57" w:rsidRPr="00925217" w:rsidRDefault="00A25E57" w:rsidP="00072F46">
            <w:pPr>
              <w:pStyle w:val="Textpoznpodarou"/>
              <w:jc w:val="both"/>
              <w:rPr>
                <w:color w:val="000000"/>
              </w:rPr>
            </w:pPr>
            <w:r w:rsidRPr="00925217">
              <w:rPr>
                <w:color w:val="000000"/>
              </w:rPr>
              <w:t>Poněkud překvapivý je procentní podíl výdajů v položce Pošty a telekomunikace (druhý obrázek v grafu 27), kdy v domácnos</w:t>
            </w:r>
            <w:r>
              <w:rPr>
                <w:color w:val="000000"/>
              </w:rPr>
              <w:t>tech dolního decilu připadá</w:t>
            </w:r>
            <w:r w:rsidRPr="00925217">
              <w:rPr>
                <w:color w:val="000000"/>
              </w:rPr>
              <w:t xml:space="preserve"> na tyto služby z celkové spotřeby více (4,8 % je dokonce nad průměrem českých domácností jako celku) než u domácností v horním decilu (3,6 %). I tak však zde v absolutním vyjádření převyšují výdaje „nejbohatších“ 2,2krát výdaje „nejchudších“ (v nákupu telefonů 3,7krát, ale v jejich používání jen 1,8krát, což zřejmě souvisí s pořizováním dražších mobilních přístrojů členy nejvýše příjmových domácností). Za internet utratili 2,5krát více. </w:t>
            </w:r>
          </w:p>
          <w:p w:rsidR="00A25E57" w:rsidRPr="00925217" w:rsidRDefault="00A25E57" w:rsidP="00072F46">
            <w:pPr>
              <w:pStyle w:val="Textpoznpodarou"/>
              <w:jc w:val="both"/>
              <w:rPr>
                <w:color w:val="000000"/>
              </w:rPr>
            </w:pPr>
          </w:p>
        </w:tc>
      </w:tr>
      <w:tr w:rsidR="00A25E57" w:rsidRPr="00FA57FD" w:rsidTr="00072F46">
        <w:tc>
          <w:tcPr>
            <w:tcW w:w="1042" w:type="pct"/>
          </w:tcPr>
          <w:p w:rsidR="00A25E57" w:rsidRDefault="00A25E57" w:rsidP="00072F46">
            <w:pPr>
              <w:spacing w:line="240" w:lineRule="auto"/>
              <w:rPr>
                <w:color w:val="000000"/>
                <w:sz w:val="16"/>
                <w:szCs w:val="16"/>
              </w:rPr>
            </w:pPr>
            <w:r>
              <w:rPr>
                <w:color w:val="000000"/>
                <w:sz w:val="16"/>
                <w:szCs w:val="16"/>
              </w:rPr>
              <w:t>Výdaje domácností v ČR za zdraví v př</w:t>
            </w:r>
            <w:r w:rsidR="00C72261">
              <w:rPr>
                <w:color w:val="000000"/>
                <w:sz w:val="16"/>
                <w:szCs w:val="16"/>
              </w:rPr>
              <w:t>epočtu na osobu byly v roce 2014</w:t>
            </w:r>
            <w:r>
              <w:rPr>
                <w:color w:val="000000"/>
                <w:sz w:val="16"/>
                <w:szCs w:val="16"/>
              </w:rPr>
              <w:t xml:space="preserve"> téměř stejné jako útraty za alkohol a tabákové výrobky </w:t>
            </w:r>
          </w:p>
        </w:tc>
        <w:tc>
          <w:tcPr>
            <w:tcW w:w="139" w:type="pct"/>
          </w:tcPr>
          <w:p w:rsidR="00A25E57" w:rsidRDefault="00A25E57" w:rsidP="00072F46">
            <w:pPr>
              <w:pStyle w:val="Textpoznpodarou"/>
              <w:jc w:val="both"/>
            </w:pPr>
          </w:p>
        </w:tc>
        <w:tc>
          <w:tcPr>
            <w:tcW w:w="3819" w:type="pct"/>
          </w:tcPr>
          <w:p w:rsidR="00A25E57" w:rsidRPr="00925217" w:rsidRDefault="00A25E57" w:rsidP="00072F46">
            <w:pPr>
              <w:pStyle w:val="Textpoznpodarou"/>
              <w:jc w:val="both"/>
              <w:rPr>
                <w:color w:val="000000"/>
              </w:rPr>
            </w:pPr>
            <w:r w:rsidRPr="00925217">
              <w:rPr>
                <w:color w:val="000000"/>
              </w:rPr>
              <w:t>V povědomí je stále názor, že zdravotnictví v ČR je „víceméně zdarma“ a nepředstavuje po platby lidí problém. Tento názor zcela opomíjí skutečnost, že již několik let v řadě vydávají lidé za zdraví ze svých vlastních peněz - tedy nikoli ve</w:t>
            </w:r>
            <w:r>
              <w:rPr>
                <w:color w:val="000000"/>
              </w:rPr>
              <w:t> </w:t>
            </w:r>
            <w:r w:rsidRPr="00925217">
              <w:rPr>
                <w:color w:val="000000"/>
              </w:rPr>
              <w:t>formě odvodů zdravotním pojišťovnám – přes 40 mld. korun ročně. Podle dat z</w:t>
            </w:r>
            <w:r>
              <w:rPr>
                <w:color w:val="000000"/>
              </w:rPr>
              <w:t> </w:t>
            </w:r>
            <w:r w:rsidRPr="00925217">
              <w:rPr>
                <w:color w:val="000000"/>
              </w:rPr>
              <w:t>rodinných účtů b</w:t>
            </w:r>
            <w:r w:rsidR="00C72261">
              <w:rPr>
                <w:color w:val="000000"/>
              </w:rPr>
              <w:t>yly výdaje za zdraví v roce 2014</w:t>
            </w:r>
            <w:r w:rsidRPr="00925217">
              <w:rPr>
                <w:color w:val="000000"/>
              </w:rPr>
              <w:t xml:space="preserve"> v průměru na osobu v domácnosti téměř stejné (3 228 korun) jako výdaje za alkoholické nápoje a tabák (3 550 korun). V horním decilu (5 726 korun ročně na osobu) byly  4,2krát vyšší než v dolním decilu (1 357 korun), jak je patrné ze třetího obrázku v grafu 27. Přitom převýšení bylo výraznější u výdajů za ambulantní péči (6,5krát). Za ni však i</w:t>
            </w:r>
            <w:r>
              <w:rPr>
                <w:color w:val="000000"/>
              </w:rPr>
              <w:t> </w:t>
            </w:r>
            <w:r w:rsidRPr="00925217">
              <w:rPr>
                <w:color w:val="000000"/>
              </w:rPr>
              <w:t>v datech za domácnosti v ČR celkem zaplatili lidé v přepočtu na jednoho člena jen necelou polovinu toho, co za léky a zdravotnické prostředky (tedy především ve</w:t>
            </w:r>
            <w:r>
              <w:rPr>
                <w:color w:val="000000"/>
              </w:rPr>
              <w:t> </w:t>
            </w:r>
            <w:r w:rsidRPr="00925217">
              <w:rPr>
                <w:color w:val="000000"/>
              </w:rPr>
              <w:t>formě doplatků za léky) – lidé v domácnostech dolního decilu jen zhruba třetinu.</w:t>
            </w:r>
          </w:p>
        </w:tc>
      </w:tr>
    </w:tbl>
    <w:p w:rsidR="00A25E57" w:rsidRPr="00332E05" w:rsidRDefault="00A25E57" w:rsidP="00A25E57">
      <w:pPr>
        <w:spacing w:line="269" w:lineRule="auto"/>
        <w:jc w:val="both"/>
        <w:rPr>
          <w:spacing w:val="-2"/>
        </w:rPr>
      </w:pPr>
      <w:r w:rsidRPr="00332E05">
        <w:rPr>
          <w:spacing w:val="-2"/>
        </w:rPr>
        <w:lastRenderedPageBreak/>
        <w:t xml:space="preserve">Graf č. 27:  </w:t>
      </w:r>
      <w:r w:rsidRPr="00332E05">
        <w:rPr>
          <w:b/>
          <w:spacing w:val="-2"/>
        </w:rPr>
        <w:t xml:space="preserve">Výdaje domácností za položky Alkohol a tabák, Poštovní a telekomunikační služby a Zdraví </w:t>
      </w:r>
      <w:r w:rsidRPr="00332E05">
        <w:rPr>
          <w:spacing w:val="-2"/>
        </w:rPr>
        <w:t>(dolní a horní decil př</w:t>
      </w:r>
      <w:r w:rsidR="001B7C99">
        <w:rPr>
          <w:spacing w:val="-2"/>
        </w:rPr>
        <w:t>íjmového rozdělení domácností, z dat v korunách na osobu, 2014</w:t>
      </w:r>
      <w:r w:rsidRPr="00332E05">
        <w:rPr>
          <w:spacing w:val="-2"/>
        </w:rPr>
        <w:t>)</w:t>
      </w:r>
    </w:p>
    <w:p w:rsidR="00A25E57" w:rsidRPr="00925217" w:rsidRDefault="00A25E57" w:rsidP="00A25E57">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305"/>
        <w:gridCol w:w="3262"/>
      </w:tblGrid>
      <w:tr w:rsidR="00A25E57" w:rsidTr="00072F46">
        <w:trPr>
          <w:trHeight w:val="735"/>
        </w:trPr>
        <w:tc>
          <w:tcPr>
            <w:tcW w:w="3259" w:type="dxa"/>
          </w:tcPr>
          <w:p w:rsidR="00A25E57" w:rsidRDefault="00A25E57" w:rsidP="00072F46">
            <w:pPr>
              <w:spacing w:line="240" w:lineRule="auto"/>
            </w:pPr>
            <w:r w:rsidRPr="00FB3D7D">
              <w:rPr>
                <w:b/>
              </w:rPr>
              <w:t>Výdaje za alkohol a tabák</w:t>
            </w:r>
            <w:r>
              <w:t xml:space="preserve"> </w:t>
            </w:r>
          </w:p>
          <w:p w:rsidR="00A25E57" w:rsidRPr="00BF6DE7" w:rsidRDefault="00A25E57" w:rsidP="00211036">
            <w:pPr>
              <w:spacing w:line="240" w:lineRule="auto"/>
            </w:pPr>
            <w:r w:rsidRPr="00FB3D7D">
              <w:rPr>
                <w:szCs w:val="20"/>
              </w:rPr>
              <w:t>(</w:t>
            </w:r>
            <w:r w:rsidR="001B7C99">
              <w:rPr>
                <w:szCs w:val="20"/>
              </w:rPr>
              <w:t xml:space="preserve">z dat </w:t>
            </w:r>
            <w:r w:rsidRPr="00FB3D7D">
              <w:rPr>
                <w:szCs w:val="20"/>
              </w:rPr>
              <w:t>v korunách na osobu, 201</w:t>
            </w:r>
            <w:r w:rsidR="00211036">
              <w:rPr>
                <w:szCs w:val="20"/>
              </w:rPr>
              <w:t>4</w:t>
            </w:r>
            <w:r w:rsidRPr="00FB3D7D">
              <w:rPr>
                <w:szCs w:val="20"/>
              </w:rPr>
              <w:t>)</w:t>
            </w:r>
          </w:p>
        </w:tc>
        <w:tc>
          <w:tcPr>
            <w:tcW w:w="3259" w:type="dxa"/>
          </w:tcPr>
          <w:p w:rsidR="00A25E57" w:rsidRPr="00FB3D7D" w:rsidRDefault="00A25E57" w:rsidP="00211036">
            <w:pPr>
              <w:spacing w:line="240" w:lineRule="auto"/>
              <w:rPr>
                <w:b/>
              </w:rPr>
            </w:pPr>
            <w:r w:rsidRPr="00FB3D7D">
              <w:rPr>
                <w:b/>
              </w:rPr>
              <w:t xml:space="preserve">Výdaje za poštovní a </w:t>
            </w:r>
            <w:proofErr w:type="spellStart"/>
            <w:r w:rsidRPr="00FB3D7D">
              <w:rPr>
                <w:b/>
              </w:rPr>
              <w:t>telekom</w:t>
            </w:r>
            <w:proofErr w:type="spellEnd"/>
            <w:r w:rsidRPr="00FB3D7D">
              <w:rPr>
                <w:b/>
              </w:rPr>
              <w:t xml:space="preserve">. </w:t>
            </w:r>
            <w:proofErr w:type="gramStart"/>
            <w:r w:rsidRPr="00FB3D7D">
              <w:rPr>
                <w:b/>
              </w:rPr>
              <w:t>služby</w:t>
            </w:r>
            <w:proofErr w:type="gramEnd"/>
            <w:r w:rsidRPr="00FB3D7D">
              <w:rPr>
                <w:b/>
              </w:rPr>
              <w:t xml:space="preserve"> </w:t>
            </w:r>
            <w:r w:rsidRPr="00FB3D7D">
              <w:rPr>
                <w:sz w:val="18"/>
                <w:szCs w:val="18"/>
              </w:rPr>
              <w:t>(</w:t>
            </w:r>
            <w:r w:rsidR="001B7C99">
              <w:rPr>
                <w:sz w:val="18"/>
                <w:szCs w:val="18"/>
              </w:rPr>
              <w:t xml:space="preserve">z dat </w:t>
            </w:r>
            <w:r w:rsidRPr="00FB3D7D">
              <w:rPr>
                <w:sz w:val="18"/>
                <w:szCs w:val="18"/>
              </w:rPr>
              <w:t>v korunách na osobu, 201</w:t>
            </w:r>
            <w:r w:rsidR="00211036">
              <w:rPr>
                <w:sz w:val="18"/>
                <w:szCs w:val="18"/>
              </w:rPr>
              <w:t>4</w:t>
            </w:r>
            <w:r w:rsidRPr="00FB3D7D">
              <w:rPr>
                <w:sz w:val="18"/>
                <w:szCs w:val="18"/>
              </w:rPr>
              <w:t>)</w:t>
            </w:r>
          </w:p>
        </w:tc>
        <w:tc>
          <w:tcPr>
            <w:tcW w:w="3260" w:type="dxa"/>
          </w:tcPr>
          <w:p w:rsidR="00A25E57" w:rsidRPr="00FB3D7D" w:rsidRDefault="00A25E57" w:rsidP="00072F46">
            <w:pPr>
              <w:spacing w:line="240" w:lineRule="auto"/>
              <w:rPr>
                <w:b/>
              </w:rPr>
            </w:pPr>
            <w:r w:rsidRPr="00FB3D7D">
              <w:rPr>
                <w:b/>
              </w:rPr>
              <w:t xml:space="preserve">Výdaje za zdraví </w:t>
            </w:r>
          </w:p>
          <w:p w:rsidR="00A25E57" w:rsidRPr="00FB3D7D" w:rsidRDefault="00A25E57" w:rsidP="00211036">
            <w:pPr>
              <w:spacing w:line="240" w:lineRule="auto"/>
              <w:rPr>
                <w:b/>
              </w:rPr>
            </w:pPr>
            <w:r w:rsidRPr="00FB3D7D">
              <w:rPr>
                <w:szCs w:val="20"/>
              </w:rPr>
              <w:t>(</w:t>
            </w:r>
            <w:r w:rsidR="001B7C99">
              <w:rPr>
                <w:szCs w:val="20"/>
              </w:rPr>
              <w:t xml:space="preserve">z dat </w:t>
            </w:r>
            <w:r w:rsidRPr="00FB3D7D">
              <w:rPr>
                <w:szCs w:val="20"/>
              </w:rPr>
              <w:t>v korunách na osobu, 201</w:t>
            </w:r>
            <w:r w:rsidR="00211036">
              <w:rPr>
                <w:szCs w:val="20"/>
              </w:rPr>
              <w:t>4</w:t>
            </w:r>
            <w:r w:rsidRPr="00FB3D7D">
              <w:rPr>
                <w:szCs w:val="20"/>
              </w:rPr>
              <w:t>)</w:t>
            </w:r>
          </w:p>
        </w:tc>
      </w:tr>
      <w:tr w:rsidR="00A25E57" w:rsidRPr="00FC0AF4" w:rsidTr="00072F46">
        <w:trPr>
          <w:trHeight w:val="4293"/>
        </w:trPr>
        <w:tc>
          <w:tcPr>
            <w:tcW w:w="3259" w:type="dxa"/>
          </w:tcPr>
          <w:p w:rsidR="00A25E57" w:rsidRPr="001962A3" w:rsidRDefault="00513C6F" w:rsidP="00072F46">
            <w:r>
              <w:rPr>
                <w:noProof/>
              </w:rPr>
              <w:pict>
                <v:shape id="Graf 21" o:spid="_x0000_i1149" type="#_x0000_t75" style="width:148.5pt;height:218.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">
                  <v:imagedata r:id="rId141" o:title="" cropbottom="-64f"/>
                  <o:lock v:ext="edit" aspectratio="f"/>
                </v:shape>
              </w:pict>
            </w:r>
          </w:p>
        </w:tc>
        <w:tc>
          <w:tcPr>
            <w:tcW w:w="3259" w:type="dxa"/>
          </w:tcPr>
          <w:p w:rsidR="00A25E57" w:rsidRPr="001962A3" w:rsidRDefault="00513C6F" w:rsidP="00072F46">
            <w:r>
              <w:rPr>
                <w:noProof/>
              </w:rPr>
              <w:pict>
                <v:shape id="Graf 20" o:spid="_x0000_i1150" type="#_x0000_t75" style="width:154.5pt;height:21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">
                  <v:imagedata r:id="rId142" o:title=""/>
                  <o:lock v:ext="edit" aspectratio="f"/>
                </v:shape>
              </w:pict>
            </w:r>
          </w:p>
        </w:tc>
        <w:tc>
          <w:tcPr>
            <w:tcW w:w="3260" w:type="dxa"/>
          </w:tcPr>
          <w:p w:rsidR="00A25E57" w:rsidRPr="001962A3" w:rsidRDefault="00513C6F" w:rsidP="00072F46">
            <w:r>
              <w:rPr>
                <w:noProof/>
              </w:rPr>
              <w:pict>
                <v:shape id="_x0000_i1151" type="#_x0000_t75" style="width:152.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YNedU2wAAAAUBAAAPAAAAZHJzL2Rvd25y&#10;ZXYueG1sTI/BTsMwEETvSPyDtUjcqJOAoirEqaCCHlAvLXyAay9J1Hgd2W4a+vUsXOAy0mhWM2/r&#10;1ewGMWGIvScF+SIDgWS87alV8PH+ercEEZMmqwdPqOALI6ya66taV9afaYfTPrWCSyhWWkGX0lhJ&#10;GU2HTseFH5E4+/TB6cQ2tNIGfeZyN8giy0rpdE+80OkR1x2a4/7kFBw3Q46X5+WL2Zlyu96+TUXI&#10;pVK3N/PTI4iEc/o7hh98RoeGmQ7+RDaKQQE/kn6Vs/u8YHtQ8FCUGcimlv/pm28A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">
                  <v:imagedata r:id="rId143" o:title="" cropbottom="-31f"/>
                  <o:lock v:ext="edit" aspectratio="f"/>
                </v:shape>
              </w:pict>
            </w:r>
          </w:p>
        </w:tc>
      </w:tr>
    </w:tbl>
    <w:p w:rsidR="00A25E57" w:rsidRDefault="00A25E57" w:rsidP="00A25E57">
      <w:pPr>
        <w:jc w:val="right"/>
        <w:rPr>
          <w:sz w:val="18"/>
          <w:szCs w:val="18"/>
        </w:rPr>
      </w:pPr>
      <w:r>
        <w:rPr>
          <w:sz w:val="18"/>
          <w:szCs w:val="18"/>
        </w:rPr>
        <w:t>Zdroj</w:t>
      </w:r>
      <w:r w:rsidR="00965F36">
        <w:rPr>
          <w:sz w:val="18"/>
          <w:szCs w:val="18"/>
        </w:rPr>
        <w:t>: ČSÚ</w:t>
      </w:r>
      <w:r w:rsidRPr="00532C18">
        <w:rPr>
          <w:sz w:val="18"/>
          <w:szCs w:val="18"/>
        </w:rPr>
        <w:t xml:space="preserve"> </w:t>
      </w:r>
      <w:r w:rsidR="00965F36">
        <w:rPr>
          <w:sz w:val="18"/>
          <w:szCs w:val="18"/>
        </w:rPr>
        <w:t>(</w:t>
      </w:r>
      <w:r w:rsidRPr="00532C18">
        <w:rPr>
          <w:sz w:val="18"/>
          <w:szCs w:val="18"/>
        </w:rPr>
        <w:t>rodinné účty</w:t>
      </w:r>
      <w:r w:rsidR="00965F36">
        <w:rPr>
          <w:sz w:val="18"/>
          <w:szCs w:val="18"/>
        </w:rPr>
        <w:t>)</w:t>
      </w:r>
    </w:p>
    <w:p w:rsidR="00A25E57" w:rsidRDefault="00A25E57" w:rsidP="00A25E57">
      <w:pPr>
        <w:jc w:val="right"/>
        <w:rPr>
          <w:sz w:val="18"/>
          <w:szCs w:val="18"/>
        </w:rPr>
      </w:pPr>
    </w:p>
    <w:tbl>
      <w:tblPr>
        <w:tblW w:w="12747" w:type="pct"/>
        <w:tblInd w:w="-42" w:type="dxa"/>
        <w:tblCellMar>
          <w:left w:w="28" w:type="dxa"/>
          <w:right w:w="28" w:type="dxa"/>
        </w:tblCellMar>
        <w:tblLook w:val="00A0"/>
      </w:tblPr>
      <w:tblGrid>
        <w:gridCol w:w="2035"/>
        <w:gridCol w:w="272"/>
        <w:gridCol w:w="7469"/>
        <w:gridCol w:w="7469"/>
        <w:gridCol w:w="7469"/>
      </w:tblGrid>
      <w:tr w:rsidR="00A25E57" w:rsidRPr="00925217" w:rsidTr="00072F46">
        <w:tc>
          <w:tcPr>
            <w:tcW w:w="412" w:type="pct"/>
          </w:tcPr>
          <w:p w:rsidR="00A25E57" w:rsidRDefault="00A25E57" w:rsidP="00072F46">
            <w:pPr>
              <w:spacing w:line="240" w:lineRule="auto"/>
              <w:rPr>
                <w:color w:val="000000"/>
                <w:sz w:val="16"/>
                <w:szCs w:val="16"/>
              </w:rPr>
            </w:pPr>
            <w:r>
              <w:rPr>
                <w:color w:val="000000"/>
                <w:sz w:val="16"/>
                <w:szCs w:val="16"/>
              </w:rPr>
              <w:t>Jedinou položkou spotřeby, v níž vydává desetina nejníže příjmových domácností na osobu nominálně dokonce více než desetina domácností nejvýše příjmových, jsou výdaje na vzdělání</w:t>
            </w:r>
          </w:p>
          <w:p w:rsidR="00A25E57" w:rsidRDefault="00A25E57" w:rsidP="00072F46">
            <w:pPr>
              <w:spacing w:line="240" w:lineRule="auto"/>
              <w:jc w:val="both"/>
              <w:rPr>
                <w:color w:val="000000"/>
                <w:sz w:val="16"/>
                <w:szCs w:val="16"/>
              </w:rPr>
            </w:pPr>
          </w:p>
        </w:tc>
        <w:tc>
          <w:tcPr>
            <w:tcW w:w="55" w:type="pct"/>
          </w:tcPr>
          <w:p w:rsidR="00A25E57" w:rsidRDefault="00A25E57" w:rsidP="00072F46">
            <w:pPr>
              <w:pStyle w:val="Textpoznpodarou"/>
              <w:jc w:val="both"/>
            </w:pPr>
          </w:p>
        </w:tc>
        <w:tc>
          <w:tcPr>
            <w:tcW w:w="1511" w:type="pct"/>
          </w:tcPr>
          <w:p w:rsidR="00A25E57" w:rsidRPr="004E2868" w:rsidRDefault="00A25E57" w:rsidP="00333234">
            <w:pPr>
              <w:spacing w:line="240" w:lineRule="auto"/>
              <w:jc w:val="both"/>
              <w:rPr>
                <w:color w:val="000000"/>
                <w:szCs w:val="20"/>
              </w:rPr>
            </w:pPr>
            <w:r w:rsidRPr="004E2868">
              <w:rPr>
                <w:color w:val="000000"/>
                <w:szCs w:val="20"/>
              </w:rPr>
              <w:t>Výdaje na vzdělání jsou ve struktuře vydání českých domácností podle statistiky r</w:t>
            </w:r>
            <w:r>
              <w:rPr>
                <w:color w:val="000000"/>
                <w:szCs w:val="20"/>
              </w:rPr>
              <w:t>odinných účtů položkou nejnižší. Na celkových spotřebních vydáních v přepočtu na osobu se v roce 2014 podílel objem peněz použitých na vzdělání jen z 0,</w:t>
            </w:r>
            <w:r w:rsidR="00333234">
              <w:rPr>
                <w:color w:val="000000"/>
                <w:szCs w:val="20"/>
              </w:rPr>
              <w:t>6</w:t>
            </w:r>
            <w:r>
              <w:rPr>
                <w:color w:val="000000"/>
                <w:szCs w:val="20"/>
              </w:rPr>
              <w:t xml:space="preserve"> %. Ukazuje to mimo jiné na nízký podíl soukromého školství - i přes expanzi zejména vysokých škol anebo vyšších odborných škol - oproti tomu, jaké je pensum vzdělávacích kapacit školství financovaného v ČR z veřejných zdrojů. I přes tyto relace však pohled decilového rozdělení naznačuje zajímavou skutečnost</w:t>
            </w:r>
            <w:r w:rsidR="00C93A94">
              <w:rPr>
                <w:color w:val="000000"/>
                <w:szCs w:val="20"/>
              </w:rPr>
              <w:t>:</w:t>
            </w:r>
            <w:r>
              <w:rPr>
                <w:color w:val="000000"/>
                <w:szCs w:val="20"/>
              </w:rPr>
              <w:t xml:space="preserve"> desetina nejníže příjmových domácností vydávala v roce 2014 v přepočtu na osobu na vzdělávání nominálně mírně více (795 korun za rok), než desetina domácností nejvýše příjmových (712 korun za rok). Celková spotřební vydání dolního a horního decilu přitom činila zhruba 73 tis., resp. 209 tis. korun na osobu ročně. Příčinou tohoto překvapivého poměru, kdy“příjmově nejchudší domácnosti vydávají na vzdělání v přepočtu na osobu nominálně více než domácnosti příjmově nejbohatší, je zřejmě právě skladba těchto domácností, tj. rozdílný počet dětí. V dolním decilu připadalo v roce 2014 na jednu domácnost podle dat z rodinných účtů 1,45 vyživovaných dětí, zatímco desetina nejvýše příjmových domácností děti prakticky nemá (0,10 vyživovaného dítěte připadajícího na jednu domácnost horního decilu příjmového rozdělení). Podstatnou roli ve zmíněném nepoměru vydání zřejmě hrají i platby rodičů v předškolních zařízeních (při nedostatku míst v mateřských školách financovaných z veřejných zdrojů a drahých alternativách jako jsou např. podobná zařízení soukromá). </w:t>
            </w:r>
          </w:p>
        </w:tc>
        <w:tc>
          <w:tcPr>
            <w:tcW w:w="1511" w:type="pct"/>
          </w:tcPr>
          <w:p w:rsidR="00A25E57" w:rsidRDefault="00A25E57" w:rsidP="00072F46">
            <w:pPr>
              <w:pStyle w:val="Textpoznpodarou"/>
              <w:jc w:val="both"/>
            </w:pPr>
          </w:p>
        </w:tc>
        <w:tc>
          <w:tcPr>
            <w:tcW w:w="1511" w:type="pct"/>
          </w:tcPr>
          <w:p w:rsidR="00A25E57" w:rsidRPr="00925217" w:rsidRDefault="00A25E57" w:rsidP="00072F46">
            <w:pPr>
              <w:pStyle w:val="Textpoznpodarou"/>
              <w:jc w:val="both"/>
              <w:rPr>
                <w:color w:val="000000"/>
              </w:rPr>
            </w:pPr>
            <w:r w:rsidRPr="00925217">
              <w:rPr>
                <w:color w:val="000000"/>
              </w:rPr>
              <w:t>Poněkud překvapivý je procentní podíl výdajů v položce Pošty a telekomunikace (druhý obrázek v grafu 27), kdy v domácnos</w:t>
            </w:r>
            <w:r>
              <w:rPr>
                <w:color w:val="000000"/>
              </w:rPr>
              <w:t>tech dolního decilu připadá</w:t>
            </w:r>
            <w:r w:rsidRPr="00925217">
              <w:rPr>
                <w:color w:val="000000"/>
              </w:rPr>
              <w:t xml:space="preserve"> na tyto služby z celkové spotřeby více (4,8 % je dokonce nad průměrem českých domácností jako celku) než u domácností v horním decilu (3,6 %). I tak však zde v absolutním vyjádření převyšují výdaje „nejbohatších“ 2,2krát výdaje „nejchudších“ (v nákupu telefonů 3,7krát, ale v jejich používání jen 1,8krát, což zřejmě souvisí s pořizováním dražších mobilních přístrojů členy nejvýše příjmových domácností). Za internet utratili 2,5krát více. </w:t>
            </w:r>
          </w:p>
          <w:p w:rsidR="00A25E57" w:rsidRPr="00925217" w:rsidRDefault="00A25E57" w:rsidP="00072F46">
            <w:pPr>
              <w:pStyle w:val="Textpoznpodarou"/>
              <w:jc w:val="both"/>
              <w:rPr>
                <w:color w:val="000000"/>
              </w:rPr>
            </w:pPr>
          </w:p>
        </w:tc>
      </w:tr>
    </w:tbl>
    <w:p w:rsidR="00A25E57" w:rsidRPr="00532C18" w:rsidRDefault="00A25E57" w:rsidP="00A25E57">
      <w:pPr>
        <w:jc w:val="both"/>
        <w:rPr>
          <w:sz w:val="18"/>
          <w:szCs w:val="18"/>
        </w:rPr>
      </w:pPr>
      <w:r>
        <w:rPr>
          <w:sz w:val="18"/>
          <w:szCs w:val="18"/>
        </w:rPr>
        <w:t xml:space="preserve"> </w:t>
      </w:r>
    </w:p>
    <w:p w:rsidR="00354366" w:rsidRPr="00A25E57" w:rsidRDefault="00354366" w:rsidP="00A25E57">
      <w:pPr>
        <w:rPr>
          <w:szCs w:val="20"/>
        </w:rPr>
      </w:pPr>
    </w:p>
    <w:sectPr w:rsidR="00354366" w:rsidRPr="00A25E57" w:rsidSect="00D43998">
      <w:headerReference w:type="even" r:id="rId144"/>
      <w:headerReference w:type="default" r:id="rId145"/>
      <w:footerReference w:type="even" r:id="rId146"/>
      <w:footerReference w:type="default" r:id="rId147"/>
      <w:type w:val="continuous"/>
      <w:pgSz w:w="11906" w:h="16838" w:code="9"/>
      <w:pgMar w:top="1134" w:right="1134" w:bottom="1418" w:left="1134"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3234" w:rsidRDefault="00333234" w:rsidP="00E71A58">
      <w:r>
        <w:separator/>
      </w:r>
    </w:p>
  </w:endnote>
  <w:endnote w:type="continuationSeparator" w:id="0">
    <w:p w:rsidR="00333234" w:rsidRDefault="00333234" w:rsidP="00E71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234" w:rsidRDefault="00333234" w:rsidP="00F46FD1">
    <w:pPr>
      <w:pStyle w:val="Zpat"/>
      <w:tabs>
        <w:tab w:val="clear" w:pos="4536"/>
        <w:tab w:val="clear" w:pos="9072"/>
        <w:tab w:val="center" w:pos="4820"/>
        <w:tab w:val="right" w:pos="9639"/>
      </w:tabs>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Description: 3" style="position:absolute;margin-left:445.7pt;margin-top:-4.1pt;width:36.75pt;height:17.25pt;z-index:251660800;visibility:visible">
          <v:imagedata r:id="rId1" o:title=""/>
        </v:shape>
      </w:pict>
    </w:r>
    <w:r w:rsidRPr="005A21E0">
      <w:rPr>
        <w:rFonts w:ascii="Arial" w:hAnsi="Arial" w:cs="Arial"/>
        <w:sz w:val="16"/>
        <w:szCs w:val="16"/>
      </w:rPr>
      <w:fldChar w:fldCharType="begin"/>
    </w:r>
    <w:r w:rsidRPr="005A21E0">
      <w:rPr>
        <w:rFonts w:ascii="Arial" w:hAnsi="Arial" w:cs="Arial"/>
        <w:sz w:val="16"/>
        <w:szCs w:val="16"/>
      </w:rPr>
      <w:instrText>PAGE   \* MERGEFORMAT</w:instrText>
    </w:r>
    <w:r w:rsidRPr="005A21E0">
      <w:rPr>
        <w:rFonts w:ascii="Arial" w:hAnsi="Arial" w:cs="Arial"/>
        <w:sz w:val="16"/>
        <w:szCs w:val="16"/>
      </w:rPr>
      <w:fldChar w:fldCharType="separate"/>
    </w:r>
    <w:r>
      <w:rPr>
        <w:rFonts w:ascii="Arial" w:hAnsi="Arial" w:cs="Arial"/>
        <w:noProof/>
        <w:sz w:val="16"/>
        <w:szCs w:val="16"/>
      </w:rPr>
      <w:t>4</w:t>
    </w:r>
    <w:r w:rsidRPr="005A21E0">
      <w:rPr>
        <w:rFonts w:ascii="Arial" w:hAnsi="Arial" w:cs="Arial"/>
        <w:sz w:val="16"/>
        <w:szCs w:val="16"/>
      </w:rPr>
      <w:fldChar w:fldCharType="end"/>
    </w:r>
    <w:r>
      <w:rPr>
        <w:rFonts w:ascii="Arial" w:hAnsi="Arial" w:cs="Arial"/>
        <w:sz w:val="16"/>
        <w:szCs w:val="16"/>
      </w:rPr>
      <w:tab/>
      <w:t>2014</w:t>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234" w:rsidRDefault="00333234" w:rsidP="00357449">
    <w:pPr>
      <w:pStyle w:val="Zpat"/>
      <w:tabs>
        <w:tab w:val="clear" w:pos="4536"/>
        <w:tab w:val="clear" w:pos="9072"/>
        <w:tab w:val="left" w:pos="1134"/>
        <w:tab w:val="left" w:pos="1920"/>
        <w:tab w:val="center" w:pos="4820"/>
        <w:tab w:val="right" w:pos="9639"/>
      </w:tabs>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42" o:spid="_x0000_s2049" type="#_x0000_t75" alt="Description: 3" style="position:absolute;margin-left:.3pt;margin-top:7.1pt;width:39pt;height:21pt;z-index:251656704;visibility:visible">
          <v:imagedata r:id="rId1" o:title=""/>
        </v:shape>
      </w:pict>
    </w:r>
    <w:r>
      <w:tab/>
    </w:r>
    <w:r>
      <w:tab/>
    </w:r>
    <w:r w:rsidRPr="00DC5B3B">
      <w:t xml:space="preserve">                              </w:t>
    </w:r>
  </w:p>
  <w:p w:rsidR="00333234" w:rsidRPr="00223E00" w:rsidRDefault="00333234" w:rsidP="00357449">
    <w:pPr>
      <w:pStyle w:val="Zpat"/>
      <w:tabs>
        <w:tab w:val="clear" w:pos="4536"/>
        <w:tab w:val="clear" w:pos="9072"/>
        <w:tab w:val="left" w:pos="1134"/>
        <w:tab w:val="left" w:pos="1920"/>
        <w:tab w:val="center" w:pos="4820"/>
        <w:tab w:val="left" w:pos="9262"/>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2014</w:t>
    </w:r>
    <w:r>
      <w:rPr>
        <w:rFonts w:ascii="Arial" w:hAnsi="Arial" w:cs="Arial"/>
        <w:sz w:val="16"/>
        <w:szCs w:val="16"/>
      </w:rPr>
      <w:tab/>
    </w:r>
    <w:r w:rsidRPr="00223E00">
      <w:rPr>
        <w:rFonts w:ascii="Arial" w:hAnsi="Arial" w:cs="Arial"/>
        <w:sz w:val="16"/>
        <w:szCs w:val="16"/>
      </w:rPr>
      <w:fldChar w:fldCharType="begin"/>
    </w:r>
    <w:r w:rsidRPr="00223E00">
      <w:rPr>
        <w:rFonts w:ascii="Arial" w:hAnsi="Arial" w:cs="Arial"/>
        <w:sz w:val="16"/>
        <w:szCs w:val="16"/>
      </w:rPr>
      <w:instrText xml:space="preserve"> PAGE   \* MERGEFORMAT </w:instrText>
    </w:r>
    <w:r w:rsidRPr="00223E00">
      <w:rPr>
        <w:rFonts w:ascii="Arial" w:hAnsi="Arial" w:cs="Arial"/>
        <w:sz w:val="16"/>
        <w:szCs w:val="16"/>
      </w:rPr>
      <w:fldChar w:fldCharType="separate"/>
    </w:r>
    <w:r w:rsidR="00572EA7">
      <w:rPr>
        <w:rFonts w:ascii="Arial" w:hAnsi="Arial" w:cs="Arial"/>
        <w:noProof/>
        <w:sz w:val="16"/>
        <w:szCs w:val="16"/>
      </w:rPr>
      <w:t>3</w:t>
    </w:r>
    <w:r w:rsidRPr="00223E00">
      <w:rPr>
        <w:rFonts w:ascii="Arial" w:hAnsi="Arial" w:cs="Arial"/>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234" w:rsidRDefault="00333234" w:rsidP="00357449">
    <w:pPr>
      <w:pStyle w:val="Zpat"/>
      <w:tabs>
        <w:tab w:val="clear" w:pos="4536"/>
        <w:tab w:val="clear" w:pos="9072"/>
        <w:tab w:val="center" w:pos="4820"/>
        <w:tab w:val="right" w:pos="9639"/>
      </w:tabs>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2050" type="#_x0000_t75" alt="Description: 3" style="position:absolute;margin-left:445.7pt;margin-top:-4.1pt;width:36.75pt;height:17.25pt;z-index:251657728;visibility:visible">
          <v:imagedata r:id="rId1" o:title=""/>
        </v:shape>
      </w:pict>
    </w:r>
    <w:r w:rsidRPr="005A21E0">
      <w:rPr>
        <w:rFonts w:ascii="Arial" w:hAnsi="Arial" w:cs="Arial"/>
        <w:sz w:val="16"/>
        <w:szCs w:val="16"/>
      </w:rPr>
      <w:fldChar w:fldCharType="begin"/>
    </w:r>
    <w:r w:rsidRPr="005A21E0">
      <w:rPr>
        <w:rFonts w:ascii="Arial" w:hAnsi="Arial" w:cs="Arial"/>
        <w:sz w:val="16"/>
        <w:szCs w:val="16"/>
      </w:rPr>
      <w:instrText>PAGE   \* MERGEFORMAT</w:instrText>
    </w:r>
    <w:r w:rsidRPr="005A21E0">
      <w:rPr>
        <w:rFonts w:ascii="Arial" w:hAnsi="Arial" w:cs="Arial"/>
        <w:sz w:val="16"/>
        <w:szCs w:val="16"/>
      </w:rPr>
      <w:fldChar w:fldCharType="separate"/>
    </w:r>
    <w:r w:rsidR="00572EA7">
      <w:rPr>
        <w:rFonts w:ascii="Arial" w:hAnsi="Arial" w:cs="Arial"/>
        <w:noProof/>
        <w:sz w:val="16"/>
        <w:szCs w:val="16"/>
      </w:rPr>
      <w:t>48</w:t>
    </w:r>
    <w:r w:rsidRPr="005A21E0">
      <w:rPr>
        <w:rFonts w:ascii="Arial" w:hAnsi="Arial" w:cs="Arial"/>
        <w:sz w:val="16"/>
        <w:szCs w:val="16"/>
      </w:rPr>
      <w:fldChar w:fldCharType="end"/>
    </w:r>
    <w:r>
      <w:rPr>
        <w:rFonts w:ascii="Arial" w:hAnsi="Arial" w:cs="Arial"/>
        <w:sz w:val="16"/>
        <w:szCs w:val="16"/>
      </w:rPr>
      <w:tab/>
      <w:t>2014</w:t>
    </w:r>
    <w:r>
      <w:tab/>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234" w:rsidRDefault="00333234" w:rsidP="00357449">
    <w:pPr>
      <w:pStyle w:val="Zpat"/>
      <w:tabs>
        <w:tab w:val="clear" w:pos="4536"/>
        <w:tab w:val="clear" w:pos="9072"/>
        <w:tab w:val="left" w:pos="1134"/>
        <w:tab w:val="left" w:pos="1920"/>
        <w:tab w:val="center" w:pos="4820"/>
        <w:tab w:val="right" w:pos="9639"/>
      </w:tabs>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Description: 3" style="position:absolute;margin-left:.3pt;margin-top:7.1pt;width:39pt;height:21pt;z-index:251658752;visibility:visible">
          <v:imagedata r:id="rId1" o:title=""/>
        </v:shape>
      </w:pict>
    </w:r>
    <w:r>
      <w:tab/>
    </w:r>
    <w:r>
      <w:tab/>
    </w:r>
    <w:r w:rsidRPr="00DC5B3B">
      <w:t xml:space="preserve">                              </w:t>
    </w:r>
  </w:p>
  <w:p w:rsidR="00333234" w:rsidRPr="00223E00" w:rsidRDefault="00333234" w:rsidP="00357449">
    <w:pPr>
      <w:pStyle w:val="Zpat"/>
      <w:tabs>
        <w:tab w:val="clear" w:pos="4536"/>
        <w:tab w:val="clear" w:pos="9072"/>
        <w:tab w:val="left" w:pos="1134"/>
        <w:tab w:val="left" w:pos="1920"/>
        <w:tab w:val="center" w:pos="4820"/>
        <w:tab w:val="left" w:pos="9262"/>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2014</w:t>
    </w:r>
    <w:r>
      <w:rPr>
        <w:rFonts w:ascii="Arial" w:hAnsi="Arial" w:cs="Arial"/>
        <w:sz w:val="16"/>
        <w:szCs w:val="16"/>
      </w:rPr>
      <w:tab/>
    </w:r>
    <w:r w:rsidRPr="00223E00">
      <w:rPr>
        <w:rFonts w:ascii="Arial" w:hAnsi="Arial" w:cs="Arial"/>
        <w:sz w:val="16"/>
        <w:szCs w:val="16"/>
      </w:rPr>
      <w:fldChar w:fldCharType="begin"/>
    </w:r>
    <w:r w:rsidRPr="00223E00">
      <w:rPr>
        <w:rFonts w:ascii="Arial" w:hAnsi="Arial" w:cs="Arial"/>
        <w:sz w:val="16"/>
        <w:szCs w:val="16"/>
      </w:rPr>
      <w:instrText xml:space="preserve"> PAGE   \* MERGEFORMAT </w:instrText>
    </w:r>
    <w:r w:rsidRPr="00223E00">
      <w:rPr>
        <w:rFonts w:ascii="Arial" w:hAnsi="Arial" w:cs="Arial"/>
        <w:sz w:val="16"/>
        <w:szCs w:val="16"/>
      </w:rPr>
      <w:fldChar w:fldCharType="separate"/>
    </w:r>
    <w:r w:rsidR="00572EA7">
      <w:rPr>
        <w:rFonts w:ascii="Arial" w:hAnsi="Arial" w:cs="Arial"/>
        <w:noProof/>
        <w:sz w:val="16"/>
        <w:szCs w:val="16"/>
      </w:rPr>
      <w:t>47</w:t>
    </w:r>
    <w:r w:rsidRPr="00223E00">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3234" w:rsidRDefault="00333234" w:rsidP="00E71A58">
      <w:r>
        <w:separator/>
      </w:r>
    </w:p>
  </w:footnote>
  <w:footnote w:type="continuationSeparator" w:id="0">
    <w:p w:rsidR="00333234" w:rsidRDefault="00333234" w:rsidP="00E71A58">
      <w:r>
        <w:continuationSeparator/>
      </w:r>
    </w:p>
  </w:footnote>
  <w:footnote w:id="1">
    <w:p w:rsidR="00333234" w:rsidRDefault="00333234" w:rsidP="009362AF">
      <w:pPr>
        <w:pStyle w:val="Textpoznpodarou"/>
      </w:pPr>
      <w:r w:rsidRPr="00676E82">
        <w:rPr>
          <w:rStyle w:val="Znakapoznpodarou"/>
        </w:rPr>
        <w:footnoteRef/>
      </w:r>
      <w:r w:rsidRPr="00676E82">
        <w:t xml:space="preserve"> </w:t>
      </w:r>
      <w:r w:rsidRPr="00A5067F">
        <w:rPr>
          <w:sz w:val="16"/>
          <w:szCs w:val="16"/>
        </w:rPr>
        <w:t>Pokud není uvedeno jinak, jsou data o HDP a</w:t>
      </w:r>
      <w:r>
        <w:rPr>
          <w:sz w:val="16"/>
          <w:szCs w:val="16"/>
        </w:rPr>
        <w:t xml:space="preserve"> jeho složkách vyjádřena v reálném vyjádření.</w:t>
      </w:r>
    </w:p>
  </w:footnote>
  <w:footnote w:id="2">
    <w:p w:rsidR="00333234" w:rsidRPr="00171672" w:rsidRDefault="00333234">
      <w:pPr>
        <w:pStyle w:val="Textpoznpodarou"/>
        <w:rPr>
          <w:sz w:val="16"/>
          <w:szCs w:val="16"/>
        </w:rPr>
      </w:pPr>
      <w:r w:rsidRPr="00171672">
        <w:rPr>
          <w:rStyle w:val="Znakapoznpodarou"/>
        </w:rPr>
        <w:footnoteRef/>
      </w:r>
      <w:r w:rsidRPr="00171672">
        <w:t xml:space="preserve"> </w:t>
      </w:r>
      <w:r w:rsidRPr="00171672">
        <w:rPr>
          <w:sz w:val="16"/>
          <w:szCs w:val="16"/>
        </w:rPr>
        <w:t>Příspěvky ke změně HDP bez vyloučení dovozu pro konečné užití.</w:t>
      </w:r>
    </w:p>
  </w:footnote>
  <w:footnote w:id="3">
    <w:p w:rsidR="00333234" w:rsidRDefault="00333234" w:rsidP="00877329">
      <w:pPr>
        <w:pStyle w:val="Textpoznpodarou"/>
        <w:jc w:val="both"/>
      </w:pPr>
      <w:r>
        <w:rPr>
          <w:rStyle w:val="Znakapoznpodarou"/>
        </w:rPr>
        <w:footnoteRef/>
      </w:r>
      <w:r>
        <w:t xml:space="preserve"> </w:t>
      </w:r>
      <w:r w:rsidRPr="00A557BF">
        <w:rPr>
          <w:sz w:val="16"/>
          <w:szCs w:val="16"/>
        </w:rPr>
        <w:t>Vše v reálném vyjádření, pokud není uvedeno jinak.</w:t>
      </w:r>
    </w:p>
  </w:footnote>
  <w:footnote w:id="4">
    <w:p w:rsidR="00333234" w:rsidRPr="00A557BF" w:rsidRDefault="00333234" w:rsidP="00D34225">
      <w:pPr>
        <w:pStyle w:val="Textpoznpodarou"/>
        <w:rPr>
          <w:sz w:val="16"/>
          <w:szCs w:val="16"/>
        </w:rPr>
      </w:pPr>
      <w:r w:rsidRPr="00A557BF">
        <w:rPr>
          <w:rStyle w:val="Znakapoznpodarou"/>
          <w:sz w:val="16"/>
          <w:szCs w:val="16"/>
        </w:rPr>
        <w:footnoteRef/>
      </w:r>
      <w:r w:rsidRPr="00A557BF">
        <w:rPr>
          <w:sz w:val="16"/>
          <w:szCs w:val="16"/>
        </w:rPr>
        <w:t xml:space="preserve"> Do reálného vyjádření převedeno s využitím deflátoru výdajů na konečnou spotřebu domácností.</w:t>
      </w:r>
    </w:p>
  </w:footnote>
  <w:footnote w:id="5">
    <w:p w:rsidR="00333234" w:rsidRPr="00A557BF" w:rsidRDefault="00333234" w:rsidP="00D34225">
      <w:pPr>
        <w:pStyle w:val="Textpoznpodarou"/>
        <w:rPr>
          <w:sz w:val="16"/>
          <w:szCs w:val="16"/>
        </w:rPr>
      </w:pPr>
      <w:r w:rsidRPr="00A557BF">
        <w:rPr>
          <w:rStyle w:val="Znakapoznpodarou"/>
          <w:sz w:val="16"/>
          <w:szCs w:val="16"/>
        </w:rPr>
        <w:footnoteRef/>
      </w:r>
      <w:r w:rsidRPr="00A557BF">
        <w:rPr>
          <w:sz w:val="16"/>
          <w:szCs w:val="16"/>
        </w:rPr>
        <w:t xml:space="preserve"> Údaje národní účtů, pokud není uvedeno jinak.</w:t>
      </w:r>
    </w:p>
  </w:footnote>
  <w:footnote w:id="6">
    <w:p w:rsidR="00333234" w:rsidRPr="0002083E" w:rsidRDefault="00333234" w:rsidP="003E68BC">
      <w:pPr>
        <w:pStyle w:val="Textpoznpodarou"/>
        <w:jc w:val="both"/>
        <w:rPr>
          <w:sz w:val="16"/>
          <w:szCs w:val="16"/>
        </w:rPr>
      </w:pPr>
      <w:r w:rsidRPr="0002083E">
        <w:rPr>
          <w:rStyle w:val="Znakapoznpodarou"/>
          <w:sz w:val="16"/>
          <w:szCs w:val="16"/>
        </w:rPr>
        <w:footnoteRef/>
      </w:r>
      <w:r w:rsidRPr="0002083E">
        <w:rPr>
          <w:sz w:val="16"/>
          <w:szCs w:val="16"/>
        </w:rPr>
        <w:t xml:space="preserve"> ČNB dlouhodobě snižovala základní měnově politické sazby (diskontní, </w:t>
      </w:r>
      <w:proofErr w:type="spellStart"/>
      <w:r w:rsidRPr="0002083E">
        <w:rPr>
          <w:sz w:val="16"/>
          <w:szCs w:val="16"/>
        </w:rPr>
        <w:t>repo</w:t>
      </w:r>
      <w:proofErr w:type="spellEnd"/>
      <w:r w:rsidRPr="0002083E">
        <w:rPr>
          <w:sz w:val="16"/>
          <w:szCs w:val="16"/>
        </w:rPr>
        <w:t>, lombardní), za něž obchoduje spolu s komerčními bankami likviditu, v listopadu 2013 navíc využila dodatečného nástroje měnové politiky a zasáhla proti české koruně.</w:t>
      </w:r>
    </w:p>
  </w:footnote>
  <w:footnote w:id="7">
    <w:p w:rsidR="00333234" w:rsidRPr="00754F27" w:rsidRDefault="00333234" w:rsidP="003E68BC">
      <w:pPr>
        <w:pStyle w:val="Textpoznpodarou"/>
        <w:jc w:val="both"/>
        <w:rPr>
          <w:lang w:val="en-US"/>
        </w:rPr>
      </w:pPr>
      <w:r w:rsidRPr="0002083E">
        <w:rPr>
          <w:sz w:val="16"/>
          <w:szCs w:val="16"/>
          <w:vertAlign w:val="superscript"/>
        </w:rPr>
        <w:footnoteRef/>
      </w:r>
      <w:r w:rsidRPr="0002083E">
        <w:rPr>
          <w:sz w:val="16"/>
          <w:szCs w:val="16"/>
        </w:rPr>
        <w:t xml:space="preserve"> Energie = elektrická a tepeln</w:t>
      </w:r>
      <w:r>
        <w:rPr>
          <w:sz w:val="16"/>
          <w:szCs w:val="16"/>
        </w:rPr>
        <w:t xml:space="preserve">á energie, plyn a </w:t>
      </w:r>
      <w:r w:rsidRPr="00754F27">
        <w:rPr>
          <w:sz w:val="16"/>
          <w:szCs w:val="16"/>
        </w:rPr>
        <w:t xml:space="preserve">ostatní paliva. </w:t>
      </w:r>
      <w:r>
        <w:rPr>
          <w:sz w:val="16"/>
          <w:szCs w:val="16"/>
        </w:rPr>
        <w:t>Jedná se tedy o energii využívanou v domácnosti.</w:t>
      </w:r>
    </w:p>
  </w:footnote>
  <w:footnote w:id="8">
    <w:p w:rsidR="00333234" w:rsidRPr="0002083E" w:rsidRDefault="00333234" w:rsidP="003E68BC">
      <w:pPr>
        <w:pStyle w:val="Textpoznpodarou"/>
        <w:jc w:val="both"/>
      </w:pPr>
      <w:r w:rsidRPr="0002083E">
        <w:rPr>
          <w:sz w:val="16"/>
          <w:szCs w:val="16"/>
          <w:vertAlign w:val="superscript"/>
        </w:rPr>
        <w:footnoteRef/>
      </w:r>
      <w:r w:rsidRPr="0002083E">
        <w:rPr>
          <w:sz w:val="16"/>
          <w:szCs w:val="16"/>
        </w:rPr>
        <w:t xml:space="preserve"> Struktura spotřebního koše jednotlivých typů domácností odpovídá vahám roku 2012.</w:t>
      </w:r>
    </w:p>
  </w:footnote>
  <w:footnote w:id="9">
    <w:p w:rsidR="00333234" w:rsidRDefault="00333234" w:rsidP="003A2708">
      <w:pPr>
        <w:pStyle w:val="Textpoznpodarou"/>
        <w:jc w:val="both"/>
      </w:pPr>
      <w:r>
        <w:rPr>
          <w:rStyle w:val="Znakapoznpodarou"/>
        </w:rPr>
        <w:footnoteRef/>
      </w:r>
      <w:r>
        <w:t xml:space="preserve"> </w:t>
      </w:r>
      <w:r w:rsidRPr="00D6524A">
        <w:rPr>
          <w:sz w:val="16"/>
          <w:szCs w:val="16"/>
        </w:rPr>
        <w:t>V logice věci jsou zcela centr</w:t>
      </w:r>
      <w:r>
        <w:rPr>
          <w:sz w:val="16"/>
          <w:szCs w:val="16"/>
        </w:rPr>
        <w:t>alizované, tj. se stoprocentním</w:t>
      </w:r>
      <w:r w:rsidRPr="00D6524A">
        <w:rPr>
          <w:sz w:val="16"/>
          <w:szCs w:val="16"/>
        </w:rPr>
        <w:t xml:space="preserve"> podílem ústřední vlády na výdajích celého vládního sektoru</w:t>
      </w:r>
      <w:r>
        <w:rPr>
          <w:sz w:val="16"/>
          <w:szCs w:val="16"/>
        </w:rPr>
        <w:t>,</w:t>
      </w:r>
      <w:r w:rsidRPr="00D6524A">
        <w:rPr>
          <w:sz w:val="16"/>
          <w:szCs w:val="16"/>
        </w:rPr>
        <w:t xml:space="preserve"> tyto položky struktury COFOG: </w:t>
      </w:r>
      <w:r>
        <w:rPr>
          <w:sz w:val="16"/>
          <w:szCs w:val="16"/>
        </w:rPr>
        <w:t>V</w:t>
      </w:r>
      <w:r w:rsidRPr="00D6524A">
        <w:rPr>
          <w:sz w:val="16"/>
          <w:szCs w:val="16"/>
        </w:rPr>
        <w:t xml:space="preserve">ojenská </w:t>
      </w:r>
      <w:r>
        <w:rPr>
          <w:sz w:val="16"/>
          <w:szCs w:val="16"/>
        </w:rPr>
        <w:t>obrana, V</w:t>
      </w:r>
      <w:r w:rsidRPr="00D6524A">
        <w:rPr>
          <w:sz w:val="16"/>
          <w:szCs w:val="16"/>
        </w:rPr>
        <w:t xml:space="preserve">ojenská zahraniční </w:t>
      </w:r>
      <w:r>
        <w:rPr>
          <w:sz w:val="16"/>
          <w:szCs w:val="16"/>
        </w:rPr>
        <w:t>pomoc, Z</w:t>
      </w:r>
      <w:r w:rsidRPr="00D6524A">
        <w:rPr>
          <w:sz w:val="16"/>
          <w:szCs w:val="16"/>
        </w:rPr>
        <w:t xml:space="preserve">ahraniční ekonomická pomoc, </w:t>
      </w:r>
      <w:r>
        <w:rPr>
          <w:sz w:val="16"/>
          <w:szCs w:val="16"/>
        </w:rPr>
        <w:t>S</w:t>
      </w:r>
      <w:r w:rsidRPr="00D6524A">
        <w:rPr>
          <w:sz w:val="16"/>
          <w:szCs w:val="16"/>
        </w:rPr>
        <w:t xml:space="preserve">oudy a státní zastupitelství, </w:t>
      </w:r>
      <w:r>
        <w:rPr>
          <w:sz w:val="16"/>
          <w:szCs w:val="16"/>
        </w:rPr>
        <w:t>V</w:t>
      </w:r>
      <w:r w:rsidRPr="00D6524A">
        <w:rPr>
          <w:sz w:val="16"/>
          <w:szCs w:val="16"/>
        </w:rPr>
        <w:t xml:space="preserve">ězeňská správa a vězeňský provoz, </w:t>
      </w:r>
      <w:r>
        <w:rPr>
          <w:sz w:val="16"/>
          <w:szCs w:val="16"/>
        </w:rPr>
        <w:t>E</w:t>
      </w:r>
      <w:r w:rsidRPr="00D6524A">
        <w:rPr>
          <w:sz w:val="16"/>
          <w:szCs w:val="16"/>
        </w:rPr>
        <w:t>konomická záležitosti,</w:t>
      </w:r>
      <w:r>
        <w:rPr>
          <w:sz w:val="16"/>
          <w:szCs w:val="16"/>
        </w:rPr>
        <w:t xml:space="preserve"> B</w:t>
      </w:r>
      <w:r w:rsidRPr="00D6524A">
        <w:rPr>
          <w:sz w:val="16"/>
          <w:szCs w:val="16"/>
        </w:rPr>
        <w:t xml:space="preserve">adatelský výzkum, </w:t>
      </w:r>
      <w:r>
        <w:rPr>
          <w:sz w:val="16"/>
          <w:szCs w:val="16"/>
        </w:rPr>
        <w:t>C</w:t>
      </w:r>
      <w:r w:rsidRPr="00D6524A">
        <w:rPr>
          <w:sz w:val="16"/>
          <w:szCs w:val="16"/>
        </w:rPr>
        <w:t>í</w:t>
      </w:r>
      <w:r>
        <w:rPr>
          <w:sz w:val="16"/>
          <w:szCs w:val="16"/>
        </w:rPr>
        <w:t>l</w:t>
      </w:r>
      <w:r w:rsidRPr="00D6524A">
        <w:rPr>
          <w:sz w:val="16"/>
          <w:szCs w:val="16"/>
        </w:rPr>
        <w:t>ený výzkum a vývoj v ekonomické oblasti, v oblasti všeobecných veřejných služeb, v oblasti veřejného pořádku, životního prostředí, zdravotnictví vzdělání a sociálních věcí</w:t>
      </w:r>
      <w:r>
        <w:rPr>
          <w:sz w:val="16"/>
          <w:szCs w:val="16"/>
        </w:rPr>
        <w:t xml:space="preserve">, Vzdělání </w:t>
      </w:r>
      <w:proofErr w:type="spellStart"/>
      <w:proofErr w:type="gramStart"/>
      <w:r>
        <w:rPr>
          <w:sz w:val="16"/>
          <w:szCs w:val="16"/>
        </w:rPr>
        <w:t>j.n</w:t>
      </w:r>
      <w:proofErr w:type="spellEnd"/>
      <w:r>
        <w:rPr>
          <w:sz w:val="16"/>
          <w:szCs w:val="16"/>
        </w:rPr>
        <w:t>.</w:t>
      </w:r>
      <w:proofErr w:type="gramEnd"/>
      <w:r>
        <w:rPr>
          <w:sz w:val="16"/>
          <w:szCs w:val="16"/>
        </w:rPr>
        <w:t xml:space="preserve"> a Veřejný pořádek a bezpečnost </w:t>
      </w:r>
      <w:proofErr w:type="spellStart"/>
      <w:r>
        <w:rPr>
          <w:sz w:val="16"/>
          <w:szCs w:val="16"/>
        </w:rPr>
        <w:t>j.n</w:t>
      </w:r>
      <w:proofErr w:type="spellEnd"/>
      <w:r>
        <w:rPr>
          <w:sz w:val="16"/>
          <w:szCs w:val="16"/>
        </w:rPr>
        <w:t>.</w:t>
      </w:r>
    </w:p>
  </w:footnote>
  <w:footnote w:id="10">
    <w:p w:rsidR="00333234" w:rsidRDefault="00333234" w:rsidP="00786DA5">
      <w:pPr>
        <w:pStyle w:val="Textpoznpodarou"/>
        <w:jc w:val="both"/>
        <w:rPr>
          <w:sz w:val="16"/>
          <w:szCs w:val="16"/>
        </w:rPr>
      </w:pPr>
      <w:r>
        <w:rPr>
          <w:rStyle w:val="Znakapoznpodarou"/>
        </w:rPr>
        <w:footnoteRef/>
      </w:r>
      <w:r>
        <w:t xml:space="preserve"> </w:t>
      </w:r>
      <w:r w:rsidRPr="00786DA5">
        <w:rPr>
          <w:sz w:val="16"/>
          <w:szCs w:val="16"/>
        </w:rPr>
        <w:t xml:space="preserve">Více viz </w:t>
      </w:r>
      <w:proofErr w:type="spellStart"/>
      <w:r w:rsidRPr="00786DA5">
        <w:rPr>
          <w:sz w:val="16"/>
          <w:szCs w:val="16"/>
        </w:rPr>
        <w:t>Rybáček</w:t>
      </w:r>
      <w:proofErr w:type="spellEnd"/>
      <w:r w:rsidRPr="00786DA5">
        <w:rPr>
          <w:sz w:val="16"/>
          <w:szCs w:val="16"/>
        </w:rPr>
        <w:t>, V.: Proč dluh klesá i při deficitech. Článek</w:t>
      </w:r>
      <w:r>
        <w:rPr>
          <w:sz w:val="16"/>
          <w:szCs w:val="16"/>
        </w:rPr>
        <w:t xml:space="preserve"> </w:t>
      </w:r>
      <w:r w:rsidRPr="00786DA5">
        <w:rPr>
          <w:sz w:val="16"/>
          <w:szCs w:val="16"/>
        </w:rPr>
        <w:t>v čas</w:t>
      </w:r>
      <w:r>
        <w:rPr>
          <w:sz w:val="16"/>
          <w:szCs w:val="16"/>
        </w:rPr>
        <w:t>opise Statistika a my. Ročník</w:t>
      </w:r>
      <w:r w:rsidRPr="00786DA5">
        <w:rPr>
          <w:sz w:val="16"/>
          <w:szCs w:val="16"/>
        </w:rPr>
        <w:t xml:space="preserve"> 5 – 05/2015, str. 23.</w:t>
      </w:r>
      <w:r>
        <w:rPr>
          <w:sz w:val="16"/>
          <w:szCs w:val="16"/>
        </w:rPr>
        <w:t xml:space="preserve"> </w:t>
      </w:r>
      <w:hyperlink r:id="rId1" w:history="1">
        <w:r w:rsidRPr="005202E0">
          <w:rPr>
            <w:rStyle w:val="Hypertextovodkaz"/>
            <w:sz w:val="16"/>
            <w:szCs w:val="16"/>
          </w:rPr>
          <w:t>http://www.statistikaamy.cz/2015/05/proc-dluh-klesa-i-pri-deficitech/</w:t>
        </w:r>
      </w:hyperlink>
    </w:p>
    <w:p w:rsidR="00333234" w:rsidRDefault="00333234" w:rsidP="00786DA5">
      <w:pPr>
        <w:pStyle w:val="Textpoznpodarou"/>
        <w:jc w:val="both"/>
      </w:pPr>
    </w:p>
  </w:footnote>
  <w:footnote w:id="11">
    <w:p w:rsidR="00333234" w:rsidRDefault="00333234">
      <w:pPr>
        <w:pStyle w:val="Textpoznpodarou"/>
      </w:pPr>
      <w:r>
        <w:rPr>
          <w:rStyle w:val="Znakapoznpodarou"/>
        </w:rPr>
        <w:footnoteRef/>
      </w:r>
      <w:r>
        <w:t xml:space="preserve"> </w:t>
      </w:r>
      <w:r w:rsidRPr="00CC4DDF">
        <w:rPr>
          <w:sz w:val="16"/>
          <w:szCs w:val="16"/>
        </w:rPr>
        <w:t>Sektor finančních institucí je z daného pohledu ve specifickém postavení, neboť je především poskytovatelem úvěrů.</w:t>
      </w:r>
    </w:p>
  </w:footnote>
  <w:footnote w:id="12">
    <w:p w:rsidR="00333234" w:rsidRDefault="00333234" w:rsidP="00F06769">
      <w:pPr>
        <w:pStyle w:val="Textpoznpodarou"/>
      </w:pPr>
      <w:r>
        <w:rPr>
          <w:rStyle w:val="Znakapoznpodarou"/>
        </w:rPr>
        <w:footnoteRef/>
      </w:r>
      <w:r>
        <w:t xml:space="preserve"> </w:t>
      </w:r>
      <w:r w:rsidRPr="00234111">
        <w:rPr>
          <w:sz w:val="16"/>
          <w:szCs w:val="16"/>
        </w:rPr>
        <w:t xml:space="preserve">Pokud není uvedeno jinak, vycházejí data v této </w:t>
      </w:r>
      <w:proofErr w:type="spellStart"/>
      <w:r w:rsidRPr="00234111">
        <w:rPr>
          <w:sz w:val="16"/>
          <w:szCs w:val="16"/>
        </w:rPr>
        <w:t>subkapitole</w:t>
      </w:r>
      <w:proofErr w:type="spellEnd"/>
      <w:r w:rsidRPr="00234111">
        <w:rPr>
          <w:sz w:val="16"/>
          <w:szCs w:val="16"/>
        </w:rPr>
        <w:t xml:space="preserve"> z metodiky šestého Manuálu platební bilance BPM6</w:t>
      </w:r>
      <w:r>
        <w:rPr>
          <w:sz w:val="16"/>
          <w:szCs w:val="16"/>
        </w:rPr>
        <w:t>.</w:t>
      </w:r>
    </w:p>
  </w:footnote>
  <w:footnote w:id="13">
    <w:p w:rsidR="00333234" w:rsidRDefault="00333234" w:rsidP="00AC5926">
      <w:pPr>
        <w:pStyle w:val="Textpoznpodarou"/>
      </w:pPr>
      <w:r>
        <w:rPr>
          <w:rStyle w:val="Znakapoznpodarou"/>
        </w:rPr>
        <w:footnoteRef/>
      </w:r>
      <w:r>
        <w:t xml:space="preserve"> </w:t>
      </w:r>
      <w:r w:rsidRPr="005D6CFC">
        <w:rPr>
          <w:sz w:val="16"/>
          <w:szCs w:val="16"/>
        </w:rPr>
        <w:t>Bilance zboží podle CZ-CPA v národním pojetí.</w:t>
      </w:r>
      <w:r>
        <w:rPr>
          <w:sz w:val="16"/>
          <w:szCs w:val="16"/>
        </w:rPr>
        <w:t xml:space="preserve"> Vývoz v cenách FOB, dovoz v cenách CIF.</w:t>
      </w:r>
    </w:p>
  </w:footnote>
  <w:footnote w:id="14">
    <w:p w:rsidR="00333234" w:rsidRPr="00657665" w:rsidRDefault="00333234" w:rsidP="008F371B">
      <w:pPr>
        <w:pStyle w:val="Textpoznpodarou"/>
        <w:rPr>
          <w:sz w:val="16"/>
          <w:szCs w:val="16"/>
        </w:rPr>
      </w:pPr>
      <w:r>
        <w:rPr>
          <w:rStyle w:val="Znakapoznpodarou"/>
        </w:rPr>
        <w:footnoteRef/>
      </w:r>
      <w:r>
        <w:t xml:space="preserve"> </w:t>
      </w:r>
      <w:r w:rsidRPr="00657665">
        <w:rPr>
          <w:sz w:val="16"/>
          <w:szCs w:val="16"/>
        </w:rPr>
        <w:t>Obsahem důchodů z vlastnictví jsou úroky (výnosové či nákladové), rozdělované důchody společností (kam patří právě dividendy a také čerpání z důchodů kvazi společností), ostatní důchody z investic (týkající se pojištěnců, penzijních nároků anebo podílníků fondů kolektivního investování</w:t>
      </w:r>
      <w:r>
        <w:rPr>
          <w:sz w:val="16"/>
          <w:szCs w:val="16"/>
        </w:rPr>
        <w:t xml:space="preserve">) </w:t>
      </w:r>
      <w:r w:rsidRPr="00657665">
        <w:rPr>
          <w:sz w:val="16"/>
          <w:szCs w:val="16"/>
        </w:rPr>
        <w:t xml:space="preserve">a renta. </w:t>
      </w:r>
    </w:p>
  </w:footnote>
  <w:footnote w:id="15">
    <w:p w:rsidR="00333234" w:rsidRDefault="00333234" w:rsidP="008F371B">
      <w:pPr>
        <w:pStyle w:val="Textpoznpodarou"/>
      </w:pPr>
      <w:r>
        <w:rPr>
          <w:rStyle w:val="Znakapoznpodarou"/>
        </w:rPr>
        <w:footnoteRef/>
      </w:r>
      <w:r>
        <w:t xml:space="preserve"> </w:t>
      </w:r>
      <w:r w:rsidRPr="00F11EF5">
        <w:rPr>
          <w:sz w:val="16"/>
          <w:szCs w:val="16"/>
        </w:rPr>
        <w:t>Podle struktury přímých zahraničních investic z platební bilance.</w:t>
      </w:r>
    </w:p>
  </w:footnote>
  <w:footnote w:id="16">
    <w:p w:rsidR="00333234" w:rsidRDefault="00333234" w:rsidP="00A25E57">
      <w:pPr>
        <w:pStyle w:val="Textpoznpodarou"/>
        <w:jc w:val="both"/>
      </w:pPr>
      <w:r>
        <w:rPr>
          <w:rStyle w:val="Znakapoznpodarou"/>
        </w:rPr>
        <w:footnoteRef/>
      </w:r>
      <w:r>
        <w:t xml:space="preserve"> </w:t>
      </w:r>
      <w:r w:rsidRPr="009D7385">
        <w:rPr>
          <w:sz w:val="16"/>
          <w:szCs w:val="16"/>
        </w:rPr>
        <w:t>Časové řady národních účtů zachycují vývoj v celé struktuře hrubého disponibilního důchodu domácností počínaje rokem 1999.</w:t>
      </w:r>
    </w:p>
  </w:footnote>
  <w:footnote w:id="17">
    <w:p w:rsidR="00333234" w:rsidRPr="000441DE" w:rsidRDefault="00333234" w:rsidP="00A25E57">
      <w:pPr>
        <w:pStyle w:val="Textpoznpodarou"/>
        <w:rPr>
          <w:sz w:val="16"/>
          <w:szCs w:val="16"/>
        </w:rPr>
      </w:pPr>
      <w:r w:rsidRPr="000441DE">
        <w:rPr>
          <w:rStyle w:val="Znakapoznpodarou"/>
        </w:rPr>
        <w:footnoteRef/>
      </w:r>
      <w:r w:rsidRPr="000441DE">
        <w:t xml:space="preserve"> </w:t>
      </w:r>
      <w:r w:rsidRPr="000441DE">
        <w:rPr>
          <w:sz w:val="16"/>
          <w:szCs w:val="16"/>
        </w:rPr>
        <w:t>Údaje zahrnují i sociální příspěvky placené zaměstnavateli.</w:t>
      </w:r>
    </w:p>
  </w:footnote>
  <w:footnote w:id="18">
    <w:p w:rsidR="00333234" w:rsidRPr="00F07939" w:rsidRDefault="00333234" w:rsidP="00A25E57">
      <w:pPr>
        <w:pStyle w:val="Textpoznpodarou"/>
        <w:jc w:val="both"/>
        <w:rPr>
          <w:sz w:val="16"/>
          <w:szCs w:val="16"/>
        </w:rPr>
      </w:pPr>
      <w:r w:rsidRPr="000441DE">
        <w:rPr>
          <w:rStyle w:val="Znakapoznpodarou"/>
        </w:rPr>
        <w:footnoteRef/>
      </w:r>
      <w:r w:rsidRPr="00F07939">
        <w:rPr>
          <w:sz w:val="16"/>
          <w:szCs w:val="16"/>
        </w:rPr>
        <w:t xml:space="preserve"> Jde o celoevropské šetření podle metodiky </w:t>
      </w:r>
      <w:proofErr w:type="spellStart"/>
      <w:r w:rsidRPr="00F07939">
        <w:rPr>
          <w:sz w:val="16"/>
          <w:szCs w:val="16"/>
        </w:rPr>
        <w:t>Eurostatu</w:t>
      </w:r>
      <w:proofErr w:type="spellEnd"/>
      <w:r w:rsidRPr="00F07939">
        <w:rPr>
          <w:sz w:val="16"/>
          <w:szCs w:val="16"/>
        </w:rPr>
        <w:t xml:space="preserve"> </w:t>
      </w:r>
      <w:proofErr w:type="spellStart"/>
      <w:r w:rsidRPr="00F07939">
        <w:rPr>
          <w:sz w:val="16"/>
          <w:szCs w:val="16"/>
        </w:rPr>
        <w:t>Survey</w:t>
      </w:r>
      <w:proofErr w:type="spellEnd"/>
      <w:r w:rsidRPr="00F07939">
        <w:rPr>
          <w:sz w:val="16"/>
          <w:szCs w:val="16"/>
        </w:rPr>
        <w:t xml:space="preserve"> on </w:t>
      </w:r>
      <w:proofErr w:type="spellStart"/>
      <w:r w:rsidRPr="00F07939">
        <w:rPr>
          <w:sz w:val="16"/>
          <w:szCs w:val="16"/>
        </w:rPr>
        <w:t>Income</w:t>
      </w:r>
      <w:proofErr w:type="spellEnd"/>
      <w:r w:rsidRPr="00F07939">
        <w:rPr>
          <w:sz w:val="16"/>
          <w:szCs w:val="16"/>
        </w:rPr>
        <w:t xml:space="preserve"> </w:t>
      </w:r>
      <w:proofErr w:type="spellStart"/>
      <w:r w:rsidRPr="00F07939">
        <w:rPr>
          <w:sz w:val="16"/>
          <w:szCs w:val="16"/>
        </w:rPr>
        <w:t>and</w:t>
      </w:r>
      <w:proofErr w:type="spellEnd"/>
      <w:r w:rsidRPr="00F07939">
        <w:rPr>
          <w:sz w:val="16"/>
          <w:szCs w:val="16"/>
        </w:rPr>
        <w:t xml:space="preserve"> </w:t>
      </w:r>
      <w:proofErr w:type="spellStart"/>
      <w:r w:rsidRPr="00F07939">
        <w:rPr>
          <w:sz w:val="16"/>
          <w:szCs w:val="16"/>
        </w:rPr>
        <w:t>Living</w:t>
      </w:r>
      <w:proofErr w:type="spellEnd"/>
      <w:r w:rsidRPr="00F07939">
        <w:rPr>
          <w:sz w:val="16"/>
          <w:szCs w:val="16"/>
        </w:rPr>
        <w:t xml:space="preserve"> </w:t>
      </w:r>
      <w:proofErr w:type="spellStart"/>
      <w:r w:rsidRPr="00F07939">
        <w:rPr>
          <w:sz w:val="16"/>
          <w:szCs w:val="16"/>
        </w:rPr>
        <w:t>Conditions</w:t>
      </w:r>
      <w:proofErr w:type="spellEnd"/>
      <w:r w:rsidRPr="00F07939">
        <w:rPr>
          <w:sz w:val="16"/>
          <w:szCs w:val="16"/>
        </w:rPr>
        <w:t xml:space="preserve"> (SILC) zjišťující na základě odpovědí respondentů situaci v riziku ohroženosti příjmovou chudobou a v materiální deprivaci</w:t>
      </w:r>
    </w:p>
  </w:footnote>
  <w:footnote w:id="19">
    <w:p w:rsidR="00333234" w:rsidRDefault="00333234" w:rsidP="00A25E57">
      <w:pPr>
        <w:pStyle w:val="Textpoznpodarou"/>
        <w:jc w:val="both"/>
      </w:pPr>
      <w:r w:rsidRPr="000441DE">
        <w:rPr>
          <w:rStyle w:val="Znakapoznpodarou"/>
        </w:rPr>
        <w:footnoteRef/>
      </w:r>
      <w:r w:rsidRPr="00F07939">
        <w:rPr>
          <w:sz w:val="16"/>
          <w:szCs w:val="16"/>
        </w:rPr>
        <w:t xml:space="preserve"> V dalším textu bude pojem „domácnosti s nejnižšími příjmy“ používán pro dolní decil rozdělení, tj. desetinu domácností s nejnižšími příjmy, pojem „domácnosti s nejvyššími příjmy“ pak pro horní decil, tj. desetinu domácností s nejvyššími příjmy. Alternativně jsou použity i pojmy „</w:t>
      </w:r>
      <w:proofErr w:type="spellStart"/>
      <w:r w:rsidRPr="00F07939">
        <w:rPr>
          <w:sz w:val="16"/>
          <w:szCs w:val="16"/>
        </w:rPr>
        <w:t>nízkopříjmoví</w:t>
      </w:r>
      <w:proofErr w:type="spellEnd"/>
      <w:r w:rsidRPr="00F07939">
        <w:rPr>
          <w:sz w:val="16"/>
          <w:szCs w:val="16"/>
        </w:rPr>
        <w:t xml:space="preserve">“ či </w:t>
      </w:r>
      <w:proofErr w:type="spellStart"/>
      <w:r w:rsidRPr="00F07939">
        <w:rPr>
          <w:sz w:val="16"/>
          <w:szCs w:val="16"/>
        </w:rPr>
        <w:t>vysokopříjmoví</w:t>
      </w:r>
      <w:proofErr w:type="spellEnd"/>
      <w:r w:rsidRPr="00F07939">
        <w:rPr>
          <w:sz w:val="16"/>
          <w:szCs w:val="16"/>
        </w:rPr>
        <w:t>“.</w:t>
      </w:r>
    </w:p>
  </w:footnote>
  <w:footnote w:id="20">
    <w:p w:rsidR="00333234" w:rsidRPr="00FD1FB0" w:rsidRDefault="00333234" w:rsidP="00A25E57">
      <w:pPr>
        <w:pStyle w:val="Textpoznpodarou"/>
      </w:pPr>
      <w:r>
        <w:rPr>
          <w:rStyle w:val="Znakapoznpodarou"/>
        </w:rPr>
        <w:footnoteRef/>
      </w:r>
      <w:r>
        <w:t xml:space="preserve"> </w:t>
      </w:r>
      <w:r w:rsidRPr="00FD1FB0">
        <w:rPr>
          <w:sz w:val="16"/>
          <w:szCs w:val="16"/>
        </w:rPr>
        <w:t xml:space="preserve">Proporce jsou uvedeny podle dat SILC, tj. vzorku náhodného výběru. Odpovědi respondentů z rodinných účtů </w:t>
      </w:r>
      <w:r>
        <w:rPr>
          <w:sz w:val="16"/>
          <w:szCs w:val="16"/>
        </w:rPr>
        <w:t xml:space="preserve">(kvótní výběr) </w:t>
      </w:r>
      <w:r w:rsidRPr="00FD1FB0">
        <w:rPr>
          <w:sz w:val="16"/>
          <w:szCs w:val="16"/>
        </w:rPr>
        <w:t>uvádějí však např. vyšší podíl ostatních příjmů ve struktuře jejich hrubých peněžních příjmů.</w:t>
      </w:r>
      <w:r>
        <w:t xml:space="preserve"> </w:t>
      </w:r>
    </w:p>
  </w:footnote>
  <w:footnote w:id="21">
    <w:p w:rsidR="00333234" w:rsidRPr="00544EBB" w:rsidRDefault="00333234">
      <w:pPr>
        <w:pStyle w:val="Textpoznpodarou"/>
        <w:rPr>
          <w:sz w:val="16"/>
          <w:szCs w:val="16"/>
        </w:rPr>
      </w:pPr>
      <w:r>
        <w:rPr>
          <w:rStyle w:val="Znakapoznpodarou"/>
        </w:rPr>
        <w:footnoteRef/>
      </w:r>
      <w:r>
        <w:t xml:space="preserve"> </w:t>
      </w:r>
      <w:r w:rsidRPr="00544EBB">
        <w:rPr>
          <w:sz w:val="16"/>
          <w:szCs w:val="16"/>
        </w:rPr>
        <w:t xml:space="preserve">Jde o životní minimum v pojetí </w:t>
      </w:r>
      <w:r>
        <w:rPr>
          <w:sz w:val="16"/>
          <w:szCs w:val="16"/>
        </w:rPr>
        <w:t>SILC, nikoli</w:t>
      </w:r>
      <w:r w:rsidRPr="00544EBB">
        <w:rPr>
          <w:sz w:val="16"/>
          <w:szCs w:val="16"/>
        </w:rPr>
        <w:t xml:space="preserve"> o „klasickou“ kategorii životního minima, ukazatele produkovaného MPSV.</w:t>
      </w:r>
    </w:p>
  </w:footnote>
  <w:footnote w:id="22">
    <w:p w:rsidR="00333234" w:rsidRPr="00BC4CE0" w:rsidRDefault="00333234" w:rsidP="00A25E57">
      <w:pPr>
        <w:pStyle w:val="Textpoznpodarou"/>
        <w:jc w:val="both"/>
        <w:rPr>
          <w:sz w:val="16"/>
          <w:szCs w:val="16"/>
        </w:rPr>
      </w:pPr>
      <w:r w:rsidRPr="00AD460D">
        <w:rPr>
          <w:rStyle w:val="Znakapoznpodarou"/>
        </w:rPr>
        <w:footnoteRef/>
      </w:r>
      <w:r w:rsidRPr="00AD460D">
        <w:t xml:space="preserve"> </w:t>
      </w:r>
      <w:r w:rsidRPr="00BC4CE0">
        <w:rPr>
          <w:sz w:val="16"/>
          <w:szCs w:val="16"/>
        </w:rPr>
        <w:t xml:space="preserve">Decilové rozdělení ukazuje nejvyšší sociální příjmy, především důchody, v decilu 4 až 7 (nikoli tedy v decilech s nejnižšími příjmy). Příčinou je propočet průměrů na osobu. </w:t>
      </w:r>
    </w:p>
  </w:footnote>
  <w:footnote w:id="23">
    <w:p w:rsidR="00333234" w:rsidRPr="007F61B3" w:rsidRDefault="00333234" w:rsidP="00A25E57">
      <w:pPr>
        <w:pStyle w:val="Textpoznpodarou"/>
        <w:rPr>
          <w:sz w:val="16"/>
          <w:szCs w:val="16"/>
        </w:rPr>
      </w:pPr>
      <w:r>
        <w:rPr>
          <w:rStyle w:val="Znakapoznpodarou"/>
        </w:rPr>
        <w:footnoteRef/>
      </w:r>
      <w:r>
        <w:t xml:space="preserve"> </w:t>
      </w:r>
      <w:r w:rsidRPr="007F61B3">
        <w:rPr>
          <w:sz w:val="16"/>
          <w:szCs w:val="16"/>
        </w:rPr>
        <w:t xml:space="preserve">Na rozdíl od údajů SILC, kde šetření daného roku pracuje ve výsledcích obecně s příjmy a vydáními předchozího roku, jsou údaje o peněžních vydáních z rodinných účtů k dispozici již v daném roce, </w:t>
      </w:r>
      <w:r>
        <w:rPr>
          <w:sz w:val="16"/>
          <w:szCs w:val="16"/>
        </w:rPr>
        <w:t xml:space="preserve">v </w:t>
      </w:r>
      <w:r w:rsidRPr="007F61B3">
        <w:rPr>
          <w:sz w:val="16"/>
          <w:szCs w:val="16"/>
        </w:rPr>
        <w:t xml:space="preserve">této analýze tedy za rok 2014.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234" w:rsidRPr="00F5435A" w:rsidRDefault="00333234" w:rsidP="00F5435A">
    <w:pPr>
      <w:pStyle w:val="Zhlav"/>
      <w:tabs>
        <w:tab w:val="clear" w:pos="4536"/>
        <w:tab w:val="clear" w:pos="9072"/>
        <w:tab w:val="left" w:pos="-6379"/>
        <w:tab w:val="center" w:pos="4820"/>
        <w:tab w:val="right" w:pos="9639"/>
      </w:tabs>
      <w:rPr>
        <w:szCs w:val="16"/>
      </w:rPr>
    </w:pPr>
    <w:r>
      <w:rPr>
        <w:rFonts w:ascii="Arial" w:hAnsi="Arial" w:cs="Arial"/>
        <w:sz w:val="16"/>
        <w:szCs w:val="16"/>
      </w:rPr>
      <w:t>Tendence a faktory makroekonomického vývoje a kvality života v České republice v roce 2014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234" w:rsidRPr="00DC5B3B" w:rsidRDefault="00333234" w:rsidP="002C6091">
    <w:pPr>
      <w:pStyle w:val="Zhlav"/>
      <w:tabs>
        <w:tab w:val="clear" w:pos="4536"/>
        <w:tab w:val="clear" w:pos="9072"/>
        <w:tab w:val="left" w:pos="-6379"/>
        <w:tab w:val="center" w:pos="4820"/>
        <w:tab w:val="right" w:pos="9639"/>
      </w:tabs>
      <w:rPr>
        <w:rFonts w:ascii="Arial" w:hAnsi="Arial" w:cs="Arial"/>
        <w:sz w:val="16"/>
        <w:szCs w:val="16"/>
      </w:rPr>
    </w:pPr>
    <w:r>
      <w:rPr>
        <w:rFonts w:ascii="Arial" w:hAnsi="Arial" w:cs="Arial"/>
        <w:sz w:val="16"/>
        <w:szCs w:val="16"/>
      </w:rPr>
      <w:t>Tendence makroekonomického vývoje a kvality života v České republice v roce 2014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234" w:rsidRPr="00F5435A" w:rsidRDefault="00333234" w:rsidP="00F5435A">
    <w:pPr>
      <w:pStyle w:val="Zhlav"/>
      <w:tabs>
        <w:tab w:val="clear" w:pos="4536"/>
        <w:tab w:val="clear" w:pos="9072"/>
        <w:tab w:val="left" w:pos="-6379"/>
        <w:tab w:val="center" w:pos="4820"/>
        <w:tab w:val="right" w:pos="9639"/>
      </w:tabs>
      <w:rPr>
        <w:szCs w:val="16"/>
      </w:rPr>
    </w:pPr>
    <w:r>
      <w:rPr>
        <w:rFonts w:ascii="Arial" w:hAnsi="Arial" w:cs="Arial"/>
        <w:sz w:val="16"/>
        <w:szCs w:val="16"/>
      </w:rPr>
      <w:t>Tendence makroekonomického vývoje a kvality života v České republice v roce 2014</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234" w:rsidRPr="00F5435A" w:rsidRDefault="00333234" w:rsidP="00F5435A">
    <w:pPr>
      <w:pStyle w:val="Zhlav"/>
      <w:tabs>
        <w:tab w:val="clear" w:pos="4536"/>
        <w:tab w:val="clear" w:pos="9072"/>
        <w:tab w:val="left" w:pos="-6379"/>
        <w:tab w:val="center" w:pos="4820"/>
        <w:tab w:val="right" w:pos="9639"/>
      </w:tabs>
      <w:rPr>
        <w:szCs w:val="16"/>
      </w:rPr>
    </w:pPr>
    <w:r>
      <w:rPr>
        <w:rFonts w:ascii="Arial" w:hAnsi="Arial" w:cs="Arial"/>
        <w:sz w:val="16"/>
        <w:szCs w:val="16"/>
      </w:rPr>
      <w:t>Tendence makroekonomického vývoje a kvality života v České republice v roce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96BEF"/>
    <w:multiLevelType w:val="hybridMultilevel"/>
    <w:tmpl w:val="3B360A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19A62B8"/>
    <w:multiLevelType w:val="multilevel"/>
    <w:tmpl w:val="DBE68682"/>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1EA7172B"/>
    <w:multiLevelType w:val="multilevel"/>
    <w:tmpl w:val="DE863A6A"/>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20BB57F8"/>
    <w:multiLevelType w:val="multilevel"/>
    <w:tmpl w:val="2074470E"/>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696F0669"/>
    <w:multiLevelType w:val="hybridMultilevel"/>
    <w:tmpl w:val="6B980916"/>
    <w:lvl w:ilvl="0" w:tplc="0405000F">
      <w:start w:val="1"/>
      <w:numFmt w:val="decimal"/>
      <w:lvlText w:val="%1."/>
      <w:lvlJc w:val="left"/>
      <w:pPr>
        <w:ind w:left="36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
    <w:nsid w:val="742A32BF"/>
    <w:multiLevelType w:val="multilevel"/>
    <w:tmpl w:val="2C7C09CE"/>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7C550A0F"/>
    <w:multiLevelType w:val="hybridMultilevel"/>
    <w:tmpl w:val="A6E66A4C"/>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hint="default"/>
      </w:rPr>
    </w:lvl>
    <w:lvl w:ilvl="8" w:tplc="04050005" w:tentative="1">
      <w:start w:val="1"/>
      <w:numFmt w:val="bullet"/>
      <w:lvlText w:val=""/>
      <w:lvlJc w:val="left"/>
      <w:pPr>
        <w:ind w:left="6262" w:hanging="360"/>
      </w:pPr>
      <w:rPr>
        <w:rFonts w:ascii="Wingdings" w:hAnsi="Wingdings" w:hint="default"/>
      </w:rPr>
    </w:lvl>
  </w:abstractNum>
  <w:num w:numId="1">
    <w:abstractNumId w:val="4"/>
  </w:num>
  <w:num w:numId="2">
    <w:abstractNumId w:val="6"/>
  </w:num>
  <w:num w:numId="3">
    <w:abstractNumId w:val="1"/>
  </w:num>
  <w:num w:numId="4">
    <w:abstractNumId w:val="2"/>
  </w:num>
  <w:num w:numId="5">
    <w:abstractNumId w:val="5"/>
  </w:num>
  <w:num w:numId="6">
    <w:abstractNumId w:val="3"/>
  </w:num>
  <w:num w:numId="7">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1024"/>
  <w:doNotTrackMoves/>
  <w:defaultTabStop w:val="708"/>
  <w:hyphenationZone w:val="425"/>
  <w:evenAndOddHeaders/>
  <w:drawingGridHorizontalSpacing w:val="10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70BD"/>
    <w:rsid w:val="00000E94"/>
    <w:rsid w:val="00003687"/>
    <w:rsid w:val="00003A9E"/>
    <w:rsid w:val="00003C43"/>
    <w:rsid w:val="000047B7"/>
    <w:rsid w:val="00004BDD"/>
    <w:rsid w:val="00006CF8"/>
    <w:rsid w:val="00007498"/>
    <w:rsid w:val="0000767A"/>
    <w:rsid w:val="000104B9"/>
    <w:rsid w:val="00010702"/>
    <w:rsid w:val="0001159B"/>
    <w:rsid w:val="000118F0"/>
    <w:rsid w:val="00011ABE"/>
    <w:rsid w:val="00014DB4"/>
    <w:rsid w:val="0001573E"/>
    <w:rsid w:val="00017315"/>
    <w:rsid w:val="000173CC"/>
    <w:rsid w:val="000178A6"/>
    <w:rsid w:val="00017F05"/>
    <w:rsid w:val="0002016D"/>
    <w:rsid w:val="000202B9"/>
    <w:rsid w:val="000202C6"/>
    <w:rsid w:val="00020946"/>
    <w:rsid w:val="000217F1"/>
    <w:rsid w:val="0002366A"/>
    <w:rsid w:val="00023777"/>
    <w:rsid w:val="00024887"/>
    <w:rsid w:val="00024CBA"/>
    <w:rsid w:val="000264DE"/>
    <w:rsid w:val="00026998"/>
    <w:rsid w:val="0003066A"/>
    <w:rsid w:val="00032838"/>
    <w:rsid w:val="00032879"/>
    <w:rsid w:val="00032C12"/>
    <w:rsid w:val="00034B90"/>
    <w:rsid w:val="000353D4"/>
    <w:rsid w:val="00035FC6"/>
    <w:rsid w:val="00036889"/>
    <w:rsid w:val="00037667"/>
    <w:rsid w:val="000411E1"/>
    <w:rsid w:val="000441DE"/>
    <w:rsid w:val="00045541"/>
    <w:rsid w:val="000458C6"/>
    <w:rsid w:val="0004694F"/>
    <w:rsid w:val="0004735A"/>
    <w:rsid w:val="0005077D"/>
    <w:rsid w:val="00050C11"/>
    <w:rsid w:val="00052172"/>
    <w:rsid w:val="000548AB"/>
    <w:rsid w:val="00054B1C"/>
    <w:rsid w:val="00055059"/>
    <w:rsid w:val="000553E4"/>
    <w:rsid w:val="00060A26"/>
    <w:rsid w:val="00061443"/>
    <w:rsid w:val="00062EC5"/>
    <w:rsid w:val="00063BCF"/>
    <w:rsid w:val="00064256"/>
    <w:rsid w:val="00064D80"/>
    <w:rsid w:val="000666E0"/>
    <w:rsid w:val="000706A4"/>
    <w:rsid w:val="000708EE"/>
    <w:rsid w:val="00072118"/>
    <w:rsid w:val="000727C7"/>
    <w:rsid w:val="00072F46"/>
    <w:rsid w:val="00073039"/>
    <w:rsid w:val="00073173"/>
    <w:rsid w:val="0007406D"/>
    <w:rsid w:val="0007602A"/>
    <w:rsid w:val="00076196"/>
    <w:rsid w:val="00076B48"/>
    <w:rsid w:val="000774C1"/>
    <w:rsid w:val="000779AC"/>
    <w:rsid w:val="0008193E"/>
    <w:rsid w:val="000821A7"/>
    <w:rsid w:val="00083803"/>
    <w:rsid w:val="000848F4"/>
    <w:rsid w:val="0008716A"/>
    <w:rsid w:val="00087634"/>
    <w:rsid w:val="00090F47"/>
    <w:rsid w:val="00091237"/>
    <w:rsid w:val="000920EC"/>
    <w:rsid w:val="00092505"/>
    <w:rsid w:val="00095ACB"/>
    <w:rsid w:val="00096B97"/>
    <w:rsid w:val="000A0F46"/>
    <w:rsid w:val="000A1183"/>
    <w:rsid w:val="000A13D1"/>
    <w:rsid w:val="000A2121"/>
    <w:rsid w:val="000A3D94"/>
    <w:rsid w:val="000A4B3E"/>
    <w:rsid w:val="000B1398"/>
    <w:rsid w:val="000B1CFE"/>
    <w:rsid w:val="000B210A"/>
    <w:rsid w:val="000B249B"/>
    <w:rsid w:val="000B3DB9"/>
    <w:rsid w:val="000B3F02"/>
    <w:rsid w:val="000B48E7"/>
    <w:rsid w:val="000B7663"/>
    <w:rsid w:val="000C0E2B"/>
    <w:rsid w:val="000C11D3"/>
    <w:rsid w:val="000C12F5"/>
    <w:rsid w:val="000C152B"/>
    <w:rsid w:val="000C3408"/>
    <w:rsid w:val="000C776C"/>
    <w:rsid w:val="000D2E41"/>
    <w:rsid w:val="000D5E7A"/>
    <w:rsid w:val="000D5FAA"/>
    <w:rsid w:val="000D65A4"/>
    <w:rsid w:val="000D6946"/>
    <w:rsid w:val="000D6AEF"/>
    <w:rsid w:val="000E0F3D"/>
    <w:rsid w:val="000E19A8"/>
    <w:rsid w:val="000E2776"/>
    <w:rsid w:val="000E2A8A"/>
    <w:rsid w:val="000E51B0"/>
    <w:rsid w:val="000E78D2"/>
    <w:rsid w:val="000F0029"/>
    <w:rsid w:val="000F2D72"/>
    <w:rsid w:val="000F3332"/>
    <w:rsid w:val="000F33EE"/>
    <w:rsid w:val="000F401E"/>
    <w:rsid w:val="000F5445"/>
    <w:rsid w:val="000F5E7A"/>
    <w:rsid w:val="000F67B2"/>
    <w:rsid w:val="00100014"/>
    <w:rsid w:val="00102756"/>
    <w:rsid w:val="00102D79"/>
    <w:rsid w:val="00102F02"/>
    <w:rsid w:val="00103834"/>
    <w:rsid w:val="001041B6"/>
    <w:rsid w:val="001070EA"/>
    <w:rsid w:val="0011002A"/>
    <w:rsid w:val="0011110A"/>
    <w:rsid w:val="001118AF"/>
    <w:rsid w:val="0011256E"/>
    <w:rsid w:val="001157D5"/>
    <w:rsid w:val="00116DB9"/>
    <w:rsid w:val="00121167"/>
    <w:rsid w:val="001214CE"/>
    <w:rsid w:val="00121C39"/>
    <w:rsid w:val="00123255"/>
    <w:rsid w:val="001242CF"/>
    <w:rsid w:val="001247F5"/>
    <w:rsid w:val="00124D2D"/>
    <w:rsid w:val="00126F9E"/>
    <w:rsid w:val="001306B1"/>
    <w:rsid w:val="001307BE"/>
    <w:rsid w:val="00130C8F"/>
    <w:rsid w:val="001314F2"/>
    <w:rsid w:val="001317DA"/>
    <w:rsid w:val="00131B66"/>
    <w:rsid w:val="0013254D"/>
    <w:rsid w:val="00132665"/>
    <w:rsid w:val="00132CF6"/>
    <w:rsid w:val="00133A3B"/>
    <w:rsid w:val="00133AAC"/>
    <w:rsid w:val="00136561"/>
    <w:rsid w:val="00136CE4"/>
    <w:rsid w:val="001400E1"/>
    <w:rsid w:val="001405FA"/>
    <w:rsid w:val="001425C3"/>
    <w:rsid w:val="00142F16"/>
    <w:rsid w:val="00143B81"/>
    <w:rsid w:val="00143E03"/>
    <w:rsid w:val="00143E93"/>
    <w:rsid w:val="00150943"/>
    <w:rsid w:val="00151AC0"/>
    <w:rsid w:val="00152046"/>
    <w:rsid w:val="0015232F"/>
    <w:rsid w:val="00154059"/>
    <w:rsid w:val="00156318"/>
    <w:rsid w:val="0015639A"/>
    <w:rsid w:val="00157931"/>
    <w:rsid w:val="00157990"/>
    <w:rsid w:val="0016081D"/>
    <w:rsid w:val="00161312"/>
    <w:rsid w:val="00161EDA"/>
    <w:rsid w:val="001620D2"/>
    <w:rsid w:val="001620FA"/>
    <w:rsid w:val="00162853"/>
    <w:rsid w:val="00162EB2"/>
    <w:rsid w:val="00163793"/>
    <w:rsid w:val="0016545C"/>
    <w:rsid w:val="0016560B"/>
    <w:rsid w:val="00165A85"/>
    <w:rsid w:val="001707DE"/>
    <w:rsid w:val="00170B04"/>
    <w:rsid w:val="00170F47"/>
    <w:rsid w:val="001714F2"/>
    <w:rsid w:val="00171672"/>
    <w:rsid w:val="00171D29"/>
    <w:rsid w:val="00171D2A"/>
    <w:rsid w:val="00173485"/>
    <w:rsid w:val="00173642"/>
    <w:rsid w:val="00174CE8"/>
    <w:rsid w:val="00174FFB"/>
    <w:rsid w:val="001764D8"/>
    <w:rsid w:val="00176A8F"/>
    <w:rsid w:val="0017789F"/>
    <w:rsid w:val="001779F0"/>
    <w:rsid w:val="001804ED"/>
    <w:rsid w:val="00181338"/>
    <w:rsid w:val="00181893"/>
    <w:rsid w:val="0018225A"/>
    <w:rsid w:val="00182981"/>
    <w:rsid w:val="00184CF9"/>
    <w:rsid w:val="00185010"/>
    <w:rsid w:val="00186164"/>
    <w:rsid w:val="00186915"/>
    <w:rsid w:val="0018724F"/>
    <w:rsid w:val="001874CF"/>
    <w:rsid w:val="00187C76"/>
    <w:rsid w:val="00190D9B"/>
    <w:rsid w:val="00194331"/>
    <w:rsid w:val="0019492D"/>
    <w:rsid w:val="0019505A"/>
    <w:rsid w:val="00195444"/>
    <w:rsid w:val="001962A3"/>
    <w:rsid w:val="001971D0"/>
    <w:rsid w:val="0019731C"/>
    <w:rsid w:val="001A0075"/>
    <w:rsid w:val="001A250D"/>
    <w:rsid w:val="001A2BDB"/>
    <w:rsid w:val="001A2D19"/>
    <w:rsid w:val="001A443A"/>
    <w:rsid w:val="001A511C"/>
    <w:rsid w:val="001A552F"/>
    <w:rsid w:val="001A5DA4"/>
    <w:rsid w:val="001A7C15"/>
    <w:rsid w:val="001A7CD1"/>
    <w:rsid w:val="001B0AF0"/>
    <w:rsid w:val="001B1D89"/>
    <w:rsid w:val="001B2964"/>
    <w:rsid w:val="001B3110"/>
    <w:rsid w:val="001B44BC"/>
    <w:rsid w:val="001B4721"/>
    <w:rsid w:val="001B51F8"/>
    <w:rsid w:val="001B6545"/>
    <w:rsid w:val="001B666A"/>
    <w:rsid w:val="001B681B"/>
    <w:rsid w:val="001B74FB"/>
    <w:rsid w:val="001B77A1"/>
    <w:rsid w:val="001B7C99"/>
    <w:rsid w:val="001C0422"/>
    <w:rsid w:val="001C0E0E"/>
    <w:rsid w:val="001C1219"/>
    <w:rsid w:val="001C3178"/>
    <w:rsid w:val="001C357A"/>
    <w:rsid w:val="001C38BC"/>
    <w:rsid w:val="001C3A37"/>
    <w:rsid w:val="001C4384"/>
    <w:rsid w:val="001C573E"/>
    <w:rsid w:val="001C65FF"/>
    <w:rsid w:val="001C6B05"/>
    <w:rsid w:val="001C6E5E"/>
    <w:rsid w:val="001C70BF"/>
    <w:rsid w:val="001D234F"/>
    <w:rsid w:val="001D3651"/>
    <w:rsid w:val="001D47E5"/>
    <w:rsid w:val="001D5088"/>
    <w:rsid w:val="001D54E7"/>
    <w:rsid w:val="001D584C"/>
    <w:rsid w:val="001D66C1"/>
    <w:rsid w:val="001D77D5"/>
    <w:rsid w:val="001E03A3"/>
    <w:rsid w:val="001E0533"/>
    <w:rsid w:val="001E0BE1"/>
    <w:rsid w:val="001E0C65"/>
    <w:rsid w:val="001E23E3"/>
    <w:rsid w:val="001E33B9"/>
    <w:rsid w:val="001E387A"/>
    <w:rsid w:val="001E3DA4"/>
    <w:rsid w:val="001E48E5"/>
    <w:rsid w:val="001E4A25"/>
    <w:rsid w:val="001E561F"/>
    <w:rsid w:val="001E684C"/>
    <w:rsid w:val="001E701C"/>
    <w:rsid w:val="001E7C03"/>
    <w:rsid w:val="001F02AF"/>
    <w:rsid w:val="001F037F"/>
    <w:rsid w:val="001F0406"/>
    <w:rsid w:val="001F0EC9"/>
    <w:rsid w:val="001F274B"/>
    <w:rsid w:val="001F28F4"/>
    <w:rsid w:val="001F3C55"/>
    <w:rsid w:val="001F3C79"/>
    <w:rsid w:val="001F3E68"/>
    <w:rsid w:val="001F3E96"/>
    <w:rsid w:val="001F4597"/>
    <w:rsid w:val="001F55D7"/>
    <w:rsid w:val="001F7A31"/>
    <w:rsid w:val="00200D15"/>
    <w:rsid w:val="002029EF"/>
    <w:rsid w:val="00203074"/>
    <w:rsid w:val="00205103"/>
    <w:rsid w:val="00207730"/>
    <w:rsid w:val="00210400"/>
    <w:rsid w:val="00210CC2"/>
    <w:rsid w:val="00210F5B"/>
    <w:rsid w:val="00211036"/>
    <w:rsid w:val="00211262"/>
    <w:rsid w:val="002113A7"/>
    <w:rsid w:val="00211636"/>
    <w:rsid w:val="00211AC9"/>
    <w:rsid w:val="00212A98"/>
    <w:rsid w:val="0021355B"/>
    <w:rsid w:val="00214ED2"/>
    <w:rsid w:val="002155A9"/>
    <w:rsid w:val="002156B9"/>
    <w:rsid w:val="002200D8"/>
    <w:rsid w:val="002205F2"/>
    <w:rsid w:val="0022080E"/>
    <w:rsid w:val="0022139E"/>
    <w:rsid w:val="0022160A"/>
    <w:rsid w:val="0022272B"/>
    <w:rsid w:val="00222A99"/>
    <w:rsid w:val="00223667"/>
    <w:rsid w:val="00223678"/>
    <w:rsid w:val="00223E00"/>
    <w:rsid w:val="00223F33"/>
    <w:rsid w:val="00224911"/>
    <w:rsid w:val="002252E0"/>
    <w:rsid w:val="002255F6"/>
    <w:rsid w:val="00226466"/>
    <w:rsid w:val="00227993"/>
    <w:rsid w:val="0023229C"/>
    <w:rsid w:val="00232351"/>
    <w:rsid w:val="002329C3"/>
    <w:rsid w:val="00233472"/>
    <w:rsid w:val="00234111"/>
    <w:rsid w:val="00234280"/>
    <w:rsid w:val="002350E3"/>
    <w:rsid w:val="00235AFB"/>
    <w:rsid w:val="00236443"/>
    <w:rsid w:val="00237819"/>
    <w:rsid w:val="00240A5B"/>
    <w:rsid w:val="00241C02"/>
    <w:rsid w:val="00242569"/>
    <w:rsid w:val="0024261F"/>
    <w:rsid w:val="002436BA"/>
    <w:rsid w:val="00243E3B"/>
    <w:rsid w:val="002441B6"/>
    <w:rsid w:val="002444ED"/>
    <w:rsid w:val="00244A15"/>
    <w:rsid w:val="00244D40"/>
    <w:rsid w:val="0024620F"/>
    <w:rsid w:val="00246AE9"/>
    <w:rsid w:val="0024799E"/>
    <w:rsid w:val="0025186A"/>
    <w:rsid w:val="00251879"/>
    <w:rsid w:val="00251D59"/>
    <w:rsid w:val="00252FDC"/>
    <w:rsid w:val="00253719"/>
    <w:rsid w:val="002544F5"/>
    <w:rsid w:val="002547A6"/>
    <w:rsid w:val="0025540B"/>
    <w:rsid w:val="002555ED"/>
    <w:rsid w:val="002601FC"/>
    <w:rsid w:val="00260FA6"/>
    <w:rsid w:val="00261E29"/>
    <w:rsid w:val="00261E5B"/>
    <w:rsid w:val="00263470"/>
    <w:rsid w:val="00263733"/>
    <w:rsid w:val="002641A7"/>
    <w:rsid w:val="002650C1"/>
    <w:rsid w:val="00265536"/>
    <w:rsid w:val="00266591"/>
    <w:rsid w:val="00266F3E"/>
    <w:rsid w:val="0027227B"/>
    <w:rsid w:val="00272464"/>
    <w:rsid w:val="002727EA"/>
    <w:rsid w:val="00273DCD"/>
    <w:rsid w:val="00274291"/>
    <w:rsid w:val="00276CFE"/>
    <w:rsid w:val="00277071"/>
    <w:rsid w:val="0027786C"/>
    <w:rsid w:val="00281416"/>
    <w:rsid w:val="00283D2E"/>
    <w:rsid w:val="00284F79"/>
    <w:rsid w:val="002852C6"/>
    <w:rsid w:val="00285CD3"/>
    <w:rsid w:val="0028686A"/>
    <w:rsid w:val="00286E66"/>
    <w:rsid w:val="00290910"/>
    <w:rsid w:val="002911C8"/>
    <w:rsid w:val="002919B5"/>
    <w:rsid w:val="00293441"/>
    <w:rsid w:val="00293FEA"/>
    <w:rsid w:val="0029493E"/>
    <w:rsid w:val="00296C2E"/>
    <w:rsid w:val="002A1B05"/>
    <w:rsid w:val="002A2083"/>
    <w:rsid w:val="002A3BD5"/>
    <w:rsid w:val="002A4277"/>
    <w:rsid w:val="002A43A2"/>
    <w:rsid w:val="002A4612"/>
    <w:rsid w:val="002A4FBE"/>
    <w:rsid w:val="002A5263"/>
    <w:rsid w:val="002A659A"/>
    <w:rsid w:val="002A6821"/>
    <w:rsid w:val="002A6841"/>
    <w:rsid w:val="002A74D2"/>
    <w:rsid w:val="002B28A4"/>
    <w:rsid w:val="002B342C"/>
    <w:rsid w:val="002B36C8"/>
    <w:rsid w:val="002B3DAF"/>
    <w:rsid w:val="002B7240"/>
    <w:rsid w:val="002B798E"/>
    <w:rsid w:val="002B79A0"/>
    <w:rsid w:val="002B7EC1"/>
    <w:rsid w:val="002C055E"/>
    <w:rsid w:val="002C43BD"/>
    <w:rsid w:val="002C5261"/>
    <w:rsid w:val="002C6091"/>
    <w:rsid w:val="002C69FA"/>
    <w:rsid w:val="002D0562"/>
    <w:rsid w:val="002D1B5A"/>
    <w:rsid w:val="002D22B5"/>
    <w:rsid w:val="002D3EE3"/>
    <w:rsid w:val="002D5E94"/>
    <w:rsid w:val="002D632D"/>
    <w:rsid w:val="002D7CA9"/>
    <w:rsid w:val="002E02A1"/>
    <w:rsid w:val="002E1C6A"/>
    <w:rsid w:val="002E1DE4"/>
    <w:rsid w:val="002E2CE4"/>
    <w:rsid w:val="002E7C20"/>
    <w:rsid w:val="002F1DB9"/>
    <w:rsid w:val="002F33F7"/>
    <w:rsid w:val="002F33FB"/>
    <w:rsid w:val="002F3C26"/>
    <w:rsid w:val="002F46A9"/>
    <w:rsid w:val="002F47F3"/>
    <w:rsid w:val="002F7C73"/>
    <w:rsid w:val="00300B28"/>
    <w:rsid w:val="00300E9F"/>
    <w:rsid w:val="00301357"/>
    <w:rsid w:val="003016B0"/>
    <w:rsid w:val="00301D04"/>
    <w:rsid w:val="00303FCA"/>
    <w:rsid w:val="003046B3"/>
    <w:rsid w:val="00304771"/>
    <w:rsid w:val="003048B8"/>
    <w:rsid w:val="00305736"/>
    <w:rsid w:val="00306C5B"/>
    <w:rsid w:val="0030780B"/>
    <w:rsid w:val="003078E0"/>
    <w:rsid w:val="003103DA"/>
    <w:rsid w:val="0031223A"/>
    <w:rsid w:val="00312C3D"/>
    <w:rsid w:val="00314331"/>
    <w:rsid w:val="00316C55"/>
    <w:rsid w:val="00317C76"/>
    <w:rsid w:val="00320214"/>
    <w:rsid w:val="003209D6"/>
    <w:rsid w:val="0032109A"/>
    <w:rsid w:val="0032214F"/>
    <w:rsid w:val="00322164"/>
    <w:rsid w:val="003229E0"/>
    <w:rsid w:val="003247BB"/>
    <w:rsid w:val="00324F61"/>
    <w:rsid w:val="0032513D"/>
    <w:rsid w:val="00326251"/>
    <w:rsid w:val="0032697E"/>
    <w:rsid w:val="00327290"/>
    <w:rsid w:val="00327DEE"/>
    <w:rsid w:val="00331BAC"/>
    <w:rsid w:val="003329CF"/>
    <w:rsid w:val="003329F3"/>
    <w:rsid w:val="00332E05"/>
    <w:rsid w:val="00333234"/>
    <w:rsid w:val="0033352E"/>
    <w:rsid w:val="00333690"/>
    <w:rsid w:val="00333D20"/>
    <w:rsid w:val="003340EF"/>
    <w:rsid w:val="00334A49"/>
    <w:rsid w:val="00334C45"/>
    <w:rsid w:val="00335BB0"/>
    <w:rsid w:val="0033627B"/>
    <w:rsid w:val="00336EAA"/>
    <w:rsid w:val="003406BD"/>
    <w:rsid w:val="00343D5B"/>
    <w:rsid w:val="00343F84"/>
    <w:rsid w:val="00344135"/>
    <w:rsid w:val="00347DF6"/>
    <w:rsid w:val="00350B0A"/>
    <w:rsid w:val="00350DED"/>
    <w:rsid w:val="00351A67"/>
    <w:rsid w:val="00351B63"/>
    <w:rsid w:val="00352B72"/>
    <w:rsid w:val="00352D04"/>
    <w:rsid w:val="00352E57"/>
    <w:rsid w:val="00353A57"/>
    <w:rsid w:val="00353E12"/>
    <w:rsid w:val="003541B0"/>
    <w:rsid w:val="00354366"/>
    <w:rsid w:val="00355885"/>
    <w:rsid w:val="0035605E"/>
    <w:rsid w:val="00357449"/>
    <w:rsid w:val="00360712"/>
    <w:rsid w:val="00361918"/>
    <w:rsid w:val="0036238B"/>
    <w:rsid w:val="0036282B"/>
    <w:rsid w:val="00365680"/>
    <w:rsid w:val="003657F3"/>
    <w:rsid w:val="00365A32"/>
    <w:rsid w:val="00370362"/>
    <w:rsid w:val="00370C57"/>
    <w:rsid w:val="003723F7"/>
    <w:rsid w:val="00374B10"/>
    <w:rsid w:val="00374F1E"/>
    <w:rsid w:val="00375F77"/>
    <w:rsid w:val="00376DEC"/>
    <w:rsid w:val="00377A5A"/>
    <w:rsid w:val="00380E04"/>
    <w:rsid w:val="00382658"/>
    <w:rsid w:val="00384D8F"/>
    <w:rsid w:val="00385D98"/>
    <w:rsid w:val="00385EC5"/>
    <w:rsid w:val="0038634F"/>
    <w:rsid w:val="00386BD0"/>
    <w:rsid w:val="0039066E"/>
    <w:rsid w:val="0039073D"/>
    <w:rsid w:val="00391689"/>
    <w:rsid w:val="00391C95"/>
    <w:rsid w:val="0039268B"/>
    <w:rsid w:val="00393241"/>
    <w:rsid w:val="00394659"/>
    <w:rsid w:val="00395378"/>
    <w:rsid w:val="00396593"/>
    <w:rsid w:val="00396DAC"/>
    <w:rsid w:val="003A0214"/>
    <w:rsid w:val="003A098C"/>
    <w:rsid w:val="003A0D5B"/>
    <w:rsid w:val="003A180C"/>
    <w:rsid w:val="003A1D17"/>
    <w:rsid w:val="003A1D74"/>
    <w:rsid w:val="003A2708"/>
    <w:rsid w:val="003A2B4D"/>
    <w:rsid w:val="003A2D2B"/>
    <w:rsid w:val="003A30EF"/>
    <w:rsid w:val="003A3B1C"/>
    <w:rsid w:val="003A478C"/>
    <w:rsid w:val="003A49F1"/>
    <w:rsid w:val="003A4F82"/>
    <w:rsid w:val="003A5525"/>
    <w:rsid w:val="003A6B38"/>
    <w:rsid w:val="003B0002"/>
    <w:rsid w:val="003B1109"/>
    <w:rsid w:val="003B1454"/>
    <w:rsid w:val="003B2E63"/>
    <w:rsid w:val="003B3189"/>
    <w:rsid w:val="003B3932"/>
    <w:rsid w:val="003B39C4"/>
    <w:rsid w:val="003B3A9D"/>
    <w:rsid w:val="003B4102"/>
    <w:rsid w:val="003B4442"/>
    <w:rsid w:val="003B5031"/>
    <w:rsid w:val="003B50F0"/>
    <w:rsid w:val="003B5A32"/>
    <w:rsid w:val="003B6105"/>
    <w:rsid w:val="003B6C43"/>
    <w:rsid w:val="003B7F51"/>
    <w:rsid w:val="003C03C7"/>
    <w:rsid w:val="003C04C4"/>
    <w:rsid w:val="003C0CB8"/>
    <w:rsid w:val="003C20E8"/>
    <w:rsid w:val="003C26F4"/>
    <w:rsid w:val="003C383F"/>
    <w:rsid w:val="003C4852"/>
    <w:rsid w:val="003C6715"/>
    <w:rsid w:val="003C6F0F"/>
    <w:rsid w:val="003C7D80"/>
    <w:rsid w:val="003D030B"/>
    <w:rsid w:val="003D34B4"/>
    <w:rsid w:val="003D3600"/>
    <w:rsid w:val="003D3825"/>
    <w:rsid w:val="003D4760"/>
    <w:rsid w:val="003D4E62"/>
    <w:rsid w:val="003E0663"/>
    <w:rsid w:val="003E133F"/>
    <w:rsid w:val="003E193E"/>
    <w:rsid w:val="003E31B2"/>
    <w:rsid w:val="003E41E3"/>
    <w:rsid w:val="003E59FD"/>
    <w:rsid w:val="003E68BC"/>
    <w:rsid w:val="003E699C"/>
    <w:rsid w:val="003E69F3"/>
    <w:rsid w:val="003E7136"/>
    <w:rsid w:val="003E782E"/>
    <w:rsid w:val="003E7A0B"/>
    <w:rsid w:val="003E7B05"/>
    <w:rsid w:val="003F2B0A"/>
    <w:rsid w:val="003F313C"/>
    <w:rsid w:val="003F37FC"/>
    <w:rsid w:val="003F3FC2"/>
    <w:rsid w:val="003F49A6"/>
    <w:rsid w:val="003F4E1F"/>
    <w:rsid w:val="003F5098"/>
    <w:rsid w:val="003F5568"/>
    <w:rsid w:val="003F5A95"/>
    <w:rsid w:val="003F6D19"/>
    <w:rsid w:val="004000D5"/>
    <w:rsid w:val="00401716"/>
    <w:rsid w:val="00401B7F"/>
    <w:rsid w:val="00401CA8"/>
    <w:rsid w:val="00402C25"/>
    <w:rsid w:val="00403598"/>
    <w:rsid w:val="00403697"/>
    <w:rsid w:val="004050D7"/>
    <w:rsid w:val="00405E1A"/>
    <w:rsid w:val="00407373"/>
    <w:rsid w:val="004078BD"/>
    <w:rsid w:val="00410132"/>
    <w:rsid w:val="004109BF"/>
    <w:rsid w:val="0041187E"/>
    <w:rsid w:val="004123BE"/>
    <w:rsid w:val="00414CE5"/>
    <w:rsid w:val="00416673"/>
    <w:rsid w:val="004168FC"/>
    <w:rsid w:val="004170FE"/>
    <w:rsid w:val="00417C5B"/>
    <w:rsid w:val="00420A35"/>
    <w:rsid w:val="0042160D"/>
    <w:rsid w:val="004223D7"/>
    <w:rsid w:val="00422776"/>
    <w:rsid w:val="0042681B"/>
    <w:rsid w:val="00426CEE"/>
    <w:rsid w:val="004274DD"/>
    <w:rsid w:val="0043068A"/>
    <w:rsid w:val="004306E0"/>
    <w:rsid w:val="00431862"/>
    <w:rsid w:val="004329BE"/>
    <w:rsid w:val="00434FA3"/>
    <w:rsid w:val="00435D30"/>
    <w:rsid w:val="004360E1"/>
    <w:rsid w:val="00436125"/>
    <w:rsid w:val="0043752B"/>
    <w:rsid w:val="00437C76"/>
    <w:rsid w:val="00442AAC"/>
    <w:rsid w:val="004441A0"/>
    <w:rsid w:val="004443BF"/>
    <w:rsid w:val="00446892"/>
    <w:rsid w:val="00450C30"/>
    <w:rsid w:val="00451A03"/>
    <w:rsid w:val="00455ECA"/>
    <w:rsid w:val="00460164"/>
    <w:rsid w:val="004601C1"/>
    <w:rsid w:val="0046039A"/>
    <w:rsid w:val="00461977"/>
    <w:rsid w:val="00461A44"/>
    <w:rsid w:val="004629FD"/>
    <w:rsid w:val="00463F4D"/>
    <w:rsid w:val="004643C6"/>
    <w:rsid w:val="00465019"/>
    <w:rsid w:val="0046613F"/>
    <w:rsid w:val="0046655D"/>
    <w:rsid w:val="00466B34"/>
    <w:rsid w:val="00467606"/>
    <w:rsid w:val="0046765E"/>
    <w:rsid w:val="004676E2"/>
    <w:rsid w:val="004701B6"/>
    <w:rsid w:val="00470CC7"/>
    <w:rsid w:val="00470CCA"/>
    <w:rsid w:val="00470F69"/>
    <w:rsid w:val="00471EDD"/>
    <w:rsid w:val="0047400C"/>
    <w:rsid w:val="004749D9"/>
    <w:rsid w:val="00476D29"/>
    <w:rsid w:val="00477A06"/>
    <w:rsid w:val="00477EAF"/>
    <w:rsid w:val="00477EE0"/>
    <w:rsid w:val="004801DD"/>
    <w:rsid w:val="00480FAB"/>
    <w:rsid w:val="0048139F"/>
    <w:rsid w:val="004827FE"/>
    <w:rsid w:val="00483ABA"/>
    <w:rsid w:val="00486283"/>
    <w:rsid w:val="004879E9"/>
    <w:rsid w:val="004902E2"/>
    <w:rsid w:val="00490988"/>
    <w:rsid w:val="00491218"/>
    <w:rsid w:val="00493362"/>
    <w:rsid w:val="00493907"/>
    <w:rsid w:val="00494D91"/>
    <w:rsid w:val="00494FA0"/>
    <w:rsid w:val="00495C38"/>
    <w:rsid w:val="00495D8B"/>
    <w:rsid w:val="00496C2F"/>
    <w:rsid w:val="0049740D"/>
    <w:rsid w:val="004A269A"/>
    <w:rsid w:val="004A29F2"/>
    <w:rsid w:val="004A30FB"/>
    <w:rsid w:val="004A35DD"/>
    <w:rsid w:val="004A37D3"/>
    <w:rsid w:val="004A48EE"/>
    <w:rsid w:val="004A5864"/>
    <w:rsid w:val="004A5865"/>
    <w:rsid w:val="004A5972"/>
    <w:rsid w:val="004A6C74"/>
    <w:rsid w:val="004A77DF"/>
    <w:rsid w:val="004B0295"/>
    <w:rsid w:val="004B040D"/>
    <w:rsid w:val="004B3CB7"/>
    <w:rsid w:val="004B3D55"/>
    <w:rsid w:val="004B55B7"/>
    <w:rsid w:val="004B6337"/>
    <w:rsid w:val="004B7046"/>
    <w:rsid w:val="004C00A6"/>
    <w:rsid w:val="004C0BBB"/>
    <w:rsid w:val="004C3867"/>
    <w:rsid w:val="004C3A73"/>
    <w:rsid w:val="004C4CD0"/>
    <w:rsid w:val="004C57B5"/>
    <w:rsid w:val="004C5C25"/>
    <w:rsid w:val="004C5EFF"/>
    <w:rsid w:val="004C6CFF"/>
    <w:rsid w:val="004C6ED6"/>
    <w:rsid w:val="004C70DC"/>
    <w:rsid w:val="004C7268"/>
    <w:rsid w:val="004D0211"/>
    <w:rsid w:val="004D1AEF"/>
    <w:rsid w:val="004D1C9C"/>
    <w:rsid w:val="004D504B"/>
    <w:rsid w:val="004D536E"/>
    <w:rsid w:val="004D5A97"/>
    <w:rsid w:val="004D726E"/>
    <w:rsid w:val="004E0040"/>
    <w:rsid w:val="004E1494"/>
    <w:rsid w:val="004E18BB"/>
    <w:rsid w:val="004E4116"/>
    <w:rsid w:val="004E4A75"/>
    <w:rsid w:val="004E4AC0"/>
    <w:rsid w:val="004E541A"/>
    <w:rsid w:val="004E5A5C"/>
    <w:rsid w:val="004E5B4E"/>
    <w:rsid w:val="004E5FE8"/>
    <w:rsid w:val="004E762E"/>
    <w:rsid w:val="004E76D6"/>
    <w:rsid w:val="004E7AF6"/>
    <w:rsid w:val="004F03A7"/>
    <w:rsid w:val="004F06F5"/>
    <w:rsid w:val="004F146A"/>
    <w:rsid w:val="004F191F"/>
    <w:rsid w:val="004F2A73"/>
    <w:rsid w:val="004F2D3A"/>
    <w:rsid w:val="004F33A0"/>
    <w:rsid w:val="004F447D"/>
    <w:rsid w:val="004F4C28"/>
    <w:rsid w:val="004F5CC5"/>
    <w:rsid w:val="004F7D36"/>
    <w:rsid w:val="005016AC"/>
    <w:rsid w:val="00501ABE"/>
    <w:rsid w:val="0050286E"/>
    <w:rsid w:val="00504FF6"/>
    <w:rsid w:val="005058A8"/>
    <w:rsid w:val="00505923"/>
    <w:rsid w:val="00510189"/>
    <w:rsid w:val="005108C0"/>
    <w:rsid w:val="00511873"/>
    <w:rsid w:val="0051266C"/>
    <w:rsid w:val="00512F27"/>
    <w:rsid w:val="00513818"/>
    <w:rsid w:val="00513B7E"/>
    <w:rsid w:val="00513C6F"/>
    <w:rsid w:val="00514474"/>
    <w:rsid w:val="005172F4"/>
    <w:rsid w:val="005202E0"/>
    <w:rsid w:val="005215EF"/>
    <w:rsid w:val="00521CC7"/>
    <w:rsid w:val="00522CB5"/>
    <w:rsid w:val="005231C6"/>
    <w:rsid w:val="00525137"/>
    <w:rsid w:val="005251DD"/>
    <w:rsid w:val="0053017A"/>
    <w:rsid w:val="00530492"/>
    <w:rsid w:val="00530FEF"/>
    <w:rsid w:val="00532AB1"/>
    <w:rsid w:val="00532C18"/>
    <w:rsid w:val="005339BC"/>
    <w:rsid w:val="00534675"/>
    <w:rsid w:val="00535359"/>
    <w:rsid w:val="005357A2"/>
    <w:rsid w:val="00535A51"/>
    <w:rsid w:val="00535BCB"/>
    <w:rsid w:val="00535EF0"/>
    <w:rsid w:val="00537171"/>
    <w:rsid w:val="0053734B"/>
    <w:rsid w:val="005378BB"/>
    <w:rsid w:val="00537AFD"/>
    <w:rsid w:val="00537CB4"/>
    <w:rsid w:val="00540A0C"/>
    <w:rsid w:val="00540BBC"/>
    <w:rsid w:val="005426C1"/>
    <w:rsid w:val="005431DC"/>
    <w:rsid w:val="00544EA1"/>
    <w:rsid w:val="00544EBB"/>
    <w:rsid w:val="005513D5"/>
    <w:rsid w:val="005523B9"/>
    <w:rsid w:val="00552887"/>
    <w:rsid w:val="00553225"/>
    <w:rsid w:val="00553D09"/>
    <w:rsid w:val="005545E0"/>
    <w:rsid w:val="00554865"/>
    <w:rsid w:val="00554E57"/>
    <w:rsid w:val="005550E9"/>
    <w:rsid w:val="00555182"/>
    <w:rsid w:val="00561CBF"/>
    <w:rsid w:val="00562749"/>
    <w:rsid w:val="00562DE9"/>
    <w:rsid w:val="005638A5"/>
    <w:rsid w:val="00566381"/>
    <w:rsid w:val="0056667C"/>
    <w:rsid w:val="00566A03"/>
    <w:rsid w:val="00566C62"/>
    <w:rsid w:val="005718E3"/>
    <w:rsid w:val="00572DA2"/>
    <w:rsid w:val="00572EA7"/>
    <w:rsid w:val="00574240"/>
    <w:rsid w:val="0057459E"/>
    <w:rsid w:val="00574F14"/>
    <w:rsid w:val="00575CDC"/>
    <w:rsid w:val="0058053D"/>
    <w:rsid w:val="00580E2E"/>
    <w:rsid w:val="00582178"/>
    <w:rsid w:val="00582677"/>
    <w:rsid w:val="00583078"/>
    <w:rsid w:val="00583D5B"/>
    <w:rsid w:val="00583FFD"/>
    <w:rsid w:val="00587CCD"/>
    <w:rsid w:val="00590528"/>
    <w:rsid w:val="005908AE"/>
    <w:rsid w:val="0059176E"/>
    <w:rsid w:val="00591A22"/>
    <w:rsid w:val="005925A8"/>
    <w:rsid w:val="00593152"/>
    <w:rsid w:val="00593CA3"/>
    <w:rsid w:val="00594161"/>
    <w:rsid w:val="005947A6"/>
    <w:rsid w:val="00594969"/>
    <w:rsid w:val="00594EAA"/>
    <w:rsid w:val="00596A83"/>
    <w:rsid w:val="00596C5E"/>
    <w:rsid w:val="005977BA"/>
    <w:rsid w:val="00597827"/>
    <w:rsid w:val="0059787F"/>
    <w:rsid w:val="00597C5E"/>
    <w:rsid w:val="005A08BD"/>
    <w:rsid w:val="005A1CEC"/>
    <w:rsid w:val="005A21E0"/>
    <w:rsid w:val="005A33A1"/>
    <w:rsid w:val="005A54EE"/>
    <w:rsid w:val="005A5884"/>
    <w:rsid w:val="005A6E4A"/>
    <w:rsid w:val="005A7500"/>
    <w:rsid w:val="005B1BDB"/>
    <w:rsid w:val="005B310D"/>
    <w:rsid w:val="005B3247"/>
    <w:rsid w:val="005B3409"/>
    <w:rsid w:val="005B34D1"/>
    <w:rsid w:val="005B4A14"/>
    <w:rsid w:val="005B55C6"/>
    <w:rsid w:val="005B6AFE"/>
    <w:rsid w:val="005B7B12"/>
    <w:rsid w:val="005C1D5E"/>
    <w:rsid w:val="005C2412"/>
    <w:rsid w:val="005C3F9F"/>
    <w:rsid w:val="005C4A94"/>
    <w:rsid w:val="005C53CB"/>
    <w:rsid w:val="005C59F6"/>
    <w:rsid w:val="005C760A"/>
    <w:rsid w:val="005C7F1E"/>
    <w:rsid w:val="005D1508"/>
    <w:rsid w:val="005D1AF2"/>
    <w:rsid w:val="005D4067"/>
    <w:rsid w:val="005D5802"/>
    <w:rsid w:val="005D5A35"/>
    <w:rsid w:val="005D5B8F"/>
    <w:rsid w:val="005D5D32"/>
    <w:rsid w:val="005D6CFC"/>
    <w:rsid w:val="005D73E2"/>
    <w:rsid w:val="005E0D10"/>
    <w:rsid w:val="005E1E4B"/>
    <w:rsid w:val="005E24EF"/>
    <w:rsid w:val="005E362D"/>
    <w:rsid w:val="005E492C"/>
    <w:rsid w:val="005E4BAA"/>
    <w:rsid w:val="005E5B56"/>
    <w:rsid w:val="005E6B78"/>
    <w:rsid w:val="005F2F28"/>
    <w:rsid w:val="005F4057"/>
    <w:rsid w:val="005F4088"/>
    <w:rsid w:val="005F4CFA"/>
    <w:rsid w:val="005F6119"/>
    <w:rsid w:val="00600A3D"/>
    <w:rsid w:val="0060107A"/>
    <w:rsid w:val="0060154D"/>
    <w:rsid w:val="00601AFF"/>
    <w:rsid w:val="00602D1D"/>
    <w:rsid w:val="006038F7"/>
    <w:rsid w:val="00604307"/>
    <w:rsid w:val="0060487F"/>
    <w:rsid w:val="006059EB"/>
    <w:rsid w:val="00606B93"/>
    <w:rsid w:val="006118AA"/>
    <w:rsid w:val="00612CCA"/>
    <w:rsid w:val="00614460"/>
    <w:rsid w:val="006148B8"/>
    <w:rsid w:val="006153E3"/>
    <w:rsid w:val="006158DF"/>
    <w:rsid w:val="00616CD8"/>
    <w:rsid w:val="00617D2D"/>
    <w:rsid w:val="00617D83"/>
    <w:rsid w:val="00617F45"/>
    <w:rsid w:val="0062002F"/>
    <w:rsid w:val="00620AC5"/>
    <w:rsid w:val="00621575"/>
    <w:rsid w:val="006215FC"/>
    <w:rsid w:val="0062290D"/>
    <w:rsid w:val="00624093"/>
    <w:rsid w:val="00626CE6"/>
    <w:rsid w:val="00627CE0"/>
    <w:rsid w:val="00630F66"/>
    <w:rsid w:val="0063332A"/>
    <w:rsid w:val="006347F9"/>
    <w:rsid w:val="00634C90"/>
    <w:rsid w:val="00635E79"/>
    <w:rsid w:val="0063756F"/>
    <w:rsid w:val="006404A7"/>
    <w:rsid w:val="006407F3"/>
    <w:rsid w:val="00640C2B"/>
    <w:rsid w:val="00642977"/>
    <w:rsid w:val="00643175"/>
    <w:rsid w:val="00644C5B"/>
    <w:rsid w:val="006451E4"/>
    <w:rsid w:val="006460B8"/>
    <w:rsid w:val="00651D5D"/>
    <w:rsid w:val="006520C7"/>
    <w:rsid w:val="006530B8"/>
    <w:rsid w:val="006535D6"/>
    <w:rsid w:val="00655F7D"/>
    <w:rsid w:val="00657E87"/>
    <w:rsid w:val="00660206"/>
    <w:rsid w:val="00660265"/>
    <w:rsid w:val="00660457"/>
    <w:rsid w:val="00660E1E"/>
    <w:rsid w:val="00663662"/>
    <w:rsid w:val="006637B1"/>
    <w:rsid w:val="00664C40"/>
    <w:rsid w:val="00665D67"/>
    <w:rsid w:val="00665D77"/>
    <w:rsid w:val="006660CD"/>
    <w:rsid w:val="00667556"/>
    <w:rsid w:val="006676D0"/>
    <w:rsid w:val="00667C83"/>
    <w:rsid w:val="00670300"/>
    <w:rsid w:val="006710C9"/>
    <w:rsid w:val="00671437"/>
    <w:rsid w:val="00675120"/>
    <w:rsid w:val="00675E37"/>
    <w:rsid w:val="00676E82"/>
    <w:rsid w:val="00680292"/>
    <w:rsid w:val="0068260E"/>
    <w:rsid w:val="0068373D"/>
    <w:rsid w:val="00683BFE"/>
    <w:rsid w:val="0068416C"/>
    <w:rsid w:val="00685E66"/>
    <w:rsid w:val="0068672C"/>
    <w:rsid w:val="00686B72"/>
    <w:rsid w:val="00686D87"/>
    <w:rsid w:val="00690A09"/>
    <w:rsid w:val="00693FEA"/>
    <w:rsid w:val="006945DF"/>
    <w:rsid w:val="00694B93"/>
    <w:rsid w:val="00695170"/>
    <w:rsid w:val="00695BEF"/>
    <w:rsid w:val="006960D6"/>
    <w:rsid w:val="00696AA5"/>
    <w:rsid w:val="006977F6"/>
    <w:rsid w:val="00697A13"/>
    <w:rsid w:val="006A0436"/>
    <w:rsid w:val="006A109C"/>
    <w:rsid w:val="006A23BA"/>
    <w:rsid w:val="006A2B36"/>
    <w:rsid w:val="006A3B4D"/>
    <w:rsid w:val="006A456E"/>
    <w:rsid w:val="006A672B"/>
    <w:rsid w:val="006B05C6"/>
    <w:rsid w:val="006B0BC1"/>
    <w:rsid w:val="006B2EE3"/>
    <w:rsid w:val="006B3F8A"/>
    <w:rsid w:val="006B5CA3"/>
    <w:rsid w:val="006B6A7E"/>
    <w:rsid w:val="006B78D8"/>
    <w:rsid w:val="006C090F"/>
    <w:rsid w:val="006C113F"/>
    <w:rsid w:val="006C2A26"/>
    <w:rsid w:val="006C38DD"/>
    <w:rsid w:val="006C4BB5"/>
    <w:rsid w:val="006C5561"/>
    <w:rsid w:val="006C5577"/>
    <w:rsid w:val="006C559A"/>
    <w:rsid w:val="006C58FA"/>
    <w:rsid w:val="006D042D"/>
    <w:rsid w:val="006D06EF"/>
    <w:rsid w:val="006D090F"/>
    <w:rsid w:val="006D15EB"/>
    <w:rsid w:val="006D1D8E"/>
    <w:rsid w:val="006D41A6"/>
    <w:rsid w:val="006D61F6"/>
    <w:rsid w:val="006D6AF7"/>
    <w:rsid w:val="006E157B"/>
    <w:rsid w:val="006E15CB"/>
    <w:rsid w:val="006E1F4C"/>
    <w:rsid w:val="006E279A"/>
    <w:rsid w:val="006E2964"/>
    <w:rsid w:val="006E2F3F"/>
    <w:rsid w:val="006E313B"/>
    <w:rsid w:val="006E32B9"/>
    <w:rsid w:val="006E442A"/>
    <w:rsid w:val="006E5875"/>
    <w:rsid w:val="006E5CFD"/>
    <w:rsid w:val="006E5F51"/>
    <w:rsid w:val="006E6701"/>
    <w:rsid w:val="006E73B9"/>
    <w:rsid w:val="006F1E27"/>
    <w:rsid w:val="006F2BEE"/>
    <w:rsid w:val="006F3708"/>
    <w:rsid w:val="006F38BB"/>
    <w:rsid w:val="006F3E6B"/>
    <w:rsid w:val="006F4A59"/>
    <w:rsid w:val="006F4D1E"/>
    <w:rsid w:val="006F756C"/>
    <w:rsid w:val="006F75D2"/>
    <w:rsid w:val="007004E0"/>
    <w:rsid w:val="00700C69"/>
    <w:rsid w:val="007014C7"/>
    <w:rsid w:val="00701F7D"/>
    <w:rsid w:val="00702D6F"/>
    <w:rsid w:val="007054B9"/>
    <w:rsid w:val="007058F0"/>
    <w:rsid w:val="00705D98"/>
    <w:rsid w:val="00706E5E"/>
    <w:rsid w:val="00707891"/>
    <w:rsid w:val="007115E4"/>
    <w:rsid w:val="00711EF1"/>
    <w:rsid w:val="0071229A"/>
    <w:rsid w:val="007146CC"/>
    <w:rsid w:val="00720FA2"/>
    <w:rsid w:val="007211F5"/>
    <w:rsid w:val="0072459F"/>
    <w:rsid w:val="00724666"/>
    <w:rsid w:val="007253C1"/>
    <w:rsid w:val="00725534"/>
    <w:rsid w:val="00726043"/>
    <w:rsid w:val="0072704A"/>
    <w:rsid w:val="00730AE8"/>
    <w:rsid w:val="00734321"/>
    <w:rsid w:val="007351BA"/>
    <w:rsid w:val="007363A9"/>
    <w:rsid w:val="00736EB6"/>
    <w:rsid w:val="00740652"/>
    <w:rsid w:val="00740F02"/>
    <w:rsid w:val="00740FEC"/>
    <w:rsid w:val="00741493"/>
    <w:rsid w:val="007426B3"/>
    <w:rsid w:val="007426FD"/>
    <w:rsid w:val="00744376"/>
    <w:rsid w:val="007449EA"/>
    <w:rsid w:val="007457CF"/>
    <w:rsid w:val="00746DD9"/>
    <w:rsid w:val="00750310"/>
    <w:rsid w:val="0075057A"/>
    <w:rsid w:val="00751771"/>
    <w:rsid w:val="00751EA2"/>
    <w:rsid w:val="00752180"/>
    <w:rsid w:val="007521A1"/>
    <w:rsid w:val="0075245C"/>
    <w:rsid w:val="0075315D"/>
    <w:rsid w:val="00754253"/>
    <w:rsid w:val="007558D3"/>
    <w:rsid w:val="00755D3A"/>
    <w:rsid w:val="00755E71"/>
    <w:rsid w:val="007563E7"/>
    <w:rsid w:val="00756B64"/>
    <w:rsid w:val="00760141"/>
    <w:rsid w:val="007609C6"/>
    <w:rsid w:val="007610A0"/>
    <w:rsid w:val="007620F2"/>
    <w:rsid w:val="00764561"/>
    <w:rsid w:val="00764664"/>
    <w:rsid w:val="007655B1"/>
    <w:rsid w:val="007657B9"/>
    <w:rsid w:val="00765CCE"/>
    <w:rsid w:val="007674C6"/>
    <w:rsid w:val="00771236"/>
    <w:rsid w:val="00772F26"/>
    <w:rsid w:val="00774665"/>
    <w:rsid w:val="00774782"/>
    <w:rsid w:val="00776527"/>
    <w:rsid w:val="00780B8F"/>
    <w:rsid w:val="00781834"/>
    <w:rsid w:val="00781FA0"/>
    <w:rsid w:val="007821DB"/>
    <w:rsid w:val="00782818"/>
    <w:rsid w:val="007835F2"/>
    <w:rsid w:val="00784C4A"/>
    <w:rsid w:val="0078561F"/>
    <w:rsid w:val="00786303"/>
    <w:rsid w:val="00786DA5"/>
    <w:rsid w:val="00787432"/>
    <w:rsid w:val="007879F2"/>
    <w:rsid w:val="007910AE"/>
    <w:rsid w:val="00791CF8"/>
    <w:rsid w:val="00793BAE"/>
    <w:rsid w:val="00794E0A"/>
    <w:rsid w:val="00796187"/>
    <w:rsid w:val="00796642"/>
    <w:rsid w:val="007977D7"/>
    <w:rsid w:val="00797AD0"/>
    <w:rsid w:val="007A0F38"/>
    <w:rsid w:val="007A155D"/>
    <w:rsid w:val="007A2C57"/>
    <w:rsid w:val="007A327B"/>
    <w:rsid w:val="007A4606"/>
    <w:rsid w:val="007A69E3"/>
    <w:rsid w:val="007A7353"/>
    <w:rsid w:val="007B3DCC"/>
    <w:rsid w:val="007B4518"/>
    <w:rsid w:val="007B5031"/>
    <w:rsid w:val="007B5182"/>
    <w:rsid w:val="007B573F"/>
    <w:rsid w:val="007B6FDA"/>
    <w:rsid w:val="007B7A79"/>
    <w:rsid w:val="007C4691"/>
    <w:rsid w:val="007C471B"/>
    <w:rsid w:val="007C55AE"/>
    <w:rsid w:val="007C6BAA"/>
    <w:rsid w:val="007C7BEA"/>
    <w:rsid w:val="007D2051"/>
    <w:rsid w:val="007D2AD8"/>
    <w:rsid w:val="007D2C47"/>
    <w:rsid w:val="007D44C3"/>
    <w:rsid w:val="007D4885"/>
    <w:rsid w:val="007D7588"/>
    <w:rsid w:val="007E0F4B"/>
    <w:rsid w:val="007E1E50"/>
    <w:rsid w:val="007E386C"/>
    <w:rsid w:val="007E6455"/>
    <w:rsid w:val="007E770F"/>
    <w:rsid w:val="007E7E61"/>
    <w:rsid w:val="007F0845"/>
    <w:rsid w:val="007F141A"/>
    <w:rsid w:val="007F16F9"/>
    <w:rsid w:val="007F5F14"/>
    <w:rsid w:val="007F7B54"/>
    <w:rsid w:val="008005D7"/>
    <w:rsid w:val="00801FDD"/>
    <w:rsid w:val="0080255C"/>
    <w:rsid w:val="00803424"/>
    <w:rsid w:val="00804DDA"/>
    <w:rsid w:val="008056F7"/>
    <w:rsid w:val="008059A4"/>
    <w:rsid w:val="008064E9"/>
    <w:rsid w:val="0080798B"/>
    <w:rsid w:val="00807A2C"/>
    <w:rsid w:val="00810A52"/>
    <w:rsid w:val="00811257"/>
    <w:rsid w:val="0081187C"/>
    <w:rsid w:val="00811E24"/>
    <w:rsid w:val="00812E2B"/>
    <w:rsid w:val="00813A70"/>
    <w:rsid w:val="008155EA"/>
    <w:rsid w:val="00816259"/>
    <w:rsid w:val="0081645F"/>
    <w:rsid w:val="008178C2"/>
    <w:rsid w:val="008178CF"/>
    <w:rsid w:val="00817AE0"/>
    <w:rsid w:val="00817C98"/>
    <w:rsid w:val="00820C9F"/>
    <w:rsid w:val="00821FF6"/>
    <w:rsid w:val="00822495"/>
    <w:rsid w:val="0082409A"/>
    <w:rsid w:val="008241C2"/>
    <w:rsid w:val="008263CD"/>
    <w:rsid w:val="00827181"/>
    <w:rsid w:val="00827746"/>
    <w:rsid w:val="0083143E"/>
    <w:rsid w:val="0083159D"/>
    <w:rsid w:val="008334C5"/>
    <w:rsid w:val="008336D8"/>
    <w:rsid w:val="008339C4"/>
    <w:rsid w:val="008341A6"/>
    <w:rsid w:val="00834996"/>
    <w:rsid w:val="00834F0A"/>
    <w:rsid w:val="00834FAA"/>
    <w:rsid w:val="00835E23"/>
    <w:rsid w:val="00836086"/>
    <w:rsid w:val="008362FF"/>
    <w:rsid w:val="00841D9F"/>
    <w:rsid w:val="00842604"/>
    <w:rsid w:val="00843B81"/>
    <w:rsid w:val="00843D95"/>
    <w:rsid w:val="00843ECF"/>
    <w:rsid w:val="00846673"/>
    <w:rsid w:val="00846BD7"/>
    <w:rsid w:val="008518B7"/>
    <w:rsid w:val="0085281A"/>
    <w:rsid w:val="00853794"/>
    <w:rsid w:val="00853DA2"/>
    <w:rsid w:val="00853EAB"/>
    <w:rsid w:val="00853F4C"/>
    <w:rsid w:val="008545A1"/>
    <w:rsid w:val="00854865"/>
    <w:rsid w:val="008559FE"/>
    <w:rsid w:val="00855A99"/>
    <w:rsid w:val="00857339"/>
    <w:rsid w:val="00860288"/>
    <w:rsid w:val="008615C3"/>
    <w:rsid w:val="00862A7A"/>
    <w:rsid w:val="00863374"/>
    <w:rsid w:val="00863D9E"/>
    <w:rsid w:val="008665C1"/>
    <w:rsid w:val="008666C3"/>
    <w:rsid w:val="00867C4F"/>
    <w:rsid w:val="00867E29"/>
    <w:rsid w:val="008705E3"/>
    <w:rsid w:val="00870F2B"/>
    <w:rsid w:val="00871002"/>
    <w:rsid w:val="0087129A"/>
    <w:rsid w:val="008712FB"/>
    <w:rsid w:val="008715FE"/>
    <w:rsid w:val="00871782"/>
    <w:rsid w:val="008746E6"/>
    <w:rsid w:val="008752D2"/>
    <w:rsid w:val="00876086"/>
    <w:rsid w:val="008768D6"/>
    <w:rsid w:val="00876C5B"/>
    <w:rsid w:val="00877329"/>
    <w:rsid w:val="008775D1"/>
    <w:rsid w:val="008777BB"/>
    <w:rsid w:val="008852B1"/>
    <w:rsid w:val="0088555A"/>
    <w:rsid w:val="008866C2"/>
    <w:rsid w:val="0088733A"/>
    <w:rsid w:val="00887AEB"/>
    <w:rsid w:val="00891BE0"/>
    <w:rsid w:val="008945A1"/>
    <w:rsid w:val="00894A63"/>
    <w:rsid w:val="00895F20"/>
    <w:rsid w:val="0089668D"/>
    <w:rsid w:val="00896BDE"/>
    <w:rsid w:val="00897C0E"/>
    <w:rsid w:val="008A03E6"/>
    <w:rsid w:val="008A0861"/>
    <w:rsid w:val="008A0BB2"/>
    <w:rsid w:val="008A133B"/>
    <w:rsid w:val="008A1A90"/>
    <w:rsid w:val="008A1AB3"/>
    <w:rsid w:val="008A1D5C"/>
    <w:rsid w:val="008A3292"/>
    <w:rsid w:val="008A3A85"/>
    <w:rsid w:val="008A43E9"/>
    <w:rsid w:val="008A4CB1"/>
    <w:rsid w:val="008A5942"/>
    <w:rsid w:val="008A615E"/>
    <w:rsid w:val="008A632B"/>
    <w:rsid w:val="008A6BFE"/>
    <w:rsid w:val="008A7CE6"/>
    <w:rsid w:val="008B0683"/>
    <w:rsid w:val="008B06EF"/>
    <w:rsid w:val="008B0C8B"/>
    <w:rsid w:val="008B190E"/>
    <w:rsid w:val="008B1A8A"/>
    <w:rsid w:val="008B2CB6"/>
    <w:rsid w:val="008B7306"/>
    <w:rsid w:val="008B775F"/>
    <w:rsid w:val="008B7C02"/>
    <w:rsid w:val="008B7EF5"/>
    <w:rsid w:val="008B7F9E"/>
    <w:rsid w:val="008C0E88"/>
    <w:rsid w:val="008C1AA8"/>
    <w:rsid w:val="008C2717"/>
    <w:rsid w:val="008C2E5B"/>
    <w:rsid w:val="008C41F7"/>
    <w:rsid w:val="008C5FBF"/>
    <w:rsid w:val="008C6CB8"/>
    <w:rsid w:val="008C7815"/>
    <w:rsid w:val="008D0171"/>
    <w:rsid w:val="008D0FEC"/>
    <w:rsid w:val="008D0FF8"/>
    <w:rsid w:val="008D2811"/>
    <w:rsid w:val="008D2A16"/>
    <w:rsid w:val="008D2ECF"/>
    <w:rsid w:val="008D39A6"/>
    <w:rsid w:val="008D3F3D"/>
    <w:rsid w:val="008D49DC"/>
    <w:rsid w:val="008D53E3"/>
    <w:rsid w:val="008E30AD"/>
    <w:rsid w:val="008E31FF"/>
    <w:rsid w:val="008E33DD"/>
    <w:rsid w:val="008E517B"/>
    <w:rsid w:val="008E6113"/>
    <w:rsid w:val="008E6AB3"/>
    <w:rsid w:val="008E6AD3"/>
    <w:rsid w:val="008E71A6"/>
    <w:rsid w:val="008E77B6"/>
    <w:rsid w:val="008F032E"/>
    <w:rsid w:val="008F0F14"/>
    <w:rsid w:val="008F2B5D"/>
    <w:rsid w:val="008F371B"/>
    <w:rsid w:val="008F3A22"/>
    <w:rsid w:val="008F3CAE"/>
    <w:rsid w:val="008F41F7"/>
    <w:rsid w:val="008F471F"/>
    <w:rsid w:val="008F4FCE"/>
    <w:rsid w:val="008F79E1"/>
    <w:rsid w:val="008F7D28"/>
    <w:rsid w:val="009003A8"/>
    <w:rsid w:val="00900873"/>
    <w:rsid w:val="00901236"/>
    <w:rsid w:val="00902CBE"/>
    <w:rsid w:val="00902EFF"/>
    <w:rsid w:val="00903E06"/>
    <w:rsid w:val="00905425"/>
    <w:rsid w:val="009065B1"/>
    <w:rsid w:val="00910824"/>
    <w:rsid w:val="00910F93"/>
    <w:rsid w:val="00911F2B"/>
    <w:rsid w:val="00914426"/>
    <w:rsid w:val="00914EE3"/>
    <w:rsid w:val="00915DFE"/>
    <w:rsid w:val="00915F5B"/>
    <w:rsid w:val="0091675F"/>
    <w:rsid w:val="00917709"/>
    <w:rsid w:val="00917918"/>
    <w:rsid w:val="00917FD4"/>
    <w:rsid w:val="00920AC4"/>
    <w:rsid w:val="00921F14"/>
    <w:rsid w:val="009233EB"/>
    <w:rsid w:val="00923BAB"/>
    <w:rsid w:val="00923F10"/>
    <w:rsid w:val="009243A5"/>
    <w:rsid w:val="00925217"/>
    <w:rsid w:val="00925FDB"/>
    <w:rsid w:val="00926283"/>
    <w:rsid w:val="0093181C"/>
    <w:rsid w:val="009329C5"/>
    <w:rsid w:val="00932A93"/>
    <w:rsid w:val="009348E3"/>
    <w:rsid w:val="00934AE3"/>
    <w:rsid w:val="00935835"/>
    <w:rsid w:val="00935B60"/>
    <w:rsid w:val="009362AF"/>
    <w:rsid w:val="00937B11"/>
    <w:rsid w:val="00940F1F"/>
    <w:rsid w:val="00941250"/>
    <w:rsid w:val="00942629"/>
    <w:rsid w:val="0094427A"/>
    <w:rsid w:val="00945578"/>
    <w:rsid w:val="009459C5"/>
    <w:rsid w:val="00946D52"/>
    <w:rsid w:val="0094750F"/>
    <w:rsid w:val="0094760E"/>
    <w:rsid w:val="0095013A"/>
    <w:rsid w:val="00953AEF"/>
    <w:rsid w:val="009551E2"/>
    <w:rsid w:val="00955783"/>
    <w:rsid w:val="00955F37"/>
    <w:rsid w:val="009560B0"/>
    <w:rsid w:val="00957164"/>
    <w:rsid w:val="00957871"/>
    <w:rsid w:val="00960239"/>
    <w:rsid w:val="00964498"/>
    <w:rsid w:val="00965F36"/>
    <w:rsid w:val="0096650F"/>
    <w:rsid w:val="00967184"/>
    <w:rsid w:val="009700DB"/>
    <w:rsid w:val="009704BD"/>
    <w:rsid w:val="009712F3"/>
    <w:rsid w:val="00971C65"/>
    <w:rsid w:val="00972263"/>
    <w:rsid w:val="00972D8D"/>
    <w:rsid w:val="00973AAE"/>
    <w:rsid w:val="00974923"/>
    <w:rsid w:val="00974D48"/>
    <w:rsid w:val="00975655"/>
    <w:rsid w:val="009759B5"/>
    <w:rsid w:val="009773AE"/>
    <w:rsid w:val="00980621"/>
    <w:rsid w:val="00981EC7"/>
    <w:rsid w:val="00982072"/>
    <w:rsid w:val="0098358E"/>
    <w:rsid w:val="00983CBF"/>
    <w:rsid w:val="00983ECF"/>
    <w:rsid w:val="00984A20"/>
    <w:rsid w:val="00986485"/>
    <w:rsid w:val="00986745"/>
    <w:rsid w:val="00987109"/>
    <w:rsid w:val="0099012D"/>
    <w:rsid w:val="00996355"/>
    <w:rsid w:val="00996B72"/>
    <w:rsid w:val="00996E07"/>
    <w:rsid w:val="00997EEB"/>
    <w:rsid w:val="009A3909"/>
    <w:rsid w:val="009A4E12"/>
    <w:rsid w:val="009A4E89"/>
    <w:rsid w:val="009B052C"/>
    <w:rsid w:val="009B06E8"/>
    <w:rsid w:val="009B0EF2"/>
    <w:rsid w:val="009B1FDF"/>
    <w:rsid w:val="009B23A3"/>
    <w:rsid w:val="009B61D0"/>
    <w:rsid w:val="009B6FD3"/>
    <w:rsid w:val="009B70BD"/>
    <w:rsid w:val="009C2524"/>
    <w:rsid w:val="009C42CD"/>
    <w:rsid w:val="009C4DA1"/>
    <w:rsid w:val="009C7388"/>
    <w:rsid w:val="009C764D"/>
    <w:rsid w:val="009C7AE1"/>
    <w:rsid w:val="009D0355"/>
    <w:rsid w:val="009D0F98"/>
    <w:rsid w:val="009D1551"/>
    <w:rsid w:val="009D2859"/>
    <w:rsid w:val="009D3B5E"/>
    <w:rsid w:val="009D4173"/>
    <w:rsid w:val="009D5354"/>
    <w:rsid w:val="009D6095"/>
    <w:rsid w:val="009D6306"/>
    <w:rsid w:val="009D7385"/>
    <w:rsid w:val="009E0015"/>
    <w:rsid w:val="009E048A"/>
    <w:rsid w:val="009E16D0"/>
    <w:rsid w:val="009E1FBA"/>
    <w:rsid w:val="009E2C54"/>
    <w:rsid w:val="009E3710"/>
    <w:rsid w:val="009E3EB9"/>
    <w:rsid w:val="009E577B"/>
    <w:rsid w:val="009E7B1F"/>
    <w:rsid w:val="009F0A68"/>
    <w:rsid w:val="009F1131"/>
    <w:rsid w:val="009F18F2"/>
    <w:rsid w:val="009F19BA"/>
    <w:rsid w:val="009F3FD0"/>
    <w:rsid w:val="009F408C"/>
    <w:rsid w:val="009F41C4"/>
    <w:rsid w:val="009F4792"/>
    <w:rsid w:val="009F5846"/>
    <w:rsid w:val="009F7D77"/>
    <w:rsid w:val="00A0259C"/>
    <w:rsid w:val="00A030BD"/>
    <w:rsid w:val="00A0348B"/>
    <w:rsid w:val="00A10D66"/>
    <w:rsid w:val="00A117C1"/>
    <w:rsid w:val="00A11838"/>
    <w:rsid w:val="00A11C9D"/>
    <w:rsid w:val="00A127F7"/>
    <w:rsid w:val="00A13714"/>
    <w:rsid w:val="00A1420C"/>
    <w:rsid w:val="00A15AB6"/>
    <w:rsid w:val="00A2055B"/>
    <w:rsid w:val="00A2253C"/>
    <w:rsid w:val="00A23545"/>
    <w:rsid w:val="00A23A55"/>
    <w:rsid w:val="00A23E43"/>
    <w:rsid w:val="00A24F8C"/>
    <w:rsid w:val="00A25E57"/>
    <w:rsid w:val="00A262BF"/>
    <w:rsid w:val="00A271AD"/>
    <w:rsid w:val="00A276D5"/>
    <w:rsid w:val="00A30336"/>
    <w:rsid w:val="00A30529"/>
    <w:rsid w:val="00A30BB5"/>
    <w:rsid w:val="00A30E88"/>
    <w:rsid w:val="00A3128F"/>
    <w:rsid w:val="00A326D0"/>
    <w:rsid w:val="00A35287"/>
    <w:rsid w:val="00A35CB9"/>
    <w:rsid w:val="00A37441"/>
    <w:rsid w:val="00A378F8"/>
    <w:rsid w:val="00A40530"/>
    <w:rsid w:val="00A40B19"/>
    <w:rsid w:val="00A41F2C"/>
    <w:rsid w:val="00A424F8"/>
    <w:rsid w:val="00A44B0D"/>
    <w:rsid w:val="00A46826"/>
    <w:rsid w:val="00A46DE0"/>
    <w:rsid w:val="00A4778A"/>
    <w:rsid w:val="00A5067F"/>
    <w:rsid w:val="00A5104A"/>
    <w:rsid w:val="00A53936"/>
    <w:rsid w:val="00A55301"/>
    <w:rsid w:val="00A57B3C"/>
    <w:rsid w:val="00A602D9"/>
    <w:rsid w:val="00A6128E"/>
    <w:rsid w:val="00A62CE1"/>
    <w:rsid w:val="00A631FA"/>
    <w:rsid w:val="00A64143"/>
    <w:rsid w:val="00A64203"/>
    <w:rsid w:val="00A64348"/>
    <w:rsid w:val="00A651DB"/>
    <w:rsid w:val="00A66976"/>
    <w:rsid w:val="00A674E1"/>
    <w:rsid w:val="00A70FBC"/>
    <w:rsid w:val="00A721FB"/>
    <w:rsid w:val="00A72671"/>
    <w:rsid w:val="00A727BA"/>
    <w:rsid w:val="00A72D4B"/>
    <w:rsid w:val="00A732AE"/>
    <w:rsid w:val="00A74C7F"/>
    <w:rsid w:val="00A75744"/>
    <w:rsid w:val="00A75E40"/>
    <w:rsid w:val="00A77EB2"/>
    <w:rsid w:val="00A823B7"/>
    <w:rsid w:val="00A82A03"/>
    <w:rsid w:val="00A82B66"/>
    <w:rsid w:val="00A83B58"/>
    <w:rsid w:val="00A841AC"/>
    <w:rsid w:val="00A851B6"/>
    <w:rsid w:val="00A85332"/>
    <w:rsid w:val="00A85729"/>
    <w:rsid w:val="00A8574B"/>
    <w:rsid w:val="00A857C0"/>
    <w:rsid w:val="00A86068"/>
    <w:rsid w:val="00A872CE"/>
    <w:rsid w:val="00A90368"/>
    <w:rsid w:val="00A906AC"/>
    <w:rsid w:val="00A91893"/>
    <w:rsid w:val="00A96463"/>
    <w:rsid w:val="00A97E3F"/>
    <w:rsid w:val="00A97F75"/>
    <w:rsid w:val="00AA0A14"/>
    <w:rsid w:val="00AA23FB"/>
    <w:rsid w:val="00AA3855"/>
    <w:rsid w:val="00AA42AB"/>
    <w:rsid w:val="00AA559A"/>
    <w:rsid w:val="00AA7B05"/>
    <w:rsid w:val="00AB11AB"/>
    <w:rsid w:val="00AB2AF1"/>
    <w:rsid w:val="00AB440B"/>
    <w:rsid w:val="00AB5082"/>
    <w:rsid w:val="00AB50D4"/>
    <w:rsid w:val="00AB7037"/>
    <w:rsid w:val="00AB74C5"/>
    <w:rsid w:val="00AB76C0"/>
    <w:rsid w:val="00AB7DF2"/>
    <w:rsid w:val="00AC1E3F"/>
    <w:rsid w:val="00AC44CA"/>
    <w:rsid w:val="00AC4F18"/>
    <w:rsid w:val="00AC5926"/>
    <w:rsid w:val="00AD0B46"/>
    <w:rsid w:val="00AD186B"/>
    <w:rsid w:val="00AD2565"/>
    <w:rsid w:val="00AD27F2"/>
    <w:rsid w:val="00AD306C"/>
    <w:rsid w:val="00AD3424"/>
    <w:rsid w:val="00AD460D"/>
    <w:rsid w:val="00AD4F85"/>
    <w:rsid w:val="00AD59BB"/>
    <w:rsid w:val="00AD5D3A"/>
    <w:rsid w:val="00AD5D68"/>
    <w:rsid w:val="00AD6C73"/>
    <w:rsid w:val="00AD6D14"/>
    <w:rsid w:val="00AD7314"/>
    <w:rsid w:val="00AD799D"/>
    <w:rsid w:val="00AE06D0"/>
    <w:rsid w:val="00AE39DC"/>
    <w:rsid w:val="00AE6D73"/>
    <w:rsid w:val="00AE721E"/>
    <w:rsid w:val="00AE7968"/>
    <w:rsid w:val="00AF128B"/>
    <w:rsid w:val="00AF14DC"/>
    <w:rsid w:val="00AF2852"/>
    <w:rsid w:val="00AF2E94"/>
    <w:rsid w:val="00AF3225"/>
    <w:rsid w:val="00AF518B"/>
    <w:rsid w:val="00AF5275"/>
    <w:rsid w:val="00AF5F15"/>
    <w:rsid w:val="00AF6367"/>
    <w:rsid w:val="00AF648D"/>
    <w:rsid w:val="00AF659A"/>
    <w:rsid w:val="00AF6A79"/>
    <w:rsid w:val="00AF6F70"/>
    <w:rsid w:val="00AF724E"/>
    <w:rsid w:val="00AF73A9"/>
    <w:rsid w:val="00AF74FD"/>
    <w:rsid w:val="00AF7C2D"/>
    <w:rsid w:val="00B01C2C"/>
    <w:rsid w:val="00B0231C"/>
    <w:rsid w:val="00B04828"/>
    <w:rsid w:val="00B06DC2"/>
    <w:rsid w:val="00B06EE6"/>
    <w:rsid w:val="00B07952"/>
    <w:rsid w:val="00B07F24"/>
    <w:rsid w:val="00B106D8"/>
    <w:rsid w:val="00B12609"/>
    <w:rsid w:val="00B13134"/>
    <w:rsid w:val="00B133F1"/>
    <w:rsid w:val="00B13619"/>
    <w:rsid w:val="00B155A3"/>
    <w:rsid w:val="00B15DCD"/>
    <w:rsid w:val="00B160A4"/>
    <w:rsid w:val="00B16102"/>
    <w:rsid w:val="00B174DD"/>
    <w:rsid w:val="00B17567"/>
    <w:rsid w:val="00B17E71"/>
    <w:rsid w:val="00B17FCE"/>
    <w:rsid w:val="00B17FDE"/>
    <w:rsid w:val="00B208FC"/>
    <w:rsid w:val="00B20C65"/>
    <w:rsid w:val="00B23632"/>
    <w:rsid w:val="00B2424E"/>
    <w:rsid w:val="00B24707"/>
    <w:rsid w:val="00B24E42"/>
    <w:rsid w:val="00B27293"/>
    <w:rsid w:val="00B274E0"/>
    <w:rsid w:val="00B27737"/>
    <w:rsid w:val="00B31336"/>
    <w:rsid w:val="00B3229E"/>
    <w:rsid w:val="00B326B3"/>
    <w:rsid w:val="00B32DDB"/>
    <w:rsid w:val="00B35BEA"/>
    <w:rsid w:val="00B37A71"/>
    <w:rsid w:val="00B41BE6"/>
    <w:rsid w:val="00B41D75"/>
    <w:rsid w:val="00B435EF"/>
    <w:rsid w:val="00B43871"/>
    <w:rsid w:val="00B457E7"/>
    <w:rsid w:val="00B47430"/>
    <w:rsid w:val="00B47436"/>
    <w:rsid w:val="00B47FCC"/>
    <w:rsid w:val="00B51604"/>
    <w:rsid w:val="00B52D2D"/>
    <w:rsid w:val="00B53BC1"/>
    <w:rsid w:val="00B56082"/>
    <w:rsid w:val="00B561A6"/>
    <w:rsid w:val="00B60C8D"/>
    <w:rsid w:val="00B61046"/>
    <w:rsid w:val="00B61F2D"/>
    <w:rsid w:val="00B62960"/>
    <w:rsid w:val="00B63A11"/>
    <w:rsid w:val="00B63FD0"/>
    <w:rsid w:val="00B64D5A"/>
    <w:rsid w:val="00B65845"/>
    <w:rsid w:val="00B65C84"/>
    <w:rsid w:val="00B6608F"/>
    <w:rsid w:val="00B662E3"/>
    <w:rsid w:val="00B66C89"/>
    <w:rsid w:val="00B71C2D"/>
    <w:rsid w:val="00B737C7"/>
    <w:rsid w:val="00B74317"/>
    <w:rsid w:val="00B7638C"/>
    <w:rsid w:val="00B765F3"/>
    <w:rsid w:val="00B76D1E"/>
    <w:rsid w:val="00B812F0"/>
    <w:rsid w:val="00B822D2"/>
    <w:rsid w:val="00B832DF"/>
    <w:rsid w:val="00B83DDF"/>
    <w:rsid w:val="00B848B8"/>
    <w:rsid w:val="00B84A41"/>
    <w:rsid w:val="00B84D57"/>
    <w:rsid w:val="00B856A2"/>
    <w:rsid w:val="00B85E2C"/>
    <w:rsid w:val="00B86748"/>
    <w:rsid w:val="00B87EDC"/>
    <w:rsid w:val="00B91EC9"/>
    <w:rsid w:val="00B924CA"/>
    <w:rsid w:val="00B93384"/>
    <w:rsid w:val="00B93A86"/>
    <w:rsid w:val="00B94417"/>
    <w:rsid w:val="00B95940"/>
    <w:rsid w:val="00B95EF8"/>
    <w:rsid w:val="00B95F50"/>
    <w:rsid w:val="00B96BD9"/>
    <w:rsid w:val="00B978CD"/>
    <w:rsid w:val="00BA00BE"/>
    <w:rsid w:val="00BA4B2A"/>
    <w:rsid w:val="00BB19EC"/>
    <w:rsid w:val="00BB2116"/>
    <w:rsid w:val="00BB2C53"/>
    <w:rsid w:val="00BB32DA"/>
    <w:rsid w:val="00BB3972"/>
    <w:rsid w:val="00BB3A54"/>
    <w:rsid w:val="00BB4E21"/>
    <w:rsid w:val="00BB5CEB"/>
    <w:rsid w:val="00BC1728"/>
    <w:rsid w:val="00BC2AB7"/>
    <w:rsid w:val="00BC4CE0"/>
    <w:rsid w:val="00BC5111"/>
    <w:rsid w:val="00BC54E1"/>
    <w:rsid w:val="00BC682B"/>
    <w:rsid w:val="00BC6A12"/>
    <w:rsid w:val="00BC6B04"/>
    <w:rsid w:val="00BD053B"/>
    <w:rsid w:val="00BD0B9B"/>
    <w:rsid w:val="00BD1F94"/>
    <w:rsid w:val="00BD3428"/>
    <w:rsid w:val="00BD366B"/>
    <w:rsid w:val="00BD3915"/>
    <w:rsid w:val="00BD56BC"/>
    <w:rsid w:val="00BD59D1"/>
    <w:rsid w:val="00BD5D91"/>
    <w:rsid w:val="00BD64E1"/>
    <w:rsid w:val="00BD6615"/>
    <w:rsid w:val="00BD6D50"/>
    <w:rsid w:val="00BE0261"/>
    <w:rsid w:val="00BE09E4"/>
    <w:rsid w:val="00BE0DB0"/>
    <w:rsid w:val="00BE1C59"/>
    <w:rsid w:val="00BE3F09"/>
    <w:rsid w:val="00BE572B"/>
    <w:rsid w:val="00BE670A"/>
    <w:rsid w:val="00BE6906"/>
    <w:rsid w:val="00BE6AAB"/>
    <w:rsid w:val="00BE795E"/>
    <w:rsid w:val="00BF18F4"/>
    <w:rsid w:val="00BF1A69"/>
    <w:rsid w:val="00BF1B37"/>
    <w:rsid w:val="00BF1D58"/>
    <w:rsid w:val="00BF36F6"/>
    <w:rsid w:val="00BF3BC8"/>
    <w:rsid w:val="00BF3DF1"/>
    <w:rsid w:val="00BF4C31"/>
    <w:rsid w:val="00BF59A0"/>
    <w:rsid w:val="00BF6C56"/>
    <w:rsid w:val="00BF6DE7"/>
    <w:rsid w:val="00C00F20"/>
    <w:rsid w:val="00C0165A"/>
    <w:rsid w:val="00C020FE"/>
    <w:rsid w:val="00C03388"/>
    <w:rsid w:val="00C034E6"/>
    <w:rsid w:val="00C0353A"/>
    <w:rsid w:val="00C0784A"/>
    <w:rsid w:val="00C104F3"/>
    <w:rsid w:val="00C10982"/>
    <w:rsid w:val="00C10FAE"/>
    <w:rsid w:val="00C12A69"/>
    <w:rsid w:val="00C12B35"/>
    <w:rsid w:val="00C150BE"/>
    <w:rsid w:val="00C15A0C"/>
    <w:rsid w:val="00C15DCB"/>
    <w:rsid w:val="00C16198"/>
    <w:rsid w:val="00C20744"/>
    <w:rsid w:val="00C20C4D"/>
    <w:rsid w:val="00C21937"/>
    <w:rsid w:val="00C21D46"/>
    <w:rsid w:val="00C21F94"/>
    <w:rsid w:val="00C222A1"/>
    <w:rsid w:val="00C2250A"/>
    <w:rsid w:val="00C23D22"/>
    <w:rsid w:val="00C243B5"/>
    <w:rsid w:val="00C24E77"/>
    <w:rsid w:val="00C25608"/>
    <w:rsid w:val="00C2732D"/>
    <w:rsid w:val="00C273C6"/>
    <w:rsid w:val="00C27913"/>
    <w:rsid w:val="00C300C6"/>
    <w:rsid w:val="00C30530"/>
    <w:rsid w:val="00C3252C"/>
    <w:rsid w:val="00C336F4"/>
    <w:rsid w:val="00C34FDE"/>
    <w:rsid w:val="00C35C16"/>
    <w:rsid w:val="00C408C3"/>
    <w:rsid w:val="00C41233"/>
    <w:rsid w:val="00C41463"/>
    <w:rsid w:val="00C417ED"/>
    <w:rsid w:val="00C41A72"/>
    <w:rsid w:val="00C42294"/>
    <w:rsid w:val="00C4365E"/>
    <w:rsid w:val="00C4549D"/>
    <w:rsid w:val="00C45C2B"/>
    <w:rsid w:val="00C476C5"/>
    <w:rsid w:val="00C503B0"/>
    <w:rsid w:val="00C511C2"/>
    <w:rsid w:val="00C53D82"/>
    <w:rsid w:val="00C53F31"/>
    <w:rsid w:val="00C540C9"/>
    <w:rsid w:val="00C553F5"/>
    <w:rsid w:val="00C559DD"/>
    <w:rsid w:val="00C57FA7"/>
    <w:rsid w:val="00C60696"/>
    <w:rsid w:val="00C615F1"/>
    <w:rsid w:val="00C61627"/>
    <w:rsid w:val="00C640C6"/>
    <w:rsid w:val="00C64E60"/>
    <w:rsid w:val="00C657A4"/>
    <w:rsid w:val="00C662C1"/>
    <w:rsid w:val="00C6736C"/>
    <w:rsid w:val="00C67B02"/>
    <w:rsid w:val="00C708C0"/>
    <w:rsid w:val="00C71247"/>
    <w:rsid w:val="00C72261"/>
    <w:rsid w:val="00C72CFC"/>
    <w:rsid w:val="00C7315B"/>
    <w:rsid w:val="00C732D0"/>
    <w:rsid w:val="00C74002"/>
    <w:rsid w:val="00C7548A"/>
    <w:rsid w:val="00C75C7E"/>
    <w:rsid w:val="00C76D8E"/>
    <w:rsid w:val="00C77833"/>
    <w:rsid w:val="00C80C9B"/>
    <w:rsid w:val="00C8335E"/>
    <w:rsid w:val="00C84605"/>
    <w:rsid w:val="00C84CE3"/>
    <w:rsid w:val="00C84FE8"/>
    <w:rsid w:val="00C85705"/>
    <w:rsid w:val="00C860F2"/>
    <w:rsid w:val="00C86F05"/>
    <w:rsid w:val="00C87626"/>
    <w:rsid w:val="00C90CF4"/>
    <w:rsid w:val="00C91C19"/>
    <w:rsid w:val="00C929A0"/>
    <w:rsid w:val="00C93389"/>
    <w:rsid w:val="00C93679"/>
    <w:rsid w:val="00C937DB"/>
    <w:rsid w:val="00C93A94"/>
    <w:rsid w:val="00C94519"/>
    <w:rsid w:val="00C94E83"/>
    <w:rsid w:val="00C9531C"/>
    <w:rsid w:val="00C97768"/>
    <w:rsid w:val="00CA0CDD"/>
    <w:rsid w:val="00CA140F"/>
    <w:rsid w:val="00CA37CA"/>
    <w:rsid w:val="00CA3CB2"/>
    <w:rsid w:val="00CA3D39"/>
    <w:rsid w:val="00CA4232"/>
    <w:rsid w:val="00CA6BA1"/>
    <w:rsid w:val="00CA6CD5"/>
    <w:rsid w:val="00CB0414"/>
    <w:rsid w:val="00CB0C6E"/>
    <w:rsid w:val="00CB2150"/>
    <w:rsid w:val="00CB28EE"/>
    <w:rsid w:val="00CB3ACB"/>
    <w:rsid w:val="00CB3ECF"/>
    <w:rsid w:val="00CB43A7"/>
    <w:rsid w:val="00CB43BC"/>
    <w:rsid w:val="00CB5996"/>
    <w:rsid w:val="00CB5B25"/>
    <w:rsid w:val="00CB7452"/>
    <w:rsid w:val="00CB7A5E"/>
    <w:rsid w:val="00CB7D09"/>
    <w:rsid w:val="00CC2642"/>
    <w:rsid w:val="00CC2E15"/>
    <w:rsid w:val="00CC30FE"/>
    <w:rsid w:val="00CC3908"/>
    <w:rsid w:val="00CC3C77"/>
    <w:rsid w:val="00CC4DDF"/>
    <w:rsid w:val="00CC52A7"/>
    <w:rsid w:val="00CC62AD"/>
    <w:rsid w:val="00CD2B3C"/>
    <w:rsid w:val="00CD30F6"/>
    <w:rsid w:val="00CD4823"/>
    <w:rsid w:val="00CD4AD9"/>
    <w:rsid w:val="00CD4B29"/>
    <w:rsid w:val="00CD5242"/>
    <w:rsid w:val="00CD6EF1"/>
    <w:rsid w:val="00CD6FC4"/>
    <w:rsid w:val="00CE090E"/>
    <w:rsid w:val="00CE21C7"/>
    <w:rsid w:val="00CE57D8"/>
    <w:rsid w:val="00CE617A"/>
    <w:rsid w:val="00CE7E17"/>
    <w:rsid w:val="00CF1152"/>
    <w:rsid w:val="00CF27AC"/>
    <w:rsid w:val="00CF28C2"/>
    <w:rsid w:val="00CF316F"/>
    <w:rsid w:val="00CF3E37"/>
    <w:rsid w:val="00CF42BD"/>
    <w:rsid w:val="00CF50FC"/>
    <w:rsid w:val="00CF51EC"/>
    <w:rsid w:val="00CF6CD7"/>
    <w:rsid w:val="00D0037A"/>
    <w:rsid w:val="00D00DAF"/>
    <w:rsid w:val="00D00F76"/>
    <w:rsid w:val="00D017EC"/>
    <w:rsid w:val="00D01CDA"/>
    <w:rsid w:val="00D02200"/>
    <w:rsid w:val="00D02924"/>
    <w:rsid w:val="00D036AB"/>
    <w:rsid w:val="00D040DD"/>
    <w:rsid w:val="00D04A11"/>
    <w:rsid w:val="00D04E1B"/>
    <w:rsid w:val="00D05207"/>
    <w:rsid w:val="00D06438"/>
    <w:rsid w:val="00D06FB4"/>
    <w:rsid w:val="00D1067C"/>
    <w:rsid w:val="00D136D4"/>
    <w:rsid w:val="00D1391B"/>
    <w:rsid w:val="00D13ECF"/>
    <w:rsid w:val="00D14148"/>
    <w:rsid w:val="00D142E5"/>
    <w:rsid w:val="00D1611E"/>
    <w:rsid w:val="00D16E69"/>
    <w:rsid w:val="00D17F4F"/>
    <w:rsid w:val="00D205A9"/>
    <w:rsid w:val="00D217EE"/>
    <w:rsid w:val="00D22468"/>
    <w:rsid w:val="00D2282B"/>
    <w:rsid w:val="00D24DA0"/>
    <w:rsid w:val="00D25220"/>
    <w:rsid w:val="00D2620E"/>
    <w:rsid w:val="00D26579"/>
    <w:rsid w:val="00D26923"/>
    <w:rsid w:val="00D26B20"/>
    <w:rsid w:val="00D27856"/>
    <w:rsid w:val="00D279D3"/>
    <w:rsid w:val="00D30740"/>
    <w:rsid w:val="00D30788"/>
    <w:rsid w:val="00D309A7"/>
    <w:rsid w:val="00D309E7"/>
    <w:rsid w:val="00D31075"/>
    <w:rsid w:val="00D31311"/>
    <w:rsid w:val="00D31445"/>
    <w:rsid w:val="00D31932"/>
    <w:rsid w:val="00D32D31"/>
    <w:rsid w:val="00D34225"/>
    <w:rsid w:val="00D35A48"/>
    <w:rsid w:val="00D378CC"/>
    <w:rsid w:val="00D4042C"/>
    <w:rsid w:val="00D42312"/>
    <w:rsid w:val="00D43998"/>
    <w:rsid w:val="00D45046"/>
    <w:rsid w:val="00D45EEE"/>
    <w:rsid w:val="00D4615E"/>
    <w:rsid w:val="00D478E2"/>
    <w:rsid w:val="00D47948"/>
    <w:rsid w:val="00D52401"/>
    <w:rsid w:val="00D5264C"/>
    <w:rsid w:val="00D52EC9"/>
    <w:rsid w:val="00D547BA"/>
    <w:rsid w:val="00D54BC4"/>
    <w:rsid w:val="00D5561E"/>
    <w:rsid w:val="00D55626"/>
    <w:rsid w:val="00D556BC"/>
    <w:rsid w:val="00D5626D"/>
    <w:rsid w:val="00D56C22"/>
    <w:rsid w:val="00D5718D"/>
    <w:rsid w:val="00D57C38"/>
    <w:rsid w:val="00D60277"/>
    <w:rsid w:val="00D62536"/>
    <w:rsid w:val="00D62901"/>
    <w:rsid w:val="00D6470C"/>
    <w:rsid w:val="00D64853"/>
    <w:rsid w:val="00D64B04"/>
    <w:rsid w:val="00D64CB5"/>
    <w:rsid w:val="00D64E9A"/>
    <w:rsid w:val="00D6524A"/>
    <w:rsid w:val="00D65B29"/>
    <w:rsid w:val="00D65C09"/>
    <w:rsid w:val="00D66CBA"/>
    <w:rsid w:val="00D66D48"/>
    <w:rsid w:val="00D70E41"/>
    <w:rsid w:val="00D712E0"/>
    <w:rsid w:val="00D72379"/>
    <w:rsid w:val="00D73256"/>
    <w:rsid w:val="00D73A30"/>
    <w:rsid w:val="00D74A6A"/>
    <w:rsid w:val="00D74C65"/>
    <w:rsid w:val="00D74E76"/>
    <w:rsid w:val="00D75DC2"/>
    <w:rsid w:val="00D76F27"/>
    <w:rsid w:val="00D81703"/>
    <w:rsid w:val="00D82462"/>
    <w:rsid w:val="00D85A88"/>
    <w:rsid w:val="00D868CE"/>
    <w:rsid w:val="00D87D8D"/>
    <w:rsid w:val="00D90C1E"/>
    <w:rsid w:val="00D922B8"/>
    <w:rsid w:val="00D93A51"/>
    <w:rsid w:val="00D93F09"/>
    <w:rsid w:val="00D97BB8"/>
    <w:rsid w:val="00DA0C01"/>
    <w:rsid w:val="00DA24BD"/>
    <w:rsid w:val="00DA3FF9"/>
    <w:rsid w:val="00DA4AF6"/>
    <w:rsid w:val="00DA5CAB"/>
    <w:rsid w:val="00DA7613"/>
    <w:rsid w:val="00DB016E"/>
    <w:rsid w:val="00DB01A2"/>
    <w:rsid w:val="00DB06E9"/>
    <w:rsid w:val="00DB0BA5"/>
    <w:rsid w:val="00DB31DE"/>
    <w:rsid w:val="00DB378E"/>
    <w:rsid w:val="00DB3CFB"/>
    <w:rsid w:val="00DB3E9D"/>
    <w:rsid w:val="00DB47B9"/>
    <w:rsid w:val="00DB4FB8"/>
    <w:rsid w:val="00DB4FEB"/>
    <w:rsid w:val="00DB5104"/>
    <w:rsid w:val="00DB53CE"/>
    <w:rsid w:val="00DB549D"/>
    <w:rsid w:val="00DB7969"/>
    <w:rsid w:val="00DC00D7"/>
    <w:rsid w:val="00DC0BB4"/>
    <w:rsid w:val="00DC257F"/>
    <w:rsid w:val="00DC344C"/>
    <w:rsid w:val="00DC408A"/>
    <w:rsid w:val="00DC5B3B"/>
    <w:rsid w:val="00DC5B54"/>
    <w:rsid w:val="00DC6796"/>
    <w:rsid w:val="00DC78DF"/>
    <w:rsid w:val="00DD0821"/>
    <w:rsid w:val="00DD0E32"/>
    <w:rsid w:val="00DD1A36"/>
    <w:rsid w:val="00DD2130"/>
    <w:rsid w:val="00DD28A1"/>
    <w:rsid w:val="00DD3532"/>
    <w:rsid w:val="00DD373E"/>
    <w:rsid w:val="00DD57AD"/>
    <w:rsid w:val="00DE009B"/>
    <w:rsid w:val="00DE200E"/>
    <w:rsid w:val="00DE2084"/>
    <w:rsid w:val="00DE2ED9"/>
    <w:rsid w:val="00DE319A"/>
    <w:rsid w:val="00DE4D6E"/>
    <w:rsid w:val="00DE5CC4"/>
    <w:rsid w:val="00DF053A"/>
    <w:rsid w:val="00DF0DC3"/>
    <w:rsid w:val="00DF4A7C"/>
    <w:rsid w:val="00DF4F01"/>
    <w:rsid w:val="00DF5343"/>
    <w:rsid w:val="00DF5578"/>
    <w:rsid w:val="00DF6134"/>
    <w:rsid w:val="00DF6619"/>
    <w:rsid w:val="00DF7FEC"/>
    <w:rsid w:val="00E01149"/>
    <w:rsid w:val="00E01C0E"/>
    <w:rsid w:val="00E026C3"/>
    <w:rsid w:val="00E03B27"/>
    <w:rsid w:val="00E03BFF"/>
    <w:rsid w:val="00E03E80"/>
    <w:rsid w:val="00E04694"/>
    <w:rsid w:val="00E04A40"/>
    <w:rsid w:val="00E05B2B"/>
    <w:rsid w:val="00E05DDE"/>
    <w:rsid w:val="00E07F05"/>
    <w:rsid w:val="00E10497"/>
    <w:rsid w:val="00E127E1"/>
    <w:rsid w:val="00E13411"/>
    <w:rsid w:val="00E13688"/>
    <w:rsid w:val="00E144D2"/>
    <w:rsid w:val="00E15346"/>
    <w:rsid w:val="00E1629D"/>
    <w:rsid w:val="00E20525"/>
    <w:rsid w:val="00E215EA"/>
    <w:rsid w:val="00E22B14"/>
    <w:rsid w:val="00E22DF1"/>
    <w:rsid w:val="00E244A4"/>
    <w:rsid w:val="00E24619"/>
    <w:rsid w:val="00E25223"/>
    <w:rsid w:val="00E2575A"/>
    <w:rsid w:val="00E2612E"/>
    <w:rsid w:val="00E268AC"/>
    <w:rsid w:val="00E30BEA"/>
    <w:rsid w:val="00E31764"/>
    <w:rsid w:val="00E337D9"/>
    <w:rsid w:val="00E34E4A"/>
    <w:rsid w:val="00E365B3"/>
    <w:rsid w:val="00E37188"/>
    <w:rsid w:val="00E37C45"/>
    <w:rsid w:val="00E40AAA"/>
    <w:rsid w:val="00E40D33"/>
    <w:rsid w:val="00E40FF2"/>
    <w:rsid w:val="00E416D9"/>
    <w:rsid w:val="00E41D90"/>
    <w:rsid w:val="00E41F2B"/>
    <w:rsid w:val="00E438CF"/>
    <w:rsid w:val="00E43C41"/>
    <w:rsid w:val="00E450CE"/>
    <w:rsid w:val="00E459D3"/>
    <w:rsid w:val="00E45A00"/>
    <w:rsid w:val="00E45CE7"/>
    <w:rsid w:val="00E4631F"/>
    <w:rsid w:val="00E47D22"/>
    <w:rsid w:val="00E513F8"/>
    <w:rsid w:val="00E522BB"/>
    <w:rsid w:val="00E571F2"/>
    <w:rsid w:val="00E57429"/>
    <w:rsid w:val="00E577FC"/>
    <w:rsid w:val="00E57D11"/>
    <w:rsid w:val="00E603A8"/>
    <w:rsid w:val="00E607E4"/>
    <w:rsid w:val="00E60B29"/>
    <w:rsid w:val="00E62F7C"/>
    <w:rsid w:val="00E635DD"/>
    <w:rsid w:val="00E648B9"/>
    <w:rsid w:val="00E6711F"/>
    <w:rsid w:val="00E6715B"/>
    <w:rsid w:val="00E70960"/>
    <w:rsid w:val="00E71983"/>
    <w:rsid w:val="00E71A58"/>
    <w:rsid w:val="00E73C92"/>
    <w:rsid w:val="00E744C3"/>
    <w:rsid w:val="00E760AD"/>
    <w:rsid w:val="00E767BA"/>
    <w:rsid w:val="00E7724B"/>
    <w:rsid w:val="00E77B8A"/>
    <w:rsid w:val="00E8216E"/>
    <w:rsid w:val="00E82428"/>
    <w:rsid w:val="00E836A0"/>
    <w:rsid w:val="00E84B50"/>
    <w:rsid w:val="00E84F21"/>
    <w:rsid w:val="00E874D3"/>
    <w:rsid w:val="00E87A29"/>
    <w:rsid w:val="00E900D3"/>
    <w:rsid w:val="00E9077B"/>
    <w:rsid w:val="00E90AD8"/>
    <w:rsid w:val="00E910FB"/>
    <w:rsid w:val="00E921C7"/>
    <w:rsid w:val="00E92995"/>
    <w:rsid w:val="00E94612"/>
    <w:rsid w:val="00E94BE9"/>
    <w:rsid w:val="00E94C1F"/>
    <w:rsid w:val="00E94C99"/>
    <w:rsid w:val="00E94D06"/>
    <w:rsid w:val="00E95594"/>
    <w:rsid w:val="00E95797"/>
    <w:rsid w:val="00E9682F"/>
    <w:rsid w:val="00E96A8D"/>
    <w:rsid w:val="00E972BA"/>
    <w:rsid w:val="00E97535"/>
    <w:rsid w:val="00EA06CB"/>
    <w:rsid w:val="00EA0C68"/>
    <w:rsid w:val="00EA3EBE"/>
    <w:rsid w:val="00EA3FAC"/>
    <w:rsid w:val="00EA4153"/>
    <w:rsid w:val="00EA4370"/>
    <w:rsid w:val="00EA5CD6"/>
    <w:rsid w:val="00EA7135"/>
    <w:rsid w:val="00EA77C6"/>
    <w:rsid w:val="00EB0BFB"/>
    <w:rsid w:val="00EB1B8D"/>
    <w:rsid w:val="00EB20A0"/>
    <w:rsid w:val="00EB30B6"/>
    <w:rsid w:val="00EB4FA4"/>
    <w:rsid w:val="00EB5146"/>
    <w:rsid w:val="00EB5466"/>
    <w:rsid w:val="00EB55E9"/>
    <w:rsid w:val="00EB5641"/>
    <w:rsid w:val="00EB5846"/>
    <w:rsid w:val="00EB5CA9"/>
    <w:rsid w:val="00EB5ED4"/>
    <w:rsid w:val="00EB6537"/>
    <w:rsid w:val="00EB6A63"/>
    <w:rsid w:val="00EB6EF5"/>
    <w:rsid w:val="00EB70E1"/>
    <w:rsid w:val="00EB7EB5"/>
    <w:rsid w:val="00EC1F4E"/>
    <w:rsid w:val="00EC454B"/>
    <w:rsid w:val="00EC6153"/>
    <w:rsid w:val="00EC6972"/>
    <w:rsid w:val="00EC7F92"/>
    <w:rsid w:val="00ED0504"/>
    <w:rsid w:val="00ED0A79"/>
    <w:rsid w:val="00ED2CA5"/>
    <w:rsid w:val="00ED336F"/>
    <w:rsid w:val="00ED4F91"/>
    <w:rsid w:val="00ED54D6"/>
    <w:rsid w:val="00ED5726"/>
    <w:rsid w:val="00ED723D"/>
    <w:rsid w:val="00EE0384"/>
    <w:rsid w:val="00EE10AA"/>
    <w:rsid w:val="00EE1637"/>
    <w:rsid w:val="00EE3358"/>
    <w:rsid w:val="00EE3E78"/>
    <w:rsid w:val="00EE4318"/>
    <w:rsid w:val="00EE5E02"/>
    <w:rsid w:val="00EE617D"/>
    <w:rsid w:val="00EE61BF"/>
    <w:rsid w:val="00EE6748"/>
    <w:rsid w:val="00EE747C"/>
    <w:rsid w:val="00EF0E75"/>
    <w:rsid w:val="00EF10E5"/>
    <w:rsid w:val="00EF17BF"/>
    <w:rsid w:val="00EF1F5A"/>
    <w:rsid w:val="00EF385C"/>
    <w:rsid w:val="00EF466D"/>
    <w:rsid w:val="00EF4685"/>
    <w:rsid w:val="00EF4AB0"/>
    <w:rsid w:val="00EF5397"/>
    <w:rsid w:val="00EF623C"/>
    <w:rsid w:val="00F0129D"/>
    <w:rsid w:val="00F02E63"/>
    <w:rsid w:val="00F04811"/>
    <w:rsid w:val="00F0488C"/>
    <w:rsid w:val="00F0496E"/>
    <w:rsid w:val="00F04D10"/>
    <w:rsid w:val="00F058AB"/>
    <w:rsid w:val="00F05CBA"/>
    <w:rsid w:val="00F0625B"/>
    <w:rsid w:val="00F06769"/>
    <w:rsid w:val="00F07939"/>
    <w:rsid w:val="00F101FF"/>
    <w:rsid w:val="00F106E2"/>
    <w:rsid w:val="00F10A33"/>
    <w:rsid w:val="00F130A1"/>
    <w:rsid w:val="00F13374"/>
    <w:rsid w:val="00F15BEF"/>
    <w:rsid w:val="00F15F3F"/>
    <w:rsid w:val="00F16C0C"/>
    <w:rsid w:val="00F172BE"/>
    <w:rsid w:val="00F1776C"/>
    <w:rsid w:val="00F2037E"/>
    <w:rsid w:val="00F20EF6"/>
    <w:rsid w:val="00F2103E"/>
    <w:rsid w:val="00F214FC"/>
    <w:rsid w:val="00F23FFF"/>
    <w:rsid w:val="00F2441D"/>
    <w:rsid w:val="00F24F20"/>
    <w:rsid w:val="00F24FAA"/>
    <w:rsid w:val="00F25456"/>
    <w:rsid w:val="00F25568"/>
    <w:rsid w:val="00F26197"/>
    <w:rsid w:val="00F26426"/>
    <w:rsid w:val="00F26CF5"/>
    <w:rsid w:val="00F31F76"/>
    <w:rsid w:val="00F3364D"/>
    <w:rsid w:val="00F34509"/>
    <w:rsid w:val="00F35395"/>
    <w:rsid w:val="00F35ACD"/>
    <w:rsid w:val="00F36BF8"/>
    <w:rsid w:val="00F37760"/>
    <w:rsid w:val="00F378D9"/>
    <w:rsid w:val="00F37CC8"/>
    <w:rsid w:val="00F40185"/>
    <w:rsid w:val="00F403D1"/>
    <w:rsid w:val="00F4046E"/>
    <w:rsid w:val="00F41C50"/>
    <w:rsid w:val="00F42AF8"/>
    <w:rsid w:val="00F43921"/>
    <w:rsid w:val="00F4591F"/>
    <w:rsid w:val="00F45CB3"/>
    <w:rsid w:val="00F46FD1"/>
    <w:rsid w:val="00F4736B"/>
    <w:rsid w:val="00F47D05"/>
    <w:rsid w:val="00F50030"/>
    <w:rsid w:val="00F506B2"/>
    <w:rsid w:val="00F50854"/>
    <w:rsid w:val="00F51FC9"/>
    <w:rsid w:val="00F52B67"/>
    <w:rsid w:val="00F5435A"/>
    <w:rsid w:val="00F54B31"/>
    <w:rsid w:val="00F54FD3"/>
    <w:rsid w:val="00F55CC2"/>
    <w:rsid w:val="00F56CF5"/>
    <w:rsid w:val="00F56D14"/>
    <w:rsid w:val="00F61083"/>
    <w:rsid w:val="00F62807"/>
    <w:rsid w:val="00F631EA"/>
    <w:rsid w:val="00F636E3"/>
    <w:rsid w:val="00F63DDE"/>
    <w:rsid w:val="00F63FB7"/>
    <w:rsid w:val="00F6441A"/>
    <w:rsid w:val="00F64726"/>
    <w:rsid w:val="00F6561A"/>
    <w:rsid w:val="00F700C5"/>
    <w:rsid w:val="00F71BF5"/>
    <w:rsid w:val="00F727D5"/>
    <w:rsid w:val="00F72F44"/>
    <w:rsid w:val="00F739B6"/>
    <w:rsid w:val="00F73A0C"/>
    <w:rsid w:val="00F73C9E"/>
    <w:rsid w:val="00F771A5"/>
    <w:rsid w:val="00F80280"/>
    <w:rsid w:val="00F80EB9"/>
    <w:rsid w:val="00F81C3A"/>
    <w:rsid w:val="00F822CE"/>
    <w:rsid w:val="00F835FC"/>
    <w:rsid w:val="00F83E21"/>
    <w:rsid w:val="00F844AF"/>
    <w:rsid w:val="00F84E18"/>
    <w:rsid w:val="00F852E5"/>
    <w:rsid w:val="00F90487"/>
    <w:rsid w:val="00F90D12"/>
    <w:rsid w:val="00F90FA0"/>
    <w:rsid w:val="00F9250A"/>
    <w:rsid w:val="00F92B4F"/>
    <w:rsid w:val="00F942F1"/>
    <w:rsid w:val="00F95117"/>
    <w:rsid w:val="00F9668E"/>
    <w:rsid w:val="00FA05D7"/>
    <w:rsid w:val="00FA1C6C"/>
    <w:rsid w:val="00FA1C73"/>
    <w:rsid w:val="00FA309A"/>
    <w:rsid w:val="00FA51AB"/>
    <w:rsid w:val="00FA5557"/>
    <w:rsid w:val="00FA57FD"/>
    <w:rsid w:val="00FA5D63"/>
    <w:rsid w:val="00FA7644"/>
    <w:rsid w:val="00FB1324"/>
    <w:rsid w:val="00FB262B"/>
    <w:rsid w:val="00FB3C00"/>
    <w:rsid w:val="00FB3D7D"/>
    <w:rsid w:val="00FB56F1"/>
    <w:rsid w:val="00FB5FD4"/>
    <w:rsid w:val="00FB67DD"/>
    <w:rsid w:val="00FB67F3"/>
    <w:rsid w:val="00FB6D5D"/>
    <w:rsid w:val="00FC0AF4"/>
    <w:rsid w:val="00FC0D8A"/>
    <w:rsid w:val="00FC0E5F"/>
    <w:rsid w:val="00FC26DB"/>
    <w:rsid w:val="00FC4660"/>
    <w:rsid w:val="00FC5454"/>
    <w:rsid w:val="00FC56DE"/>
    <w:rsid w:val="00FD1627"/>
    <w:rsid w:val="00FD38B4"/>
    <w:rsid w:val="00FD473D"/>
    <w:rsid w:val="00FD4B88"/>
    <w:rsid w:val="00FD57DE"/>
    <w:rsid w:val="00FD61C8"/>
    <w:rsid w:val="00FD63CE"/>
    <w:rsid w:val="00FD647C"/>
    <w:rsid w:val="00FD7D49"/>
    <w:rsid w:val="00FE0BA6"/>
    <w:rsid w:val="00FE11B6"/>
    <w:rsid w:val="00FE1251"/>
    <w:rsid w:val="00FE2A4F"/>
    <w:rsid w:val="00FE2F78"/>
    <w:rsid w:val="00FE375F"/>
    <w:rsid w:val="00FE44B3"/>
    <w:rsid w:val="00FE4FCB"/>
    <w:rsid w:val="00FE694F"/>
    <w:rsid w:val="00FF0B85"/>
    <w:rsid w:val="00FF1044"/>
    <w:rsid w:val="00FF21B9"/>
    <w:rsid w:val="00FF28E0"/>
    <w:rsid w:val="00FF2FB4"/>
    <w:rsid w:val="00FF30B3"/>
    <w:rsid w:val="00FF3DF3"/>
    <w:rsid w:val="00FF4027"/>
    <w:rsid w:val="00FF65DF"/>
    <w:rsid w:val="00FF7D9E"/>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71" w:unhideWhenUsed="0" w:qFormat="1"/>
  </w:latentStyles>
  <w:style w:type="paragraph" w:default="1" w:styleId="Normln">
    <w:name w:val="Normal"/>
    <w:qFormat/>
    <w:rsid w:val="005E492C"/>
    <w:pPr>
      <w:spacing w:line="288" w:lineRule="auto"/>
    </w:pPr>
    <w:rPr>
      <w:rFonts w:ascii="Arial" w:hAnsi="Arial"/>
      <w:szCs w:val="24"/>
    </w:rPr>
  </w:style>
  <w:style w:type="paragraph" w:styleId="Nadpis1">
    <w:name w:val="heading 1"/>
    <w:basedOn w:val="Normln"/>
    <w:next w:val="Normln"/>
    <w:link w:val="Nadpis1Char"/>
    <w:uiPriority w:val="9"/>
    <w:qFormat/>
    <w:rsid w:val="005E492C"/>
    <w:pPr>
      <w:keepNext/>
      <w:keepLines/>
      <w:spacing w:after="200"/>
      <w:outlineLvl w:val="0"/>
    </w:pPr>
    <w:rPr>
      <w:rFonts w:eastAsia="MS Gothic"/>
      <w:b/>
      <w:bCs/>
      <w:color w:val="71818C"/>
      <w:sz w:val="32"/>
      <w:szCs w:val="28"/>
    </w:rPr>
  </w:style>
  <w:style w:type="paragraph" w:styleId="Nadpis2">
    <w:name w:val="heading 2"/>
    <w:basedOn w:val="Normln"/>
    <w:next w:val="Normln"/>
    <w:link w:val="Nadpis2Char"/>
    <w:uiPriority w:val="9"/>
    <w:qFormat/>
    <w:rsid w:val="005E492C"/>
    <w:pPr>
      <w:keepNext/>
      <w:keepLines/>
      <w:outlineLvl w:val="1"/>
    </w:pPr>
    <w:rPr>
      <w:rFonts w:eastAsia="MS Gothic"/>
      <w:b/>
      <w:bCs/>
      <w:color w:val="71818C"/>
      <w:sz w:val="28"/>
      <w:szCs w:val="26"/>
    </w:rPr>
  </w:style>
  <w:style w:type="paragraph" w:styleId="Nadpis3">
    <w:name w:val="heading 3"/>
    <w:basedOn w:val="Normln"/>
    <w:next w:val="Normln"/>
    <w:link w:val="Nadpis3Char"/>
    <w:uiPriority w:val="9"/>
    <w:qFormat/>
    <w:rsid w:val="005E492C"/>
    <w:pPr>
      <w:keepNext/>
      <w:keepLines/>
      <w:outlineLvl w:val="2"/>
    </w:pPr>
    <w:rPr>
      <w:rFonts w:eastAsia="MS Gothic"/>
      <w:b/>
      <w:bCs/>
      <w:color w:val="71818C"/>
      <w:sz w:val="24"/>
    </w:rPr>
  </w:style>
  <w:style w:type="paragraph" w:styleId="Nadpis4">
    <w:name w:val="heading 4"/>
    <w:basedOn w:val="Normln"/>
    <w:next w:val="Normln"/>
    <w:link w:val="Nadpis4Char"/>
    <w:uiPriority w:val="9"/>
    <w:qFormat/>
    <w:rsid w:val="005E492C"/>
    <w:pPr>
      <w:keepNext/>
      <w:keepLines/>
      <w:outlineLvl w:val="3"/>
    </w:pPr>
    <w:rPr>
      <w:rFonts w:eastAsia="MS Gothic"/>
      <w:b/>
      <w:bCs/>
      <w:iCs/>
    </w:rPr>
  </w:style>
  <w:style w:type="paragraph" w:styleId="Nadpis5">
    <w:name w:val="heading 5"/>
    <w:basedOn w:val="Normln"/>
    <w:next w:val="Normln"/>
    <w:link w:val="Nadpis5Char"/>
    <w:uiPriority w:val="9"/>
    <w:qFormat/>
    <w:rsid w:val="007521A1"/>
    <w:p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uiPriority w:val="9"/>
    <w:qFormat/>
    <w:rsid w:val="007521A1"/>
    <w:pPr>
      <w:spacing w:before="240" w:after="60"/>
      <w:outlineLvl w:val="5"/>
    </w:pPr>
    <w:rPr>
      <w:rFonts w:ascii="Calibri" w:eastAsia="Times New Roman" w:hAnsi="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locked/>
    <w:rsid w:val="005E492C"/>
    <w:rPr>
      <w:rFonts w:ascii="Arial" w:eastAsia="MS Gothic" w:hAnsi="Arial" w:cs="Times New Roman"/>
      <w:b/>
      <w:color w:val="71818C"/>
      <w:sz w:val="28"/>
    </w:rPr>
  </w:style>
  <w:style w:type="character" w:customStyle="1" w:styleId="Nadpis2Char">
    <w:name w:val="Nadpis 2 Char"/>
    <w:basedOn w:val="Standardnpsmoodstavce"/>
    <w:link w:val="Nadpis2"/>
    <w:uiPriority w:val="9"/>
    <w:locked/>
    <w:rsid w:val="005E492C"/>
    <w:rPr>
      <w:rFonts w:ascii="Arial" w:eastAsia="MS Gothic" w:hAnsi="Arial" w:cs="Times New Roman"/>
      <w:b/>
      <w:color w:val="71818C"/>
      <w:sz w:val="26"/>
    </w:rPr>
  </w:style>
  <w:style w:type="character" w:customStyle="1" w:styleId="Nadpis3Char">
    <w:name w:val="Nadpis 3 Char"/>
    <w:basedOn w:val="Standardnpsmoodstavce"/>
    <w:link w:val="Nadpis3"/>
    <w:uiPriority w:val="9"/>
    <w:locked/>
    <w:rsid w:val="005E492C"/>
    <w:rPr>
      <w:rFonts w:ascii="Arial" w:eastAsia="MS Gothic" w:hAnsi="Arial" w:cs="Times New Roman"/>
      <w:b/>
      <w:color w:val="71818C"/>
      <w:sz w:val="24"/>
    </w:rPr>
  </w:style>
  <w:style w:type="character" w:customStyle="1" w:styleId="Nadpis4Char">
    <w:name w:val="Nadpis 4 Char"/>
    <w:basedOn w:val="Standardnpsmoodstavce"/>
    <w:link w:val="Nadpis4"/>
    <w:uiPriority w:val="9"/>
    <w:locked/>
    <w:rsid w:val="005E492C"/>
    <w:rPr>
      <w:rFonts w:ascii="Arial" w:eastAsia="MS Gothic" w:hAnsi="Arial" w:cs="Times New Roman"/>
      <w:b/>
      <w:sz w:val="24"/>
    </w:rPr>
  </w:style>
  <w:style w:type="character" w:customStyle="1" w:styleId="Nadpis5Char">
    <w:name w:val="Nadpis 5 Char"/>
    <w:basedOn w:val="Standardnpsmoodstavce"/>
    <w:link w:val="Nadpis5"/>
    <w:uiPriority w:val="9"/>
    <w:semiHidden/>
    <w:locked/>
    <w:rsid w:val="007521A1"/>
    <w:rPr>
      <w:rFonts w:ascii="Calibri" w:hAnsi="Calibri" w:cs="Times New Roman"/>
      <w:b/>
      <w:bCs/>
      <w:i/>
      <w:iCs/>
      <w:sz w:val="26"/>
      <w:szCs w:val="26"/>
    </w:rPr>
  </w:style>
  <w:style w:type="character" w:customStyle="1" w:styleId="Nadpis6Char">
    <w:name w:val="Nadpis 6 Char"/>
    <w:basedOn w:val="Standardnpsmoodstavce"/>
    <w:link w:val="Nadpis6"/>
    <w:uiPriority w:val="9"/>
    <w:semiHidden/>
    <w:locked/>
    <w:rsid w:val="007521A1"/>
    <w:rPr>
      <w:rFonts w:ascii="Calibri" w:hAnsi="Calibri" w:cs="Times New Roman"/>
      <w:b/>
      <w:bCs/>
      <w:sz w:val="22"/>
      <w:szCs w:val="22"/>
    </w:rPr>
  </w:style>
  <w:style w:type="character" w:styleId="Hypertextovodkaz">
    <w:name w:val="Hyperlink"/>
    <w:basedOn w:val="Standardnpsmoodstavce"/>
    <w:uiPriority w:val="99"/>
    <w:rsid w:val="00E71A58"/>
    <w:rPr>
      <w:rFonts w:cs="Times New Roman"/>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rsid w:val="00E71A58"/>
    <w:pPr>
      <w:tabs>
        <w:tab w:val="center" w:pos="4536"/>
        <w:tab w:val="right" w:pos="9072"/>
      </w:tabs>
    </w:pPr>
    <w:rPr>
      <w:rFonts w:ascii="Calibri" w:hAnsi="Calibri"/>
      <w:sz w:val="22"/>
      <w:szCs w:val="22"/>
      <w:lang w:eastAsia="en-US"/>
    </w:rPr>
  </w:style>
  <w:style w:type="character" w:customStyle="1" w:styleId="ZhlavChar">
    <w:name w:val="Záhlaví Char"/>
    <w:basedOn w:val="Standardnpsmoodstavce"/>
    <w:link w:val="Zhlav"/>
    <w:locked/>
    <w:rsid w:val="00E71A58"/>
    <w:rPr>
      <w:rFonts w:cs="Times New Roman"/>
    </w:rPr>
  </w:style>
  <w:style w:type="paragraph" w:styleId="Zpat">
    <w:name w:val="footer"/>
    <w:basedOn w:val="Normln"/>
    <w:link w:val="ZpatChar"/>
    <w:uiPriority w:val="99"/>
    <w:rsid w:val="00E71A58"/>
    <w:pPr>
      <w:tabs>
        <w:tab w:val="center" w:pos="4536"/>
        <w:tab w:val="right" w:pos="9072"/>
      </w:tabs>
    </w:pPr>
    <w:rPr>
      <w:rFonts w:ascii="Calibri" w:hAnsi="Calibri"/>
      <w:sz w:val="22"/>
      <w:szCs w:val="22"/>
      <w:lang w:eastAsia="en-US"/>
    </w:rPr>
  </w:style>
  <w:style w:type="character" w:customStyle="1" w:styleId="ZpatChar">
    <w:name w:val="Zápatí Char"/>
    <w:basedOn w:val="Standardnpsmoodstavce"/>
    <w:link w:val="Zpat"/>
    <w:uiPriority w:val="99"/>
    <w:locked/>
    <w:rsid w:val="00E71A58"/>
    <w:rPr>
      <w:rFonts w:cs="Times New Roman"/>
    </w:rPr>
  </w:style>
  <w:style w:type="paragraph" w:styleId="Textbubliny">
    <w:name w:val="Balloon Text"/>
    <w:basedOn w:val="Normln"/>
    <w:link w:val="TextbublinyChar"/>
    <w:rsid w:val="00E71A58"/>
    <w:rPr>
      <w:rFonts w:ascii="Tahoma" w:hAnsi="Tahoma"/>
      <w:sz w:val="16"/>
      <w:szCs w:val="16"/>
    </w:rPr>
  </w:style>
  <w:style w:type="character" w:customStyle="1" w:styleId="TextbublinyChar">
    <w:name w:val="Text bubliny Char"/>
    <w:basedOn w:val="Standardnpsmoodstavce"/>
    <w:link w:val="Textbubliny"/>
    <w:uiPriority w:val="99"/>
    <w:semiHidden/>
    <w:locked/>
    <w:rsid w:val="00E71A58"/>
    <w:rPr>
      <w:rFonts w:ascii="Tahoma" w:hAnsi="Tahoma" w:cs="Times New Roman"/>
      <w:sz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hAnsi="Minion Pro"/>
      <w:color w:val="000000"/>
      <w:sz w:val="24"/>
      <w:szCs w:val="20"/>
    </w:rPr>
  </w:style>
  <w:style w:type="paragraph" w:styleId="Nzev">
    <w:name w:val="Title"/>
    <w:basedOn w:val="Normln"/>
    <w:next w:val="Normln"/>
    <w:link w:val="NzevChar"/>
    <w:uiPriority w:val="10"/>
    <w:qFormat/>
    <w:rsid w:val="005E492C"/>
    <w:pPr>
      <w:contextualSpacing/>
      <w:outlineLvl w:val="0"/>
    </w:pPr>
    <w:rPr>
      <w:rFonts w:eastAsia="MS Gothic"/>
      <w:b/>
      <w:caps/>
      <w:color w:val="71818C"/>
      <w:sz w:val="56"/>
      <w:szCs w:val="52"/>
    </w:rPr>
  </w:style>
  <w:style w:type="character" w:customStyle="1" w:styleId="NzevChar">
    <w:name w:val="Název Char"/>
    <w:basedOn w:val="Standardnpsmoodstavce"/>
    <w:link w:val="Nzev"/>
    <w:uiPriority w:val="10"/>
    <w:locked/>
    <w:rsid w:val="005E492C"/>
    <w:rPr>
      <w:rFonts w:ascii="Arial" w:eastAsia="MS Gothic" w:hAnsi="Arial" w:cs="Times New Roman"/>
      <w:b/>
      <w:caps/>
      <w:color w:val="71818C"/>
      <w:sz w:val="52"/>
    </w:rPr>
  </w:style>
  <w:style w:type="paragraph" w:styleId="Podtitul">
    <w:name w:val="Subtitle"/>
    <w:basedOn w:val="Normln"/>
    <w:next w:val="Normln"/>
    <w:link w:val="PodtitulChar"/>
    <w:uiPriority w:val="11"/>
    <w:qFormat/>
    <w:rsid w:val="005E492C"/>
    <w:pPr>
      <w:numPr>
        <w:ilvl w:val="1"/>
      </w:numPr>
    </w:pPr>
    <w:rPr>
      <w:rFonts w:eastAsia="MS Gothic"/>
      <w:b/>
      <w:iCs/>
      <w:color w:val="71818C"/>
      <w:sz w:val="28"/>
    </w:rPr>
  </w:style>
  <w:style w:type="character" w:customStyle="1" w:styleId="PodtitulChar">
    <w:name w:val="Podtitul Char"/>
    <w:basedOn w:val="Standardnpsmoodstavce"/>
    <w:link w:val="Podtitul"/>
    <w:uiPriority w:val="11"/>
    <w:locked/>
    <w:rsid w:val="005E492C"/>
    <w:rPr>
      <w:rFonts w:ascii="Arial" w:eastAsia="MS Gothic" w:hAnsi="Arial" w:cs="Times New Roman"/>
      <w:b/>
      <w:color w:val="71818C"/>
      <w:sz w:val="24"/>
    </w:rPr>
  </w:style>
  <w:style w:type="paragraph" w:customStyle="1" w:styleId="Bezmezer1">
    <w:name w:val="Bez mezer1"/>
    <w:aliases w:val="Bez zarážky"/>
    <w:link w:val="NoSpacingChar"/>
    <w:uiPriority w:val="1"/>
    <w:qFormat/>
    <w:rsid w:val="005E492C"/>
    <w:pPr>
      <w:spacing w:line="288" w:lineRule="auto"/>
    </w:pPr>
    <w:rPr>
      <w:rFonts w:ascii="Arial" w:hAnsi="Arial"/>
      <w:sz w:val="22"/>
      <w:szCs w:val="22"/>
    </w:rPr>
  </w:style>
  <w:style w:type="paragraph" w:customStyle="1" w:styleId="Box1">
    <w:name w:val="Box 1"/>
    <w:basedOn w:val="Zkladnodstavec"/>
    <w:next w:val="Normln"/>
    <w:qFormat/>
    <w:rsid w:val="005E492C"/>
    <w:pPr>
      <w:ind w:left="1134"/>
    </w:pPr>
    <w:rPr>
      <w:rFonts w:ascii="Arial" w:hAnsi="Arial" w:cs="Arial"/>
      <w:color w:val="71818C"/>
      <w:sz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5E492C"/>
    <w:pPr>
      <w:shd w:val="clear" w:color="auto" w:fill="EAECEE"/>
      <w:spacing w:line="288" w:lineRule="auto"/>
      <w:ind w:left="1134"/>
    </w:pPr>
    <w:rPr>
      <w:rFonts w:ascii="Arial" w:hAnsi="Arial"/>
      <w:color w:val="000000"/>
      <w:sz w:val="22"/>
      <w:szCs w:val="22"/>
    </w:rPr>
  </w:style>
  <w:style w:type="paragraph" w:customStyle="1" w:styleId="TL-Kontakty">
    <w:name w:val="TL - Kontakty"/>
    <w:next w:val="Normln"/>
    <w:link w:val="TL-KontaktyChar"/>
    <w:qFormat/>
    <w:rsid w:val="005E492C"/>
    <w:pPr>
      <w:spacing w:after="80"/>
    </w:pPr>
    <w:rPr>
      <w:rFonts w:ascii="Arial" w:hAnsi="Arial"/>
      <w:b/>
      <w:caps/>
      <w:color w:val="BD1B21"/>
      <w:sz w:val="22"/>
      <w:szCs w:val="22"/>
    </w:rPr>
  </w:style>
  <w:style w:type="character" w:customStyle="1" w:styleId="ZkladnodstavecChar">
    <w:name w:val="[Základní odstavec] Char"/>
    <w:link w:val="Zkladnodstavec"/>
    <w:uiPriority w:val="99"/>
    <w:locked/>
    <w:rsid w:val="006710C9"/>
    <w:rPr>
      <w:rFonts w:ascii="Minion Pro" w:hAnsi="Minion Pro"/>
      <w:color w:val="000000"/>
      <w:sz w:val="24"/>
    </w:rPr>
  </w:style>
  <w:style w:type="character" w:customStyle="1" w:styleId="Box2Char">
    <w:name w:val="Box 2 Char"/>
    <w:link w:val="Box2"/>
    <w:locked/>
    <w:rsid w:val="006710C9"/>
    <w:rPr>
      <w:rFonts w:ascii="Arial" w:hAnsi="Arial"/>
      <w:b/>
      <w:color w:val="000000"/>
      <w:sz w:val="24"/>
      <w:shd w:val="clear" w:color="auto" w:fill="CCC0D9"/>
    </w:rPr>
  </w:style>
  <w:style w:type="character" w:customStyle="1" w:styleId="BoxChar">
    <w:name w:val="Box Char"/>
    <w:link w:val="Box"/>
    <w:locked/>
    <w:rsid w:val="005E492C"/>
    <w:rPr>
      <w:rFonts w:ascii="Arial" w:hAnsi="Arial"/>
      <w:color w:val="000000"/>
      <w:sz w:val="22"/>
      <w:szCs w:val="22"/>
      <w:shd w:val="clear" w:color="auto" w:fill="EAECEE"/>
      <w:lang w:bidi="ar-SA"/>
    </w:rPr>
  </w:style>
  <w:style w:type="paragraph" w:customStyle="1" w:styleId="TL-Identifikace">
    <w:name w:val="TL - Identifikace"/>
    <w:next w:val="Normln"/>
    <w:link w:val="TL-IdentifikaceChar"/>
    <w:qFormat/>
    <w:rsid w:val="005E492C"/>
    <w:pPr>
      <w:spacing w:after="200" w:line="288" w:lineRule="auto"/>
    </w:pPr>
    <w:rPr>
      <w:rFonts w:ascii="Arial" w:hAnsi="Arial"/>
      <w:sz w:val="22"/>
      <w:szCs w:val="22"/>
    </w:rPr>
  </w:style>
  <w:style w:type="character" w:customStyle="1" w:styleId="TL-KontaktyChar">
    <w:name w:val="TL - Kontakty Char"/>
    <w:link w:val="TL-Kontakty"/>
    <w:locked/>
    <w:rsid w:val="005E492C"/>
    <w:rPr>
      <w:rFonts w:ascii="Arial" w:hAnsi="Arial"/>
      <w:b/>
      <w:caps/>
      <w:color w:val="BD1B21"/>
      <w:sz w:val="22"/>
      <w:szCs w:val="22"/>
      <w:lang w:bidi="ar-SA"/>
    </w:rPr>
  </w:style>
  <w:style w:type="character" w:customStyle="1" w:styleId="TL-IdentifikaceChar">
    <w:name w:val="TL - Identifikace Char"/>
    <w:link w:val="TL-Identifikace"/>
    <w:locked/>
    <w:rsid w:val="005E492C"/>
    <w:rPr>
      <w:rFonts w:ascii="Arial" w:hAnsi="Arial"/>
      <w:sz w:val="22"/>
      <w:szCs w:val="22"/>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NoSpacingChar">
    <w:name w:val="No Spacing Char"/>
    <w:aliases w:val="Bez zarážky Char"/>
    <w:link w:val="Bezmezer1"/>
    <w:uiPriority w:val="1"/>
    <w:locked/>
    <w:rsid w:val="005E492C"/>
    <w:rPr>
      <w:rFonts w:ascii="Arial" w:hAnsi="Arial"/>
      <w:sz w:val="22"/>
      <w:szCs w:val="22"/>
      <w:lang w:bidi="ar-SA"/>
    </w:rPr>
  </w:style>
  <w:style w:type="paragraph" w:customStyle="1" w:styleId="TL-identifikace-sted">
    <w:name w:val="TL - identifikace - střed"/>
    <w:basedOn w:val="Normln"/>
    <w:link w:val="TL-identifikace-stedChar"/>
    <w:qFormat/>
    <w:rsid w:val="005E492C"/>
    <w:pPr>
      <w:spacing w:after="200"/>
    </w:pPr>
    <w:rPr>
      <w:sz w:val="24"/>
      <w:szCs w:val="20"/>
    </w:rPr>
  </w:style>
  <w:style w:type="paragraph" w:customStyle="1" w:styleId="TL-Identifikace-dole">
    <w:name w:val="TL - Identifikace - dole"/>
    <w:basedOn w:val="Normln"/>
    <w:link w:val="TL-Identifikace-doleChar"/>
    <w:qFormat/>
    <w:rsid w:val="005E492C"/>
    <w:pPr>
      <w:spacing w:after="200"/>
    </w:pPr>
    <w:rPr>
      <w:szCs w:val="20"/>
      <w:lang w:eastAsia="ar-SA"/>
    </w:rPr>
  </w:style>
  <w:style w:type="character" w:customStyle="1" w:styleId="TL-identifikace-stedChar">
    <w:name w:val="TL - identifikace - střed Char"/>
    <w:link w:val="TL-identifikace-sted"/>
    <w:locked/>
    <w:rsid w:val="005E492C"/>
    <w:rPr>
      <w:rFonts w:ascii="Arial" w:hAnsi="Arial"/>
      <w:sz w:val="24"/>
    </w:rPr>
  </w:style>
  <w:style w:type="character" w:customStyle="1" w:styleId="TL-Identifikace-doleChar">
    <w:name w:val="TL - Identifikace - dole Char"/>
    <w:link w:val="TL-Identifikace-dole"/>
    <w:locked/>
    <w:rsid w:val="005E492C"/>
    <w:rPr>
      <w:rFonts w:ascii="Arial" w:hAnsi="Arial"/>
      <w:lang w:eastAsia="ar-SA" w:bidi="ar-SA"/>
    </w:rPr>
  </w:style>
  <w:style w:type="paragraph" w:styleId="Nadpisobsahu">
    <w:name w:val="TOC Heading"/>
    <w:basedOn w:val="Nadpis1"/>
    <w:next w:val="Normln"/>
    <w:uiPriority w:val="71"/>
    <w:qFormat/>
    <w:rsid w:val="007521A1"/>
    <w:pPr>
      <w:keepLines w:val="0"/>
      <w:spacing w:before="240" w:after="60"/>
      <w:outlineLvl w:val="9"/>
    </w:pPr>
    <w:rPr>
      <w:rFonts w:ascii="Cambria" w:eastAsia="Times New Roman" w:hAnsi="Cambria"/>
      <w:color w:val="auto"/>
      <w:kern w:val="32"/>
      <w:szCs w:val="32"/>
    </w:rPr>
  </w:style>
  <w:style w:type="paragraph" w:styleId="Obsah1">
    <w:name w:val="toc 1"/>
    <w:basedOn w:val="Normln"/>
    <w:next w:val="Normln"/>
    <w:autoRedefine/>
    <w:uiPriority w:val="39"/>
    <w:qFormat/>
    <w:rsid w:val="00E921C7"/>
    <w:pPr>
      <w:tabs>
        <w:tab w:val="left" w:pos="660"/>
        <w:tab w:val="right" w:leader="dot" w:pos="9628"/>
      </w:tabs>
      <w:spacing w:after="100" w:line="360" w:lineRule="auto"/>
      <w:jc w:val="both"/>
    </w:pPr>
    <w:rPr>
      <w:rFonts w:cs="Arial"/>
      <w:b/>
      <w:noProof/>
      <w:szCs w:val="20"/>
      <w:lang w:eastAsia="en-US"/>
    </w:rPr>
  </w:style>
  <w:style w:type="paragraph" w:styleId="Obsah2">
    <w:name w:val="toc 2"/>
    <w:basedOn w:val="Normln"/>
    <w:next w:val="Normln"/>
    <w:autoRedefine/>
    <w:uiPriority w:val="39"/>
    <w:rsid w:val="00D142E5"/>
    <w:pPr>
      <w:ind w:left="200"/>
    </w:pPr>
  </w:style>
  <w:style w:type="paragraph" w:styleId="Obsah3">
    <w:name w:val="toc 3"/>
    <w:basedOn w:val="Normln"/>
    <w:next w:val="Normln"/>
    <w:autoRedefine/>
    <w:uiPriority w:val="39"/>
    <w:rsid w:val="00D142E5"/>
    <w:pPr>
      <w:ind w:left="400"/>
    </w:pPr>
  </w:style>
  <w:style w:type="paragraph" w:styleId="Textpoznpodarou">
    <w:name w:val="footnote text"/>
    <w:aliases w:val="Text pozn. pod čarou_martin_ang"/>
    <w:basedOn w:val="Normln"/>
    <w:link w:val="TextpoznpodarouChar"/>
    <w:rsid w:val="00972263"/>
    <w:pPr>
      <w:spacing w:line="240" w:lineRule="auto"/>
    </w:pPr>
    <w:rPr>
      <w:szCs w:val="20"/>
    </w:rPr>
  </w:style>
  <w:style w:type="character" w:customStyle="1" w:styleId="TextpoznpodarouChar">
    <w:name w:val="Text pozn. pod čarou Char"/>
    <w:aliases w:val="Text pozn. pod čarou_martin_ang Char"/>
    <w:basedOn w:val="Standardnpsmoodstavce"/>
    <w:link w:val="Textpoznpodarou"/>
    <w:locked/>
    <w:rsid w:val="00972263"/>
    <w:rPr>
      <w:rFonts w:ascii="Arial" w:hAnsi="Arial" w:cs="Times New Roman"/>
    </w:rPr>
  </w:style>
  <w:style w:type="character" w:styleId="Znakapoznpodarou">
    <w:name w:val="footnote reference"/>
    <w:basedOn w:val="Standardnpsmoodstavce"/>
    <w:rsid w:val="00972263"/>
    <w:rPr>
      <w:rFonts w:cs="Times New Roman"/>
      <w:vertAlign w:val="superscript"/>
    </w:rPr>
  </w:style>
  <w:style w:type="paragraph" w:styleId="Rozvrendokumentu">
    <w:name w:val="Document Map"/>
    <w:basedOn w:val="Normln"/>
    <w:link w:val="RozvrendokumentuChar"/>
    <w:uiPriority w:val="99"/>
    <w:semiHidden/>
    <w:rsid w:val="00D5626D"/>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locked/>
    <w:rsid w:val="00D5626D"/>
    <w:rPr>
      <w:rFonts w:ascii="Tahoma" w:hAnsi="Tahoma" w:cs="Tahoma"/>
      <w:sz w:val="16"/>
      <w:szCs w:val="16"/>
    </w:rPr>
  </w:style>
  <w:style w:type="character" w:styleId="Siln">
    <w:name w:val="Strong"/>
    <w:basedOn w:val="Standardnpsmoodstavce"/>
    <w:uiPriority w:val="22"/>
    <w:qFormat/>
    <w:rsid w:val="00E921C7"/>
    <w:rPr>
      <w:rFonts w:cs="Times New Roman"/>
      <w:b/>
      <w:bCs/>
    </w:rPr>
  </w:style>
  <w:style w:type="paragraph" w:styleId="Odstavecseseznamem">
    <w:name w:val="List Paragraph"/>
    <w:basedOn w:val="Normln"/>
    <w:uiPriority w:val="34"/>
    <w:qFormat/>
    <w:rsid w:val="0046039A"/>
    <w:pPr>
      <w:ind w:left="708"/>
    </w:pPr>
  </w:style>
  <w:style w:type="table" w:styleId="Mkatabulky">
    <w:name w:val="Table Grid"/>
    <w:basedOn w:val="Normlntabulka"/>
    <w:uiPriority w:val="59"/>
    <w:rsid w:val="000779A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katabulky1">
    <w:name w:val="Mřížka tabulky1"/>
    <w:uiPriority w:val="59"/>
    <w:rsid w:val="003D476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ovanodkaz">
    <w:name w:val="FollowedHyperlink"/>
    <w:basedOn w:val="Standardnpsmoodstavce"/>
    <w:uiPriority w:val="99"/>
    <w:semiHidden/>
    <w:unhideWhenUsed/>
    <w:locked/>
    <w:rsid w:val="00B3133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44465403">
      <w:marLeft w:val="0"/>
      <w:marRight w:val="0"/>
      <w:marTop w:val="0"/>
      <w:marBottom w:val="0"/>
      <w:divBdr>
        <w:top w:val="none" w:sz="0" w:space="0" w:color="auto"/>
        <w:left w:val="none" w:sz="0" w:space="0" w:color="auto"/>
        <w:bottom w:val="none" w:sz="0" w:space="0" w:color="auto"/>
        <w:right w:val="none" w:sz="0" w:space="0" w:color="auto"/>
      </w:divBdr>
    </w:div>
    <w:div w:id="1844465404">
      <w:marLeft w:val="0"/>
      <w:marRight w:val="0"/>
      <w:marTop w:val="0"/>
      <w:marBottom w:val="0"/>
      <w:divBdr>
        <w:top w:val="none" w:sz="0" w:space="0" w:color="auto"/>
        <w:left w:val="none" w:sz="0" w:space="0" w:color="auto"/>
        <w:bottom w:val="none" w:sz="0" w:space="0" w:color="auto"/>
        <w:right w:val="none" w:sz="0" w:space="0" w:color="auto"/>
      </w:divBdr>
    </w:div>
    <w:div w:id="1844465405">
      <w:marLeft w:val="0"/>
      <w:marRight w:val="0"/>
      <w:marTop w:val="0"/>
      <w:marBottom w:val="0"/>
      <w:divBdr>
        <w:top w:val="none" w:sz="0" w:space="0" w:color="auto"/>
        <w:left w:val="none" w:sz="0" w:space="0" w:color="auto"/>
        <w:bottom w:val="none" w:sz="0" w:space="0" w:color="auto"/>
        <w:right w:val="none" w:sz="0" w:space="0" w:color="auto"/>
      </w:divBdr>
    </w:div>
    <w:div w:id="1844465406">
      <w:marLeft w:val="0"/>
      <w:marRight w:val="0"/>
      <w:marTop w:val="0"/>
      <w:marBottom w:val="0"/>
      <w:divBdr>
        <w:top w:val="none" w:sz="0" w:space="0" w:color="auto"/>
        <w:left w:val="none" w:sz="0" w:space="0" w:color="auto"/>
        <w:bottom w:val="none" w:sz="0" w:space="0" w:color="auto"/>
        <w:right w:val="none" w:sz="0" w:space="0" w:color="auto"/>
      </w:divBdr>
    </w:div>
    <w:div w:id="1844465407">
      <w:marLeft w:val="0"/>
      <w:marRight w:val="0"/>
      <w:marTop w:val="0"/>
      <w:marBottom w:val="0"/>
      <w:divBdr>
        <w:top w:val="none" w:sz="0" w:space="0" w:color="auto"/>
        <w:left w:val="none" w:sz="0" w:space="0" w:color="auto"/>
        <w:bottom w:val="none" w:sz="0" w:space="0" w:color="auto"/>
        <w:right w:val="none" w:sz="0" w:space="0" w:color="auto"/>
      </w:divBdr>
    </w:div>
    <w:div w:id="1844465408">
      <w:marLeft w:val="0"/>
      <w:marRight w:val="0"/>
      <w:marTop w:val="0"/>
      <w:marBottom w:val="0"/>
      <w:divBdr>
        <w:top w:val="none" w:sz="0" w:space="0" w:color="auto"/>
        <w:left w:val="none" w:sz="0" w:space="0" w:color="auto"/>
        <w:bottom w:val="none" w:sz="0" w:space="0" w:color="auto"/>
        <w:right w:val="none" w:sz="0" w:space="0" w:color="auto"/>
      </w:divBdr>
    </w:div>
    <w:div w:id="1844465409">
      <w:marLeft w:val="0"/>
      <w:marRight w:val="0"/>
      <w:marTop w:val="0"/>
      <w:marBottom w:val="0"/>
      <w:divBdr>
        <w:top w:val="none" w:sz="0" w:space="0" w:color="auto"/>
        <w:left w:val="none" w:sz="0" w:space="0" w:color="auto"/>
        <w:bottom w:val="none" w:sz="0" w:space="0" w:color="auto"/>
        <w:right w:val="none" w:sz="0" w:space="0" w:color="auto"/>
      </w:divBdr>
    </w:div>
    <w:div w:id="1844465410">
      <w:marLeft w:val="0"/>
      <w:marRight w:val="0"/>
      <w:marTop w:val="0"/>
      <w:marBottom w:val="0"/>
      <w:divBdr>
        <w:top w:val="none" w:sz="0" w:space="0" w:color="auto"/>
        <w:left w:val="none" w:sz="0" w:space="0" w:color="auto"/>
        <w:bottom w:val="none" w:sz="0" w:space="0" w:color="auto"/>
        <w:right w:val="none" w:sz="0" w:space="0" w:color="auto"/>
      </w:divBdr>
    </w:div>
    <w:div w:id="1844465411">
      <w:marLeft w:val="0"/>
      <w:marRight w:val="0"/>
      <w:marTop w:val="0"/>
      <w:marBottom w:val="0"/>
      <w:divBdr>
        <w:top w:val="none" w:sz="0" w:space="0" w:color="auto"/>
        <w:left w:val="none" w:sz="0" w:space="0" w:color="auto"/>
        <w:bottom w:val="none" w:sz="0" w:space="0" w:color="auto"/>
        <w:right w:val="none" w:sz="0" w:space="0" w:color="auto"/>
      </w:divBdr>
    </w:div>
    <w:div w:id="1844465412">
      <w:marLeft w:val="0"/>
      <w:marRight w:val="0"/>
      <w:marTop w:val="0"/>
      <w:marBottom w:val="0"/>
      <w:divBdr>
        <w:top w:val="none" w:sz="0" w:space="0" w:color="auto"/>
        <w:left w:val="none" w:sz="0" w:space="0" w:color="auto"/>
        <w:bottom w:val="none" w:sz="0" w:space="0" w:color="auto"/>
        <w:right w:val="none" w:sz="0" w:space="0" w:color="auto"/>
      </w:divBdr>
    </w:div>
    <w:div w:id="1844465413">
      <w:marLeft w:val="0"/>
      <w:marRight w:val="0"/>
      <w:marTop w:val="0"/>
      <w:marBottom w:val="0"/>
      <w:divBdr>
        <w:top w:val="none" w:sz="0" w:space="0" w:color="auto"/>
        <w:left w:val="none" w:sz="0" w:space="0" w:color="auto"/>
        <w:bottom w:val="none" w:sz="0" w:space="0" w:color="auto"/>
        <w:right w:val="none" w:sz="0" w:space="0" w:color="auto"/>
      </w:divBdr>
    </w:div>
    <w:div w:id="1844465414">
      <w:marLeft w:val="0"/>
      <w:marRight w:val="0"/>
      <w:marTop w:val="0"/>
      <w:marBottom w:val="0"/>
      <w:divBdr>
        <w:top w:val="none" w:sz="0" w:space="0" w:color="auto"/>
        <w:left w:val="none" w:sz="0" w:space="0" w:color="auto"/>
        <w:bottom w:val="none" w:sz="0" w:space="0" w:color="auto"/>
        <w:right w:val="none" w:sz="0" w:space="0" w:color="auto"/>
      </w:divBdr>
    </w:div>
    <w:div w:id="1844465426">
      <w:marLeft w:val="0"/>
      <w:marRight w:val="0"/>
      <w:marTop w:val="0"/>
      <w:marBottom w:val="0"/>
      <w:divBdr>
        <w:top w:val="none" w:sz="0" w:space="0" w:color="auto"/>
        <w:left w:val="none" w:sz="0" w:space="0" w:color="auto"/>
        <w:bottom w:val="none" w:sz="0" w:space="0" w:color="auto"/>
        <w:right w:val="none" w:sz="0" w:space="0" w:color="auto"/>
      </w:divBdr>
      <w:divsChild>
        <w:div w:id="1844465402">
          <w:marLeft w:val="0"/>
          <w:marRight w:val="0"/>
          <w:marTop w:val="0"/>
          <w:marBottom w:val="0"/>
          <w:divBdr>
            <w:top w:val="none" w:sz="0" w:space="0" w:color="auto"/>
            <w:left w:val="none" w:sz="0" w:space="0" w:color="auto"/>
            <w:bottom w:val="none" w:sz="0" w:space="0" w:color="auto"/>
            <w:right w:val="none" w:sz="0" w:space="0" w:color="auto"/>
          </w:divBdr>
          <w:divsChild>
            <w:div w:id="1844465422">
              <w:marLeft w:val="0"/>
              <w:marRight w:val="0"/>
              <w:marTop w:val="0"/>
              <w:marBottom w:val="0"/>
              <w:divBdr>
                <w:top w:val="none" w:sz="0" w:space="0" w:color="auto"/>
                <w:left w:val="none" w:sz="0" w:space="0" w:color="auto"/>
                <w:bottom w:val="none" w:sz="0" w:space="0" w:color="auto"/>
                <w:right w:val="none" w:sz="0" w:space="0" w:color="auto"/>
              </w:divBdr>
              <w:divsChild>
                <w:div w:id="1844465423">
                  <w:marLeft w:val="0"/>
                  <w:marRight w:val="0"/>
                  <w:marTop w:val="0"/>
                  <w:marBottom w:val="0"/>
                  <w:divBdr>
                    <w:top w:val="none" w:sz="0" w:space="0" w:color="auto"/>
                    <w:left w:val="none" w:sz="0" w:space="0" w:color="auto"/>
                    <w:bottom w:val="none" w:sz="0" w:space="0" w:color="auto"/>
                    <w:right w:val="none" w:sz="0" w:space="0" w:color="auto"/>
                  </w:divBdr>
                  <w:divsChild>
                    <w:div w:id="1844465419">
                      <w:marLeft w:val="0"/>
                      <w:marRight w:val="0"/>
                      <w:marTop w:val="0"/>
                      <w:marBottom w:val="0"/>
                      <w:divBdr>
                        <w:top w:val="none" w:sz="0" w:space="0" w:color="auto"/>
                        <w:left w:val="none" w:sz="0" w:space="0" w:color="auto"/>
                        <w:bottom w:val="none" w:sz="0" w:space="0" w:color="auto"/>
                        <w:right w:val="none" w:sz="0" w:space="0" w:color="auto"/>
                      </w:divBdr>
                      <w:divsChild>
                        <w:div w:id="1844465421">
                          <w:marLeft w:val="0"/>
                          <w:marRight w:val="0"/>
                          <w:marTop w:val="0"/>
                          <w:marBottom w:val="0"/>
                          <w:divBdr>
                            <w:top w:val="none" w:sz="0" w:space="0" w:color="auto"/>
                            <w:left w:val="none" w:sz="0" w:space="0" w:color="auto"/>
                            <w:bottom w:val="none" w:sz="0" w:space="0" w:color="auto"/>
                            <w:right w:val="none" w:sz="0" w:space="0" w:color="auto"/>
                          </w:divBdr>
                          <w:divsChild>
                            <w:div w:id="184446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65427">
                  <w:marLeft w:val="0"/>
                  <w:marRight w:val="0"/>
                  <w:marTop w:val="0"/>
                  <w:marBottom w:val="0"/>
                  <w:divBdr>
                    <w:top w:val="none" w:sz="0" w:space="0" w:color="auto"/>
                    <w:left w:val="none" w:sz="0" w:space="0" w:color="auto"/>
                    <w:bottom w:val="none" w:sz="0" w:space="0" w:color="auto"/>
                    <w:right w:val="none" w:sz="0" w:space="0" w:color="auto"/>
                  </w:divBdr>
                  <w:divsChild>
                    <w:div w:id="1844465420">
                      <w:marLeft w:val="0"/>
                      <w:marRight w:val="0"/>
                      <w:marTop w:val="0"/>
                      <w:marBottom w:val="0"/>
                      <w:divBdr>
                        <w:top w:val="none" w:sz="0" w:space="0" w:color="auto"/>
                        <w:left w:val="none" w:sz="0" w:space="0" w:color="auto"/>
                        <w:bottom w:val="none" w:sz="0" w:space="0" w:color="auto"/>
                        <w:right w:val="none" w:sz="0" w:space="0" w:color="auto"/>
                      </w:divBdr>
                      <w:divsChild>
                        <w:div w:id="1844465400">
                          <w:marLeft w:val="0"/>
                          <w:marRight w:val="0"/>
                          <w:marTop w:val="0"/>
                          <w:marBottom w:val="0"/>
                          <w:divBdr>
                            <w:top w:val="none" w:sz="0" w:space="0" w:color="auto"/>
                            <w:left w:val="none" w:sz="0" w:space="0" w:color="auto"/>
                            <w:bottom w:val="none" w:sz="0" w:space="0" w:color="auto"/>
                            <w:right w:val="none" w:sz="0" w:space="0" w:color="auto"/>
                          </w:divBdr>
                          <w:divsChild>
                            <w:div w:id="1844465425">
                              <w:marLeft w:val="0"/>
                              <w:marRight w:val="0"/>
                              <w:marTop w:val="0"/>
                              <w:marBottom w:val="0"/>
                              <w:divBdr>
                                <w:top w:val="none" w:sz="0" w:space="0" w:color="auto"/>
                                <w:left w:val="none" w:sz="0" w:space="0" w:color="auto"/>
                                <w:bottom w:val="none" w:sz="0" w:space="0" w:color="auto"/>
                                <w:right w:val="none" w:sz="0" w:space="0" w:color="auto"/>
                              </w:divBdr>
                              <w:divsChild>
                                <w:div w:id="184446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65416">
                          <w:marLeft w:val="0"/>
                          <w:marRight w:val="0"/>
                          <w:marTop w:val="0"/>
                          <w:marBottom w:val="0"/>
                          <w:divBdr>
                            <w:top w:val="none" w:sz="0" w:space="0" w:color="auto"/>
                            <w:left w:val="none" w:sz="0" w:space="0" w:color="auto"/>
                            <w:bottom w:val="none" w:sz="0" w:space="0" w:color="auto"/>
                            <w:right w:val="none" w:sz="0" w:space="0" w:color="auto"/>
                          </w:divBdr>
                          <w:divsChild>
                            <w:div w:id="1844465401">
                              <w:marLeft w:val="0"/>
                              <w:marRight w:val="0"/>
                              <w:marTop w:val="0"/>
                              <w:marBottom w:val="0"/>
                              <w:divBdr>
                                <w:top w:val="none" w:sz="0" w:space="0" w:color="auto"/>
                                <w:left w:val="none" w:sz="0" w:space="0" w:color="auto"/>
                                <w:bottom w:val="none" w:sz="0" w:space="0" w:color="auto"/>
                                <w:right w:val="none" w:sz="0" w:space="0" w:color="auto"/>
                              </w:divBdr>
                              <w:divsChild>
                                <w:div w:id="1844465415">
                                  <w:marLeft w:val="0"/>
                                  <w:marRight w:val="0"/>
                                  <w:marTop w:val="0"/>
                                  <w:marBottom w:val="0"/>
                                  <w:divBdr>
                                    <w:top w:val="none" w:sz="0" w:space="0" w:color="auto"/>
                                    <w:left w:val="none" w:sz="0" w:space="0" w:color="auto"/>
                                    <w:bottom w:val="none" w:sz="0" w:space="0" w:color="auto"/>
                                    <w:right w:val="none" w:sz="0" w:space="0" w:color="auto"/>
                                  </w:divBdr>
                                  <w:divsChild>
                                    <w:div w:id="18444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465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6.png"/><Relationship Id="rId107" Type="http://schemas.openxmlformats.org/officeDocument/2006/relationships/image" Target="media/image93.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emf"/><Relationship Id="rId128" Type="http://schemas.openxmlformats.org/officeDocument/2006/relationships/image" Target="media/image114.png"/><Relationship Id="rId144" Type="http://schemas.openxmlformats.org/officeDocument/2006/relationships/header" Target="header3.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e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emf"/><Relationship Id="rId129" Type="http://schemas.openxmlformats.org/officeDocument/2006/relationships/image" Target="media/image115.emf"/><Relationship Id="rId137" Type="http://schemas.openxmlformats.org/officeDocument/2006/relationships/image" Target="media/image123.png"/><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3.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emf"/><Relationship Id="rId96" Type="http://schemas.openxmlformats.org/officeDocument/2006/relationships/image" Target="media/image82.png"/><Relationship Id="rId111" Type="http://schemas.openxmlformats.org/officeDocument/2006/relationships/image" Target="media/image97.png"/><Relationship Id="rId132" Type="http://schemas.openxmlformats.org/officeDocument/2006/relationships/image" Target="media/image118.emf"/><Relationship Id="rId140" Type="http://schemas.openxmlformats.org/officeDocument/2006/relationships/image" Target="media/image126.png"/><Relationship Id="rId14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emf"/><Relationship Id="rId127" Type="http://schemas.openxmlformats.org/officeDocument/2006/relationships/image" Target="media/image113.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oleObject" Target="embeddings/oleObject2.bin"/><Relationship Id="rId78" Type="http://schemas.openxmlformats.org/officeDocument/2006/relationships/oleObject" Target="embeddings/oleObject4.bin"/><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emf"/><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emf"/><Relationship Id="rId130" Type="http://schemas.openxmlformats.org/officeDocument/2006/relationships/image" Target="media/image116.emf"/><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emf"/><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png"/><Relationship Id="rId76" Type="http://schemas.openxmlformats.org/officeDocument/2006/relationships/oleObject" Target="embeddings/oleObject3.bin"/><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emf"/><Relationship Id="rId141" Type="http://schemas.openxmlformats.org/officeDocument/2006/relationships/image" Target="media/image127.png"/><Relationship Id="rId14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emf"/><Relationship Id="rId131" Type="http://schemas.openxmlformats.org/officeDocument/2006/relationships/image" Target="media/image117.emf"/><Relationship Id="rId136" Type="http://schemas.openxmlformats.org/officeDocument/2006/relationships/image" Target="media/image122.png"/><Relationship Id="rId61" Type="http://schemas.openxmlformats.org/officeDocument/2006/relationships/image" Target="media/image51.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footer" Target="footer4.xml"/><Relationship Id="rId8" Type="http://schemas.openxmlformats.org/officeDocument/2006/relationships/hyperlink" Target="mailto:jiri.kamenicky@czso.cz" TargetMode="External"/><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79.emf"/><Relationship Id="rId98" Type="http://schemas.openxmlformats.org/officeDocument/2006/relationships/image" Target="media/image84.png"/><Relationship Id="rId121" Type="http://schemas.openxmlformats.org/officeDocument/2006/relationships/image" Target="media/image107.emf"/><Relationship Id="rId142" Type="http://schemas.openxmlformats.org/officeDocument/2006/relationships/image" Target="media/image12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statistikaamy.cz/2015/05/proc-dluh-klesa-i-pri-deficite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VA~1\AppData\Local\Temp\publikace%20bar_vicetematic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15CED6-19AB-4DA6-905D-758973D09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bar_vicetematicke</Template>
  <TotalTime>16</TotalTime>
  <Pages>70</Pages>
  <Words>33946</Words>
  <Characters>187434</Characters>
  <Application>Microsoft Office Word</Application>
  <DocSecurity>0</DocSecurity>
  <Lines>1561</Lines>
  <Paragraphs>441</Paragraphs>
  <ScaleCrop>false</ScaleCrop>
  <HeadingPairs>
    <vt:vector size="2" baseType="variant">
      <vt:variant>
        <vt:lpstr>Název</vt:lpstr>
      </vt:variant>
      <vt:variant>
        <vt:i4>1</vt:i4>
      </vt:variant>
    </vt:vector>
  </HeadingPairs>
  <TitlesOfParts>
    <vt:vector size="1" baseType="lpstr">
      <vt:lpstr/>
    </vt:vector>
  </TitlesOfParts>
  <Company>CSU</Company>
  <LinksUpToDate>false</LinksUpToDate>
  <CharactersWithSpaces>220939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Dubská, Kučera, Kamenický</dc:creator>
  <cp:lastModifiedBy>Ing. Drahomíra Dubská, CSc.</cp:lastModifiedBy>
  <cp:revision>6</cp:revision>
  <cp:lastPrinted>2015-07-30T06:16:00Z</cp:lastPrinted>
  <dcterms:created xsi:type="dcterms:W3CDTF">2015-07-30T08:59:00Z</dcterms:created>
  <dcterms:modified xsi:type="dcterms:W3CDTF">2015-07-30T09:10:00Z</dcterms:modified>
</cp:coreProperties>
</file>