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DC9CC" w14:textId="77777777" w:rsidR="00C67783" w:rsidRPr="00753F93" w:rsidRDefault="0080527C" w:rsidP="0080527C">
      <w:pPr>
        <w:pStyle w:val="Nadpis2"/>
        <w:jc w:val="left"/>
      </w:pPr>
      <w:r w:rsidRPr="00753F93">
        <w:t xml:space="preserve">Methodological notes </w:t>
      </w:r>
    </w:p>
    <w:p w14:paraId="71435D64" w14:textId="77777777" w:rsidR="0080527C" w:rsidRPr="00753F93" w:rsidRDefault="0080527C" w:rsidP="0080527C">
      <w:pPr>
        <w:pStyle w:val="Nadpis2"/>
        <w:jc w:val="left"/>
      </w:pPr>
      <w:r w:rsidRPr="00753F93">
        <w:t xml:space="preserve">of </w:t>
      </w:r>
      <w:r w:rsidR="00C67783" w:rsidRPr="00753F93">
        <w:t>international trade in goods</w:t>
      </w:r>
      <w:r w:rsidR="002850CA" w:rsidRPr="00753F93">
        <w:t xml:space="preserve"> (change of ownership)</w:t>
      </w:r>
    </w:p>
    <w:p w14:paraId="4062ADB4" w14:textId="77777777" w:rsidR="00A20088" w:rsidRPr="00753F93" w:rsidRDefault="00A20088" w:rsidP="00C67783">
      <w:pPr>
        <w:spacing w:after="120"/>
        <w:rPr>
          <w:rFonts w:ascii="Arial" w:hAnsi="Arial" w:cs="Arial"/>
          <w:color w:val="FF0000"/>
          <w:sz w:val="22"/>
          <w:szCs w:val="22"/>
          <w:lang w:val="en-GB"/>
        </w:rPr>
      </w:pPr>
    </w:p>
    <w:p w14:paraId="652C4557" w14:textId="4826B69E" w:rsidR="00BA0627" w:rsidRPr="00753F93" w:rsidRDefault="00BA0627" w:rsidP="00BA062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sz w:val="18"/>
          <w:szCs w:val="18"/>
          <w:lang w:val="en-GB"/>
        </w:rPr>
      </w:pPr>
      <w:r w:rsidRPr="00753F93">
        <w:rPr>
          <w:rFonts w:ascii="Arial" w:hAnsi="Arial" w:cs="Arial"/>
          <w:b/>
          <w:bCs/>
          <w:sz w:val="18"/>
          <w:szCs w:val="18"/>
          <w:lang w:val="en-GB"/>
        </w:rPr>
        <w:t xml:space="preserve">International trade in goods (change of ownership)” refers to data based on a change of ownership between residents and non-residents. </w:t>
      </w:r>
    </w:p>
    <w:p w14:paraId="6E6D158F" w14:textId="6CCEF9A8" w:rsidR="00BA0627" w:rsidRPr="00753F93" w:rsidRDefault="00BA0627" w:rsidP="00BA062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both"/>
        <w:rPr>
          <w:rFonts w:ascii="Arial" w:hAnsi="Arial" w:cs="Arial"/>
          <w:bCs/>
          <w:sz w:val="18"/>
          <w:szCs w:val="18"/>
          <w:lang w:val="en-GB"/>
        </w:rPr>
      </w:pPr>
      <w:r w:rsidRPr="00753F93">
        <w:rPr>
          <w:rFonts w:ascii="Arial" w:hAnsi="Arial" w:cs="Arial"/>
          <w:b/>
          <w:bCs/>
          <w:sz w:val="18"/>
          <w:szCs w:val="18"/>
          <w:lang w:val="en-GB"/>
        </w:rPr>
        <w:t>The statistics of international trade in goods (change of ownership)</w:t>
      </w:r>
      <w:r w:rsidRPr="00753F93">
        <w:rPr>
          <w:rFonts w:ascii="Arial" w:hAnsi="Arial" w:cs="Arial"/>
          <w:bCs/>
          <w:sz w:val="18"/>
          <w:szCs w:val="18"/>
          <w:lang w:val="en-GB"/>
        </w:rPr>
        <w:t xml:space="preserve"> shows the export and import performance of the Czech economy, i.e. also the trade balance of the Czech Republic. International trade in line with this notion takes place in a moment, when Czech residents and non-residents trade with each other; from this perspective, cross-border movements of goods as such may not be the deciding factor.</w:t>
      </w:r>
    </w:p>
    <w:p w14:paraId="69E111EC" w14:textId="011253B6" w:rsidR="00BA0627" w:rsidRPr="00753F93" w:rsidRDefault="00BA0627" w:rsidP="00BA062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both"/>
        <w:rPr>
          <w:rFonts w:ascii="Arial" w:hAnsi="Arial" w:cs="Arial"/>
          <w:bCs/>
          <w:sz w:val="18"/>
          <w:szCs w:val="18"/>
          <w:lang w:val="en-GB"/>
        </w:rPr>
      </w:pPr>
      <w:r w:rsidRPr="00753F93">
        <w:rPr>
          <w:rFonts w:ascii="Arial" w:hAnsi="Arial" w:cs="Arial"/>
          <w:b/>
          <w:bCs/>
          <w:sz w:val="18"/>
          <w:szCs w:val="18"/>
          <w:lang w:val="en-GB"/>
        </w:rPr>
        <w:t>Information on cross-border movements of goods, supplemented by other data sources</w:t>
      </w:r>
      <w:r w:rsidRPr="00753F93">
        <w:rPr>
          <w:rFonts w:ascii="Arial" w:hAnsi="Arial" w:cs="Arial"/>
          <w:bCs/>
          <w:sz w:val="18"/>
          <w:szCs w:val="18"/>
          <w:lang w:val="en-GB"/>
        </w:rPr>
        <w:t>, such as VAT tax returns and industrial statistics data, is the data source for international trade in goods (change of ownership) calculations. The goods, which are only moved from the territory of the Czech Republic or onto it by non-residents, are not understood as exports and imports. Conversely, trade carried out between residents and non-residents on the territory of the Czech Republic is considered as exports and imports, which is possible due to the invol</w:t>
      </w:r>
      <w:r w:rsidR="004E444A" w:rsidRPr="00753F93">
        <w:rPr>
          <w:rFonts w:ascii="Arial" w:hAnsi="Arial" w:cs="Arial"/>
          <w:bCs/>
          <w:sz w:val="18"/>
          <w:szCs w:val="18"/>
          <w:lang w:val="en-GB"/>
        </w:rPr>
        <w:t>vement of the Czech Republic in </w:t>
      </w:r>
      <w:r w:rsidRPr="00753F93">
        <w:rPr>
          <w:rFonts w:ascii="Arial" w:hAnsi="Arial" w:cs="Arial"/>
          <w:bCs/>
          <w:sz w:val="18"/>
          <w:szCs w:val="18"/>
          <w:lang w:val="en-GB"/>
        </w:rPr>
        <w:t>the European single market.</w:t>
      </w:r>
    </w:p>
    <w:p w14:paraId="7A79780D" w14:textId="07418761" w:rsidR="00BA0627" w:rsidRPr="00753F93" w:rsidRDefault="00BA0627" w:rsidP="00BA062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both"/>
        <w:rPr>
          <w:rFonts w:ascii="Arial" w:hAnsi="Arial" w:cs="Arial"/>
          <w:bCs/>
          <w:sz w:val="18"/>
          <w:szCs w:val="18"/>
          <w:lang w:val="en-GB"/>
        </w:rPr>
      </w:pPr>
      <w:r w:rsidRPr="00753F93">
        <w:rPr>
          <w:rFonts w:ascii="Arial" w:hAnsi="Arial" w:cs="Arial"/>
          <w:b/>
          <w:bCs/>
          <w:sz w:val="18"/>
          <w:szCs w:val="18"/>
          <w:lang w:val="en-GB"/>
        </w:rPr>
        <w:t>The information on cross-border movements of goods</w:t>
      </w:r>
      <w:r w:rsidRPr="00753F93">
        <w:rPr>
          <w:rFonts w:ascii="Arial" w:hAnsi="Arial" w:cs="Arial"/>
          <w:bCs/>
          <w:sz w:val="18"/>
          <w:szCs w:val="18"/>
          <w:lang w:val="en-GB"/>
        </w:rPr>
        <w:t xml:space="preserve"> is a total of physical flows of goods to/from EU Member States and to/from non-EU countries. Data on goods, which are the subject of cross-border movements of goods between EU Member States are submitted by the reporting units to the Customs Office on the </w:t>
      </w:r>
      <w:r w:rsidRPr="00753F93">
        <w:rPr>
          <w:rFonts w:ascii="Arial" w:hAnsi="Arial" w:cs="Arial"/>
          <w:b/>
          <w:bCs/>
          <w:sz w:val="18"/>
          <w:szCs w:val="18"/>
          <w:lang w:val="en-GB"/>
        </w:rPr>
        <w:t>Intrastat</w:t>
      </w:r>
      <w:r w:rsidRPr="00753F93">
        <w:rPr>
          <w:rFonts w:ascii="Arial" w:hAnsi="Arial" w:cs="Arial"/>
          <w:bCs/>
          <w:sz w:val="18"/>
          <w:szCs w:val="18"/>
          <w:lang w:val="en-GB"/>
        </w:rPr>
        <w:t xml:space="preserve"> form along with data on </w:t>
      </w:r>
      <w:r w:rsidR="00102626">
        <w:rPr>
          <w:rFonts w:ascii="Arial" w:hAnsi="Arial" w:cs="Arial"/>
          <w:bCs/>
          <w:sz w:val="18"/>
          <w:szCs w:val="18"/>
          <w:lang w:val="en-GB"/>
        </w:rPr>
        <w:t>intra-Union imports or intra-Union exports</w:t>
      </w:r>
      <w:r w:rsidRPr="00753F93">
        <w:rPr>
          <w:rFonts w:ascii="Arial" w:hAnsi="Arial" w:cs="Arial"/>
          <w:bCs/>
          <w:sz w:val="18"/>
          <w:szCs w:val="18"/>
          <w:lang w:val="en-GB"/>
        </w:rPr>
        <w:t xml:space="preserve"> of the goods. Data on movements of goods with non-EU countries </w:t>
      </w:r>
      <w:r w:rsidRPr="00753F93">
        <w:rPr>
          <w:rFonts w:ascii="Arial" w:hAnsi="Arial" w:cs="Arial"/>
          <w:b/>
          <w:bCs/>
          <w:sz w:val="18"/>
          <w:szCs w:val="18"/>
          <w:lang w:val="en-GB"/>
        </w:rPr>
        <w:t>(Extrastat)</w:t>
      </w:r>
      <w:r w:rsidRPr="00753F93">
        <w:rPr>
          <w:rFonts w:ascii="Arial" w:hAnsi="Arial" w:cs="Arial"/>
          <w:bCs/>
          <w:sz w:val="18"/>
          <w:szCs w:val="18"/>
          <w:lang w:val="en-GB"/>
        </w:rPr>
        <w:t xml:space="preserve"> are reported in customs declarations. The collection of such data and primary</w:t>
      </w:r>
      <w:r w:rsidR="00102626">
        <w:rPr>
          <w:rFonts w:ascii="Arial" w:hAnsi="Arial" w:cs="Arial"/>
          <w:bCs/>
          <w:sz w:val="18"/>
          <w:szCs w:val="18"/>
          <w:lang w:val="en-GB"/>
        </w:rPr>
        <w:t xml:space="preserve"> checks thereof are provided by </w:t>
      </w:r>
      <w:r w:rsidRPr="00753F93">
        <w:rPr>
          <w:rFonts w:ascii="Arial" w:hAnsi="Arial" w:cs="Arial"/>
          <w:bCs/>
          <w:sz w:val="18"/>
          <w:szCs w:val="18"/>
          <w:lang w:val="en-GB"/>
        </w:rPr>
        <w:t>the General Directorate of Customs in the Czech Republic.</w:t>
      </w:r>
    </w:p>
    <w:p w14:paraId="20FF8B74" w14:textId="648F79C4" w:rsidR="00BA0627" w:rsidRPr="00753F93" w:rsidRDefault="00BA0627" w:rsidP="00BA062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both"/>
        <w:rPr>
          <w:rFonts w:ascii="Arial" w:hAnsi="Arial" w:cs="Arial"/>
          <w:bCs/>
          <w:sz w:val="18"/>
          <w:szCs w:val="18"/>
          <w:lang w:val="en-GB"/>
        </w:rPr>
      </w:pPr>
      <w:r w:rsidRPr="00753F93">
        <w:rPr>
          <w:rFonts w:ascii="Arial" w:hAnsi="Arial" w:cs="Arial"/>
          <w:bCs/>
          <w:sz w:val="18"/>
          <w:szCs w:val="18"/>
          <w:lang w:val="en-GB"/>
        </w:rPr>
        <w:t>In compliance with binding EU regulations, the surveying of data on international trade is regulated by the Act No 242/2016 Coll., the Customs Act</w:t>
      </w:r>
      <w:r w:rsidR="001F54AA" w:rsidRPr="00753F93">
        <w:rPr>
          <w:rFonts w:ascii="Arial" w:hAnsi="Arial" w:cs="Arial"/>
          <w:bCs/>
          <w:sz w:val="18"/>
          <w:szCs w:val="18"/>
          <w:lang w:val="en-GB"/>
        </w:rPr>
        <w:t>, as amended</w:t>
      </w:r>
      <w:r w:rsidRPr="00753F93">
        <w:rPr>
          <w:rFonts w:ascii="Arial" w:hAnsi="Arial" w:cs="Arial"/>
          <w:bCs/>
          <w:sz w:val="18"/>
          <w:szCs w:val="18"/>
          <w:lang w:val="en-GB"/>
        </w:rPr>
        <w:t>. For data collection in the Intrastat system, the surveying is governed by the Order of the Government of the Czech Republic No 333/2021 Coll. implementing certain provisions of the Customs Act in statistics</w:t>
      </w:r>
      <w:r w:rsidR="00E85E6F" w:rsidRPr="00753F93">
        <w:rPr>
          <w:rFonts w:ascii="Arial" w:hAnsi="Arial" w:cs="Arial"/>
          <w:bCs/>
          <w:sz w:val="18"/>
          <w:szCs w:val="18"/>
          <w:lang w:val="en-GB"/>
        </w:rPr>
        <w:t>, as amended by Government Regulation No 442/2023 Coll</w:t>
      </w:r>
      <w:r w:rsidRPr="00753F93">
        <w:rPr>
          <w:rFonts w:ascii="Arial" w:hAnsi="Arial" w:cs="Arial"/>
          <w:bCs/>
          <w:sz w:val="18"/>
          <w:szCs w:val="18"/>
          <w:lang w:val="en-GB"/>
        </w:rPr>
        <w:t>.</w:t>
      </w:r>
    </w:p>
    <w:p w14:paraId="30AE1F6E" w14:textId="77777777" w:rsidR="00BA0627" w:rsidRPr="00753F93" w:rsidRDefault="00BA0627" w:rsidP="006F124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both"/>
        <w:rPr>
          <w:rFonts w:ascii="Arial" w:hAnsi="Arial" w:cs="Arial"/>
          <w:bCs/>
          <w:sz w:val="18"/>
          <w:szCs w:val="18"/>
          <w:lang w:val="en-GB"/>
        </w:rPr>
      </w:pPr>
      <w:r w:rsidRPr="00753F93">
        <w:rPr>
          <w:rFonts w:ascii="Arial" w:hAnsi="Arial" w:cs="Arial"/>
          <w:b/>
          <w:bCs/>
          <w:sz w:val="18"/>
          <w:szCs w:val="18"/>
          <w:lang w:val="en-GB"/>
        </w:rPr>
        <w:t>From the statistics of international trade in goods (change of ownership)</w:t>
      </w:r>
      <w:r w:rsidRPr="00753F93">
        <w:rPr>
          <w:rFonts w:ascii="Arial" w:hAnsi="Arial" w:cs="Arial"/>
          <w:bCs/>
          <w:sz w:val="18"/>
          <w:szCs w:val="18"/>
          <w:lang w:val="en-GB"/>
        </w:rPr>
        <w:t xml:space="preserve"> perspective, the values of </w:t>
      </w:r>
      <w:r w:rsidRPr="00753F93">
        <w:rPr>
          <w:rFonts w:ascii="Arial" w:hAnsi="Arial" w:cs="Arial"/>
          <w:b/>
          <w:bCs/>
          <w:sz w:val="18"/>
          <w:szCs w:val="18"/>
          <w:lang w:val="en-GB"/>
        </w:rPr>
        <w:t>exported goods</w:t>
      </w:r>
      <w:r w:rsidRPr="00753F93">
        <w:rPr>
          <w:rFonts w:ascii="Arial" w:hAnsi="Arial" w:cs="Arial"/>
          <w:bCs/>
          <w:sz w:val="18"/>
          <w:szCs w:val="18"/>
          <w:lang w:val="en-GB"/>
        </w:rPr>
        <w:t xml:space="preserve"> declared at the border crossing directly by residents and taken from Intrastat and Extrastat data and the values of goods purchased by foreign entities (non-residents) on the territory of the Czech Republic and taken from VAT tax returns submitted by non-residents in the Czech Republic are considered exports.</w:t>
      </w:r>
    </w:p>
    <w:p w14:paraId="22F8992D" w14:textId="4C3BBC3C" w:rsidR="00BA0627" w:rsidRPr="00753F93" w:rsidRDefault="00BA0627" w:rsidP="00BA062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both"/>
        <w:rPr>
          <w:rFonts w:ascii="Arial" w:hAnsi="Arial" w:cs="Arial"/>
          <w:bCs/>
          <w:sz w:val="18"/>
          <w:szCs w:val="18"/>
          <w:lang w:val="en-GB"/>
        </w:rPr>
      </w:pPr>
      <w:r w:rsidRPr="00753F93">
        <w:rPr>
          <w:rFonts w:ascii="Arial" w:hAnsi="Arial" w:cs="Arial"/>
          <w:bCs/>
          <w:sz w:val="18"/>
          <w:szCs w:val="18"/>
          <w:lang w:val="en-GB"/>
        </w:rPr>
        <w:t xml:space="preserve">The values of </w:t>
      </w:r>
      <w:r w:rsidRPr="00753F93">
        <w:rPr>
          <w:rFonts w:ascii="Arial" w:hAnsi="Arial" w:cs="Arial"/>
          <w:b/>
          <w:bCs/>
          <w:sz w:val="18"/>
          <w:szCs w:val="18"/>
          <w:lang w:val="en-GB"/>
        </w:rPr>
        <w:t>imported goods</w:t>
      </w:r>
      <w:r w:rsidRPr="00753F93">
        <w:rPr>
          <w:rFonts w:ascii="Arial" w:hAnsi="Arial" w:cs="Arial"/>
          <w:bCs/>
          <w:sz w:val="18"/>
          <w:szCs w:val="18"/>
          <w:lang w:val="en-GB"/>
        </w:rPr>
        <w:t xml:space="preserve"> declared at the border crossing directly by residents and taken from Intrastat and Extrastat data and the values of goods sold by foreign entities (non-residents) on the terr</w:t>
      </w:r>
      <w:r w:rsidR="00CA2788" w:rsidRPr="00753F93">
        <w:rPr>
          <w:rFonts w:ascii="Arial" w:hAnsi="Arial" w:cs="Arial"/>
          <w:bCs/>
          <w:sz w:val="18"/>
          <w:szCs w:val="18"/>
          <w:lang w:val="en-GB"/>
        </w:rPr>
        <w:t>itory of the Czech Republic and </w:t>
      </w:r>
      <w:r w:rsidRPr="00753F93">
        <w:rPr>
          <w:rFonts w:ascii="Arial" w:hAnsi="Arial" w:cs="Arial"/>
          <w:bCs/>
          <w:sz w:val="18"/>
          <w:szCs w:val="18"/>
          <w:lang w:val="en-GB"/>
        </w:rPr>
        <w:t>taken from VAT tax returns submitted by non-residents in the Czech Republic are considered imports.</w:t>
      </w:r>
    </w:p>
    <w:p w14:paraId="36192180" w14:textId="77777777" w:rsidR="00BA0627" w:rsidRPr="00753F93" w:rsidRDefault="00BA0627" w:rsidP="00EA72A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both"/>
        <w:rPr>
          <w:rFonts w:ascii="Arial" w:hAnsi="Arial" w:cs="Arial"/>
          <w:bCs/>
          <w:sz w:val="18"/>
          <w:szCs w:val="18"/>
          <w:lang w:val="en-GB"/>
        </w:rPr>
      </w:pPr>
      <w:r w:rsidRPr="00753F93">
        <w:rPr>
          <w:rFonts w:ascii="Arial" w:hAnsi="Arial" w:cs="Arial"/>
          <w:bCs/>
          <w:sz w:val="18"/>
          <w:szCs w:val="18"/>
          <w:lang w:val="en-GB"/>
        </w:rPr>
        <w:t>This way, solely the data for non-residents (foreign entities) are adjusted when translating from data on the cross-border movements of goods to the concept of international trade in goods (change of ownership). Values of exports and imports of goods reported by Czech entities remain unchanged and therefore they are identical in both statistics.</w:t>
      </w:r>
    </w:p>
    <w:p w14:paraId="7D26F048" w14:textId="36198D56" w:rsidR="00BA0627" w:rsidRPr="00753F93" w:rsidRDefault="00BA0627" w:rsidP="004E444A">
      <w:pPr>
        <w:spacing w:before="120" w:after="120"/>
        <w:jc w:val="both"/>
        <w:rPr>
          <w:rFonts w:ascii="Arial" w:hAnsi="Arial" w:cs="Arial"/>
          <w:bCs/>
          <w:sz w:val="18"/>
          <w:szCs w:val="18"/>
          <w:lang w:val="en-GB"/>
        </w:rPr>
      </w:pPr>
      <w:r w:rsidRPr="00753F93">
        <w:rPr>
          <w:rFonts w:ascii="Arial" w:hAnsi="Arial" w:cs="Arial"/>
          <w:bCs/>
          <w:sz w:val="18"/>
          <w:szCs w:val="18"/>
          <w:lang w:val="en-GB"/>
        </w:rPr>
        <w:t>Since data in VAT tax returns do not include information on the commodity structure of purchases and sales of non-residents in the Czech Republic, the commodity structure is derived from the commodity structure of cross-border transactions of non-residents and from industrial statistics data (i.e. of entities, whi</w:t>
      </w:r>
      <w:r w:rsidR="00CA2788" w:rsidRPr="00753F93">
        <w:rPr>
          <w:rFonts w:ascii="Arial" w:hAnsi="Arial" w:cs="Arial"/>
          <w:bCs/>
          <w:sz w:val="18"/>
          <w:szCs w:val="18"/>
          <w:lang w:val="en-GB"/>
        </w:rPr>
        <w:t>ch sell their production to </w:t>
      </w:r>
      <w:r w:rsidR="004E444A" w:rsidRPr="00753F93">
        <w:rPr>
          <w:rFonts w:ascii="Arial" w:hAnsi="Arial" w:cs="Arial"/>
          <w:bCs/>
          <w:sz w:val="18"/>
          <w:szCs w:val="18"/>
          <w:lang w:val="en-GB"/>
        </w:rPr>
        <w:t>non</w:t>
      </w:r>
      <w:r w:rsidR="004E444A" w:rsidRPr="00753F93">
        <w:rPr>
          <w:rFonts w:ascii="Arial" w:hAnsi="Arial" w:cs="Arial"/>
          <w:bCs/>
          <w:sz w:val="18"/>
          <w:szCs w:val="18"/>
          <w:lang w:val="en-GB"/>
        </w:rPr>
        <w:noBreakHyphen/>
      </w:r>
      <w:r w:rsidRPr="00753F93">
        <w:rPr>
          <w:rFonts w:ascii="Arial" w:hAnsi="Arial" w:cs="Arial"/>
          <w:bCs/>
          <w:sz w:val="18"/>
          <w:szCs w:val="18"/>
          <w:lang w:val="en-GB"/>
        </w:rPr>
        <w:t>residents already on the territory of the Czech Republic).</w:t>
      </w:r>
    </w:p>
    <w:p w14:paraId="001A7B83" w14:textId="33E6F490" w:rsidR="008A7F74" w:rsidRPr="005160E9" w:rsidRDefault="00BA0627" w:rsidP="004E444A">
      <w:pPr>
        <w:pStyle w:val="Zkladntextodsazen3"/>
        <w:ind w:firstLine="0"/>
        <w:rPr>
          <w:sz w:val="18"/>
          <w:szCs w:val="18"/>
          <w:lang w:val="en-GB"/>
        </w:rPr>
      </w:pPr>
      <w:r w:rsidRPr="005160E9">
        <w:rPr>
          <w:rFonts w:cs="Arial"/>
          <w:bCs/>
          <w:spacing w:val="-4"/>
          <w:sz w:val="18"/>
          <w:szCs w:val="18"/>
          <w:lang w:val="en-GB"/>
        </w:rPr>
        <w:t>Further information at:</w:t>
      </w:r>
      <w:r w:rsidR="004E444A" w:rsidRPr="005160E9">
        <w:rPr>
          <w:rFonts w:cs="Arial"/>
          <w:bCs/>
          <w:spacing w:val="-4"/>
          <w:sz w:val="18"/>
          <w:szCs w:val="18"/>
          <w:lang w:val="en-GB"/>
        </w:rPr>
        <w:t xml:space="preserve"> </w:t>
      </w:r>
      <w:hyperlink r:id="rId8" w:history="1">
        <w:r w:rsidR="00E736CE" w:rsidRPr="005160E9">
          <w:rPr>
            <w:rStyle w:val="Hypertextovodkaz"/>
            <w:sz w:val="18"/>
            <w:szCs w:val="18"/>
            <w:lang w:val="en-GB"/>
          </w:rPr>
          <w:t>International trade in goods (change of ownership) - methodology</w:t>
        </w:r>
      </w:hyperlink>
      <w:r w:rsidR="00E736CE" w:rsidRPr="005160E9">
        <w:rPr>
          <w:rFonts w:cs="Arial"/>
          <w:bCs/>
          <w:spacing w:val="-4"/>
          <w:sz w:val="18"/>
          <w:szCs w:val="18"/>
          <w:lang w:val="en-GB"/>
        </w:rPr>
        <w:t xml:space="preserve"> .</w:t>
      </w:r>
    </w:p>
    <w:p w14:paraId="559A694F" w14:textId="77777777" w:rsidR="006F1240" w:rsidRPr="00753F93" w:rsidRDefault="006F1240" w:rsidP="004E444A">
      <w:pPr>
        <w:pStyle w:val="Zkladntextodsazen3"/>
        <w:ind w:firstLine="0"/>
        <w:rPr>
          <w:spacing w:val="-4"/>
          <w:lang w:val="en-GB"/>
        </w:rPr>
      </w:pPr>
    </w:p>
    <w:p w14:paraId="13011108" w14:textId="4F343D98" w:rsidR="002C2B4A" w:rsidRPr="00753F93" w:rsidRDefault="002C2B4A">
      <w:pPr>
        <w:jc w:val="both"/>
        <w:rPr>
          <w:rFonts w:ascii="Arial" w:hAnsi="Arial"/>
          <w:b/>
          <w:bCs/>
          <w:sz w:val="18"/>
          <w:lang w:val="en-GB"/>
        </w:rPr>
      </w:pPr>
      <w:r w:rsidRPr="00753F93">
        <w:rPr>
          <w:rFonts w:ascii="Arial" w:hAnsi="Arial"/>
          <w:b/>
          <w:bCs/>
          <w:sz w:val="18"/>
          <w:lang w:val="en-GB"/>
        </w:rPr>
        <w:t>______________________</w:t>
      </w:r>
    </w:p>
    <w:p w14:paraId="3D73794D" w14:textId="77777777" w:rsidR="001F7DEE" w:rsidRPr="00753F93" w:rsidRDefault="001F7DEE">
      <w:pPr>
        <w:jc w:val="both"/>
        <w:rPr>
          <w:rFonts w:ascii="Arial" w:hAnsi="Arial"/>
          <w:b/>
          <w:bCs/>
          <w:sz w:val="16"/>
          <w:szCs w:val="16"/>
          <w:lang w:val="en-GB"/>
        </w:rPr>
      </w:pPr>
    </w:p>
    <w:p w14:paraId="0C07BDFC" w14:textId="2B9F6D19" w:rsidR="00BA0627" w:rsidRPr="00753F93" w:rsidRDefault="00BA0627" w:rsidP="001F7D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ascii="Arial" w:hAnsi="Arial" w:cs="Arial"/>
          <w:bCs/>
          <w:sz w:val="18"/>
          <w:szCs w:val="18"/>
          <w:lang w:val="en-GB"/>
        </w:rPr>
      </w:pPr>
      <w:r w:rsidRPr="00753F93">
        <w:rPr>
          <w:rFonts w:ascii="Arial" w:hAnsi="Arial" w:cs="Arial"/>
          <w:b/>
          <w:bCs/>
          <w:sz w:val="18"/>
          <w:szCs w:val="18"/>
          <w:lang w:val="en-GB"/>
        </w:rPr>
        <w:t xml:space="preserve">Since 2020, data on international trade in goods have been recalculated </w:t>
      </w:r>
      <w:r w:rsidR="004E444A" w:rsidRPr="00753F93">
        <w:rPr>
          <w:rFonts w:ascii="Arial" w:hAnsi="Arial" w:cs="Arial"/>
          <w:b/>
          <w:bCs/>
          <w:sz w:val="18"/>
          <w:szCs w:val="18"/>
          <w:lang w:val="en-GB"/>
        </w:rPr>
        <w:t>by an updated method based on a </w:t>
      </w:r>
      <w:r w:rsidRPr="00753F93">
        <w:rPr>
          <w:rFonts w:ascii="Arial" w:hAnsi="Arial" w:cs="Arial"/>
          <w:b/>
          <w:bCs/>
          <w:sz w:val="18"/>
          <w:szCs w:val="18"/>
          <w:lang w:val="en-GB"/>
        </w:rPr>
        <w:t>higher level of detail.</w:t>
      </w:r>
      <w:r w:rsidR="006F1240" w:rsidRPr="00753F93">
        <w:rPr>
          <w:rFonts w:ascii="Arial" w:hAnsi="Arial" w:cs="Arial"/>
          <w:b/>
          <w:bCs/>
          <w:sz w:val="18"/>
          <w:szCs w:val="18"/>
          <w:lang w:val="en-GB"/>
        </w:rPr>
        <w:t xml:space="preserve"> </w:t>
      </w:r>
      <w:r w:rsidR="006F1240" w:rsidRPr="00753F93">
        <w:rPr>
          <w:rStyle w:val="Zdraznn"/>
          <w:rFonts w:ascii="Arial" w:hAnsi="Arial" w:cs="Arial"/>
          <w:b/>
          <w:i w:val="0"/>
          <w:sz w:val="18"/>
          <w:szCs w:val="18"/>
          <w:lang w:val="en-GB"/>
        </w:rPr>
        <w:t>See</w:t>
      </w:r>
      <w:r w:rsidR="00E736CE" w:rsidRPr="00753F93">
        <w:rPr>
          <w:rStyle w:val="Zdraznn"/>
          <w:rFonts w:ascii="Arial" w:hAnsi="Arial" w:cs="Arial"/>
          <w:b/>
          <w:i w:val="0"/>
          <w:sz w:val="18"/>
          <w:szCs w:val="18"/>
          <w:lang w:val="en-GB"/>
        </w:rPr>
        <w:t xml:space="preserve"> </w:t>
      </w:r>
      <w:hyperlink r:id="rId9" w:history="1">
        <w:r w:rsidR="00E736CE" w:rsidRPr="00753F93">
          <w:rPr>
            <w:rStyle w:val="Hypertextovodkaz"/>
            <w:rFonts w:ascii="Arial" w:hAnsi="Arial" w:cs="Arial"/>
            <w:sz w:val="18"/>
            <w:szCs w:val="18"/>
            <w:lang w:val="en-GB"/>
          </w:rPr>
          <w:t>Update of the compilation method – International trade in goods (change of ownership)</w:t>
        </w:r>
      </w:hyperlink>
      <w:r w:rsidR="00E736CE" w:rsidRPr="00753F93">
        <w:rPr>
          <w:rFonts w:ascii="Arial" w:hAnsi="Arial" w:cs="Arial"/>
          <w:sz w:val="18"/>
          <w:szCs w:val="18"/>
          <w:lang w:val="en-GB"/>
        </w:rPr>
        <w:t>.</w:t>
      </w:r>
      <w:r w:rsidR="00E736CE" w:rsidRPr="00753F93">
        <w:rPr>
          <w:rStyle w:val="Zdraznn"/>
          <w:rFonts w:ascii="Arial" w:hAnsi="Arial" w:cs="Arial"/>
          <w:b/>
          <w:i w:val="0"/>
          <w:sz w:val="18"/>
          <w:szCs w:val="18"/>
          <w:lang w:val="en-GB"/>
        </w:rPr>
        <w:t xml:space="preserve"> </w:t>
      </w:r>
      <w:r w:rsidR="006F1240" w:rsidRPr="00753F93">
        <w:rPr>
          <w:rStyle w:val="Zdraznn"/>
          <w:rFonts w:ascii="Arial" w:hAnsi="Arial" w:cs="Arial"/>
          <w:b/>
          <w:i w:val="0"/>
          <w:sz w:val="18"/>
          <w:szCs w:val="18"/>
          <w:lang w:val="en-GB"/>
        </w:rPr>
        <w:t xml:space="preserve"> </w:t>
      </w:r>
    </w:p>
    <w:p w14:paraId="64E5E8AC" w14:textId="50A53E7E" w:rsidR="0080527C" w:rsidRPr="004B6C97" w:rsidRDefault="004B6C97" w:rsidP="00C51C35">
      <w:pPr>
        <w:spacing w:after="120"/>
        <w:jc w:val="both"/>
        <w:rPr>
          <w:rFonts w:ascii="Arial" w:hAnsi="Arial" w:cs="Arial"/>
          <w:sz w:val="17"/>
          <w:szCs w:val="17"/>
          <w:lang w:val="en-GB"/>
        </w:rPr>
      </w:pPr>
      <w:r w:rsidRPr="004B6C97">
        <w:rPr>
          <w:rFonts w:ascii="Arial" w:hAnsi="Arial" w:cs="Arial"/>
          <w:b/>
          <w:bCs/>
          <w:sz w:val="17"/>
          <w:lang w:val="en-GB"/>
        </w:rPr>
        <w:t>Data for respective months of 2025 is preliminary; data up to and including year 2024 is final.</w:t>
      </w:r>
      <w:r w:rsidRPr="004B6C97">
        <w:rPr>
          <w:rFonts w:ascii="Arial" w:hAnsi="Arial" w:cs="Arial"/>
          <w:b/>
          <w:bCs/>
          <w:sz w:val="17"/>
          <w:lang w:val="en-GB"/>
        </w:rPr>
        <w:t xml:space="preserve"> </w:t>
      </w:r>
      <w:r w:rsidR="0080527C" w:rsidRPr="004B6C97">
        <w:rPr>
          <w:rFonts w:ascii="Arial" w:hAnsi="Arial" w:cs="Arial"/>
          <w:sz w:val="17"/>
          <w:szCs w:val="17"/>
          <w:lang w:val="en-GB"/>
        </w:rPr>
        <w:t xml:space="preserve">Casual differences on the last digit position arise from rounding off the </w:t>
      </w:r>
      <w:r w:rsidR="00980FE1" w:rsidRPr="004B6C97">
        <w:rPr>
          <w:rFonts w:ascii="Arial" w:hAnsi="Arial" w:cs="Arial"/>
          <w:sz w:val="17"/>
          <w:szCs w:val="17"/>
          <w:lang w:val="en-GB"/>
        </w:rPr>
        <w:t>figures</w:t>
      </w:r>
      <w:r w:rsidR="0080527C" w:rsidRPr="004B6C97">
        <w:rPr>
          <w:rFonts w:ascii="Arial" w:hAnsi="Arial" w:cs="Arial"/>
          <w:sz w:val="17"/>
          <w:szCs w:val="17"/>
          <w:lang w:val="en-GB"/>
        </w:rPr>
        <w:t>.</w:t>
      </w:r>
    </w:p>
    <w:p w14:paraId="0BAC569A" w14:textId="337271E6" w:rsidR="007E6A4E" w:rsidRPr="004B6C97" w:rsidRDefault="004B6C97" w:rsidP="00C51C35">
      <w:pPr>
        <w:spacing w:before="120" w:after="120"/>
        <w:jc w:val="both"/>
        <w:rPr>
          <w:rFonts w:ascii="Arial" w:hAnsi="Arial" w:cs="Arial"/>
          <w:sz w:val="17"/>
          <w:lang w:val="en-GB"/>
        </w:rPr>
      </w:pPr>
      <w:r w:rsidRPr="004B6C97">
        <w:rPr>
          <w:rFonts w:ascii="Arial" w:hAnsi="Arial" w:cs="Arial"/>
          <w:iCs/>
          <w:sz w:val="17"/>
          <w:lang w:val="en-GB"/>
        </w:rPr>
        <w:t>Data for companies, which are subject to the reporting duty and which failed to report data (non-response), has been imputed according to exports and imports these companies reported in the previous period. Data for companies exempted from the reporting duty was estimated on the basis of the data given in the VAT return forms. The data, which was not available from the VAT return forms, is estimated on the basis of the values for previous periods.</w:t>
      </w:r>
    </w:p>
    <w:p w14:paraId="74EAFC03" w14:textId="61B76529" w:rsidR="00D7274F" w:rsidRPr="00753F93" w:rsidRDefault="00F51DB9" w:rsidP="00D7274F">
      <w:pPr>
        <w:spacing w:after="120"/>
        <w:jc w:val="both"/>
        <w:rPr>
          <w:rFonts w:ascii="Arial" w:hAnsi="Arial" w:cs="Arial"/>
          <w:iCs/>
          <w:sz w:val="17"/>
          <w:lang w:val="en-GB"/>
        </w:rPr>
      </w:pPr>
      <w:r w:rsidRPr="00753F93">
        <w:rPr>
          <w:rFonts w:ascii="Arial" w:hAnsi="Arial" w:cs="Arial"/>
          <w:sz w:val="17"/>
          <w:lang w:val="en-GB"/>
        </w:rPr>
        <w:t>Since March 2022, in accordance with the methodology of Eurostat, selected data for exports and imports of military equipment and weapons are for safety reasons included in other goods codes and another territorial structure so that the macroeconomic aggregate of international trade in goods is not influenced</w:t>
      </w:r>
      <w:r w:rsidR="00D7274F" w:rsidRPr="00753F93">
        <w:rPr>
          <w:rFonts w:ascii="Arial" w:hAnsi="Arial" w:cs="Arial"/>
          <w:iCs/>
          <w:sz w:val="17"/>
          <w:lang w:val="en-GB"/>
        </w:rPr>
        <w:t>.</w:t>
      </w:r>
    </w:p>
    <w:p w14:paraId="631BFA3B" w14:textId="43B5DBE1" w:rsidR="008A7F74" w:rsidRPr="00753F93" w:rsidRDefault="008A7F74" w:rsidP="008A7F74">
      <w:pPr>
        <w:jc w:val="both"/>
        <w:rPr>
          <w:rFonts w:ascii="Arial" w:hAnsi="Arial" w:cs="Arial"/>
          <w:b/>
          <w:sz w:val="17"/>
          <w:szCs w:val="17"/>
          <w:lang w:val="en-GB"/>
        </w:rPr>
      </w:pPr>
      <w:r w:rsidRPr="00753F93">
        <w:rPr>
          <w:rFonts w:ascii="Arial" w:hAnsi="Arial" w:cs="Arial"/>
          <w:b/>
          <w:sz w:val="17"/>
          <w:szCs w:val="17"/>
          <w:lang w:val="en-GB"/>
        </w:rPr>
        <w:t xml:space="preserve">EU (European Union) </w:t>
      </w:r>
      <w:r w:rsidR="004E444A" w:rsidRPr="00753F93">
        <w:rPr>
          <w:rFonts w:ascii="Arial" w:hAnsi="Arial" w:cs="Arial"/>
          <w:b/>
          <w:sz w:val="17"/>
          <w:szCs w:val="17"/>
          <w:lang w:val="en-GB"/>
        </w:rPr>
        <w:t>–</w:t>
      </w:r>
      <w:r w:rsidRPr="00753F93">
        <w:rPr>
          <w:rFonts w:ascii="Arial" w:hAnsi="Arial" w:cs="Arial"/>
          <w:b/>
          <w:sz w:val="17"/>
          <w:szCs w:val="17"/>
          <w:lang w:val="en-GB"/>
        </w:rPr>
        <w:t xml:space="preserve"> </w:t>
      </w:r>
      <w:r w:rsidR="004E444A" w:rsidRPr="00753F93">
        <w:rPr>
          <w:rFonts w:ascii="Arial" w:hAnsi="Arial" w:cs="Arial"/>
          <w:b/>
          <w:sz w:val="17"/>
          <w:szCs w:val="17"/>
          <w:lang w:val="en-GB"/>
        </w:rPr>
        <w:t>27 member states</w:t>
      </w:r>
      <w:r w:rsidRPr="00753F93">
        <w:rPr>
          <w:rFonts w:ascii="Arial" w:hAnsi="Arial" w:cs="Arial"/>
          <w:b/>
          <w:sz w:val="17"/>
          <w:szCs w:val="17"/>
          <w:lang w:val="en-GB"/>
        </w:rPr>
        <w:t xml:space="preserve">: </w:t>
      </w:r>
    </w:p>
    <w:p w14:paraId="435B8AEA" w14:textId="0255CBA4" w:rsidR="008A7F74" w:rsidRPr="00753F93" w:rsidRDefault="008A7F74" w:rsidP="008A7F74">
      <w:pPr>
        <w:spacing w:after="120"/>
        <w:jc w:val="both"/>
        <w:rPr>
          <w:rFonts w:ascii="Arial" w:hAnsi="Arial" w:cs="Arial"/>
          <w:sz w:val="17"/>
          <w:lang w:val="en-GB"/>
        </w:rPr>
      </w:pPr>
      <w:r w:rsidRPr="00753F93">
        <w:rPr>
          <w:rFonts w:ascii="Arial" w:hAnsi="Arial" w:cs="Arial"/>
          <w:sz w:val="17"/>
          <w:szCs w:val="17"/>
          <w:lang w:val="en-GB"/>
        </w:rPr>
        <w:t>Austria, Belgium, Bulgaria, Croatia, Cyprus</w:t>
      </w:r>
      <w:r w:rsidRPr="00753F93">
        <w:rPr>
          <w:rFonts w:ascii="Arial" w:hAnsi="Arial" w:cs="Arial"/>
          <w:sz w:val="17"/>
          <w:lang w:val="en-GB"/>
        </w:rPr>
        <w:t>, Czech Republic, Denmark, Estonia, Finland, France, Germany, Greece, Hungary, Ireland, Italy, Latvia, Lithuania, Luxembourg, Malta, Netherlands, Poland, Portugal, Romania, Slovakia, Slovenia, Spain, Sweden</w:t>
      </w:r>
      <w:r w:rsidR="001146D2" w:rsidRPr="00753F93">
        <w:rPr>
          <w:rFonts w:ascii="Arial" w:hAnsi="Arial" w:cs="Arial"/>
          <w:sz w:val="17"/>
          <w:lang w:val="en-GB"/>
        </w:rPr>
        <w:t>.</w:t>
      </w:r>
      <w:r w:rsidRPr="00753F93">
        <w:rPr>
          <w:rFonts w:ascii="Arial" w:hAnsi="Arial" w:cs="Arial"/>
          <w:sz w:val="17"/>
          <w:lang w:val="en-GB"/>
        </w:rPr>
        <w:t xml:space="preserve"> </w:t>
      </w:r>
    </w:p>
    <w:p w14:paraId="29ED18E9" w14:textId="265FAA1F" w:rsidR="00D445CE" w:rsidRPr="00753F93" w:rsidRDefault="00D445CE" w:rsidP="00D445CE">
      <w:pPr>
        <w:jc w:val="both"/>
        <w:rPr>
          <w:rFonts w:ascii="Arial" w:hAnsi="Arial" w:cs="Arial"/>
          <w:b/>
          <w:sz w:val="17"/>
          <w:lang w:val="en-GB"/>
        </w:rPr>
      </w:pPr>
      <w:r w:rsidRPr="00753F93">
        <w:rPr>
          <w:rFonts w:ascii="Arial" w:hAnsi="Arial" w:cs="Arial"/>
          <w:b/>
          <w:sz w:val="17"/>
          <w:lang w:val="en-GB"/>
        </w:rPr>
        <w:t>Eurozone</w:t>
      </w:r>
      <w:r w:rsidR="004E444A" w:rsidRPr="00753F93">
        <w:rPr>
          <w:rFonts w:ascii="Arial" w:hAnsi="Arial" w:cs="Arial"/>
          <w:b/>
          <w:sz w:val="17"/>
          <w:lang w:val="en-GB"/>
        </w:rPr>
        <w:t xml:space="preserve"> 20</w:t>
      </w:r>
      <w:r w:rsidRPr="00753F93">
        <w:rPr>
          <w:rFonts w:ascii="Arial" w:hAnsi="Arial" w:cs="Arial"/>
          <w:b/>
          <w:sz w:val="17"/>
          <w:lang w:val="en-GB"/>
        </w:rPr>
        <w:t xml:space="preserve"> (Euro area – monetary union of </w:t>
      </w:r>
      <w:r w:rsidR="004E444A" w:rsidRPr="00753F93">
        <w:rPr>
          <w:rFonts w:ascii="Arial" w:hAnsi="Arial" w:cs="Arial"/>
          <w:b/>
          <w:sz w:val="17"/>
          <w:lang w:val="en-GB"/>
        </w:rPr>
        <w:t>20</w:t>
      </w:r>
      <w:r w:rsidRPr="00753F93">
        <w:rPr>
          <w:rFonts w:ascii="Arial" w:hAnsi="Arial" w:cs="Arial"/>
          <w:b/>
          <w:sz w:val="17"/>
          <w:lang w:val="en-GB"/>
        </w:rPr>
        <w:t xml:space="preserve"> European Union member states):</w:t>
      </w:r>
    </w:p>
    <w:p w14:paraId="07E17DB0" w14:textId="1DAB9488" w:rsidR="000B55D7" w:rsidRPr="00753F93" w:rsidRDefault="00D445CE" w:rsidP="00D445CE">
      <w:pPr>
        <w:jc w:val="both"/>
        <w:rPr>
          <w:rFonts w:ascii="Arial" w:hAnsi="Arial" w:cs="Arial"/>
          <w:sz w:val="17"/>
          <w:lang w:val="en-GB"/>
        </w:rPr>
      </w:pPr>
      <w:r w:rsidRPr="00753F93">
        <w:rPr>
          <w:rFonts w:ascii="Arial" w:hAnsi="Arial" w:cs="Arial"/>
          <w:sz w:val="17"/>
          <w:lang w:val="en-GB"/>
        </w:rPr>
        <w:t xml:space="preserve">Austria, Belgium, </w:t>
      </w:r>
      <w:r w:rsidR="004E444A" w:rsidRPr="00753F93">
        <w:rPr>
          <w:rFonts w:ascii="Arial" w:hAnsi="Arial" w:cs="Arial"/>
          <w:sz w:val="17"/>
          <w:lang w:val="en-GB"/>
        </w:rPr>
        <w:t xml:space="preserve">Croatia, </w:t>
      </w:r>
      <w:r w:rsidRPr="00753F93">
        <w:rPr>
          <w:rFonts w:ascii="Arial" w:hAnsi="Arial" w:cs="Arial"/>
          <w:sz w:val="17"/>
          <w:lang w:val="en-GB"/>
        </w:rPr>
        <w:t>Cyprus, Estonia, Finland, France, Germany, Greece, Ireland, Italy, Latvia, Lithuania, Luxembourg, Malta, Netherlands, Port</w:t>
      </w:r>
      <w:r w:rsidR="001146D2" w:rsidRPr="00753F93">
        <w:rPr>
          <w:rFonts w:ascii="Arial" w:hAnsi="Arial" w:cs="Arial"/>
          <w:sz w:val="17"/>
          <w:lang w:val="en-GB"/>
        </w:rPr>
        <w:t>ugal, Slovakia, Slovenia, Spain.</w:t>
      </w:r>
    </w:p>
    <w:sectPr w:rsidR="000B55D7" w:rsidRPr="00753F93" w:rsidSect="006F1240">
      <w:headerReference w:type="even" r:id="rId10"/>
      <w:footnotePr>
        <w:numRestart w:val="eachPage"/>
      </w:footnotePr>
      <w:pgSz w:w="11906" w:h="16838" w:code="9"/>
      <w:pgMar w:top="1361" w:right="1134" w:bottom="1134" w:left="1134"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93913" w14:textId="77777777" w:rsidR="00DC0BC0" w:rsidRDefault="00DC0BC0">
      <w:r>
        <w:separator/>
      </w:r>
    </w:p>
  </w:endnote>
  <w:endnote w:type="continuationSeparator" w:id="0">
    <w:p w14:paraId="4AE3F0BB" w14:textId="77777777" w:rsidR="00DC0BC0" w:rsidRDefault="00DC0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CE oby_ejné">
    <w:altName w:val="Times New Roman"/>
    <w:panose1 w:val="00000000000000000000"/>
    <w:charset w:val="EE"/>
    <w:family w:val="roman"/>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F732F" w14:textId="77777777" w:rsidR="00DC0BC0" w:rsidRDefault="00DC0BC0">
      <w:r>
        <w:separator/>
      </w:r>
    </w:p>
  </w:footnote>
  <w:footnote w:type="continuationSeparator" w:id="0">
    <w:p w14:paraId="3A2037A6" w14:textId="77777777" w:rsidR="00DC0BC0" w:rsidRDefault="00DC0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EFA59" w14:textId="77777777" w:rsidR="002C2B4A" w:rsidRDefault="00DF2DF6">
    <w:pPr>
      <w:pStyle w:val="Zhlav"/>
      <w:framePr w:wrap="around" w:vAnchor="text" w:hAnchor="margin" w:xAlign="center" w:y="1"/>
      <w:rPr>
        <w:rStyle w:val="slostrnky"/>
      </w:rPr>
    </w:pPr>
    <w:r>
      <w:rPr>
        <w:rStyle w:val="slostrnky"/>
      </w:rPr>
      <w:fldChar w:fldCharType="begin"/>
    </w:r>
    <w:r w:rsidR="002C2B4A">
      <w:rPr>
        <w:rStyle w:val="slostrnky"/>
      </w:rPr>
      <w:instrText xml:space="preserve">PAGE  </w:instrText>
    </w:r>
    <w:r>
      <w:rPr>
        <w:rStyle w:val="slostrnky"/>
      </w:rPr>
      <w:fldChar w:fldCharType="end"/>
    </w:r>
  </w:p>
  <w:p w14:paraId="4C770C96" w14:textId="77777777" w:rsidR="002C2B4A" w:rsidRDefault="002C2B4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59AE"/>
    <w:multiLevelType w:val="hybridMultilevel"/>
    <w:tmpl w:val="48AED296"/>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 w15:restartNumberingAfterBreak="0">
    <w:nsid w:val="15C2598C"/>
    <w:multiLevelType w:val="hybridMultilevel"/>
    <w:tmpl w:val="1654EE9E"/>
    <w:lvl w:ilvl="0" w:tplc="4F2A708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7E9469D"/>
    <w:multiLevelType w:val="hybridMultilevel"/>
    <w:tmpl w:val="D73CA5C4"/>
    <w:lvl w:ilvl="0" w:tplc="F5AEAAA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7C4112C5"/>
    <w:multiLevelType w:val="hybridMultilevel"/>
    <w:tmpl w:val="5F966BBC"/>
    <w:lvl w:ilvl="0" w:tplc="5484C1C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68593716">
    <w:abstractNumId w:val="3"/>
  </w:num>
  <w:num w:numId="2" w16cid:durableId="1539465305">
    <w:abstractNumId w:val="1"/>
  </w:num>
  <w:num w:numId="3" w16cid:durableId="918901354">
    <w:abstractNumId w:val="2"/>
  </w:num>
  <w:num w:numId="4" w16cid:durableId="627205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cs-CZ" w:vendorID="64" w:dllVersion="0" w:nlCheck="1" w:checkStyle="0"/>
  <w:proofState w:spelling="clean" w:grammar="clean"/>
  <w:defaultTabStop w:val="708"/>
  <w:hyphenationZone w:val="425"/>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4F41"/>
    <w:rsid w:val="0000248C"/>
    <w:rsid w:val="000A2C40"/>
    <w:rsid w:val="000B55D7"/>
    <w:rsid w:val="00102626"/>
    <w:rsid w:val="001146D2"/>
    <w:rsid w:val="00120738"/>
    <w:rsid w:val="0013104C"/>
    <w:rsid w:val="00165C2F"/>
    <w:rsid w:val="001735F2"/>
    <w:rsid w:val="00186B38"/>
    <w:rsid w:val="00191BD3"/>
    <w:rsid w:val="001A7959"/>
    <w:rsid w:val="001B5220"/>
    <w:rsid w:val="001D0D59"/>
    <w:rsid w:val="001F54AA"/>
    <w:rsid w:val="001F5B55"/>
    <w:rsid w:val="001F7DEE"/>
    <w:rsid w:val="002134DC"/>
    <w:rsid w:val="0022381B"/>
    <w:rsid w:val="002240E0"/>
    <w:rsid w:val="00232F75"/>
    <w:rsid w:val="002850CA"/>
    <w:rsid w:val="002C2B4A"/>
    <w:rsid w:val="002C60EC"/>
    <w:rsid w:val="002D7806"/>
    <w:rsid w:val="002F5E38"/>
    <w:rsid w:val="00330EBC"/>
    <w:rsid w:val="00360E38"/>
    <w:rsid w:val="003917A8"/>
    <w:rsid w:val="003B49B8"/>
    <w:rsid w:val="003C4594"/>
    <w:rsid w:val="003C6607"/>
    <w:rsid w:val="003D6893"/>
    <w:rsid w:val="003E274E"/>
    <w:rsid w:val="0043587F"/>
    <w:rsid w:val="00480DA4"/>
    <w:rsid w:val="00487BDF"/>
    <w:rsid w:val="004B6C97"/>
    <w:rsid w:val="004C1488"/>
    <w:rsid w:val="004D624A"/>
    <w:rsid w:val="004D6982"/>
    <w:rsid w:val="004E444A"/>
    <w:rsid w:val="005160E9"/>
    <w:rsid w:val="005248FF"/>
    <w:rsid w:val="00531339"/>
    <w:rsid w:val="00532165"/>
    <w:rsid w:val="005D55B5"/>
    <w:rsid w:val="005D74AA"/>
    <w:rsid w:val="00601211"/>
    <w:rsid w:val="006139A6"/>
    <w:rsid w:val="00626783"/>
    <w:rsid w:val="00635499"/>
    <w:rsid w:val="0064454E"/>
    <w:rsid w:val="00677773"/>
    <w:rsid w:val="006D0512"/>
    <w:rsid w:val="006D34B5"/>
    <w:rsid w:val="006D7565"/>
    <w:rsid w:val="006F1240"/>
    <w:rsid w:val="00751077"/>
    <w:rsid w:val="00753F93"/>
    <w:rsid w:val="00783DF1"/>
    <w:rsid w:val="007C6D81"/>
    <w:rsid w:val="007E6A4E"/>
    <w:rsid w:val="00803C77"/>
    <w:rsid w:val="0080527C"/>
    <w:rsid w:val="0080785A"/>
    <w:rsid w:val="00807A83"/>
    <w:rsid w:val="0081156F"/>
    <w:rsid w:val="00813871"/>
    <w:rsid w:val="00814FAE"/>
    <w:rsid w:val="008158B3"/>
    <w:rsid w:val="00825440"/>
    <w:rsid w:val="00871168"/>
    <w:rsid w:val="008A13BB"/>
    <w:rsid w:val="008A7F74"/>
    <w:rsid w:val="008B7857"/>
    <w:rsid w:val="008F3F58"/>
    <w:rsid w:val="00914887"/>
    <w:rsid w:val="0095353A"/>
    <w:rsid w:val="009543A4"/>
    <w:rsid w:val="0097064E"/>
    <w:rsid w:val="00980FE1"/>
    <w:rsid w:val="009A6BD1"/>
    <w:rsid w:val="009D59DD"/>
    <w:rsid w:val="00A1388A"/>
    <w:rsid w:val="00A20088"/>
    <w:rsid w:val="00A218E4"/>
    <w:rsid w:val="00A26727"/>
    <w:rsid w:val="00A6234E"/>
    <w:rsid w:val="00A90B5D"/>
    <w:rsid w:val="00AD1448"/>
    <w:rsid w:val="00AD37B5"/>
    <w:rsid w:val="00AE4F41"/>
    <w:rsid w:val="00AF65C6"/>
    <w:rsid w:val="00B25A8C"/>
    <w:rsid w:val="00B35F96"/>
    <w:rsid w:val="00B667D9"/>
    <w:rsid w:val="00B73E4B"/>
    <w:rsid w:val="00B75EB6"/>
    <w:rsid w:val="00BA0627"/>
    <w:rsid w:val="00BC6FFB"/>
    <w:rsid w:val="00BF2555"/>
    <w:rsid w:val="00BF68DB"/>
    <w:rsid w:val="00C07C2C"/>
    <w:rsid w:val="00C51C35"/>
    <w:rsid w:val="00C67783"/>
    <w:rsid w:val="00CA2788"/>
    <w:rsid w:val="00CA28F8"/>
    <w:rsid w:val="00CC1090"/>
    <w:rsid w:val="00D368BD"/>
    <w:rsid w:val="00D445CE"/>
    <w:rsid w:val="00D567DE"/>
    <w:rsid w:val="00D7274F"/>
    <w:rsid w:val="00D75D6F"/>
    <w:rsid w:val="00DA068C"/>
    <w:rsid w:val="00DC0BC0"/>
    <w:rsid w:val="00DC489A"/>
    <w:rsid w:val="00DD6AC9"/>
    <w:rsid w:val="00DE35D4"/>
    <w:rsid w:val="00DE3779"/>
    <w:rsid w:val="00DE4ABB"/>
    <w:rsid w:val="00DF2DF6"/>
    <w:rsid w:val="00E1745E"/>
    <w:rsid w:val="00E61392"/>
    <w:rsid w:val="00E736CE"/>
    <w:rsid w:val="00E85E6F"/>
    <w:rsid w:val="00EA37F1"/>
    <w:rsid w:val="00EA72A4"/>
    <w:rsid w:val="00EC3527"/>
    <w:rsid w:val="00EC4F2A"/>
    <w:rsid w:val="00EE7308"/>
    <w:rsid w:val="00F51A01"/>
    <w:rsid w:val="00F51DB9"/>
    <w:rsid w:val="00FA44E2"/>
    <w:rsid w:val="00FC5D25"/>
    <w:rsid w:val="00FE0A47"/>
    <w:rsid w:val="00FF55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CA5952"/>
  <w15:docId w15:val="{94E4E821-49DB-4C05-9B23-825667813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51A01"/>
    <w:rPr>
      <w:sz w:val="24"/>
      <w:szCs w:val="24"/>
    </w:rPr>
  </w:style>
  <w:style w:type="paragraph" w:styleId="Nadpis1">
    <w:name w:val="heading 1"/>
    <w:basedOn w:val="Normln"/>
    <w:next w:val="Normln"/>
    <w:qFormat/>
    <w:rsid w:val="00F51A01"/>
    <w:pPr>
      <w:keepNext/>
      <w:outlineLvl w:val="0"/>
    </w:pPr>
    <w:rPr>
      <w:rFonts w:ascii="Arial" w:eastAsia="Batang" w:hAnsi="Arial"/>
      <w:b/>
      <w:bCs/>
      <w:sz w:val="18"/>
    </w:rPr>
  </w:style>
  <w:style w:type="paragraph" w:styleId="Nadpis2">
    <w:name w:val="heading 2"/>
    <w:basedOn w:val="Normln"/>
    <w:next w:val="Normln"/>
    <w:qFormat/>
    <w:rsid w:val="00F51A01"/>
    <w:pPr>
      <w:keepNext/>
      <w:jc w:val="center"/>
      <w:outlineLvl w:val="1"/>
    </w:pPr>
    <w:rPr>
      <w:rFonts w:ascii="Arial" w:hAnsi="Arial"/>
      <w:b/>
      <w:bCs/>
      <w:sz w:val="22"/>
      <w:lang w:val="en-GB"/>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semiHidden/>
    <w:rsid w:val="00F51A01"/>
    <w:rPr>
      <w:sz w:val="20"/>
      <w:szCs w:val="20"/>
    </w:rPr>
  </w:style>
  <w:style w:type="character" w:styleId="Znakapoznpodarou">
    <w:name w:val="footnote reference"/>
    <w:semiHidden/>
    <w:rsid w:val="00F51A01"/>
    <w:rPr>
      <w:vertAlign w:val="superscript"/>
    </w:rPr>
  </w:style>
  <w:style w:type="paragraph" w:styleId="Nzev">
    <w:name w:val="Title"/>
    <w:basedOn w:val="Normln"/>
    <w:qFormat/>
    <w:rsid w:val="00F51A0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pPr>
    <w:rPr>
      <w:rFonts w:ascii="Times New Roman CE oby_ejné" w:hAnsi="Times New Roman CE oby_ejné"/>
      <w:b/>
      <w:bCs/>
      <w:sz w:val="30"/>
      <w:szCs w:val="30"/>
      <w:lang w:val="en-GB"/>
    </w:rPr>
  </w:style>
  <w:style w:type="paragraph" w:styleId="Zkladntext">
    <w:name w:val="Body Text"/>
    <w:basedOn w:val="Normln"/>
    <w:semiHidden/>
    <w:rsid w:val="00F51A01"/>
    <w:pPr>
      <w:jc w:val="both"/>
    </w:pPr>
    <w:rPr>
      <w:rFonts w:ascii="Arial" w:hAnsi="Arial"/>
      <w:sz w:val="22"/>
      <w:lang w:val="en-GB"/>
    </w:rPr>
  </w:style>
  <w:style w:type="paragraph" w:styleId="Zkladntextodsazen">
    <w:name w:val="Body Text Indent"/>
    <w:basedOn w:val="Normln"/>
    <w:semiHidden/>
    <w:rsid w:val="00F51A01"/>
    <w:pPr>
      <w:spacing w:line="360" w:lineRule="auto"/>
      <w:ind w:firstLine="708"/>
      <w:jc w:val="both"/>
    </w:pPr>
    <w:rPr>
      <w:rFonts w:ascii="Arial" w:hAnsi="Arial"/>
      <w:sz w:val="19"/>
    </w:rPr>
  </w:style>
  <w:style w:type="paragraph" w:styleId="Zkladntextodsazen2">
    <w:name w:val="Body Text Indent 2"/>
    <w:basedOn w:val="Normln"/>
    <w:semiHidden/>
    <w:rsid w:val="00F51A01"/>
    <w:pPr>
      <w:spacing w:line="360" w:lineRule="auto"/>
      <w:ind w:firstLine="708"/>
      <w:jc w:val="both"/>
    </w:pPr>
    <w:rPr>
      <w:rFonts w:ascii="Arial" w:hAnsi="Arial"/>
      <w:sz w:val="20"/>
      <w:lang w:val="en-GB"/>
    </w:rPr>
  </w:style>
  <w:style w:type="paragraph" w:styleId="Zhlav">
    <w:name w:val="header"/>
    <w:basedOn w:val="Normln"/>
    <w:semiHidden/>
    <w:rsid w:val="00F51A01"/>
    <w:pPr>
      <w:tabs>
        <w:tab w:val="center" w:pos="4536"/>
        <w:tab w:val="right" w:pos="9072"/>
      </w:tabs>
    </w:pPr>
  </w:style>
  <w:style w:type="character" w:styleId="slostrnky">
    <w:name w:val="page number"/>
    <w:basedOn w:val="Standardnpsmoodstavce"/>
    <w:semiHidden/>
    <w:rsid w:val="00F51A01"/>
  </w:style>
  <w:style w:type="paragraph" w:styleId="Zpat">
    <w:name w:val="footer"/>
    <w:basedOn w:val="Normln"/>
    <w:semiHidden/>
    <w:rsid w:val="00F51A01"/>
    <w:pPr>
      <w:tabs>
        <w:tab w:val="center" w:pos="4536"/>
        <w:tab w:val="right" w:pos="9072"/>
      </w:tabs>
    </w:pPr>
  </w:style>
  <w:style w:type="paragraph" w:styleId="Zkladntextodsazen3">
    <w:name w:val="Body Text Indent 3"/>
    <w:basedOn w:val="Normln"/>
    <w:semiHidden/>
    <w:rsid w:val="00F51A01"/>
    <w:pPr>
      <w:ind w:firstLine="708"/>
      <w:jc w:val="both"/>
    </w:pPr>
    <w:rPr>
      <w:rFonts w:ascii="Arial" w:hAnsi="Arial"/>
      <w:sz w:val="16"/>
      <w:szCs w:val="20"/>
    </w:rPr>
  </w:style>
  <w:style w:type="paragraph" w:styleId="Zkladntext2">
    <w:name w:val="Body Text 2"/>
    <w:basedOn w:val="Normln"/>
    <w:semiHidden/>
    <w:rsid w:val="00F51A01"/>
    <w:pPr>
      <w:jc w:val="both"/>
    </w:pPr>
    <w:rPr>
      <w:rFonts w:ascii="Arial" w:hAnsi="Arial"/>
      <w:sz w:val="20"/>
    </w:rPr>
  </w:style>
  <w:style w:type="paragraph" w:styleId="Zkladntext3">
    <w:name w:val="Body Text 3"/>
    <w:basedOn w:val="Normln"/>
    <w:semiHidden/>
    <w:rsid w:val="00F51A01"/>
    <w:pPr>
      <w:autoSpaceDE w:val="0"/>
      <w:autoSpaceDN w:val="0"/>
      <w:adjustRightInd w:val="0"/>
    </w:pPr>
    <w:rPr>
      <w:rFonts w:ascii="Arial" w:hAnsi="Arial"/>
      <w:sz w:val="18"/>
      <w:szCs w:val="20"/>
      <w:lang w:val="en-GB"/>
    </w:rPr>
  </w:style>
  <w:style w:type="character" w:styleId="Hypertextovodkaz">
    <w:name w:val="Hyperlink"/>
    <w:unhideWhenUsed/>
    <w:rsid w:val="00DE3779"/>
    <w:rPr>
      <w:color w:val="0000FF"/>
      <w:u w:val="single"/>
    </w:rPr>
  </w:style>
  <w:style w:type="character" w:styleId="Zdraznn">
    <w:name w:val="Emphasis"/>
    <w:uiPriority w:val="20"/>
    <w:qFormat/>
    <w:rsid w:val="00DE3779"/>
    <w:rPr>
      <w:i/>
      <w:iCs/>
    </w:rPr>
  </w:style>
  <w:style w:type="paragraph" w:customStyle="1" w:styleId="poznamkytexty">
    <w:name w:val="poznamkytexty"/>
    <w:basedOn w:val="Normln"/>
    <w:rsid w:val="00DE3779"/>
    <w:pPr>
      <w:spacing w:before="100" w:beforeAutospacing="1" w:after="100" w:afterAutospacing="1"/>
    </w:pPr>
  </w:style>
  <w:style w:type="paragraph" w:styleId="Odstavecseseznamem">
    <w:name w:val="List Paragraph"/>
    <w:basedOn w:val="Normln"/>
    <w:uiPriority w:val="34"/>
    <w:qFormat/>
    <w:rsid w:val="00DE3779"/>
    <w:pPr>
      <w:ind w:left="708"/>
    </w:pPr>
  </w:style>
  <w:style w:type="paragraph" w:customStyle="1" w:styleId="poznmky0">
    <w:name w:val="poznmky0"/>
    <w:basedOn w:val="Normln"/>
    <w:rsid w:val="008A7F74"/>
    <w:pPr>
      <w:spacing w:before="100" w:beforeAutospacing="1" w:after="100" w:afterAutospacing="1"/>
    </w:pPr>
  </w:style>
  <w:style w:type="character" w:styleId="Siln">
    <w:name w:val="Strong"/>
    <w:uiPriority w:val="22"/>
    <w:qFormat/>
    <w:rsid w:val="00C67783"/>
    <w:rPr>
      <w:b/>
      <w:bCs/>
    </w:rPr>
  </w:style>
  <w:style w:type="paragraph" w:styleId="Textbubliny">
    <w:name w:val="Balloon Text"/>
    <w:basedOn w:val="Normln"/>
    <w:link w:val="TextbublinyChar"/>
    <w:uiPriority w:val="99"/>
    <w:semiHidden/>
    <w:unhideWhenUsed/>
    <w:rsid w:val="00A2672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26727"/>
    <w:rPr>
      <w:rFonts w:ascii="Segoe UI" w:hAnsi="Segoe UI" w:cs="Segoe UI"/>
      <w:sz w:val="18"/>
      <w:szCs w:val="18"/>
    </w:rPr>
  </w:style>
  <w:style w:type="character" w:styleId="Odkaznakoment">
    <w:name w:val="annotation reference"/>
    <w:basedOn w:val="Standardnpsmoodstavce"/>
    <w:uiPriority w:val="99"/>
    <w:semiHidden/>
    <w:unhideWhenUsed/>
    <w:rsid w:val="005D55B5"/>
    <w:rPr>
      <w:sz w:val="16"/>
      <w:szCs w:val="16"/>
    </w:rPr>
  </w:style>
  <w:style w:type="paragraph" w:styleId="Textkomente">
    <w:name w:val="annotation text"/>
    <w:basedOn w:val="Normln"/>
    <w:link w:val="TextkomenteChar"/>
    <w:uiPriority w:val="99"/>
    <w:semiHidden/>
    <w:unhideWhenUsed/>
    <w:rsid w:val="005D55B5"/>
    <w:rPr>
      <w:sz w:val="20"/>
      <w:szCs w:val="20"/>
    </w:rPr>
  </w:style>
  <w:style w:type="character" w:customStyle="1" w:styleId="TextkomenteChar">
    <w:name w:val="Text komentáře Char"/>
    <w:basedOn w:val="Standardnpsmoodstavce"/>
    <w:link w:val="Textkomente"/>
    <w:uiPriority w:val="99"/>
    <w:semiHidden/>
    <w:rsid w:val="005D55B5"/>
  </w:style>
  <w:style w:type="paragraph" w:styleId="Pedmtkomente">
    <w:name w:val="annotation subject"/>
    <w:basedOn w:val="Textkomente"/>
    <w:next w:val="Textkomente"/>
    <w:link w:val="PedmtkomenteChar"/>
    <w:uiPriority w:val="99"/>
    <w:semiHidden/>
    <w:unhideWhenUsed/>
    <w:rsid w:val="005D55B5"/>
    <w:rPr>
      <w:b/>
      <w:bCs/>
    </w:rPr>
  </w:style>
  <w:style w:type="character" w:customStyle="1" w:styleId="PedmtkomenteChar">
    <w:name w:val="Předmět komentáře Char"/>
    <w:basedOn w:val="TextkomenteChar"/>
    <w:link w:val="Pedmtkomente"/>
    <w:uiPriority w:val="99"/>
    <w:semiHidden/>
    <w:rsid w:val="005D55B5"/>
    <w:rPr>
      <w:b/>
      <w:bCs/>
    </w:rPr>
  </w:style>
  <w:style w:type="character" w:styleId="Sledovanodkaz">
    <w:name w:val="FollowedHyperlink"/>
    <w:basedOn w:val="Standardnpsmoodstavce"/>
    <w:uiPriority w:val="99"/>
    <w:semiHidden/>
    <w:unhideWhenUsed/>
    <w:rsid w:val="006F1240"/>
    <w:rPr>
      <w:color w:val="800080" w:themeColor="followedHyperlink"/>
      <w:u w:val="single"/>
    </w:rPr>
  </w:style>
  <w:style w:type="character" w:customStyle="1" w:styleId="ui-provider">
    <w:name w:val="ui-provider"/>
    <w:basedOn w:val="Standardnpsmoodstavce"/>
    <w:rsid w:val="00F51D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00759">
      <w:bodyDiv w:val="1"/>
      <w:marLeft w:val="0"/>
      <w:marRight w:val="0"/>
      <w:marTop w:val="0"/>
      <w:marBottom w:val="0"/>
      <w:divBdr>
        <w:top w:val="none" w:sz="0" w:space="0" w:color="auto"/>
        <w:left w:val="none" w:sz="0" w:space="0" w:color="auto"/>
        <w:bottom w:val="none" w:sz="0" w:space="0" w:color="auto"/>
        <w:right w:val="none" w:sz="0" w:space="0" w:color="auto"/>
      </w:divBdr>
    </w:div>
    <w:div w:id="536504204">
      <w:bodyDiv w:val="1"/>
      <w:marLeft w:val="0"/>
      <w:marRight w:val="0"/>
      <w:marTop w:val="0"/>
      <w:marBottom w:val="0"/>
      <w:divBdr>
        <w:top w:val="none" w:sz="0" w:space="0" w:color="auto"/>
        <w:left w:val="none" w:sz="0" w:space="0" w:color="auto"/>
        <w:bottom w:val="none" w:sz="0" w:space="0" w:color="auto"/>
        <w:right w:val="none" w:sz="0" w:space="0" w:color="auto"/>
      </w:divBdr>
      <w:divsChild>
        <w:div w:id="1609464775">
          <w:marLeft w:val="0"/>
          <w:marRight w:val="0"/>
          <w:marTop w:val="0"/>
          <w:marBottom w:val="0"/>
          <w:divBdr>
            <w:top w:val="none" w:sz="0" w:space="0" w:color="auto"/>
            <w:left w:val="none" w:sz="0" w:space="0" w:color="auto"/>
            <w:bottom w:val="none" w:sz="0" w:space="0" w:color="auto"/>
            <w:right w:val="none" w:sz="0" w:space="0" w:color="auto"/>
          </w:divBdr>
          <w:divsChild>
            <w:div w:id="240405952">
              <w:marLeft w:val="0"/>
              <w:marRight w:val="0"/>
              <w:marTop w:val="0"/>
              <w:marBottom w:val="0"/>
              <w:divBdr>
                <w:top w:val="none" w:sz="0" w:space="0" w:color="auto"/>
                <w:left w:val="none" w:sz="0" w:space="0" w:color="auto"/>
                <w:bottom w:val="none" w:sz="0" w:space="0" w:color="auto"/>
                <w:right w:val="none" w:sz="0" w:space="0" w:color="auto"/>
              </w:divBdr>
              <w:divsChild>
                <w:div w:id="885799160">
                  <w:marLeft w:val="0"/>
                  <w:marRight w:val="0"/>
                  <w:marTop w:val="0"/>
                  <w:marBottom w:val="0"/>
                  <w:divBdr>
                    <w:top w:val="none" w:sz="0" w:space="0" w:color="auto"/>
                    <w:left w:val="none" w:sz="0" w:space="0" w:color="auto"/>
                    <w:bottom w:val="none" w:sz="0" w:space="0" w:color="auto"/>
                    <w:right w:val="none" w:sz="0" w:space="0" w:color="auto"/>
                  </w:divBdr>
                  <w:divsChild>
                    <w:div w:id="875855539">
                      <w:marLeft w:val="0"/>
                      <w:marRight w:val="0"/>
                      <w:marTop w:val="0"/>
                      <w:marBottom w:val="0"/>
                      <w:divBdr>
                        <w:top w:val="none" w:sz="0" w:space="0" w:color="auto"/>
                        <w:left w:val="none" w:sz="0" w:space="0" w:color="auto"/>
                        <w:bottom w:val="none" w:sz="0" w:space="0" w:color="auto"/>
                        <w:right w:val="none" w:sz="0" w:space="0" w:color="auto"/>
                      </w:divBdr>
                      <w:divsChild>
                        <w:div w:id="1247956725">
                          <w:marLeft w:val="0"/>
                          <w:marRight w:val="0"/>
                          <w:marTop w:val="0"/>
                          <w:marBottom w:val="0"/>
                          <w:divBdr>
                            <w:top w:val="none" w:sz="0" w:space="0" w:color="auto"/>
                            <w:left w:val="none" w:sz="0" w:space="0" w:color="auto"/>
                            <w:bottom w:val="none" w:sz="0" w:space="0" w:color="auto"/>
                            <w:right w:val="none" w:sz="0" w:space="0" w:color="auto"/>
                          </w:divBdr>
                          <w:divsChild>
                            <w:div w:id="1052774980">
                              <w:marLeft w:val="0"/>
                              <w:marRight w:val="0"/>
                              <w:marTop w:val="0"/>
                              <w:marBottom w:val="0"/>
                              <w:divBdr>
                                <w:top w:val="none" w:sz="0" w:space="0" w:color="auto"/>
                                <w:left w:val="none" w:sz="0" w:space="0" w:color="auto"/>
                                <w:bottom w:val="none" w:sz="0" w:space="0" w:color="auto"/>
                                <w:right w:val="none" w:sz="0" w:space="0" w:color="auto"/>
                              </w:divBdr>
                              <w:divsChild>
                                <w:div w:id="49276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8590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su.gov.cz/2-vzonu_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su.gov.cz/update-of-the-compilation-method-international-trade-in-goods-change-of-ownership"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1FD9E-A8BD-42CE-A09E-627118BEF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Pages>
  <Words>838</Words>
  <Characters>4950</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Metodická poznámka ke statistice</vt:lpstr>
    </vt:vector>
  </TitlesOfParts>
  <Company>csu</Company>
  <LinksUpToDate>false</LinksUpToDate>
  <CharactersWithSpaces>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Metodická poznámka ke statistice</dc:title>
  <dc:creator>csu</dc:creator>
  <cp:lastModifiedBy>Bartlová Monika</cp:lastModifiedBy>
  <cp:revision>34</cp:revision>
  <cp:lastPrinted>2017-01-30T08:27:00Z</cp:lastPrinted>
  <dcterms:created xsi:type="dcterms:W3CDTF">2020-04-22T07:43:00Z</dcterms:created>
  <dcterms:modified xsi:type="dcterms:W3CDTF">2025-10-30T08:56:00Z</dcterms:modified>
</cp:coreProperties>
</file>