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A22" w:rsidRPr="00CE46F6" w:rsidRDefault="00F84A22" w:rsidP="00F84A22">
      <w:pPr>
        <w:pStyle w:val="Nadpis1"/>
        <w:numPr>
          <w:ilvl w:val="0"/>
          <w:numId w:val="19"/>
        </w:numPr>
        <w:spacing w:before="0" w:after="0"/>
        <w:rPr>
          <w:lang w:val="en-GB"/>
        </w:rPr>
      </w:pPr>
      <w:r w:rsidRPr="00CE46F6">
        <w:rPr>
          <w:lang w:val="en-GB"/>
        </w:rPr>
        <w:t>Monetary Conditions</w:t>
      </w:r>
    </w:p>
    <w:p w:rsidR="00F84A22" w:rsidRPr="00CE46F6" w:rsidRDefault="00F84A22" w:rsidP="00F84A22">
      <w:pPr>
        <w:pStyle w:val="Zhlav"/>
        <w:rPr>
          <w:rFonts w:ascii="Arial" w:hAnsi="Arial" w:cs="Arial"/>
          <w:i/>
          <w:sz w:val="16"/>
          <w:szCs w:val="16"/>
          <w:lang w:val="en-GB"/>
        </w:rPr>
      </w:pPr>
    </w:p>
    <w:tbl>
      <w:tblPr>
        <w:tblW w:w="5227" w:type="pct"/>
        <w:tblInd w:w="-42" w:type="dxa"/>
        <w:tblLayout w:type="fixed"/>
        <w:tblCellMar>
          <w:left w:w="28" w:type="dxa"/>
          <w:right w:w="28" w:type="dxa"/>
        </w:tblCellMar>
        <w:tblLook w:val="04A0"/>
      </w:tblPr>
      <w:tblGrid>
        <w:gridCol w:w="43"/>
        <w:gridCol w:w="170"/>
        <w:gridCol w:w="859"/>
        <w:gridCol w:w="1015"/>
        <w:gridCol w:w="276"/>
        <w:gridCol w:w="2560"/>
        <w:gridCol w:w="1143"/>
        <w:gridCol w:w="3683"/>
        <w:gridCol w:w="239"/>
        <w:gridCol w:w="146"/>
      </w:tblGrid>
      <w:tr w:rsidR="00F84A22" w:rsidRPr="00CE46F6" w:rsidTr="002336B2">
        <w:trPr>
          <w:gridBefore w:val="1"/>
          <w:gridAfter w:val="1"/>
          <w:wBefore w:w="21" w:type="pct"/>
          <w:wAfter w:w="71" w:type="pct"/>
        </w:trPr>
        <w:tc>
          <w:tcPr>
            <w:tcW w:w="1009" w:type="pct"/>
            <w:gridSpan w:val="3"/>
          </w:tcPr>
          <w:p w:rsidR="00F84A22" w:rsidRPr="00CE46F6" w:rsidRDefault="00F84A22" w:rsidP="002336B2">
            <w:pPr>
              <w:jc w:val="left"/>
              <w:rPr>
                <w:sz w:val="16"/>
                <w:szCs w:val="16"/>
                <w:lang w:val="en-GB"/>
              </w:rPr>
            </w:pPr>
            <w:r w:rsidRPr="00CE46F6">
              <w:rPr>
                <w:color w:val="000000"/>
                <w:sz w:val="16"/>
                <w:szCs w:val="16"/>
                <w:lang w:val="en-GB"/>
              </w:rPr>
              <w:t xml:space="preserve">Monetary intervention </w:t>
            </w:r>
            <w:proofErr w:type="gramStart"/>
            <w:r w:rsidRPr="00CE46F6">
              <w:rPr>
                <w:color w:val="000000"/>
                <w:sz w:val="16"/>
                <w:szCs w:val="16"/>
                <w:lang w:val="en-GB"/>
              </w:rPr>
              <w:t>of  the</w:t>
            </w:r>
            <w:proofErr w:type="gramEnd"/>
            <w:r w:rsidRPr="00CE46F6">
              <w:rPr>
                <w:color w:val="000000"/>
                <w:sz w:val="16"/>
                <w:szCs w:val="16"/>
                <w:lang w:val="en-GB"/>
              </w:rPr>
              <w:t xml:space="preserve"> CNB from November 2013…</w:t>
            </w:r>
          </w:p>
        </w:tc>
        <w:tc>
          <w:tcPr>
            <w:tcW w:w="136" w:type="pct"/>
          </w:tcPr>
          <w:p w:rsidR="00F84A22" w:rsidRPr="00CE46F6" w:rsidRDefault="00F84A22" w:rsidP="002336B2">
            <w:pPr>
              <w:pStyle w:val="Textpoznpodarou"/>
              <w:jc w:val="both"/>
              <w:rPr>
                <w:lang w:val="en-GB"/>
              </w:rPr>
            </w:pPr>
          </w:p>
        </w:tc>
        <w:tc>
          <w:tcPr>
            <w:tcW w:w="3762" w:type="pct"/>
            <w:gridSpan w:val="4"/>
          </w:tcPr>
          <w:tbl>
            <w:tblPr>
              <w:tblW w:w="5000" w:type="pct"/>
              <w:tblCellSpacing w:w="0" w:type="dxa"/>
              <w:tblLayout w:type="fixed"/>
              <w:tblCellMar>
                <w:left w:w="0" w:type="dxa"/>
                <w:right w:w="0" w:type="dxa"/>
              </w:tblCellMar>
              <w:tblLook w:val="04A0"/>
            </w:tblPr>
            <w:tblGrid>
              <w:gridCol w:w="7569"/>
            </w:tblGrid>
            <w:tr w:rsidR="00F84A22" w:rsidRPr="00CE46F6" w:rsidTr="002336B2">
              <w:trPr>
                <w:tblCellSpacing w:w="0" w:type="dxa"/>
              </w:trPr>
              <w:tc>
                <w:tcPr>
                  <w:tcW w:w="5000" w:type="pct"/>
                  <w:hideMark/>
                </w:tcPr>
                <w:p w:rsidR="00F84A22" w:rsidRPr="00CE46F6" w:rsidRDefault="00F84A22" w:rsidP="002336B2">
                  <w:pPr>
                    <w:pStyle w:val="Normlnweb"/>
                    <w:jc w:val="both"/>
                    <w:rPr>
                      <w:rFonts w:ascii="Arial" w:hAnsi="Arial" w:cs="Arial"/>
                      <w:lang w:val="en-GB"/>
                    </w:rPr>
                  </w:pPr>
                  <w:r w:rsidRPr="00CE46F6">
                    <w:rPr>
                      <w:rFonts w:ascii="Arial" w:hAnsi="Arial" w:cs="Arial"/>
                      <w:sz w:val="20"/>
                      <w:szCs w:val="20"/>
                      <w:lang w:val="en-GB"/>
                    </w:rPr>
                    <w:t>The most significant change in the monetary conditions in Q4 as well as throughout the whole year 2013 was the monetary intervention of the Czech National Bank, which to a considerable extent artificially weakened the exchange rate of the Czech crown. This action from the beginning of November had as its primary goal to prevent deflation with all the consequences, which arise from the fall of prices in the economy. Further construction in the form “Strengthening of competitiveness of exporters due to the weak crown - their higher incomes - creation of bigger number of jobs - improvement of growth of wages - increased household consumption (including the awareness of its initial weakening by the inflation impulse flowing from the higher import prices) - possibility of improved investment - long-term income effect in the form of higher growth of GDP” can be given the actual absence of the economic policy understood as an attempt to resolve the two-year recession of the Czech economy.</w:t>
                  </w:r>
                </w:p>
              </w:tc>
            </w:tr>
            <w:tr w:rsidR="00F84A22" w:rsidRPr="00CE46F6" w:rsidTr="002336B2">
              <w:trPr>
                <w:tblCellSpacing w:w="0" w:type="dxa"/>
              </w:trPr>
              <w:tc>
                <w:tcPr>
                  <w:tcW w:w="5000" w:type="pct"/>
                  <w:hideMark/>
                </w:tcPr>
                <w:p w:rsidR="00F84A22" w:rsidRPr="00CE46F6" w:rsidRDefault="00F84A22" w:rsidP="002336B2">
                  <w:pPr>
                    <w:pStyle w:val="Normlnweb"/>
                    <w:jc w:val="both"/>
                    <w:rPr>
                      <w:lang w:val="en-GB"/>
                    </w:rPr>
                  </w:pPr>
                </w:p>
              </w:tc>
            </w:tr>
          </w:tbl>
          <w:p w:rsidR="00F84A22" w:rsidRPr="00CE46F6" w:rsidRDefault="00F84A22" w:rsidP="002336B2">
            <w:pPr>
              <w:pStyle w:val="Zhlav"/>
              <w:jc w:val="both"/>
              <w:rPr>
                <w:rFonts w:ascii="Arial" w:hAnsi="Arial" w:cs="Arial"/>
                <w:sz w:val="20"/>
                <w:szCs w:val="20"/>
                <w:lang w:val="en-GB"/>
              </w:rPr>
            </w:pPr>
          </w:p>
        </w:tc>
      </w:tr>
      <w:tr w:rsidR="00F84A22" w:rsidRPr="00CE46F6" w:rsidTr="002336B2">
        <w:trPr>
          <w:gridBefore w:val="1"/>
          <w:gridAfter w:val="1"/>
          <w:wBefore w:w="21" w:type="pct"/>
          <w:wAfter w:w="71" w:type="pct"/>
        </w:trPr>
        <w:tc>
          <w:tcPr>
            <w:tcW w:w="1009" w:type="pct"/>
            <w:gridSpan w:val="3"/>
          </w:tcPr>
          <w:p w:rsidR="00F84A22" w:rsidRPr="00CE46F6" w:rsidRDefault="00F84A22" w:rsidP="002336B2">
            <w:pPr>
              <w:jc w:val="left"/>
              <w:rPr>
                <w:color w:val="000000"/>
                <w:sz w:val="16"/>
                <w:szCs w:val="16"/>
                <w:lang w:val="en-GB"/>
              </w:rPr>
            </w:pPr>
          </w:p>
        </w:tc>
        <w:tc>
          <w:tcPr>
            <w:tcW w:w="136" w:type="pct"/>
          </w:tcPr>
          <w:p w:rsidR="00F84A22" w:rsidRPr="00CE46F6" w:rsidRDefault="00F84A22" w:rsidP="002336B2">
            <w:pPr>
              <w:pStyle w:val="Textpoznpodarou"/>
              <w:jc w:val="both"/>
              <w:rPr>
                <w:lang w:val="en-GB"/>
              </w:rPr>
            </w:pPr>
          </w:p>
        </w:tc>
        <w:tc>
          <w:tcPr>
            <w:tcW w:w="3762" w:type="pct"/>
            <w:gridSpan w:val="4"/>
          </w:tcPr>
          <w:p w:rsidR="00F84A22" w:rsidRPr="001B0AE3" w:rsidRDefault="00F84A22" w:rsidP="002336B2">
            <w:pPr>
              <w:pStyle w:val="Zhlav"/>
              <w:jc w:val="both"/>
              <w:rPr>
                <w:rFonts w:ascii="Arial" w:hAnsi="Arial" w:cs="Arial"/>
                <w:sz w:val="10"/>
                <w:szCs w:val="10"/>
                <w:lang w:val="en-GB"/>
              </w:rPr>
            </w:pPr>
          </w:p>
        </w:tc>
      </w:tr>
      <w:tr w:rsidR="00F84A22" w:rsidRPr="00CE46F6" w:rsidTr="002336B2">
        <w:trPr>
          <w:gridBefore w:val="1"/>
          <w:gridAfter w:val="1"/>
          <w:wBefore w:w="21" w:type="pct"/>
          <w:wAfter w:w="71" w:type="pct"/>
        </w:trPr>
        <w:tc>
          <w:tcPr>
            <w:tcW w:w="1009" w:type="pct"/>
            <w:gridSpan w:val="3"/>
          </w:tcPr>
          <w:p w:rsidR="00F84A22" w:rsidRPr="00CE46F6" w:rsidRDefault="00F84A22" w:rsidP="002336B2">
            <w:pPr>
              <w:jc w:val="left"/>
              <w:rPr>
                <w:color w:val="000000"/>
                <w:sz w:val="16"/>
                <w:szCs w:val="16"/>
                <w:lang w:val="en-GB"/>
              </w:rPr>
            </w:pPr>
            <w:r w:rsidRPr="00CE46F6">
              <w:rPr>
                <w:color w:val="000000"/>
                <w:sz w:val="16"/>
                <w:szCs w:val="16"/>
                <w:lang w:val="en-GB"/>
              </w:rPr>
              <w:t xml:space="preserve">… - for assessment of wider impacts on the real economy still a very short time elapsed </w:t>
            </w:r>
          </w:p>
        </w:tc>
        <w:tc>
          <w:tcPr>
            <w:tcW w:w="136" w:type="pct"/>
          </w:tcPr>
          <w:p w:rsidR="00F84A22" w:rsidRPr="00CE46F6" w:rsidRDefault="00F84A22" w:rsidP="002336B2">
            <w:pPr>
              <w:pStyle w:val="Textpoznpodarou"/>
              <w:jc w:val="both"/>
              <w:rPr>
                <w:lang w:val="en-GB"/>
              </w:rPr>
            </w:pPr>
          </w:p>
        </w:tc>
        <w:tc>
          <w:tcPr>
            <w:tcW w:w="3762" w:type="pct"/>
            <w:gridSpan w:val="4"/>
          </w:tcPr>
          <w:p w:rsidR="00F84A22" w:rsidRPr="00CE46F6" w:rsidRDefault="00F84A22" w:rsidP="002336B2">
            <w:pPr>
              <w:pStyle w:val="Zhlav"/>
              <w:jc w:val="both"/>
              <w:rPr>
                <w:rFonts w:ascii="Arial" w:hAnsi="Arial" w:cs="Arial"/>
                <w:sz w:val="20"/>
                <w:szCs w:val="20"/>
                <w:lang w:val="en-GB"/>
              </w:rPr>
            </w:pPr>
            <w:r w:rsidRPr="00CE46F6">
              <w:rPr>
                <w:rFonts w:ascii="Arial" w:hAnsi="Arial" w:cs="Arial"/>
                <w:sz w:val="20"/>
                <w:szCs w:val="20"/>
                <w:lang w:val="en-GB"/>
              </w:rPr>
              <w:t>Risks flowing from the fact, that some of the expectations linked to the mentioned construction are not going to be fulfilled, do not show according to the first „post intervention“ data from the real economy for the time being to be fatal. Faster growth of export prices compared to import prices strengthened given the import-export nature of the Czech economy the profits to the export companies. To explain the proven higher investment in the last quarter of 2013 by this fact is however still premature. Within the range of consumer prices, the inflation rate is low, production prices in the industry are following the first impact connected to the weaker crown affected as a whole by the slump of the energy prices. Household consumption stagnated</w:t>
            </w:r>
            <w:r>
              <w:rPr>
                <w:rFonts w:ascii="Arial" w:hAnsi="Arial" w:cs="Arial"/>
                <w:sz w:val="20"/>
                <w:szCs w:val="20"/>
                <w:lang w:val="en-GB"/>
              </w:rPr>
              <w:t xml:space="preserve"> </w:t>
            </w:r>
            <w:r w:rsidRPr="00CE46F6">
              <w:rPr>
                <w:rFonts w:ascii="Arial" w:hAnsi="Arial" w:cs="Arial"/>
                <w:sz w:val="20"/>
                <w:szCs w:val="20"/>
                <w:lang w:val="en-GB"/>
              </w:rPr>
              <w:t>quarter-on-quarter</w:t>
            </w:r>
            <w:r>
              <w:rPr>
                <w:rFonts w:ascii="Arial" w:hAnsi="Arial" w:cs="Arial"/>
                <w:sz w:val="20"/>
                <w:szCs w:val="20"/>
                <w:lang w:val="en-GB"/>
              </w:rPr>
              <w:t xml:space="preserve"> in Q4</w:t>
            </w:r>
            <w:r w:rsidRPr="00CE46F6">
              <w:rPr>
                <w:rFonts w:ascii="Arial" w:hAnsi="Arial" w:cs="Arial"/>
                <w:sz w:val="20"/>
                <w:szCs w:val="20"/>
                <w:lang w:val="en-GB"/>
              </w:rPr>
              <w:t>, wages were affected by extraordinary influences (more in the Chapter on Labour Market).</w:t>
            </w:r>
          </w:p>
          <w:p w:rsidR="00F84A22" w:rsidRPr="00D5697D" w:rsidRDefault="00F84A22" w:rsidP="002336B2">
            <w:pPr>
              <w:pStyle w:val="Zhlav"/>
              <w:jc w:val="both"/>
              <w:rPr>
                <w:rFonts w:ascii="Arial" w:hAnsi="Arial" w:cs="Arial"/>
                <w:sz w:val="20"/>
                <w:szCs w:val="20"/>
                <w:lang w:val="en-GB"/>
              </w:rPr>
            </w:pPr>
          </w:p>
        </w:tc>
      </w:tr>
      <w:tr w:rsidR="00F84A22" w:rsidRPr="00CE46F6" w:rsidTr="002336B2">
        <w:trPr>
          <w:gridBefore w:val="1"/>
          <w:gridAfter w:val="1"/>
          <w:wBefore w:w="21" w:type="pct"/>
          <w:wAfter w:w="71" w:type="pct"/>
        </w:trPr>
        <w:tc>
          <w:tcPr>
            <w:tcW w:w="1009" w:type="pct"/>
            <w:gridSpan w:val="3"/>
          </w:tcPr>
          <w:p w:rsidR="00F84A22" w:rsidRPr="00CE46F6" w:rsidRDefault="00F84A22" w:rsidP="002336B2">
            <w:pPr>
              <w:jc w:val="left"/>
              <w:rPr>
                <w:sz w:val="16"/>
                <w:szCs w:val="16"/>
                <w:lang w:val="en-GB"/>
              </w:rPr>
            </w:pPr>
            <w:r w:rsidRPr="00CE46F6">
              <w:rPr>
                <w:color w:val="000000"/>
                <w:sz w:val="16"/>
                <w:szCs w:val="16"/>
                <w:lang w:val="en-GB"/>
              </w:rPr>
              <w:t>Expansion of bank loans to non-financial businesses provided in foreign currencies…</w:t>
            </w:r>
          </w:p>
        </w:tc>
        <w:tc>
          <w:tcPr>
            <w:tcW w:w="136" w:type="pct"/>
          </w:tcPr>
          <w:p w:rsidR="00F84A22" w:rsidRPr="00CE46F6" w:rsidRDefault="00F84A22" w:rsidP="002336B2">
            <w:pPr>
              <w:pStyle w:val="Textpoznpodarou"/>
              <w:jc w:val="both"/>
              <w:rPr>
                <w:lang w:val="en-GB"/>
              </w:rPr>
            </w:pPr>
          </w:p>
        </w:tc>
        <w:tc>
          <w:tcPr>
            <w:tcW w:w="3762" w:type="pct"/>
            <w:gridSpan w:val="4"/>
          </w:tcPr>
          <w:p w:rsidR="00F84A22" w:rsidRPr="00CE46F6" w:rsidRDefault="00F84A22" w:rsidP="002336B2">
            <w:pPr>
              <w:pStyle w:val="Zhlav"/>
              <w:ind w:right="-70"/>
              <w:jc w:val="both"/>
              <w:rPr>
                <w:rFonts w:ascii="Arial" w:hAnsi="Arial" w:cs="Arial"/>
                <w:sz w:val="20"/>
                <w:szCs w:val="20"/>
                <w:lang w:val="en-GB"/>
              </w:rPr>
            </w:pPr>
            <w:r w:rsidRPr="00CE46F6">
              <w:rPr>
                <w:rFonts w:ascii="Arial" w:hAnsi="Arial" w:cs="Arial"/>
                <w:sz w:val="20"/>
                <w:szCs w:val="20"/>
                <w:lang w:val="en-GB"/>
              </w:rPr>
              <w:t>Significant turn arrived according to the banking statistics data in the loan dynamics provided to non-financial businesses (</w:t>
            </w:r>
            <w:proofErr w:type="spellStart"/>
            <w:r w:rsidRPr="00CE46F6">
              <w:rPr>
                <w:rFonts w:ascii="Arial" w:hAnsi="Arial" w:cs="Arial"/>
                <w:sz w:val="20"/>
                <w:szCs w:val="20"/>
                <w:lang w:val="en-GB"/>
              </w:rPr>
              <w:t>rezidents</w:t>
            </w:r>
            <w:proofErr w:type="spellEnd"/>
            <w:r w:rsidRPr="00CE46F6">
              <w:rPr>
                <w:rFonts w:ascii="Arial" w:hAnsi="Arial" w:cs="Arial"/>
                <w:sz w:val="20"/>
                <w:szCs w:val="20"/>
                <w:lang w:val="en-GB"/>
              </w:rPr>
              <w:t>). Massive lending to businesses, especially in foreign currencies is apparent approximately from August 2013 and both the rate and absolute additions to the balances of these loans further sharply increased</w:t>
            </w:r>
            <w:r>
              <w:rPr>
                <w:rFonts w:ascii="Arial" w:hAnsi="Arial" w:cs="Arial"/>
                <w:sz w:val="20"/>
                <w:szCs w:val="20"/>
                <w:lang w:val="en-GB"/>
              </w:rPr>
              <w:t xml:space="preserve"> </w:t>
            </w:r>
            <w:r w:rsidRPr="00CE46F6">
              <w:rPr>
                <w:rFonts w:ascii="Arial" w:hAnsi="Arial" w:cs="Arial"/>
                <w:sz w:val="20"/>
                <w:szCs w:val="20"/>
                <w:lang w:val="en-GB"/>
              </w:rPr>
              <w:t xml:space="preserve">towards the end of the year. </w:t>
            </w:r>
          </w:p>
          <w:p w:rsidR="00F84A22" w:rsidRPr="00D5697D" w:rsidRDefault="00F84A22" w:rsidP="002336B2">
            <w:pPr>
              <w:pStyle w:val="Zhlav"/>
              <w:ind w:right="-70"/>
              <w:jc w:val="both"/>
              <w:rPr>
                <w:rFonts w:ascii="Arial" w:hAnsi="Arial" w:cs="Arial"/>
                <w:sz w:val="20"/>
                <w:szCs w:val="20"/>
                <w:lang w:val="en-GB"/>
              </w:rPr>
            </w:pPr>
          </w:p>
          <w:p w:rsidR="00F84A22" w:rsidRPr="00CE46F6" w:rsidRDefault="00F84A22" w:rsidP="002336B2">
            <w:pPr>
              <w:pStyle w:val="Zhlav"/>
              <w:ind w:right="-70"/>
              <w:jc w:val="both"/>
              <w:rPr>
                <w:rFonts w:ascii="Arial" w:hAnsi="Arial" w:cs="Arial"/>
                <w:sz w:val="20"/>
                <w:szCs w:val="20"/>
                <w:lang w:val="en-GB"/>
              </w:rPr>
            </w:pPr>
            <w:r w:rsidRPr="00CE46F6">
              <w:rPr>
                <w:rFonts w:ascii="Arial" w:hAnsi="Arial" w:cs="Arial"/>
                <w:sz w:val="20"/>
                <w:szCs w:val="20"/>
                <w:lang w:val="en-GB"/>
              </w:rPr>
              <w:t xml:space="preserve">This commencement of the loan expansion targets mostly loans to businesses in foreign currencies and is dominated by long-term loans. While from August till December 2013 the aggregate balances of loans to businesses expanded on average year-on-year by 2.1 % every month - while in November and December by 4 %, resp. 3.8 % -, increments of business loans in foreign currencies were several times higher: they enlarged during that time monthly on average by 15.5 %, while in November by 22.5 % and in December even by 28.5 %. </w:t>
            </w:r>
            <w:r>
              <w:rPr>
                <w:rFonts w:ascii="Arial" w:hAnsi="Arial" w:cs="Arial"/>
                <w:sz w:val="20"/>
                <w:szCs w:val="20"/>
                <w:lang w:val="en-GB"/>
              </w:rPr>
              <w:t>T</w:t>
            </w:r>
            <w:r w:rsidRPr="00CE46F6">
              <w:rPr>
                <w:rFonts w:ascii="Arial" w:hAnsi="Arial" w:cs="Arial"/>
                <w:sz w:val="20"/>
                <w:szCs w:val="20"/>
                <w:lang w:val="en-GB"/>
              </w:rPr>
              <w:t xml:space="preserve">he month-on-month boosts in balances of these loans </w:t>
            </w:r>
            <w:r>
              <w:rPr>
                <w:rFonts w:ascii="Arial" w:hAnsi="Arial" w:cs="Arial"/>
                <w:sz w:val="20"/>
                <w:szCs w:val="20"/>
                <w:lang w:val="en-GB"/>
              </w:rPr>
              <w:t xml:space="preserve">were especially sharp </w:t>
            </w:r>
            <w:r w:rsidRPr="00CE46F6">
              <w:rPr>
                <w:rFonts w:ascii="Arial" w:hAnsi="Arial" w:cs="Arial"/>
                <w:sz w:val="20"/>
                <w:szCs w:val="20"/>
                <w:lang w:val="en-GB"/>
              </w:rPr>
              <w:t xml:space="preserve">– in November they rose by 27.9 </w:t>
            </w:r>
            <w:proofErr w:type="spellStart"/>
            <w:r w:rsidRPr="00CE46F6">
              <w:rPr>
                <w:rFonts w:ascii="Arial" w:hAnsi="Arial" w:cs="Arial"/>
                <w:sz w:val="20"/>
                <w:szCs w:val="20"/>
                <w:lang w:val="en-GB"/>
              </w:rPr>
              <w:t>bn</w:t>
            </w:r>
            <w:proofErr w:type="spellEnd"/>
            <w:r w:rsidRPr="00CE46F6">
              <w:rPr>
                <w:rFonts w:ascii="Arial" w:hAnsi="Arial" w:cs="Arial"/>
                <w:sz w:val="20"/>
                <w:szCs w:val="20"/>
                <w:lang w:val="en-GB"/>
              </w:rPr>
              <w:t xml:space="preserve"> crowns</w:t>
            </w:r>
            <w:r>
              <w:rPr>
                <w:rFonts w:ascii="Arial" w:hAnsi="Arial" w:cs="Arial"/>
                <w:sz w:val="20"/>
                <w:szCs w:val="20"/>
                <w:lang w:val="en-GB"/>
              </w:rPr>
              <w:t xml:space="preserve"> </w:t>
            </w:r>
            <w:r w:rsidRPr="00CE46F6">
              <w:rPr>
                <w:rFonts w:ascii="Arial" w:hAnsi="Arial" w:cs="Arial"/>
                <w:sz w:val="20"/>
                <w:szCs w:val="20"/>
                <w:lang w:val="en-GB"/>
              </w:rPr>
              <w:t xml:space="preserve">compared to October, in that loans in foreign currencies by full 21.1 </w:t>
            </w:r>
            <w:proofErr w:type="spellStart"/>
            <w:r w:rsidRPr="00CE46F6">
              <w:rPr>
                <w:rFonts w:ascii="Arial" w:hAnsi="Arial" w:cs="Arial"/>
                <w:sz w:val="20"/>
                <w:szCs w:val="20"/>
                <w:lang w:val="en-GB"/>
              </w:rPr>
              <w:t>bn</w:t>
            </w:r>
            <w:proofErr w:type="spellEnd"/>
            <w:r w:rsidRPr="00CE46F6">
              <w:rPr>
                <w:rFonts w:ascii="Arial" w:hAnsi="Arial" w:cs="Arial"/>
                <w:sz w:val="20"/>
                <w:szCs w:val="20"/>
                <w:lang w:val="en-GB"/>
              </w:rPr>
              <w:t xml:space="preserve"> crowns. At the same time, </w:t>
            </w:r>
            <w:r>
              <w:rPr>
                <w:rFonts w:ascii="Arial" w:hAnsi="Arial" w:cs="Arial"/>
                <w:sz w:val="20"/>
                <w:szCs w:val="20"/>
                <w:lang w:val="en-GB"/>
              </w:rPr>
              <w:t xml:space="preserve">such jump cannot be of course attributed </w:t>
            </w:r>
            <w:r w:rsidRPr="00CE46F6">
              <w:rPr>
                <w:rFonts w:ascii="Arial" w:hAnsi="Arial" w:cs="Arial"/>
                <w:sz w:val="20"/>
                <w:szCs w:val="20"/>
                <w:lang w:val="en-GB"/>
              </w:rPr>
              <w:t xml:space="preserve">to pure conversion of these foreign-currency loans into crowns due to the depreciation of the currency. </w:t>
            </w:r>
          </w:p>
          <w:p w:rsidR="00F84A22" w:rsidRPr="00D5697D" w:rsidRDefault="00F84A22" w:rsidP="002336B2">
            <w:pPr>
              <w:pStyle w:val="Zhlav"/>
              <w:ind w:right="-70"/>
              <w:jc w:val="both"/>
              <w:rPr>
                <w:rFonts w:ascii="Arial" w:hAnsi="Arial" w:cs="Arial"/>
                <w:sz w:val="14"/>
                <w:szCs w:val="14"/>
                <w:lang w:val="en-GB"/>
              </w:rPr>
            </w:pPr>
          </w:p>
          <w:p w:rsidR="00F84A22" w:rsidRPr="00CE46F6" w:rsidRDefault="00F84A22" w:rsidP="002336B2">
            <w:pPr>
              <w:pStyle w:val="Zhlav"/>
              <w:ind w:right="-70"/>
              <w:jc w:val="both"/>
              <w:rPr>
                <w:rFonts w:ascii="Arial" w:hAnsi="Arial" w:cs="Arial"/>
                <w:sz w:val="20"/>
                <w:szCs w:val="20"/>
                <w:lang w:val="en-GB"/>
              </w:rPr>
            </w:pPr>
            <w:r w:rsidRPr="00CE46F6">
              <w:rPr>
                <w:rFonts w:ascii="Arial" w:hAnsi="Arial" w:cs="Arial"/>
                <w:sz w:val="20"/>
                <w:szCs w:val="20"/>
                <w:lang w:val="en-GB"/>
              </w:rPr>
              <w:t xml:space="preserve">Simultaneously, the bank loans to non-financial businesses in foreign currencies are not with respect to volume in the Czech economy negligible (towards the end of 2013 they amounted to 22.2 % of total loans to non-financial businesses, for medium term loans even 31.6 %), even though the interest differential promotes in theory rather the loans in Czech crowns.      </w:t>
            </w:r>
          </w:p>
          <w:p w:rsidR="00F84A22" w:rsidRPr="00D5697D" w:rsidRDefault="00F84A22" w:rsidP="002336B2">
            <w:pPr>
              <w:pStyle w:val="Textpoznpodarou"/>
              <w:jc w:val="both"/>
              <w:rPr>
                <w:lang w:val="en-GB"/>
              </w:rPr>
            </w:pPr>
          </w:p>
        </w:tc>
      </w:tr>
      <w:tr w:rsidR="00F84A22" w:rsidRPr="00CE46F6" w:rsidTr="002336B2">
        <w:trPr>
          <w:gridBefore w:val="1"/>
          <w:gridAfter w:val="1"/>
          <w:wBefore w:w="21" w:type="pct"/>
          <w:wAfter w:w="71" w:type="pct"/>
        </w:trPr>
        <w:tc>
          <w:tcPr>
            <w:tcW w:w="1009" w:type="pct"/>
            <w:gridSpan w:val="3"/>
          </w:tcPr>
          <w:p w:rsidR="00F84A22" w:rsidRPr="00CE46F6" w:rsidRDefault="00F84A22" w:rsidP="002336B2">
            <w:pPr>
              <w:jc w:val="left"/>
              <w:rPr>
                <w:color w:val="000000"/>
                <w:sz w:val="16"/>
                <w:szCs w:val="16"/>
                <w:lang w:val="en-GB"/>
              </w:rPr>
            </w:pPr>
            <w:r w:rsidRPr="00CE46F6">
              <w:rPr>
                <w:color w:val="000000"/>
                <w:sz w:val="16"/>
                <w:szCs w:val="16"/>
                <w:lang w:val="en-GB"/>
              </w:rPr>
              <w:t>… occurs mostly for long-terms loans and there is hope for the expansion of investment activity</w:t>
            </w:r>
          </w:p>
        </w:tc>
        <w:tc>
          <w:tcPr>
            <w:tcW w:w="136" w:type="pct"/>
          </w:tcPr>
          <w:p w:rsidR="00F84A22" w:rsidRPr="00CE46F6" w:rsidRDefault="00F84A22" w:rsidP="002336B2">
            <w:pPr>
              <w:pStyle w:val="Textpoznpodarou"/>
              <w:jc w:val="both"/>
              <w:rPr>
                <w:lang w:val="en-GB"/>
              </w:rPr>
            </w:pPr>
          </w:p>
        </w:tc>
        <w:tc>
          <w:tcPr>
            <w:tcW w:w="3762" w:type="pct"/>
            <w:gridSpan w:val="4"/>
          </w:tcPr>
          <w:p w:rsidR="00F84A22" w:rsidRPr="00CE46F6" w:rsidRDefault="00F84A22" w:rsidP="002336B2">
            <w:pPr>
              <w:pStyle w:val="Zhlav"/>
              <w:ind w:right="-70"/>
              <w:jc w:val="both"/>
              <w:rPr>
                <w:rFonts w:ascii="Arial" w:hAnsi="Arial" w:cs="Arial"/>
                <w:sz w:val="20"/>
                <w:szCs w:val="20"/>
                <w:lang w:val="en-GB"/>
              </w:rPr>
            </w:pPr>
            <w:r w:rsidRPr="00CE46F6">
              <w:rPr>
                <w:rFonts w:ascii="Arial" w:hAnsi="Arial" w:cs="Arial"/>
                <w:sz w:val="20"/>
                <w:szCs w:val="20"/>
                <w:lang w:val="en-GB"/>
              </w:rPr>
              <w:t>T</w:t>
            </w:r>
            <w:r>
              <w:rPr>
                <w:rFonts w:ascii="Arial" w:hAnsi="Arial" w:cs="Arial"/>
                <w:sz w:val="20"/>
                <w:szCs w:val="20"/>
                <w:lang w:val="en-GB"/>
              </w:rPr>
              <w:t>he long-term loans play t</w:t>
            </w:r>
            <w:r w:rsidRPr="00CE46F6">
              <w:rPr>
                <w:rFonts w:ascii="Arial" w:hAnsi="Arial" w:cs="Arial"/>
                <w:sz w:val="20"/>
                <w:szCs w:val="20"/>
                <w:lang w:val="en-GB"/>
              </w:rPr>
              <w:t xml:space="preserve">he largest part in the sharp rise of loans to businesses – they shared 21.3 </w:t>
            </w:r>
            <w:proofErr w:type="spellStart"/>
            <w:r w:rsidRPr="00CE46F6">
              <w:rPr>
                <w:rFonts w:ascii="Arial" w:hAnsi="Arial" w:cs="Arial"/>
                <w:sz w:val="20"/>
                <w:szCs w:val="20"/>
                <w:lang w:val="en-GB"/>
              </w:rPr>
              <w:t>bn</w:t>
            </w:r>
            <w:proofErr w:type="spellEnd"/>
            <w:r w:rsidRPr="00CE46F6">
              <w:rPr>
                <w:rFonts w:ascii="Arial" w:hAnsi="Arial" w:cs="Arial"/>
                <w:sz w:val="20"/>
                <w:szCs w:val="20"/>
                <w:lang w:val="en-GB"/>
              </w:rPr>
              <w:t xml:space="preserve"> crowns out of total addition to bank loans to non-financial businesses from August till December in the amount of 31.2 bn</w:t>
            </w:r>
            <w:proofErr w:type="gramStart"/>
            <w:r>
              <w:rPr>
                <w:rFonts w:ascii="Arial" w:hAnsi="Arial" w:cs="Arial"/>
                <w:sz w:val="20"/>
                <w:szCs w:val="20"/>
                <w:lang w:val="en-GB"/>
              </w:rPr>
              <w:t xml:space="preserve">. </w:t>
            </w:r>
            <w:r w:rsidRPr="00CE46F6">
              <w:rPr>
                <w:rFonts w:ascii="Arial" w:hAnsi="Arial" w:cs="Arial"/>
                <w:sz w:val="20"/>
                <w:szCs w:val="20"/>
                <w:lang w:val="en-GB"/>
              </w:rPr>
              <w:t>.</w:t>
            </w:r>
            <w:proofErr w:type="gramEnd"/>
            <w:r w:rsidRPr="00CE46F6">
              <w:rPr>
                <w:rFonts w:ascii="Arial" w:hAnsi="Arial" w:cs="Arial"/>
                <w:sz w:val="20"/>
                <w:szCs w:val="20"/>
                <w:lang w:val="en-GB"/>
              </w:rPr>
              <w:t xml:space="preserve"> Analogous to this, out of the additions to the loans in foreign currencies themselves the businesses borrowed from banks for a period longer than five years 15.5 </w:t>
            </w:r>
            <w:proofErr w:type="spellStart"/>
            <w:r w:rsidRPr="00CE46F6">
              <w:rPr>
                <w:rFonts w:ascii="Arial" w:hAnsi="Arial" w:cs="Arial"/>
                <w:sz w:val="20"/>
                <w:szCs w:val="20"/>
                <w:lang w:val="en-GB"/>
              </w:rPr>
              <w:t>bn</w:t>
            </w:r>
            <w:proofErr w:type="spellEnd"/>
            <w:r w:rsidRPr="00CE46F6">
              <w:rPr>
                <w:rFonts w:ascii="Arial" w:hAnsi="Arial" w:cs="Arial"/>
                <w:sz w:val="20"/>
                <w:szCs w:val="20"/>
                <w:lang w:val="en-GB"/>
              </w:rPr>
              <w:t xml:space="preserve"> crowns.</w:t>
            </w:r>
          </w:p>
          <w:p w:rsidR="00F84A22" w:rsidRPr="00D5697D" w:rsidRDefault="00F84A22" w:rsidP="002336B2">
            <w:pPr>
              <w:pStyle w:val="Zhlav"/>
              <w:ind w:right="-70"/>
              <w:jc w:val="both"/>
              <w:rPr>
                <w:rFonts w:ascii="Arial" w:hAnsi="Arial" w:cs="Arial"/>
                <w:sz w:val="14"/>
                <w:szCs w:val="14"/>
                <w:lang w:val="en-GB"/>
              </w:rPr>
            </w:pPr>
          </w:p>
          <w:p w:rsidR="00F84A22" w:rsidRPr="00CE46F6" w:rsidRDefault="00F84A22" w:rsidP="002336B2">
            <w:pPr>
              <w:pStyle w:val="Zhlav"/>
              <w:ind w:right="-70"/>
              <w:jc w:val="both"/>
              <w:rPr>
                <w:rFonts w:ascii="Arial" w:hAnsi="Arial" w:cs="Arial"/>
                <w:sz w:val="20"/>
                <w:szCs w:val="20"/>
                <w:lang w:val="en-GB"/>
              </w:rPr>
            </w:pPr>
            <w:r w:rsidRPr="00CE46F6">
              <w:rPr>
                <w:rFonts w:ascii="Arial" w:hAnsi="Arial" w:cs="Arial"/>
                <w:sz w:val="20"/>
                <w:szCs w:val="20"/>
                <w:lang w:val="en-GB"/>
              </w:rPr>
              <w:t>Since the long-term loans have an investment nature, their high proportion can be considered the start of the Czech economy to the revival of investment activity assuming these massive growths are not caused mostly by the financial investments. With respect to economic activity, majority of these additions to long-term loans belongs mainly to non-financial businesses specialised on the real estate area.</w:t>
            </w:r>
          </w:p>
        </w:tc>
      </w:tr>
      <w:tr w:rsidR="00F84A22" w:rsidRPr="00CE46F6" w:rsidTr="002336B2">
        <w:trPr>
          <w:gridBefore w:val="1"/>
          <w:gridAfter w:val="1"/>
          <w:wBefore w:w="21" w:type="pct"/>
          <w:wAfter w:w="71" w:type="pct"/>
        </w:trPr>
        <w:tc>
          <w:tcPr>
            <w:tcW w:w="1009" w:type="pct"/>
            <w:gridSpan w:val="3"/>
          </w:tcPr>
          <w:p w:rsidR="00F84A22" w:rsidRPr="00CE46F6" w:rsidRDefault="00F84A22" w:rsidP="002336B2">
            <w:pPr>
              <w:jc w:val="left"/>
              <w:rPr>
                <w:color w:val="000000"/>
                <w:sz w:val="16"/>
                <w:szCs w:val="16"/>
                <w:lang w:val="en-GB"/>
              </w:rPr>
            </w:pPr>
          </w:p>
        </w:tc>
        <w:tc>
          <w:tcPr>
            <w:tcW w:w="136" w:type="pct"/>
          </w:tcPr>
          <w:p w:rsidR="00F84A22" w:rsidRPr="00CE46F6" w:rsidRDefault="00F84A22" w:rsidP="002336B2">
            <w:pPr>
              <w:pStyle w:val="Textpoznpodarou"/>
              <w:jc w:val="both"/>
              <w:rPr>
                <w:lang w:val="en-GB"/>
              </w:rPr>
            </w:pPr>
          </w:p>
        </w:tc>
        <w:tc>
          <w:tcPr>
            <w:tcW w:w="3762" w:type="pct"/>
            <w:gridSpan w:val="4"/>
          </w:tcPr>
          <w:p w:rsidR="00F84A22" w:rsidRPr="00D5697D" w:rsidRDefault="00F84A22" w:rsidP="002336B2">
            <w:pPr>
              <w:pStyle w:val="Zhlav"/>
              <w:ind w:right="-70"/>
              <w:jc w:val="both"/>
              <w:rPr>
                <w:rFonts w:ascii="Arial" w:hAnsi="Arial" w:cs="Arial"/>
                <w:sz w:val="20"/>
                <w:szCs w:val="20"/>
                <w:lang w:val="en-GB"/>
              </w:rPr>
            </w:pPr>
          </w:p>
        </w:tc>
      </w:tr>
      <w:tr w:rsidR="00F84A22" w:rsidRPr="00CE46F6" w:rsidTr="002336B2">
        <w:trPr>
          <w:gridBefore w:val="1"/>
          <w:gridAfter w:val="1"/>
          <w:wBefore w:w="21" w:type="pct"/>
          <w:wAfter w:w="71" w:type="pct"/>
        </w:trPr>
        <w:tc>
          <w:tcPr>
            <w:tcW w:w="1009" w:type="pct"/>
            <w:gridSpan w:val="3"/>
          </w:tcPr>
          <w:p w:rsidR="00F84A22" w:rsidRPr="00CE46F6" w:rsidRDefault="00F84A22" w:rsidP="002336B2">
            <w:pPr>
              <w:jc w:val="left"/>
              <w:rPr>
                <w:sz w:val="16"/>
                <w:szCs w:val="16"/>
                <w:lang w:val="en-GB"/>
              </w:rPr>
            </w:pPr>
            <w:r w:rsidRPr="00CE46F6">
              <w:rPr>
                <w:color w:val="000000"/>
                <w:sz w:val="16"/>
                <w:szCs w:val="16"/>
                <w:lang w:val="en-GB"/>
              </w:rPr>
              <w:t>Deposits of households and businesses in total falling for the second year in a row</w:t>
            </w:r>
          </w:p>
        </w:tc>
        <w:tc>
          <w:tcPr>
            <w:tcW w:w="136" w:type="pct"/>
          </w:tcPr>
          <w:p w:rsidR="00F84A22" w:rsidRPr="00CE46F6" w:rsidRDefault="00F84A22" w:rsidP="002336B2">
            <w:pPr>
              <w:pStyle w:val="Textpoznpodarou"/>
              <w:jc w:val="both"/>
              <w:rPr>
                <w:lang w:val="en-GB"/>
              </w:rPr>
            </w:pPr>
          </w:p>
        </w:tc>
        <w:tc>
          <w:tcPr>
            <w:tcW w:w="3762" w:type="pct"/>
            <w:gridSpan w:val="4"/>
          </w:tcPr>
          <w:p w:rsidR="00F84A22" w:rsidRPr="00CE46F6" w:rsidRDefault="00F84A22" w:rsidP="002336B2">
            <w:pPr>
              <w:pStyle w:val="Zhlav"/>
              <w:ind w:right="-70"/>
              <w:jc w:val="both"/>
              <w:rPr>
                <w:rFonts w:ascii="Arial" w:hAnsi="Arial" w:cs="Arial"/>
                <w:sz w:val="20"/>
                <w:szCs w:val="20"/>
                <w:lang w:val="en-GB"/>
              </w:rPr>
            </w:pPr>
            <w:r w:rsidRPr="00CE46F6">
              <w:rPr>
                <w:rFonts w:ascii="Arial" w:hAnsi="Arial" w:cs="Arial"/>
                <w:sz w:val="20"/>
                <w:szCs w:val="20"/>
                <w:lang w:val="en-GB"/>
              </w:rPr>
              <w:t xml:space="preserve">Deposits in the banking sector on accounts with maturity and accounts with a notice period </w:t>
            </w:r>
            <w:r>
              <w:rPr>
                <w:rFonts w:ascii="Arial" w:hAnsi="Arial" w:cs="Arial"/>
                <w:sz w:val="20"/>
                <w:szCs w:val="20"/>
                <w:lang w:val="en-GB"/>
              </w:rPr>
              <w:t xml:space="preserve">were </w:t>
            </w:r>
            <w:r w:rsidRPr="00CE46F6">
              <w:rPr>
                <w:rFonts w:ascii="Arial" w:hAnsi="Arial" w:cs="Arial"/>
                <w:sz w:val="20"/>
                <w:szCs w:val="20"/>
                <w:lang w:val="en-GB"/>
              </w:rPr>
              <w:t xml:space="preserve">in the aggregate number for both households and firms by 2 % lower by the end of year 2013 in comparison to the same period of 2012, when however their year-on-year slump was even deeper (-3.8 %). In years 2011 and 2010 these deposits were still year-on-year increasing. The recession weakened the dynamics of disposable incomes of households, which had the decisive effect on the fall of total deposits – their regular deposits on accounts with maturity fell nearly by one tenth (-9.5 %) by the end of 2013 and thus also weakened the households deposits with a notice period (-1.3 %). People thus partially utilise the previously saved funds for consumption. </w:t>
            </w:r>
          </w:p>
          <w:p w:rsidR="00F84A22" w:rsidRPr="00D5697D" w:rsidRDefault="00F84A22" w:rsidP="002336B2">
            <w:pPr>
              <w:pStyle w:val="Zhlav"/>
              <w:ind w:right="-70"/>
              <w:jc w:val="both"/>
              <w:rPr>
                <w:sz w:val="20"/>
                <w:szCs w:val="20"/>
                <w:lang w:val="en-GB"/>
              </w:rPr>
            </w:pPr>
          </w:p>
        </w:tc>
      </w:tr>
      <w:tr w:rsidR="00F84A22" w:rsidRPr="00CE46F6" w:rsidTr="002336B2">
        <w:trPr>
          <w:gridBefore w:val="1"/>
          <w:gridAfter w:val="1"/>
          <w:wBefore w:w="21" w:type="pct"/>
          <w:wAfter w:w="71" w:type="pct"/>
        </w:trPr>
        <w:tc>
          <w:tcPr>
            <w:tcW w:w="1009" w:type="pct"/>
            <w:gridSpan w:val="3"/>
          </w:tcPr>
          <w:p w:rsidR="00F84A22" w:rsidRPr="00CE46F6" w:rsidRDefault="00F84A22" w:rsidP="002336B2">
            <w:pPr>
              <w:jc w:val="left"/>
              <w:rPr>
                <w:color w:val="000000"/>
                <w:sz w:val="16"/>
                <w:szCs w:val="16"/>
                <w:lang w:val="en-GB"/>
              </w:rPr>
            </w:pPr>
            <w:r w:rsidRPr="00CE46F6">
              <w:rPr>
                <w:color w:val="000000"/>
                <w:sz w:val="16"/>
                <w:szCs w:val="16"/>
                <w:lang w:val="en-GB"/>
              </w:rPr>
              <w:t xml:space="preserve">The rate of growth of loans to population on housing strengthened, consumption loans after the previous falls of balances went slightly up </w:t>
            </w:r>
          </w:p>
          <w:p w:rsidR="00F84A22" w:rsidRPr="00CE46F6" w:rsidRDefault="00F84A22" w:rsidP="002336B2">
            <w:pPr>
              <w:jc w:val="left"/>
              <w:rPr>
                <w:color w:val="000000"/>
                <w:sz w:val="16"/>
                <w:szCs w:val="16"/>
                <w:lang w:val="en-GB"/>
              </w:rPr>
            </w:pPr>
          </w:p>
        </w:tc>
        <w:tc>
          <w:tcPr>
            <w:tcW w:w="136" w:type="pct"/>
          </w:tcPr>
          <w:p w:rsidR="00F84A22" w:rsidRPr="00CE46F6" w:rsidRDefault="00F84A22" w:rsidP="002336B2">
            <w:pPr>
              <w:pStyle w:val="Textpoznpodarou"/>
              <w:jc w:val="both"/>
              <w:rPr>
                <w:lang w:val="en-GB"/>
              </w:rPr>
            </w:pPr>
          </w:p>
        </w:tc>
        <w:tc>
          <w:tcPr>
            <w:tcW w:w="3762" w:type="pct"/>
            <w:gridSpan w:val="4"/>
          </w:tcPr>
          <w:p w:rsidR="00F84A22" w:rsidRPr="00CE46F6" w:rsidRDefault="00F84A22" w:rsidP="002336B2">
            <w:pPr>
              <w:pStyle w:val="Zhlav"/>
              <w:ind w:right="-70"/>
              <w:jc w:val="both"/>
              <w:rPr>
                <w:rFonts w:ascii="Arial" w:hAnsi="Arial" w:cs="Arial"/>
                <w:sz w:val="20"/>
                <w:szCs w:val="20"/>
                <w:lang w:val="en-GB"/>
              </w:rPr>
            </w:pPr>
            <w:r w:rsidRPr="00CE46F6">
              <w:rPr>
                <w:rFonts w:ascii="Arial" w:hAnsi="Arial" w:cs="Arial"/>
                <w:sz w:val="20"/>
                <w:szCs w:val="20"/>
                <w:lang w:val="en-GB"/>
              </w:rPr>
              <w:t xml:space="preserve">In spite of less favourable situation with respect to the household incomes the loans to population were boosted in 2013 more than in 2012 – the balances of mortgages were year-on-year higher by 5.2 % in December 2013 and amounted to 852.1 </w:t>
            </w:r>
            <w:proofErr w:type="spellStart"/>
            <w:r w:rsidRPr="00CE46F6">
              <w:rPr>
                <w:rFonts w:ascii="Arial" w:hAnsi="Arial" w:cs="Arial"/>
                <w:sz w:val="20"/>
                <w:szCs w:val="20"/>
                <w:lang w:val="en-GB"/>
              </w:rPr>
              <w:t>bn</w:t>
            </w:r>
            <w:proofErr w:type="spellEnd"/>
            <w:r w:rsidRPr="00CE46F6">
              <w:rPr>
                <w:rFonts w:ascii="Arial" w:hAnsi="Arial" w:cs="Arial"/>
                <w:sz w:val="20"/>
                <w:szCs w:val="20"/>
                <w:lang w:val="en-GB"/>
              </w:rPr>
              <w:t xml:space="preserve"> crowns, in that mortgages 746.4 </w:t>
            </w:r>
            <w:proofErr w:type="spellStart"/>
            <w:r w:rsidRPr="00CE46F6">
              <w:rPr>
                <w:rFonts w:ascii="Arial" w:hAnsi="Arial" w:cs="Arial"/>
                <w:sz w:val="20"/>
                <w:szCs w:val="20"/>
                <w:lang w:val="en-GB"/>
              </w:rPr>
              <w:t>bn</w:t>
            </w:r>
            <w:proofErr w:type="spellEnd"/>
            <w:r w:rsidRPr="00CE46F6">
              <w:rPr>
                <w:rFonts w:ascii="Arial" w:hAnsi="Arial" w:cs="Arial"/>
                <w:sz w:val="20"/>
                <w:szCs w:val="20"/>
                <w:lang w:val="en-GB"/>
              </w:rPr>
              <w:t xml:space="preserve"> crowns (+6.6 %). </w:t>
            </w:r>
            <w:r>
              <w:rPr>
                <w:rFonts w:ascii="Arial" w:hAnsi="Arial" w:cs="Arial"/>
                <w:sz w:val="20"/>
                <w:szCs w:val="20"/>
                <w:lang w:val="en-GB"/>
              </w:rPr>
              <w:t>T</w:t>
            </w:r>
            <w:r w:rsidRPr="00CE46F6">
              <w:rPr>
                <w:rFonts w:ascii="Arial" w:hAnsi="Arial" w:cs="Arial"/>
                <w:sz w:val="20"/>
                <w:szCs w:val="20"/>
                <w:lang w:val="en-GB"/>
              </w:rPr>
              <w:t xml:space="preserve">he long-time falling balances of consumption loans </w:t>
            </w:r>
            <w:r>
              <w:rPr>
                <w:rFonts w:ascii="Arial" w:hAnsi="Arial" w:cs="Arial"/>
                <w:sz w:val="20"/>
                <w:szCs w:val="20"/>
                <w:lang w:val="en-GB"/>
              </w:rPr>
              <w:t xml:space="preserve">also slightly revived </w:t>
            </w:r>
            <w:r w:rsidRPr="00CE46F6">
              <w:rPr>
                <w:rFonts w:ascii="Arial" w:hAnsi="Arial" w:cs="Arial"/>
                <w:sz w:val="20"/>
                <w:szCs w:val="20"/>
                <w:lang w:val="en-GB"/>
              </w:rPr>
              <w:t xml:space="preserve">(+0.4 % year-on-year compared to -0.7 % from the end of 2012) and reached 195.2 </w:t>
            </w:r>
            <w:proofErr w:type="spellStart"/>
            <w:r w:rsidRPr="00CE46F6">
              <w:rPr>
                <w:rFonts w:ascii="Arial" w:hAnsi="Arial" w:cs="Arial"/>
                <w:sz w:val="20"/>
                <w:szCs w:val="20"/>
                <w:lang w:val="en-GB"/>
              </w:rPr>
              <w:t>bn</w:t>
            </w:r>
            <w:proofErr w:type="spellEnd"/>
            <w:r w:rsidRPr="00CE46F6">
              <w:rPr>
                <w:rFonts w:ascii="Arial" w:hAnsi="Arial" w:cs="Arial"/>
                <w:sz w:val="20"/>
                <w:szCs w:val="20"/>
                <w:lang w:val="en-GB"/>
              </w:rPr>
              <w:t xml:space="preserve"> crowns. It is however obvious, that the segment of loan clients is for both types of loans rather different.    </w:t>
            </w:r>
          </w:p>
          <w:p w:rsidR="00F84A22" w:rsidRPr="00D5697D" w:rsidRDefault="00F84A22" w:rsidP="002336B2">
            <w:pPr>
              <w:pStyle w:val="Zhlav"/>
              <w:ind w:right="-70"/>
              <w:jc w:val="both"/>
              <w:rPr>
                <w:rFonts w:ascii="Arial" w:hAnsi="Arial" w:cs="Arial"/>
                <w:sz w:val="20"/>
                <w:szCs w:val="20"/>
                <w:lang w:val="en-GB"/>
              </w:rPr>
            </w:pPr>
          </w:p>
        </w:tc>
      </w:tr>
      <w:tr w:rsidR="00F84A22" w:rsidRPr="00CE46F6" w:rsidTr="002336B2">
        <w:trPr>
          <w:gridBefore w:val="1"/>
          <w:gridAfter w:val="1"/>
          <w:wBefore w:w="21" w:type="pct"/>
          <w:wAfter w:w="71" w:type="pct"/>
        </w:trPr>
        <w:tc>
          <w:tcPr>
            <w:tcW w:w="1009" w:type="pct"/>
            <w:gridSpan w:val="3"/>
          </w:tcPr>
          <w:p w:rsidR="00F84A22" w:rsidRPr="00CE46F6" w:rsidRDefault="00F84A22" w:rsidP="002336B2">
            <w:pPr>
              <w:jc w:val="left"/>
              <w:rPr>
                <w:sz w:val="16"/>
                <w:szCs w:val="16"/>
                <w:lang w:val="en-GB"/>
              </w:rPr>
            </w:pPr>
            <w:r w:rsidRPr="00CE46F6">
              <w:rPr>
                <w:sz w:val="16"/>
                <w:szCs w:val="16"/>
                <w:lang w:val="en-GB"/>
              </w:rPr>
              <w:t>Growing volume of both currency in circulation and property in mutual funds</w:t>
            </w:r>
          </w:p>
        </w:tc>
        <w:tc>
          <w:tcPr>
            <w:tcW w:w="136" w:type="pct"/>
          </w:tcPr>
          <w:p w:rsidR="00F84A22" w:rsidRPr="00CE46F6" w:rsidRDefault="00F84A22" w:rsidP="002336B2">
            <w:pPr>
              <w:pStyle w:val="Textpoznpodarou"/>
              <w:jc w:val="both"/>
              <w:rPr>
                <w:lang w:val="en-GB"/>
              </w:rPr>
            </w:pPr>
          </w:p>
        </w:tc>
        <w:tc>
          <w:tcPr>
            <w:tcW w:w="3762" w:type="pct"/>
            <w:gridSpan w:val="4"/>
          </w:tcPr>
          <w:p w:rsidR="00F84A22" w:rsidRPr="00CE46F6" w:rsidRDefault="00F84A22" w:rsidP="002336B2">
            <w:pPr>
              <w:pStyle w:val="Zhlav"/>
              <w:ind w:right="-70"/>
              <w:jc w:val="both"/>
              <w:rPr>
                <w:rFonts w:ascii="Arial" w:hAnsi="Arial" w:cs="Arial"/>
                <w:sz w:val="20"/>
                <w:szCs w:val="20"/>
                <w:lang w:val="en-GB"/>
              </w:rPr>
            </w:pPr>
            <w:r w:rsidRPr="00CE46F6">
              <w:rPr>
                <w:rFonts w:ascii="Arial" w:hAnsi="Arial" w:cs="Arial"/>
                <w:sz w:val="20"/>
                <w:szCs w:val="20"/>
                <w:lang w:val="en-GB"/>
              </w:rPr>
              <w:t xml:space="preserve">The volume of currency enlarged year-on-year by 4.3 %, i.e. more than presented addition by the end of year 2012. It </w:t>
            </w:r>
            <w:proofErr w:type="gramStart"/>
            <w:r w:rsidRPr="00CE46F6">
              <w:rPr>
                <w:rFonts w:ascii="Arial" w:hAnsi="Arial" w:cs="Arial"/>
                <w:sz w:val="20"/>
                <w:szCs w:val="20"/>
                <w:lang w:val="en-GB"/>
              </w:rPr>
              <w:t>suggests,</w:t>
            </w:r>
            <w:proofErr w:type="gramEnd"/>
            <w:r w:rsidRPr="00CE46F6">
              <w:rPr>
                <w:rFonts w:ascii="Arial" w:hAnsi="Arial" w:cs="Arial"/>
                <w:sz w:val="20"/>
                <w:szCs w:val="20"/>
                <w:lang w:val="en-GB"/>
              </w:rPr>
              <w:t xml:space="preserve"> that a significant part of the household purchasing power can lie as ready cash in homes (hoarded money). Regarding the alternatives of household savings to bank deposits and their eventual strengthening to the detriment of these regular deposits, data known at the time of this analysis preparation were limited only to the volume of property in mutual funds. These data show, that households and institutions saved in domestic and foreign mutual funds operating in the CR in total 269.8 </w:t>
            </w:r>
            <w:proofErr w:type="spellStart"/>
            <w:r w:rsidRPr="00CE46F6">
              <w:rPr>
                <w:rFonts w:ascii="Arial" w:hAnsi="Arial" w:cs="Arial"/>
                <w:sz w:val="20"/>
                <w:szCs w:val="20"/>
                <w:lang w:val="en-GB"/>
              </w:rPr>
              <w:t>bn</w:t>
            </w:r>
            <w:proofErr w:type="spellEnd"/>
            <w:r w:rsidRPr="00CE46F6">
              <w:rPr>
                <w:rFonts w:ascii="Arial" w:hAnsi="Arial" w:cs="Arial"/>
                <w:sz w:val="20"/>
                <w:szCs w:val="20"/>
                <w:lang w:val="en-GB"/>
              </w:rPr>
              <w:t xml:space="preserve"> crowns</w:t>
            </w:r>
            <w:r>
              <w:rPr>
                <w:rFonts w:ascii="Arial" w:hAnsi="Arial" w:cs="Arial"/>
                <w:sz w:val="20"/>
                <w:szCs w:val="20"/>
                <w:lang w:val="en-GB"/>
              </w:rPr>
              <w:t xml:space="preserve"> </w:t>
            </w:r>
            <w:r w:rsidRPr="00CE46F6">
              <w:rPr>
                <w:rFonts w:ascii="Arial" w:hAnsi="Arial" w:cs="Arial"/>
                <w:sz w:val="20"/>
                <w:szCs w:val="20"/>
                <w:lang w:val="en-GB"/>
              </w:rPr>
              <w:t xml:space="preserve">by the end of year 2013, which was year-on-year by 14.7 % more. This very favourable expansion however does not mean, that people and institutions purchased by 34.6 </w:t>
            </w:r>
            <w:proofErr w:type="spellStart"/>
            <w:r w:rsidRPr="00CE46F6">
              <w:rPr>
                <w:rFonts w:ascii="Arial" w:hAnsi="Arial" w:cs="Arial"/>
                <w:sz w:val="20"/>
                <w:szCs w:val="20"/>
                <w:lang w:val="en-GB"/>
              </w:rPr>
              <w:t>bn</w:t>
            </w:r>
            <w:proofErr w:type="spellEnd"/>
            <w:r w:rsidRPr="00CE46F6">
              <w:rPr>
                <w:rFonts w:ascii="Arial" w:hAnsi="Arial" w:cs="Arial"/>
                <w:sz w:val="20"/>
                <w:szCs w:val="20"/>
                <w:lang w:val="en-GB"/>
              </w:rPr>
              <w:t xml:space="preserve"> crowns more mutual fund shares. It is given mainly by the favourable development on the financial markets, especially the share markets (property in these markets enlarged year-on-year by 27.4 %), which above all enabled such strong increase of property.     </w:t>
            </w:r>
          </w:p>
        </w:tc>
      </w:tr>
      <w:tr w:rsidR="00F84A22" w:rsidRPr="00CE46F6" w:rsidTr="002336B2">
        <w:trPr>
          <w:gridBefore w:val="1"/>
          <w:gridAfter w:val="1"/>
          <w:wBefore w:w="21" w:type="pct"/>
          <w:wAfter w:w="71" w:type="pct"/>
        </w:trPr>
        <w:tc>
          <w:tcPr>
            <w:tcW w:w="1009" w:type="pct"/>
            <w:gridSpan w:val="3"/>
          </w:tcPr>
          <w:p w:rsidR="00F84A22" w:rsidRPr="00CE46F6" w:rsidRDefault="00F84A22" w:rsidP="002336B2">
            <w:pPr>
              <w:jc w:val="left"/>
              <w:rPr>
                <w:color w:val="000000"/>
                <w:sz w:val="16"/>
                <w:szCs w:val="16"/>
                <w:lang w:val="en-GB"/>
              </w:rPr>
            </w:pPr>
          </w:p>
        </w:tc>
        <w:tc>
          <w:tcPr>
            <w:tcW w:w="136" w:type="pct"/>
          </w:tcPr>
          <w:p w:rsidR="00F84A22" w:rsidRPr="00CE46F6" w:rsidRDefault="00F84A22" w:rsidP="002336B2">
            <w:pPr>
              <w:pStyle w:val="Textpoznpodarou"/>
              <w:jc w:val="both"/>
              <w:rPr>
                <w:lang w:val="en-GB"/>
              </w:rPr>
            </w:pPr>
          </w:p>
        </w:tc>
        <w:tc>
          <w:tcPr>
            <w:tcW w:w="3762" w:type="pct"/>
            <w:gridSpan w:val="4"/>
          </w:tcPr>
          <w:p w:rsidR="00F84A22" w:rsidRDefault="00F84A22" w:rsidP="002336B2">
            <w:pPr>
              <w:pStyle w:val="Zhlav"/>
              <w:ind w:right="-70"/>
              <w:jc w:val="both"/>
              <w:rPr>
                <w:rFonts w:ascii="Arial" w:hAnsi="Arial" w:cs="Arial"/>
                <w:sz w:val="20"/>
                <w:szCs w:val="20"/>
                <w:lang w:val="en-GB"/>
              </w:rPr>
            </w:pPr>
          </w:p>
          <w:p w:rsidR="00F84A22" w:rsidRPr="00CE46F6" w:rsidRDefault="00F84A22" w:rsidP="002336B2">
            <w:pPr>
              <w:pStyle w:val="Zhlav"/>
              <w:ind w:right="-70"/>
              <w:jc w:val="both"/>
              <w:rPr>
                <w:rFonts w:ascii="Arial" w:hAnsi="Arial" w:cs="Arial"/>
                <w:sz w:val="20"/>
                <w:szCs w:val="20"/>
                <w:lang w:val="en-GB"/>
              </w:rPr>
            </w:pPr>
          </w:p>
        </w:tc>
      </w:tr>
      <w:tr w:rsidR="00F84A22" w:rsidRPr="00CE46F6" w:rsidTr="00233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529" w:type="pct"/>
            <w:gridSpan w:val="3"/>
            <w:tcBorders>
              <w:top w:val="nil"/>
              <w:left w:val="nil"/>
              <w:bottom w:val="nil"/>
              <w:right w:val="nil"/>
            </w:tcBorders>
          </w:tcPr>
          <w:p w:rsidR="00F84A22" w:rsidRPr="00CE46F6" w:rsidRDefault="00F84A22" w:rsidP="002336B2">
            <w:pPr>
              <w:jc w:val="left"/>
              <w:rPr>
                <w:lang w:val="en-GB"/>
              </w:rPr>
            </w:pPr>
            <w:r w:rsidRPr="00CE46F6">
              <w:rPr>
                <w:lang w:val="en-GB"/>
              </w:rPr>
              <w:t>Chart 19</w:t>
            </w:r>
          </w:p>
        </w:tc>
        <w:tc>
          <w:tcPr>
            <w:tcW w:w="1900" w:type="pct"/>
            <w:gridSpan w:val="3"/>
            <w:tcBorders>
              <w:top w:val="nil"/>
              <w:left w:val="nil"/>
              <w:bottom w:val="nil"/>
              <w:right w:val="nil"/>
            </w:tcBorders>
          </w:tcPr>
          <w:p w:rsidR="00F84A22" w:rsidRPr="00CE46F6" w:rsidRDefault="00F84A22" w:rsidP="002336B2">
            <w:pPr>
              <w:jc w:val="left"/>
              <w:rPr>
                <w:b/>
                <w:lang w:val="en-GB"/>
              </w:rPr>
            </w:pPr>
            <w:r w:rsidRPr="00CE46F6">
              <w:rPr>
                <w:b/>
                <w:lang w:val="en-GB"/>
              </w:rPr>
              <w:t xml:space="preserve">Bank loans to non-financial businesses in foreign currency </w:t>
            </w:r>
            <w:r w:rsidRPr="00CE46F6">
              <w:rPr>
                <w:bCs/>
                <w:lang w:val="en-GB"/>
              </w:rPr>
              <w:t>(y/y, in %)</w:t>
            </w:r>
          </w:p>
        </w:tc>
        <w:tc>
          <w:tcPr>
            <w:tcW w:w="564" w:type="pct"/>
            <w:tcBorders>
              <w:top w:val="nil"/>
              <w:left w:val="nil"/>
              <w:bottom w:val="nil"/>
              <w:right w:val="nil"/>
            </w:tcBorders>
          </w:tcPr>
          <w:p w:rsidR="00F84A22" w:rsidRPr="00CE46F6" w:rsidRDefault="00F84A22" w:rsidP="002336B2">
            <w:pPr>
              <w:jc w:val="left"/>
              <w:rPr>
                <w:lang w:val="en-GB"/>
              </w:rPr>
            </w:pPr>
            <w:r w:rsidRPr="00CE46F6">
              <w:rPr>
                <w:lang w:val="en-GB"/>
              </w:rPr>
              <w:t>Chart 20</w:t>
            </w:r>
          </w:p>
        </w:tc>
        <w:tc>
          <w:tcPr>
            <w:tcW w:w="2007" w:type="pct"/>
            <w:gridSpan w:val="3"/>
            <w:tcBorders>
              <w:top w:val="nil"/>
              <w:left w:val="nil"/>
              <w:bottom w:val="nil"/>
              <w:right w:val="nil"/>
            </w:tcBorders>
          </w:tcPr>
          <w:p w:rsidR="00F84A22" w:rsidRPr="00CE46F6" w:rsidRDefault="00F84A22" w:rsidP="002336B2">
            <w:pPr>
              <w:jc w:val="left"/>
              <w:rPr>
                <w:b/>
                <w:lang w:val="en-GB"/>
              </w:rPr>
            </w:pPr>
            <w:r w:rsidRPr="00CE46F6">
              <w:rPr>
                <w:b/>
                <w:lang w:val="en-GB"/>
              </w:rPr>
              <w:t>Household deposits (</w:t>
            </w:r>
            <w:r w:rsidRPr="00CE46F6">
              <w:rPr>
                <w:bCs/>
                <w:lang w:val="en-GB"/>
              </w:rPr>
              <w:t>y/y, in %)</w:t>
            </w:r>
          </w:p>
        </w:tc>
      </w:tr>
      <w:tr w:rsidR="00F84A22" w:rsidRPr="00CE46F6" w:rsidTr="00233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256"/>
        </w:trPr>
        <w:tc>
          <w:tcPr>
            <w:tcW w:w="2429" w:type="pct"/>
            <w:gridSpan w:val="6"/>
            <w:tcBorders>
              <w:top w:val="nil"/>
              <w:left w:val="nil"/>
              <w:bottom w:val="nil"/>
              <w:right w:val="nil"/>
            </w:tcBorders>
          </w:tcPr>
          <w:p w:rsidR="00F84A22" w:rsidRPr="00CE46F6" w:rsidRDefault="00F84A22" w:rsidP="002336B2">
            <w:pPr>
              <w:pStyle w:val="Zhlav"/>
              <w:tabs>
                <w:tab w:val="clear" w:pos="4536"/>
                <w:tab w:val="clear" w:pos="9072"/>
              </w:tabs>
              <w:rPr>
                <w:rFonts w:ascii="Arial" w:hAnsi="Arial" w:cs="Arial"/>
                <w:sz w:val="20"/>
                <w:lang w:val="en-GB"/>
              </w:rPr>
            </w:pPr>
            <w:r w:rsidRPr="00740B29">
              <w:rPr>
                <w:rFonts w:ascii="Arial" w:hAnsi="Arial" w:cs="Arial"/>
                <w:noProof/>
                <w:sz w:val="20"/>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9" o:spid="_x0000_i1025" type="#_x0000_t75" style="width:243pt;height:20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">
                  <v:imagedata r:id="rId8" o:title=""/>
                  <o:lock v:ext="edit" aspectratio="f"/>
                </v:shape>
              </w:pict>
            </w:r>
          </w:p>
        </w:tc>
        <w:tc>
          <w:tcPr>
            <w:tcW w:w="2571" w:type="pct"/>
            <w:gridSpan w:val="4"/>
            <w:tcBorders>
              <w:top w:val="nil"/>
              <w:left w:val="nil"/>
              <w:bottom w:val="nil"/>
              <w:right w:val="nil"/>
            </w:tcBorders>
          </w:tcPr>
          <w:p w:rsidR="00F84A22" w:rsidRPr="00CE46F6" w:rsidRDefault="00F84A22" w:rsidP="002336B2">
            <w:pPr>
              <w:pStyle w:val="Zhlav"/>
              <w:tabs>
                <w:tab w:val="clear" w:pos="4536"/>
                <w:tab w:val="clear" w:pos="9072"/>
              </w:tabs>
              <w:spacing w:line="235" w:lineRule="auto"/>
              <w:jc w:val="both"/>
              <w:rPr>
                <w:rFonts w:ascii="Arial" w:hAnsi="Arial" w:cs="Arial"/>
                <w:sz w:val="20"/>
                <w:lang w:val="en-GB"/>
              </w:rPr>
            </w:pPr>
            <w:r w:rsidRPr="00740B29">
              <w:rPr>
                <w:rFonts w:ascii="Arial" w:hAnsi="Arial" w:cs="Arial"/>
                <w:noProof/>
                <w:sz w:val="20"/>
                <w:lang w:eastAsia="cs-CZ"/>
              </w:rPr>
              <w:pict>
                <v:shape id="Graf 8" o:spid="_x0000_i1026" type="#_x0000_t75" style="width:232.5pt;height:20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">
                  <v:imagedata r:id="rId9" o:title="" cropbottom="-78f"/>
                  <o:lock v:ext="edit" aspectratio="f"/>
                </v:shape>
              </w:pict>
            </w:r>
          </w:p>
        </w:tc>
      </w:tr>
      <w:tr w:rsidR="00F84A22" w:rsidRPr="00CE46F6" w:rsidTr="002336B2">
        <w:trPr>
          <w:gridBefore w:val="2"/>
          <w:gridAfter w:val="2"/>
          <w:wBefore w:w="105" w:type="pct"/>
          <w:wAfter w:w="190" w:type="pct"/>
        </w:trPr>
        <w:tc>
          <w:tcPr>
            <w:tcW w:w="4705" w:type="pct"/>
            <w:gridSpan w:val="6"/>
          </w:tcPr>
          <w:p w:rsidR="00F84A22" w:rsidRPr="00CE46F6" w:rsidRDefault="00F84A22" w:rsidP="002336B2">
            <w:pPr>
              <w:jc w:val="right"/>
              <w:rPr>
                <w:sz w:val="18"/>
                <w:szCs w:val="18"/>
                <w:lang w:val="en-GB"/>
              </w:rPr>
            </w:pPr>
            <w:r w:rsidRPr="00CE46F6">
              <w:rPr>
                <w:sz w:val="18"/>
                <w:szCs w:val="18"/>
                <w:lang w:val="en-GB"/>
              </w:rPr>
              <w:t xml:space="preserve">Source: CNB, own calculations </w:t>
            </w:r>
          </w:p>
        </w:tc>
      </w:tr>
    </w:tbl>
    <w:p w:rsidR="00F84A22" w:rsidRPr="00CE46F6" w:rsidRDefault="00F84A22" w:rsidP="00F84A22">
      <w:pPr>
        <w:rPr>
          <w:lang w:val="en-GB"/>
        </w:rPr>
      </w:pPr>
    </w:p>
    <w:p w:rsidR="008F1658" w:rsidRPr="006C3EB2" w:rsidRDefault="008F1658" w:rsidP="006C3EB2"/>
    <w:sectPr w:rsidR="008F1658" w:rsidRPr="006C3EB2" w:rsidSect="00F246D9">
      <w:headerReference w:type="even" r:id="rId10"/>
      <w:headerReference w:type="default" r:id="rId11"/>
      <w:footerReference w:type="even" r:id="rId12"/>
      <w:footerReference w:type="default" r:id="rId13"/>
      <w:pgSz w:w="11906" w:h="16838" w:code="9"/>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FC2" w:rsidRDefault="003C0FC2" w:rsidP="005D26EF">
      <w:r>
        <w:separator/>
      </w:r>
    </w:p>
  </w:endnote>
  <w:endnote w:type="continuationSeparator" w:id="0">
    <w:p w:rsidR="003C0FC2" w:rsidRDefault="003C0FC2" w:rsidP="005D2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ED" w:rsidRDefault="006F03BC" w:rsidP="00281F36">
    <w:pPr>
      <w:pStyle w:val="Zpat"/>
      <w:tabs>
        <w:tab w:val="clear" w:pos="4536"/>
        <w:tab w:val="clear" w:pos="9072"/>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45.7pt;margin-top:-4.15pt;width:36.75pt;height:17.25pt;z-index:1">
          <v:imagedata r:id="rId1" o:title="3"/>
        </v:shape>
      </w:pict>
    </w:r>
    <w:r w:rsidRPr="005A21E0">
      <w:rPr>
        <w:rFonts w:ascii="Arial" w:hAnsi="Arial" w:cs="Arial"/>
        <w:sz w:val="16"/>
        <w:szCs w:val="16"/>
      </w:rPr>
      <w:fldChar w:fldCharType="begin"/>
    </w:r>
    <w:r w:rsidR="004072ED" w:rsidRPr="005A21E0">
      <w:rPr>
        <w:rFonts w:ascii="Arial" w:hAnsi="Arial" w:cs="Arial"/>
        <w:sz w:val="16"/>
        <w:szCs w:val="16"/>
      </w:rPr>
      <w:instrText>PAGE   \* MERGEFORMAT</w:instrText>
    </w:r>
    <w:r w:rsidRPr="005A21E0">
      <w:rPr>
        <w:rFonts w:ascii="Arial" w:hAnsi="Arial" w:cs="Arial"/>
        <w:sz w:val="16"/>
        <w:szCs w:val="16"/>
      </w:rPr>
      <w:fldChar w:fldCharType="separate"/>
    </w:r>
    <w:r w:rsidR="004072ED">
      <w:rPr>
        <w:rFonts w:ascii="Arial" w:hAnsi="Arial" w:cs="Arial"/>
        <w:noProof/>
        <w:sz w:val="16"/>
        <w:szCs w:val="16"/>
      </w:rPr>
      <w:t>74</w:t>
    </w:r>
    <w:r w:rsidRPr="005A21E0">
      <w:rPr>
        <w:rFonts w:ascii="Arial" w:hAnsi="Arial" w:cs="Arial"/>
        <w:sz w:val="16"/>
        <w:szCs w:val="16"/>
      </w:rPr>
      <w:fldChar w:fldCharType="end"/>
    </w:r>
    <w:r w:rsidR="004072ED">
      <w:rPr>
        <w:rFonts w:ascii="Arial" w:hAnsi="Arial" w:cs="Arial"/>
        <w:sz w:val="16"/>
        <w:szCs w:val="16"/>
      </w:rPr>
      <w:tab/>
      <w:t>2013</w:t>
    </w:r>
    <w:r w:rsidR="004072ED">
      <w:tab/>
    </w:r>
    <w:r w:rsidR="004072ED">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ED" w:rsidRDefault="006F03BC" w:rsidP="00281F36">
    <w:pPr>
      <w:pStyle w:val="Zpat"/>
      <w:tabs>
        <w:tab w:val="clear" w:pos="4536"/>
        <w:tab w:val="clear" w:pos="9072"/>
        <w:tab w:val="left" w:pos="1134"/>
        <w:tab w:val="left" w:pos="1920"/>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pt;margin-top:7.1pt;width:39pt;height:21pt;z-index:2">
          <v:imagedata r:id="rId1" o:title="3"/>
        </v:shape>
      </w:pict>
    </w:r>
    <w:r w:rsidR="004072ED">
      <w:tab/>
    </w:r>
    <w:r w:rsidR="004072ED">
      <w:tab/>
    </w:r>
  </w:p>
  <w:p w:rsidR="004072ED" w:rsidRDefault="004072ED" w:rsidP="00281F36">
    <w:pPr>
      <w:pStyle w:val="Zpat"/>
      <w:tabs>
        <w:tab w:val="clear" w:pos="4536"/>
        <w:tab w:val="clear" w:pos="9072"/>
        <w:tab w:val="left" w:pos="1134"/>
        <w:tab w:val="left" w:pos="1920"/>
        <w:tab w:val="center" w:pos="4820"/>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r>
    <w:proofErr w:type="spellStart"/>
    <w:r w:rsidR="008D0040">
      <w:rPr>
        <w:rFonts w:ascii="Arial" w:hAnsi="Arial" w:cs="Arial"/>
        <w:sz w:val="16"/>
        <w:szCs w:val="16"/>
      </w:rPr>
      <w:t>March</w:t>
    </w:r>
    <w:proofErr w:type="spellEnd"/>
    <w:r w:rsidR="0066041C">
      <w:rPr>
        <w:rFonts w:ascii="Arial" w:hAnsi="Arial" w:cs="Arial"/>
        <w:sz w:val="16"/>
        <w:szCs w:val="16"/>
      </w:rPr>
      <w:t xml:space="preserve"> </w:t>
    </w:r>
    <w:r>
      <w:rPr>
        <w:rFonts w:ascii="Arial" w:hAnsi="Arial" w:cs="Arial"/>
        <w:sz w:val="16"/>
        <w:szCs w:val="16"/>
      </w:rPr>
      <w:t>201</w:t>
    </w:r>
    <w:r w:rsidR="0066041C">
      <w:rPr>
        <w:rFonts w:ascii="Arial" w:hAnsi="Arial" w:cs="Arial"/>
        <w:sz w:val="16"/>
        <w:szCs w:val="16"/>
      </w:rPr>
      <w:t>4</w:t>
    </w:r>
    <w:r>
      <w:tab/>
    </w:r>
    <w:r w:rsidR="006F03BC" w:rsidRPr="00B6608F">
      <w:rPr>
        <w:rFonts w:ascii="Arial" w:hAnsi="Arial" w:cs="Arial"/>
        <w:sz w:val="16"/>
        <w:szCs w:val="16"/>
      </w:rPr>
      <w:fldChar w:fldCharType="begin"/>
    </w:r>
    <w:r w:rsidRPr="00B6608F">
      <w:rPr>
        <w:rFonts w:ascii="Arial" w:hAnsi="Arial" w:cs="Arial"/>
        <w:sz w:val="16"/>
        <w:szCs w:val="16"/>
      </w:rPr>
      <w:instrText>PAGE   \* MERGEFORMAT</w:instrText>
    </w:r>
    <w:r w:rsidR="006F03BC" w:rsidRPr="00B6608F">
      <w:rPr>
        <w:rFonts w:ascii="Arial" w:hAnsi="Arial" w:cs="Arial"/>
        <w:sz w:val="16"/>
        <w:szCs w:val="16"/>
      </w:rPr>
      <w:fldChar w:fldCharType="separate"/>
    </w:r>
    <w:r w:rsidR="00F84A22">
      <w:rPr>
        <w:rFonts w:ascii="Arial" w:hAnsi="Arial" w:cs="Arial"/>
        <w:noProof/>
        <w:sz w:val="16"/>
        <w:szCs w:val="16"/>
      </w:rPr>
      <w:t>2</w:t>
    </w:r>
    <w:r w:rsidR="006F03BC" w:rsidRPr="00B6608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FC2" w:rsidRDefault="003C0FC2" w:rsidP="005D26EF">
      <w:r>
        <w:separator/>
      </w:r>
    </w:p>
  </w:footnote>
  <w:footnote w:type="continuationSeparator" w:id="0">
    <w:p w:rsidR="003C0FC2" w:rsidRDefault="003C0FC2" w:rsidP="005D2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4072ED" w:rsidRPr="00E53687" w:rsidTr="00281F36">
      <w:tc>
        <w:tcPr>
          <w:tcW w:w="6518" w:type="dxa"/>
        </w:tcPr>
        <w:p w:rsidR="004072ED" w:rsidRPr="00E53687" w:rsidRDefault="004072ED" w:rsidP="00281F36">
          <w:pPr>
            <w:pStyle w:val="Zhlav"/>
            <w:tabs>
              <w:tab w:val="clear" w:pos="4536"/>
              <w:tab w:val="clear" w:pos="9072"/>
              <w:tab w:val="left" w:pos="-6379"/>
              <w:tab w:val="center" w:pos="4820"/>
              <w:tab w:val="right" w:pos="9639"/>
            </w:tabs>
            <w:rPr>
              <w:rFonts w:ascii="Arial" w:hAnsi="Arial" w:cs="Arial"/>
              <w:b/>
              <w:sz w:val="16"/>
              <w:szCs w:val="16"/>
            </w:rPr>
          </w:pPr>
          <w:r>
            <w:rPr>
              <w:rFonts w:ascii="Arial" w:hAnsi="Arial" w:cs="Arial"/>
              <w:b/>
              <w:sz w:val="16"/>
              <w:szCs w:val="16"/>
            </w:rPr>
            <w:t>Tendence a faktory makroekonomického vývoje a kvality života v ČR v roce 2012</w:t>
          </w:r>
        </w:p>
      </w:tc>
      <w:tc>
        <w:tcPr>
          <w:tcW w:w="3260" w:type="dxa"/>
        </w:tcPr>
        <w:p w:rsidR="004072ED" w:rsidRPr="00E53687" w:rsidRDefault="004072ED" w:rsidP="00281F36">
          <w:pPr>
            <w:pStyle w:val="Zhlav"/>
            <w:tabs>
              <w:tab w:val="clear" w:pos="4536"/>
              <w:tab w:val="clear" w:pos="9072"/>
              <w:tab w:val="left" w:pos="-6379"/>
              <w:tab w:val="center" w:pos="4820"/>
              <w:tab w:val="right" w:pos="9639"/>
            </w:tabs>
            <w:jc w:val="right"/>
            <w:rPr>
              <w:rFonts w:ascii="Arial" w:hAnsi="Arial" w:cs="Arial"/>
              <w:sz w:val="16"/>
              <w:szCs w:val="16"/>
            </w:rPr>
          </w:pPr>
          <w:r w:rsidRPr="00E53687">
            <w:rPr>
              <w:rFonts w:ascii="Arial" w:hAnsi="Arial" w:cs="Arial"/>
              <w:sz w:val="16"/>
              <w:szCs w:val="16"/>
            </w:rPr>
            <w:t>kód 1109-12</w:t>
          </w:r>
        </w:p>
      </w:tc>
    </w:tr>
  </w:tbl>
  <w:p w:rsidR="004072ED" w:rsidRPr="00190394" w:rsidRDefault="004072ED" w:rsidP="00281F36">
    <w:pPr>
      <w:pStyle w:val="Zhlav"/>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4072ED" w:rsidRPr="00E53687" w:rsidTr="00281F36">
      <w:tc>
        <w:tcPr>
          <w:tcW w:w="6518" w:type="dxa"/>
        </w:tcPr>
        <w:p w:rsidR="004072ED" w:rsidRPr="00E53687" w:rsidRDefault="008D0040" w:rsidP="008D0040">
          <w:pPr>
            <w:pStyle w:val="Zhlav"/>
            <w:tabs>
              <w:tab w:val="clear" w:pos="4536"/>
              <w:tab w:val="clear" w:pos="9072"/>
              <w:tab w:val="left" w:pos="-6379"/>
              <w:tab w:val="center" w:pos="4820"/>
              <w:tab w:val="right" w:pos="9639"/>
            </w:tabs>
            <w:rPr>
              <w:rFonts w:ascii="Arial" w:hAnsi="Arial" w:cs="Arial"/>
              <w:b/>
              <w:sz w:val="16"/>
              <w:szCs w:val="16"/>
            </w:rPr>
          </w:pPr>
          <w:proofErr w:type="spellStart"/>
          <w:r>
            <w:rPr>
              <w:rFonts w:ascii="Arial" w:hAnsi="Arial" w:cs="Arial"/>
              <w:b/>
              <w:sz w:val="16"/>
              <w:szCs w:val="16"/>
            </w:rPr>
            <w:t>The</w:t>
          </w:r>
          <w:proofErr w:type="spellEnd"/>
          <w:r>
            <w:rPr>
              <w:rFonts w:ascii="Arial" w:hAnsi="Arial" w:cs="Arial"/>
              <w:b/>
              <w:sz w:val="16"/>
              <w:szCs w:val="16"/>
            </w:rPr>
            <w:t xml:space="preserve"> </w:t>
          </w:r>
          <w:proofErr w:type="spellStart"/>
          <w:r>
            <w:rPr>
              <w:rFonts w:ascii="Arial" w:hAnsi="Arial" w:cs="Arial"/>
              <w:b/>
              <w:sz w:val="16"/>
              <w:szCs w:val="16"/>
            </w:rPr>
            <w:t>Czech</w:t>
          </w:r>
          <w:proofErr w:type="spellEnd"/>
          <w:r>
            <w:rPr>
              <w:rFonts w:ascii="Arial" w:hAnsi="Arial" w:cs="Arial"/>
              <w:b/>
              <w:sz w:val="16"/>
              <w:szCs w:val="16"/>
            </w:rPr>
            <w:t xml:space="preserve"> </w:t>
          </w:r>
          <w:proofErr w:type="spellStart"/>
          <w:r>
            <w:rPr>
              <w:rFonts w:ascii="Arial" w:hAnsi="Arial" w:cs="Arial"/>
              <w:b/>
              <w:sz w:val="16"/>
              <w:szCs w:val="16"/>
            </w:rPr>
            <w:t>Economy</w:t>
          </w:r>
          <w:proofErr w:type="spellEnd"/>
          <w:r>
            <w:rPr>
              <w:rFonts w:ascii="Arial" w:hAnsi="Arial" w:cs="Arial"/>
              <w:b/>
              <w:sz w:val="16"/>
              <w:szCs w:val="16"/>
            </w:rPr>
            <w:t xml:space="preserve"> </w:t>
          </w:r>
          <w:proofErr w:type="spellStart"/>
          <w:r>
            <w:rPr>
              <w:rFonts w:ascii="Arial" w:hAnsi="Arial" w:cs="Arial"/>
              <w:b/>
              <w:sz w:val="16"/>
              <w:szCs w:val="16"/>
            </w:rPr>
            <w:t>Development</w:t>
          </w:r>
          <w:proofErr w:type="spellEnd"/>
          <w:r>
            <w:rPr>
              <w:rFonts w:ascii="Arial" w:hAnsi="Arial" w:cs="Arial"/>
              <w:b/>
              <w:sz w:val="16"/>
              <w:szCs w:val="16"/>
            </w:rPr>
            <w:t xml:space="preserve"> in 2013 </w:t>
          </w:r>
        </w:p>
      </w:tc>
      <w:tc>
        <w:tcPr>
          <w:tcW w:w="3260" w:type="dxa"/>
        </w:tcPr>
        <w:p w:rsidR="004072ED" w:rsidRPr="00E53687" w:rsidRDefault="008D0040" w:rsidP="008D0040">
          <w:pPr>
            <w:pStyle w:val="Zhlav"/>
            <w:tabs>
              <w:tab w:val="clear" w:pos="4536"/>
              <w:tab w:val="clear" w:pos="9072"/>
              <w:tab w:val="left" w:pos="-6379"/>
              <w:tab w:val="center" w:pos="4820"/>
              <w:tab w:val="right" w:pos="9639"/>
            </w:tabs>
            <w:jc w:val="right"/>
            <w:rPr>
              <w:rFonts w:ascii="Arial" w:hAnsi="Arial" w:cs="Arial"/>
              <w:sz w:val="16"/>
              <w:szCs w:val="16"/>
            </w:rPr>
          </w:pPr>
          <w:proofErr w:type="spellStart"/>
          <w:r>
            <w:rPr>
              <w:rFonts w:ascii="Arial" w:hAnsi="Arial" w:cs="Arial"/>
              <w:sz w:val="16"/>
              <w:szCs w:val="16"/>
            </w:rPr>
            <w:t>Code</w:t>
          </w:r>
          <w:proofErr w:type="spellEnd"/>
          <w:r>
            <w:rPr>
              <w:rFonts w:ascii="Arial" w:hAnsi="Arial" w:cs="Arial"/>
              <w:sz w:val="16"/>
              <w:szCs w:val="16"/>
            </w:rPr>
            <w:t xml:space="preserve"> a-1120-13</w:t>
          </w:r>
        </w:p>
      </w:tc>
    </w:tr>
  </w:tbl>
  <w:p w:rsidR="004072ED" w:rsidRPr="00190394" w:rsidRDefault="004072ED" w:rsidP="00281F36">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F6E"/>
    <w:multiLevelType w:val="multilevel"/>
    <w:tmpl w:val="4ADC490C"/>
    <w:lvl w:ilvl="0">
      <w:start w:val="1"/>
      <w:numFmt w:val="decimal"/>
      <w:lvlText w:val="%1"/>
      <w:lvlJc w:val="left"/>
      <w:pPr>
        <w:ind w:left="431" w:hanging="431"/>
      </w:pPr>
      <w:rPr>
        <w:rFonts w:hint="default"/>
      </w:rPr>
    </w:lvl>
    <w:lvl w:ilvl="1">
      <w:start w:val="1"/>
      <w:numFmt w:val="decimal"/>
      <w:pStyle w:val="Nadpis2"/>
      <w:lvlText w:val="%1.%2"/>
      <w:lvlJc w:val="left"/>
      <w:pPr>
        <w:ind w:left="431" w:hanging="431"/>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szCs w:val="20"/>
        <w:u w:val="none"/>
        <w:vertAlign w:val="baseline"/>
        <w:em w:val="none"/>
      </w:rPr>
    </w:lvl>
    <w:lvl w:ilvl="2">
      <w:start w:val="1"/>
      <w:numFmt w:val="decimal"/>
      <w:pStyle w:val="Nadpis3"/>
      <w:lvlText w:val="%1.%2.%3"/>
      <w:lvlJc w:val="left"/>
      <w:pPr>
        <w:ind w:left="431" w:hanging="431"/>
      </w:pPr>
      <w:rPr>
        <w:rFonts w:hint="default"/>
      </w:rPr>
    </w:lvl>
    <w:lvl w:ilvl="3">
      <w:start w:val="1"/>
      <w:numFmt w:val="decimal"/>
      <w:pStyle w:val="Nadpis4"/>
      <w:lvlText w:val="%1.%2.%3.%4"/>
      <w:lvlJc w:val="left"/>
      <w:pPr>
        <w:ind w:left="431" w:hanging="431"/>
      </w:pPr>
      <w:rPr>
        <w:rFonts w:hint="default"/>
      </w:rPr>
    </w:lvl>
    <w:lvl w:ilvl="4">
      <w:start w:val="1"/>
      <w:numFmt w:val="decimal"/>
      <w:pStyle w:val="Nadpis5"/>
      <w:lvlText w:val="%1.%2.%3.%4.%5"/>
      <w:lvlJc w:val="left"/>
      <w:pPr>
        <w:ind w:left="431" w:hanging="431"/>
      </w:pPr>
      <w:rPr>
        <w:rFonts w:hint="default"/>
      </w:rPr>
    </w:lvl>
    <w:lvl w:ilvl="5">
      <w:start w:val="1"/>
      <w:numFmt w:val="decimal"/>
      <w:pStyle w:val="Nadpis6"/>
      <w:lvlText w:val="%1.%2.%3.%4.%5.%6"/>
      <w:lvlJc w:val="left"/>
      <w:pPr>
        <w:ind w:left="431" w:hanging="431"/>
      </w:pPr>
      <w:rPr>
        <w:rFonts w:hint="default"/>
      </w:rPr>
    </w:lvl>
    <w:lvl w:ilvl="6">
      <w:start w:val="1"/>
      <w:numFmt w:val="decimal"/>
      <w:pStyle w:val="Nadpis7"/>
      <w:lvlText w:val="%1.%2.%3.%4.%5.%6.%7"/>
      <w:lvlJc w:val="left"/>
      <w:pPr>
        <w:ind w:left="431" w:hanging="431"/>
      </w:pPr>
      <w:rPr>
        <w:rFonts w:hint="default"/>
      </w:rPr>
    </w:lvl>
    <w:lvl w:ilvl="7">
      <w:start w:val="1"/>
      <w:numFmt w:val="decimal"/>
      <w:pStyle w:val="Nadpis8"/>
      <w:lvlText w:val="%1.%2.%3.%4.%5.%6.%7.%8"/>
      <w:lvlJc w:val="left"/>
      <w:pPr>
        <w:ind w:left="431" w:hanging="431"/>
      </w:pPr>
      <w:rPr>
        <w:rFonts w:hint="default"/>
      </w:rPr>
    </w:lvl>
    <w:lvl w:ilvl="8">
      <w:start w:val="1"/>
      <w:numFmt w:val="decimal"/>
      <w:pStyle w:val="Nadpis9"/>
      <w:lvlText w:val="%1.%2.%3.%4.%5.%6.%7.%8.%9"/>
      <w:lvlJc w:val="left"/>
      <w:pPr>
        <w:ind w:left="431" w:hanging="431"/>
      </w:pPr>
      <w:rPr>
        <w:rFonts w:hint="default"/>
      </w:rPr>
    </w:lvl>
  </w:abstractNum>
  <w:abstractNum w:abstractNumId="1">
    <w:nsid w:val="1A1708FB"/>
    <w:multiLevelType w:val="multilevel"/>
    <w:tmpl w:val="6F384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600570"/>
    <w:multiLevelType w:val="multilevel"/>
    <w:tmpl w:val="13F282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2AE350D"/>
    <w:multiLevelType w:val="hybridMultilevel"/>
    <w:tmpl w:val="F07EC35A"/>
    <w:lvl w:ilvl="0" w:tplc="CF28DDA2">
      <w:start w:val="1"/>
      <w:numFmt w:val="bullet"/>
      <w:lvlText w:val=""/>
      <w:lvlJc w:val="left"/>
      <w:pPr>
        <w:tabs>
          <w:tab w:val="num" w:pos="276"/>
        </w:tabs>
        <w:ind w:left="60" w:hanging="144"/>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
    <w:nsid w:val="2DA12F56"/>
    <w:multiLevelType w:val="multilevel"/>
    <w:tmpl w:val="B7724A2A"/>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1E708D9"/>
    <w:multiLevelType w:val="hybridMultilevel"/>
    <w:tmpl w:val="DD963E2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F203756"/>
    <w:multiLevelType w:val="hybridMultilevel"/>
    <w:tmpl w:val="1E04F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85F6C65"/>
    <w:multiLevelType w:val="multilevel"/>
    <w:tmpl w:val="EA181982"/>
    <w:lvl w:ilvl="0">
      <w:start w:val="1"/>
      <w:numFmt w:val="decimal"/>
      <w:pStyle w:val="Nadpis1"/>
      <w:lvlText w:val="%1."/>
      <w:lvlJc w:val="left"/>
      <w:pPr>
        <w:ind w:left="432" w:hanging="432"/>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598217CD"/>
    <w:multiLevelType w:val="multilevel"/>
    <w:tmpl w:val="6D1E8FB8"/>
    <w:lvl w:ilvl="0">
      <w:start w:val="2"/>
      <w:numFmt w:val="decimal"/>
      <w:lvlText w:val="%1."/>
      <w:lvlJc w:val="left"/>
      <w:pPr>
        <w:ind w:left="390" w:hanging="39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10">
    <w:nsid w:val="5AEE27A9"/>
    <w:multiLevelType w:val="hybridMultilevel"/>
    <w:tmpl w:val="7E5612EC"/>
    <w:lvl w:ilvl="0" w:tplc="6BC27184">
      <w:start w:val="1"/>
      <w:numFmt w:val="bullet"/>
      <w:lvlText w:val=""/>
      <w:lvlJc w:val="left"/>
      <w:pPr>
        <w:tabs>
          <w:tab w:val="num" w:pos="720"/>
        </w:tabs>
        <w:ind w:left="720" w:hanging="360"/>
      </w:pPr>
      <w:rPr>
        <w:rFonts w:ascii="Wingdings" w:hAnsi="Wingdings" w:hint="default"/>
      </w:rPr>
    </w:lvl>
    <w:lvl w:ilvl="1" w:tplc="61265D04" w:tentative="1">
      <w:start w:val="1"/>
      <w:numFmt w:val="bullet"/>
      <w:lvlText w:val=""/>
      <w:lvlJc w:val="left"/>
      <w:pPr>
        <w:tabs>
          <w:tab w:val="num" w:pos="1440"/>
        </w:tabs>
        <w:ind w:left="1440" w:hanging="360"/>
      </w:pPr>
      <w:rPr>
        <w:rFonts w:ascii="Wingdings" w:hAnsi="Wingdings" w:hint="default"/>
      </w:rPr>
    </w:lvl>
    <w:lvl w:ilvl="2" w:tplc="DC3A4F3A" w:tentative="1">
      <w:start w:val="1"/>
      <w:numFmt w:val="bullet"/>
      <w:lvlText w:val=""/>
      <w:lvlJc w:val="left"/>
      <w:pPr>
        <w:tabs>
          <w:tab w:val="num" w:pos="2160"/>
        </w:tabs>
        <w:ind w:left="2160" w:hanging="360"/>
      </w:pPr>
      <w:rPr>
        <w:rFonts w:ascii="Wingdings" w:hAnsi="Wingdings" w:hint="default"/>
      </w:rPr>
    </w:lvl>
    <w:lvl w:ilvl="3" w:tplc="E6F015EA" w:tentative="1">
      <w:start w:val="1"/>
      <w:numFmt w:val="bullet"/>
      <w:lvlText w:val=""/>
      <w:lvlJc w:val="left"/>
      <w:pPr>
        <w:tabs>
          <w:tab w:val="num" w:pos="2880"/>
        </w:tabs>
        <w:ind w:left="2880" w:hanging="360"/>
      </w:pPr>
      <w:rPr>
        <w:rFonts w:ascii="Wingdings" w:hAnsi="Wingdings" w:hint="default"/>
      </w:rPr>
    </w:lvl>
    <w:lvl w:ilvl="4" w:tplc="0A302A3A" w:tentative="1">
      <w:start w:val="1"/>
      <w:numFmt w:val="bullet"/>
      <w:lvlText w:val=""/>
      <w:lvlJc w:val="left"/>
      <w:pPr>
        <w:tabs>
          <w:tab w:val="num" w:pos="3600"/>
        </w:tabs>
        <w:ind w:left="3600" w:hanging="360"/>
      </w:pPr>
      <w:rPr>
        <w:rFonts w:ascii="Wingdings" w:hAnsi="Wingdings" w:hint="default"/>
      </w:rPr>
    </w:lvl>
    <w:lvl w:ilvl="5" w:tplc="7C7AC7BE" w:tentative="1">
      <w:start w:val="1"/>
      <w:numFmt w:val="bullet"/>
      <w:lvlText w:val=""/>
      <w:lvlJc w:val="left"/>
      <w:pPr>
        <w:tabs>
          <w:tab w:val="num" w:pos="4320"/>
        </w:tabs>
        <w:ind w:left="4320" w:hanging="360"/>
      </w:pPr>
      <w:rPr>
        <w:rFonts w:ascii="Wingdings" w:hAnsi="Wingdings" w:hint="default"/>
      </w:rPr>
    </w:lvl>
    <w:lvl w:ilvl="6" w:tplc="7C2E5E6C" w:tentative="1">
      <w:start w:val="1"/>
      <w:numFmt w:val="bullet"/>
      <w:lvlText w:val=""/>
      <w:lvlJc w:val="left"/>
      <w:pPr>
        <w:tabs>
          <w:tab w:val="num" w:pos="5040"/>
        </w:tabs>
        <w:ind w:left="5040" w:hanging="360"/>
      </w:pPr>
      <w:rPr>
        <w:rFonts w:ascii="Wingdings" w:hAnsi="Wingdings" w:hint="default"/>
      </w:rPr>
    </w:lvl>
    <w:lvl w:ilvl="7" w:tplc="E8C2DD68" w:tentative="1">
      <w:start w:val="1"/>
      <w:numFmt w:val="bullet"/>
      <w:lvlText w:val=""/>
      <w:lvlJc w:val="left"/>
      <w:pPr>
        <w:tabs>
          <w:tab w:val="num" w:pos="5760"/>
        </w:tabs>
        <w:ind w:left="5760" w:hanging="360"/>
      </w:pPr>
      <w:rPr>
        <w:rFonts w:ascii="Wingdings" w:hAnsi="Wingdings" w:hint="default"/>
      </w:rPr>
    </w:lvl>
    <w:lvl w:ilvl="8" w:tplc="95F43FB0" w:tentative="1">
      <w:start w:val="1"/>
      <w:numFmt w:val="bullet"/>
      <w:lvlText w:val=""/>
      <w:lvlJc w:val="left"/>
      <w:pPr>
        <w:tabs>
          <w:tab w:val="num" w:pos="6480"/>
        </w:tabs>
        <w:ind w:left="6480" w:hanging="360"/>
      </w:pPr>
      <w:rPr>
        <w:rFonts w:ascii="Wingdings" w:hAnsi="Wingdings" w:hint="default"/>
      </w:rPr>
    </w:lvl>
  </w:abstractNum>
  <w:abstractNum w:abstractNumId="11">
    <w:nsid w:val="672A113B"/>
    <w:multiLevelType w:val="multilevel"/>
    <w:tmpl w:val="58262B66"/>
    <w:lvl w:ilvl="0">
      <w:start w:val="3"/>
      <w:numFmt w:val="decimal"/>
      <w:lvlText w:val="%1."/>
      <w:lvlJc w:val="left"/>
      <w:pPr>
        <w:ind w:left="480" w:hanging="48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616" w:hanging="2160"/>
      </w:pPr>
      <w:rPr>
        <w:rFonts w:hint="default"/>
      </w:rPr>
    </w:lvl>
  </w:abstractNum>
  <w:abstractNum w:abstractNumId="12">
    <w:nsid w:val="6D34248F"/>
    <w:multiLevelType w:val="hybridMultilevel"/>
    <w:tmpl w:val="7E3EB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93E0C89"/>
    <w:multiLevelType w:val="multilevel"/>
    <w:tmpl w:val="4B34974E"/>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7C550A0F"/>
    <w:multiLevelType w:val="hybridMultilevel"/>
    <w:tmpl w:val="8304C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D520710"/>
    <w:multiLevelType w:val="multilevel"/>
    <w:tmpl w:val="872C318A"/>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7EDF09A5"/>
    <w:multiLevelType w:val="hybridMultilevel"/>
    <w:tmpl w:val="6012EA34"/>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6"/>
  </w:num>
  <w:num w:numId="2">
    <w:abstractNumId w:val="7"/>
  </w:num>
  <w:num w:numId="3">
    <w:abstractNumId w:val="4"/>
  </w:num>
  <w:num w:numId="4">
    <w:abstractNumId w:val="0"/>
  </w:num>
  <w:num w:numId="5">
    <w:abstractNumId w:val="8"/>
  </w:num>
  <w:num w:numId="6">
    <w:abstractNumId w:val="14"/>
  </w:num>
  <w:num w:numId="7">
    <w:abstractNumId w:val="16"/>
  </w:num>
  <w:num w:numId="8">
    <w:abstractNumId w:val="10"/>
  </w:num>
  <w:num w:numId="9">
    <w:abstractNumId w:val="11"/>
  </w:num>
  <w:num w:numId="10">
    <w:abstractNumId w:val="9"/>
  </w:num>
  <w:num w:numId="11">
    <w:abstractNumId w:val="2"/>
  </w:num>
  <w:num w:numId="12">
    <w:abstractNumId w:val="3"/>
  </w:num>
  <w:num w:numId="13">
    <w:abstractNumId w:val="13"/>
  </w:num>
  <w:num w:numId="14">
    <w:abstractNumId w:val="12"/>
  </w:num>
  <w:num w:numId="1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15"/>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26EF"/>
    <w:rsid w:val="00027C44"/>
    <w:rsid w:val="000E10B3"/>
    <w:rsid w:val="000E1AAF"/>
    <w:rsid w:val="001216E1"/>
    <w:rsid w:val="00124E53"/>
    <w:rsid w:val="0016164C"/>
    <w:rsid w:val="001903B8"/>
    <w:rsid w:val="001A3BD0"/>
    <w:rsid w:val="001D4267"/>
    <w:rsid w:val="001E0EBB"/>
    <w:rsid w:val="001F7E6E"/>
    <w:rsid w:val="002163A2"/>
    <w:rsid w:val="00245A51"/>
    <w:rsid w:val="00246EC6"/>
    <w:rsid w:val="00281F36"/>
    <w:rsid w:val="002B2EEA"/>
    <w:rsid w:val="002C4C7D"/>
    <w:rsid w:val="002C78BE"/>
    <w:rsid w:val="0032083B"/>
    <w:rsid w:val="00347AF4"/>
    <w:rsid w:val="00375EAD"/>
    <w:rsid w:val="003774A2"/>
    <w:rsid w:val="00384820"/>
    <w:rsid w:val="003B7393"/>
    <w:rsid w:val="003C0FC2"/>
    <w:rsid w:val="003F7946"/>
    <w:rsid w:val="00403295"/>
    <w:rsid w:val="004072ED"/>
    <w:rsid w:val="00480500"/>
    <w:rsid w:val="00480ADD"/>
    <w:rsid w:val="00481237"/>
    <w:rsid w:val="004833C3"/>
    <w:rsid w:val="004841AC"/>
    <w:rsid w:val="0049521B"/>
    <w:rsid w:val="004B7B6C"/>
    <w:rsid w:val="004C2A3B"/>
    <w:rsid w:val="004F761F"/>
    <w:rsid w:val="00524EED"/>
    <w:rsid w:val="005372FC"/>
    <w:rsid w:val="005724BE"/>
    <w:rsid w:val="005728C8"/>
    <w:rsid w:val="005853B3"/>
    <w:rsid w:val="005D26EF"/>
    <w:rsid w:val="005E2050"/>
    <w:rsid w:val="00607BAF"/>
    <w:rsid w:val="0061770B"/>
    <w:rsid w:val="0066041C"/>
    <w:rsid w:val="00663A03"/>
    <w:rsid w:val="00681716"/>
    <w:rsid w:val="006C3EB2"/>
    <w:rsid w:val="006F03BC"/>
    <w:rsid w:val="006F45D2"/>
    <w:rsid w:val="00731380"/>
    <w:rsid w:val="0074198C"/>
    <w:rsid w:val="0074396C"/>
    <w:rsid w:val="00757ED8"/>
    <w:rsid w:val="00770981"/>
    <w:rsid w:val="0079120E"/>
    <w:rsid w:val="0079672A"/>
    <w:rsid w:val="007B5A60"/>
    <w:rsid w:val="00821AE7"/>
    <w:rsid w:val="008561D0"/>
    <w:rsid w:val="008D0040"/>
    <w:rsid w:val="008D554E"/>
    <w:rsid w:val="008F1658"/>
    <w:rsid w:val="0091062A"/>
    <w:rsid w:val="0092735F"/>
    <w:rsid w:val="009333FF"/>
    <w:rsid w:val="00947E99"/>
    <w:rsid w:val="00962F01"/>
    <w:rsid w:val="00970E0E"/>
    <w:rsid w:val="00987CDC"/>
    <w:rsid w:val="009E1234"/>
    <w:rsid w:val="00A94933"/>
    <w:rsid w:val="00A97E1B"/>
    <w:rsid w:val="00AB19CC"/>
    <w:rsid w:val="00AB3103"/>
    <w:rsid w:val="00AB65E3"/>
    <w:rsid w:val="00AC364A"/>
    <w:rsid w:val="00AD6A5F"/>
    <w:rsid w:val="00AE4BCB"/>
    <w:rsid w:val="00B16670"/>
    <w:rsid w:val="00B41625"/>
    <w:rsid w:val="00B83269"/>
    <w:rsid w:val="00B8328B"/>
    <w:rsid w:val="00B83EBD"/>
    <w:rsid w:val="00BA2C59"/>
    <w:rsid w:val="00BD7F3C"/>
    <w:rsid w:val="00C06226"/>
    <w:rsid w:val="00C118A0"/>
    <w:rsid w:val="00C95937"/>
    <w:rsid w:val="00CA4BCC"/>
    <w:rsid w:val="00CF0263"/>
    <w:rsid w:val="00CF20EB"/>
    <w:rsid w:val="00D02FD1"/>
    <w:rsid w:val="00D05BC2"/>
    <w:rsid w:val="00D15E52"/>
    <w:rsid w:val="00D353E4"/>
    <w:rsid w:val="00D7149D"/>
    <w:rsid w:val="00DB6775"/>
    <w:rsid w:val="00DC4326"/>
    <w:rsid w:val="00E119ED"/>
    <w:rsid w:val="00E5736B"/>
    <w:rsid w:val="00E97088"/>
    <w:rsid w:val="00EC68F7"/>
    <w:rsid w:val="00ED4F73"/>
    <w:rsid w:val="00F20811"/>
    <w:rsid w:val="00F246D9"/>
    <w:rsid w:val="00F4718B"/>
    <w:rsid w:val="00F65CF9"/>
    <w:rsid w:val="00F84A22"/>
    <w:rsid w:val="00F92118"/>
    <w:rsid w:val="00FB3857"/>
    <w:rsid w:val="00FF5D7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26EF"/>
    <w:pPr>
      <w:jc w:val="both"/>
    </w:pPr>
    <w:rPr>
      <w:rFonts w:ascii="Arial" w:eastAsia="Times New Roman" w:hAnsi="Arial"/>
      <w:szCs w:val="24"/>
    </w:rPr>
  </w:style>
  <w:style w:type="paragraph" w:styleId="Nadpis1">
    <w:name w:val="heading 1"/>
    <w:basedOn w:val="Normln"/>
    <w:next w:val="Normln"/>
    <w:link w:val="Nadpis1Char"/>
    <w:qFormat/>
    <w:rsid w:val="00347AF4"/>
    <w:pPr>
      <w:keepNext/>
      <w:numPr>
        <w:numId w:val="5"/>
      </w:numPr>
      <w:spacing w:before="300" w:after="200"/>
      <w:ind w:left="431" w:hanging="431"/>
      <w:outlineLvl w:val="0"/>
    </w:pPr>
    <w:rPr>
      <w:b/>
      <w:bCs/>
      <w:sz w:val="28"/>
      <w:szCs w:val="28"/>
    </w:rPr>
  </w:style>
  <w:style w:type="paragraph" w:styleId="Nadpis2">
    <w:name w:val="heading 2"/>
    <w:basedOn w:val="Normln"/>
    <w:next w:val="Normln"/>
    <w:link w:val="Nadpis2Char"/>
    <w:uiPriority w:val="9"/>
    <w:unhideWhenUsed/>
    <w:qFormat/>
    <w:rsid w:val="007B5A60"/>
    <w:pPr>
      <w:keepNext/>
      <w:numPr>
        <w:ilvl w:val="1"/>
        <w:numId w:val="4"/>
      </w:numPr>
      <w:spacing w:before="400" w:after="180"/>
      <w:outlineLvl w:val="1"/>
    </w:pPr>
    <w:rPr>
      <w:b/>
      <w:bCs/>
      <w:iCs/>
      <w:sz w:val="24"/>
    </w:rPr>
  </w:style>
  <w:style w:type="paragraph" w:styleId="Nadpis3">
    <w:name w:val="heading 3"/>
    <w:basedOn w:val="Normln"/>
    <w:next w:val="Normln"/>
    <w:link w:val="Nadpis3Char"/>
    <w:uiPriority w:val="9"/>
    <w:unhideWhenUsed/>
    <w:qFormat/>
    <w:rsid w:val="00663A03"/>
    <w:pPr>
      <w:keepNext/>
      <w:numPr>
        <w:ilvl w:val="2"/>
        <w:numId w:val="4"/>
      </w:numPr>
      <w:spacing w:before="300" w:after="100"/>
      <w:outlineLvl w:val="2"/>
    </w:pPr>
    <w:rPr>
      <w:b/>
      <w:bCs/>
      <w:sz w:val="22"/>
      <w:szCs w:val="26"/>
    </w:rPr>
  </w:style>
  <w:style w:type="paragraph" w:styleId="Nadpis4">
    <w:name w:val="heading 4"/>
    <w:basedOn w:val="Normln"/>
    <w:next w:val="Normln"/>
    <w:link w:val="Nadpis4Char"/>
    <w:uiPriority w:val="9"/>
    <w:unhideWhenUsed/>
    <w:qFormat/>
    <w:rsid w:val="0074198C"/>
    <w:pPr>
      <w:keepNext/>
      <w:numPr>
        <w:ilvl w:val="3"/>
        <w:numId w:val="4"/>
      </w:numPr>
      <w:spacing w:before="240" w:after="100"/>
      <w:outlineLvl w:val="3"/>
    </w:pPr>
    <w:rPr>
      <w:b/>
      <w:bCs/>
      <w:sz w:val="21"/>
      <w:szCs w:val="28"/>
    </w:rPr>
  </w:style>
  <w:style w:type="paragraph" w:styleId="Nadpis5">
    <w:name w:val="heading 5"/>
    <w:basedOn w:val="Normln"/>
    <w:next w:val="Normln"/>
    <w:link w:val="Nadpis5Char"/>
    <w:uiPriority w:val="9"/>
    <w:unhideWhenUsed/>
    <w:qFormat/>
    <w:rsid w:val="005D26EF"/>
    <w:pPr>
      <w:numPr>
        <w:ilvl w:val="4"/>
        <w:numId w:val="4"/>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unhideWhenUsed/>
    <w:qFormat/>
    <w:rsid w:val="005D26EF"/>
    <w:pPr>
      <w:numPr>
        <w:ilvl w:val="5"/>
        <w:numId w:val="4"/>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qFormat/>
    <w:rsid w:val="005D26EF"/>
    <w:pPr>
      <w:numPr>
        <w:ilvl w:val="6"/>
        <w:numId w:val="4"/>
      </w:numPr>
      <w:spacing w:before="240" w:after="60"/>
      <w:outlineLvl w:val="6"/>
    </w:pPr>
    <w:rPr>
      <w:rFonts w:ascii="Calibri" w:hAnsi="Calibri"/>
      <w:sz w:val="24"/>
    </w:rPr>
  </w:style>
  <w:style w:type="paragraph" w:styleId="Nadpis8">
    <w:name w:val="heading 8"/>
    <w:basedOn w:val="Normln"/>
    <w:next w:val="Normln"/>
    <w:link w:val="Nadpis8Char"/>
    <w:uiPriority w:val="9"/>
    <w:unhideWhenUsed/>
    <w:qFormat/>
    <w:rsid w:val="005D26EF"/>
    <w:pPr>
      <w:numPr>
        <w:ilvl w:val="7"/>
        <w:numId w:val="4"/>
      </w:numPr>
      <w:spacing w:before="240" w:after="60"/>
      <w:outlineLvl w:val="7"/>
    </w:pPr>
    <w:rPr>
      <w:rFonts w:ascii="Calibri" w:hAnsi="Calibri"/>
      <w:i/>
      <w:iCs/>
      <w:sz w:val="24"/>
    </w:rPr>
  </w:style>
  <w:style w:type="paragraph" w:styleId="Nadpis9">
    <w:name w:val="heading 9"/>
    <w:basedOn w:val="Normln"/>
    <w:next w:val="Normln"/>
    <w:link w:val="Nadpis9Char"/>
    <w:uiPriority w:val="9"/>
    <w:unhideWhenUsed/>
    <w:qFormat/>
    <w:rsid w:val="005D26EF"/>
    <w:pPr>
      <w:numPr>
        <w:ilvl w:val="8"/>
        <w:numId w:val="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47AF4"/>
    <w:rPr>
      <w:rFonts w:ascii="Arial" w:eastAsia="Times New Roman" w:hAnsi="Arial" w:cs="Times New Roman"/>
      <w:b/>
      <w:bCs/>
      <w:sz w:val="28"/>
      <w:szCs w:val="28"/>
      <w:lang w:eastAsia="cs-CZ"/>
    </w:rPr>
  </w:style>
  <w:style w:type="character" w:customStyle="1" w:styleId="Nadpis2Char">
    <w:name w:val="Nadpis 2 Char"/>
    <w:basedOn w:val="Standardnpsmoodstavce"/>
    <w:link w:val="Nadpis2"/>
    <w:uiPriority w:val="9"/>
    <w:rsid w:val="007B5A60"/>
    <w:rPr>
      <w:rFonts w:ascii="Arial" w:eastAsia="Times New Roman" w:hAnsi="Arial" w:cs="Times New Roman"/>
      <w:b/>
      <w:bCs/>
      <w:iCs/>
      <w:sz w:val="24"/>
      <w:szCs w:val="24"/>
      <w:lang w:eastAsia="cs-CZ"/>
    </w:rPr>
  </w:style>
  <w:style w:type="character" w:customStyle="1" w:styleId="Nadpis3Char">
    <w:name w:val="Nadpis 3 Char"/>
    <w:basedOn w:val="Standardnpsmoodstavce"/>
    <w:link w:val="Nadpis3"/>
    <w:uiPriority w:val="9"/>
    <w:rsid w:val="00663A03"/>
    <w:rPr>
      <w:rFonts w:ascii="Arial" w:eastAsia="Times New Roman" w:hAnsi="Arial" w:cs="Times New Roman"/>
      <w:b/>
      <w:bCs/>
      <w:szCs w:val="26"/>
      <w:lang w:eastAsia="cs-CZ"/>
    </w:rPr>
  </w:style>
  <w:style w:type="character" w:customStyle="1" w:styleId="Nadpis4Char">
    <w:name w:val="Nadpis 4 Char"/>
    <w:basedOn w:val="Standardnpsmoodstavce"/>
    <w:link w:val="Nadpis4"/>
    <w:uiPriority w:val="9"/>
    <w:rsid w:val="0074198C"/>
    <w:rPr>
      <w:rFonts w:ascii="Arial" w:eastAsia="Times New Roman" w:hAnsi="Arial" w:cs="Times New Roman"/>
      <w:b/>
      <w:bCs/>
      <w:sz w:val="21"/>
      <w:szCs w:val="28"/>
      <w:lang w:eastAsia="cs-CZ"/>
    </w:rPr>
  </w:style>
  <w:style w:type="character" w:customStyle="1" w:styleId="Nadpis5Char">
    <w:name w:val="Nadpis 5 Char"/>
    <w:basedOn w:val="Standardnpsmoodstavce"/>
    <w:link w:val="Nadpis5"/>
    <w:uiPriority w:val="9"/>
    <w:rsid w:val="005D26EF"/>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
    <w:rsid w:val="005D26EF"/>
    <w:rPr>
      <w:rFonts w:ascii="Calibri" w:eastAsia="Times New Roman" w:hAnsi="Calibri" w:cs="Times New Roman"/>
      <w:b/>
      <w:bCs/>
      <w:lang w:eastAsia="cs-CZ"/>
    </w:rPr>
  </w:style>
  <w:style w:type="character" w:customStyle="1" w:styleId="Nadpis7Char">
    <w:name w:val="Nadpis 7 Char"/>
    <w:basedOn w:val="Standardnpsmoodstavce"/>
    <w:link w:val="Nadpis7"/>
    <w:uiPriority w:val="9"/>
    <w:rsid w:val="005D26EF"/>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
    <w:rsid w:val="005D26EF"/>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
    <w:rsid w:val="005D26EF"/>
    <w:rPr>
      <w:rFonts w:ascii="Cambria" w:eastAsia="Times New Roman" w:hAnsi="Cambria" w:cs="Times New Roman"/>
      <w:lang w:eastAsia="cs-CZ"/>
    </w:rPr>
  </w:style>
  <w:style w:type="paragraph" w:styleId="Textbubliny">
    <w:name w:val="Balloon Text"/>
    <w:basedOn w:val="Normln"/>
    <w:link w:val="TextbublinyChar"/>
    <w:uiPriority w:val="99"/>
    <w:semiHidden/>
    <w:unhideWhenUsed/>
    <w:rsid w:val="005D26EF"/>
    <w:rPr>
      <w:rFonts w:ascii="Tahoma" w:hAnsi="Tahoma" w:cs="Tahoma"/>
      <w:sz w:val="16"/>
      <w:szCs w:val="16"/>
    </w:rPr>
  </w:style>
  <w:style w:type="character" w:customStyle="1" w:styleId="TextbublinyChar">
    <w:name w:val="Text bubliny Char"/>
    <w:basedOn w:val="Standardnpsmoodstavce"/>
    <w:link w:val="Textbubliny"/>
    <w:uiPriority w:val="99"/>
    <w:semiHidden/>
    <w:rsid w:val="005D26EF"/>
    <w:rPr>
      <w:rFonts w:ascii="Tahoma" w:eastAsia="Times New Roman" w:hAnsi="Tahoma" w:cs="Tahoma"/>
      <w:sz w:val="16"/>
      <w:szCs w:val="16"/>
      <w:lang w:eastAsia="cs-CZ"/>
    </w:rPr>
  </w:style>
  <w:style w:type="character" w:styleId="Hypertextovodkaz">
    <w:name w:val="Hyperlink"/>
    <w:uiPriority w:val="99"/>
    <w:rsid w:val="005D26EF"/>
    <w:rPr>
      <w:color w:val="0000FF"/>
      <w:u w:val="single"/>
    </w:rPr>
  </w:style>
  <w:style w:type="paragraph" w:customStyle="1" w:styleId="Styl1">
    <w:name w:val="Styl1"/>
    <w:rsid w:val="005D26EF"/>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5D26EF"/>
    <w:pPr>
      <w:tabs>
        <w:tab w:val="center" w:pos="4536"/>
        <w:tab w:val="right" w:pos="9072"/>
      </w:tabs>
      <w:jc w:val="left"/>
    </w:pPr>
    <w:rPr>
      <w:rFonts w:ascii="Calibri" w:eastAsia="Calibri" w:hAnsi="Calibri"/>
      <w:sz w:val="22"/>
      <w:szCs w:val="22"/>
      <w:lang w:eastAsia="en-US"/>
    </w:rPr>
  </w:style>
  <w:style w:type="character" w:customStyle="1" w:styleId="ZhlavChar">
    <w:name w:val="Záhlaví Char"/>
    <w:basedOn w:val="Standardnpsmoodstavce"/>
    <w:link w:val="Zhlav"/>
    <w:rsid w:val="005D26EF"/>
    <w:rPr>
      <w:rFonts w:ascii="Calibri" w:eastAsia="Calibri" w:hAnsi="Calibri" w:cs="Times New Roman"/>
    </w:rPr>
  </w:style>
  <w:style w:type="paragraph" w:styleId="Zpat">
    <w:name w:val="footer"/>
    <w:basedOn w:val="Normln"/>
    <w:link w:val="ZpatChar"/>
    <w:uiPriority w:val="99"/>
    <w:unhideWhenUsed/>
    <w:rsid w:val="005D26EF"/>
    <w:pPr>
      <w:tabs>
        <w:tab w:val="center" w:pos="4536"/>
        <w:tab w:val="right" w:pos="9072"/>
      </w:tabs>
      <w:jc w:val="left"/>
    </w:pPr>
    <w:rPr>
      <w:rFonts w:ascii="Calibri" w:eastAsia="Calibri" w:hAnsi="Calibri"/>
      <w:sz w:val="22"/>
      <w:szCs w:val="22"/>
      <w:lang w:eastAsia="en-US"/>
    </w:rPr>
  </w:style>
  <w:style w:type="character" w:customStyle="1" w:styleId="ZpatChar">
    <w:name w:val="Zápatí Char"/>
    <w:basedOn w:val="Standardnpsmoodstavce"/>
    <w:link w:val="Zpat"/>
    <w:uiPriority w:val="99"/>
    <w:rsid w:val="005D26EF"/>
    <w:rPr>
      <w:rFonts w:ascii="Calibri" w:eastAsia="Calibri" w:hAnsi="Calibri" w:cs="Times New Roman"/>
    </w:rPr>
  </w:style>
  <w:style w:type="paragraph" w:customStyle="1" w:styleId="Zkladnodstavec">
    <w:name w:val="[Základní odstavec]"/>
    <w:basedOn w:val="Normln"/>
    <w:uiPriority w:val="99"/>
    <w:rsid w:val="005D26EF"/>
    <w:pPr>
      <w:autoSpaceDE w:val="0"/>
      <w:autoSpaceDN w:val="0"/>
      <w:adjustRightInd w:val="0"/>
      <w:spacing w:line="288" w:lineRule="auto"/>
      <w:jc w:val="left"/>
      <w:textAlignment w:val="center"/>
    </w:pPr>
    <w:rPr>
      <w:rFonts w:ascii="Minion Pro" w:eastAsia="Calibri" w:hAnsi="Minion Pro" w:cs="Minion Pro"/>
      <w:color w:val="000000"/>
      <w:sz w:val="24"/>
    </w:rPr>
  </w:style>
  <w:style w:type="paragraph" w:styleId="Textpoznpodarou">
    <w:name w:val="footnote text"/>
    <w:aliases w:val="Text pozn. pod čarou_martin_ang"/>
    <w:basedOn w:val="Normln"/>
    <w:link w:val="TextpoznpodarouChar"/>
    <w:rsid w:val="005D26EF"/>
    <w:pPr>
      <w:jc w:val="left"/>
    </w:pPr>
    <w:rPr>
      <w:szCs w:val="20"/>
    </w:rPr>
  </w:style>
  <w:style w:type="character" w:customStyle="1" w:styleId="TextpoznpodarouChar">
    <w:name w:val="Text pozn. pod čarou Char"/>
    <w:aliases w:val="Text pozn. pod čarou_martin_ang Char"/>
    <w:basedOn w:val="Standardnpsmoodstavce"/>
    <w:link w:val="Textpoznpodarou"/>
    <w:semiHidden/>
    <w:rsid w:val="005D26EF"/>
    <w:rPr>
      <w:rFonts w:ascii="Arial" w:eastAsia="Times New Roman" w:hAnsi="Arial" w:cs="Times New Roman"/>
      <w:sz w:val="20"/>
      <w:szCs w:val="20"/>
      <w:lang w:eastAsia="cs-CZ"/>
    </w:rPr>
  </w:style>
  <w:style w:type="character" w:styleId="Znakapoznpodarou">
    <w:name w:val="footnote reference"/>
    <w:rsid w:val="005D26EF"/>
    <w:rPr>
      <w:vertAlign w:val="superscript"/>
    </w:rPr>
  </w:style>
  <w:style w:type="paragraph" w:styleId="Odstavecseseznamem">
    <w:name w:val="List Paragraph"/>
    <w:basedOn w:val="Normln"/>
    <w:uiPriority w:val="34"/>
    <w:qFormat/>
    <w:rsid w:val="005D26EF"/>
    <w:pPr>
      <w:ind w:left="708"/>
      <w:jc w:val="left"/>
    </w:pPr>
    <w:rPr>
      <w:sz w:val="18"/>
      <w:szCs w:val="20"/>
    </w:rPr>
  </w:style>
  <w:style w:type="character" w:customStyle="1" w:styleId="TextkomenteChar">
    <w:name w:val="Text komentáře Char"/>
    <w:basedOn w:val="Standardnpsmoodstavce"/>
    <w:link w:val="Textkomente"/>
    <w:uiPriority w:val="99"/>
    <w:semiHidden/>
    <w:rsid w:val="005D26EF"/>
    <w:rPr>
      <w:rFonts w:ascii="Arial" w:eastAsia="Times New Roman" w:hAnsi="Arial" w:cs="Times New Roman"/>
      <w:sz w:val="20"/>
      <w:szCs w:val="20"/>
      <w:lang w:eastAsia="cs-CZ"/>
    </w:rPr>
  </w:style>
  <w:style w:type="paragraph" w:styleId="Textkomente">
    <w:name w:val="annotation text"/>
    <w:basedOn w:val="Normln"/>
    <w:link w:val="TextkomenteChar"/>
    <w:uiPriority w:val="99"/>
    <w:semiHidden/>
    <w:unhideWhenUsed/>
    <w:rsid w:val="005D26EF"/>
    <w:pPr>
      <w:jc w:val="left"/>
    </w:pPr>
    <w:rPr>
      <w:szCs w:val="20"/>
    </w:rPr>
  </w:style>
  <w:style w:type="character" w:customStyle="1" w:styleId="TextkomenteChar1">
    <w:name w:val="Text komentáře Char1"/>
    <w:basedOn w:val="Standardnpsmoodstavce"/>
    <w:link w:val="Textkomente"/>
    <w:uiPriority w:val="99"/>
    <w:semiHidden/>
    <w:rsid w:val="005D26EF"/>
    <w:rPr>
      <w:rFonts w:ascii="Arial" w:eastAsia="Times New Roman" w:hAnsi="Arial" w:cs="Times New Roman"/>
      <w:sz w:val="20"/>
      <w:szCs w:val="20"/>
      <w:lang w:eastAsia="cs-CZ"/>
    </w:rPr>
  </w:style>
  <w:style w:type="paragraph" w:styleId="Nadpisobsahu">
    <w:name w:val="TOC Heading"/>
    <w:basedOn w:val="Nadpis1"/>
    <w:next w:val="Normln"/>
    <w:uiPriority w:val="39"/>
    <w:unhideWhenUsed/>
    <w:qFormat/>
    <w:rsid w:val="005D26EF"/>
    <w:pPr>
      <w:keepLines/>
      <w:numPr>
        <w:numId w:val="0"/>
      </w:numPr>
      <w:spacing w:before="480" w:line="276" w:lineRule="auto"/>
      <w:jc w:val="left"/>
      <w:outlineLvl w:val="9"/>
    </w:pPr>
    <w:rPr>
      <w:rFonts w:ascii="Cambria" w:hAnsi="Cambria"/>
      <w:color w:val="365F91"/>
    </w:rPr>
  </w:style>
  <w:style w:type="paragraph" w:styleId="Obsah2">
    <w:name w:val="toc 2"/>
    <w:basedOn w:val="Normln"/>
    <w:next w:val="Normln"/>
    <w:autoRedefine/>
    <w:uiPriority w:val="39"/>
    <w:unhideWhenUsed/>
    <w:qFormat/>
    <w:rsid w:val="000E1AAF"/>
    <w:pPr>
      <w:tabs>
        <w:tab w:val="left" w:pos="709"/>
        <w:tab w:val="right" w:leader="dot" w:pos="9628"/>
      </w:tabs>
      <w:spacing w:after="100"/>
      <w:ind w:left="851" w:hanging="567"/>
      <w:jc w:val="left"/>
    </w:pPr>
    <w:rPr>
      <w:rFonts w:ascii="Calibri" w:hAnsi="Calibri"/>
      <w:sz w:val="22"/>
      <w:szCs w:val="22"/>
    </w:rPr>
  </w:style>
  <w:style w:type="paragraph" w:styleId="Obsah1">
    <w:name w:val="toc 1"/>
    <w:basedOn w:val="Normln"/>
    <w:next w:val="Normln"/>
    <w:autoRedefine/>
    <w:uiPriority w:val="39"/>
    <w:unhideWhenUsed/>
    <w:qFormat/>
    <w:rsid w:val="000E1AAF"/>
    <w:pPr>
      <w:tabs>
        <w:tab w:val="left" w:pos="284"/>
        <w:tab w:val="right" w:pos="9628"/>
      </w:tabs>
      <w:spacing w:before="200"/>
      <w:jc w:val="left"/>
    </w:pPr>
    <w:rPr>
      <w:rFonts w:cs="Arial"/>
      <w:b/>
      <w:sz w:val="28"/>
      <w:szCs w:val="28"/>
    </w:rPr>
  </w:style>
  <w:style w:type="paragraph" w:styleId="Obsah3">
    <w:name w:val="toc 3"/>
    <w:basedOn w:val="Normln"/>
    <w:next w:val="Normln"/>
    <w:autoRedefine/>
    <w:uiPriority w:val="39"/>
    <w:unhideWhenUsed/>
    <w:qFormat/>
    <w:rsid w:val="005D26EF"/>
    <w:pPr>
      <w:tabs>
        <w:tab w:val="right" w:leader="dot" w:pos="9638"/>
      </w:tabs>
      <w:spacing w:after="100" w:line="276" w:lineRule="auto"/>
      <w:ind w:left="709" w:hanging="283"/>
      <w:jc w:val="left"/>
    </w:pPr>
    <w:rPr>
      <w:rFonts w:cs="Arial"/>
      <w:szCs w:val="20"/>
    </w:rPr>
  </w:style>
  <w:style w:type="paragraph" w:styleId="Bezmezer">
    <w:name w:val="No Spacing"/>
    <w:aliases w:val="marginálie"/>
    <w:qFormat/>
    <w:rsid w:val="005D26EF"/>
    <w:pPr>
      <w:jc w:val="both"/>
    </w:pPr>
    <w:rPr>
      <w:rFonts w:ascii="Arial" w:eastAsia="Times New Roman" w:hAnsi="Arial"/>
      <w:szCs w:val="24"/>
    </w:rPr>
  </w:style>
  <w:style w:type="paragraph" w:styleId="Zkladntextodsazen3">
    <w:name w:val="Body Text Indent 3"/>
    <w:basedOn w:val="Normln"/>
    <w:link w:val="Zkladntextodsazen3Char"/>
    <w:semiHidden/>
    <w:rsid w:val="005D26EF"/>
    <w:pPr>
      <w:ind w:right="-81" w:firstLine="708"/>
    </w:pPr>
    <w:rPr>
      <w:rFonts w:cs="Arial"/>
    </w:rPr>
  </w:style>
  <w:style w:type="character" w:customStyle="1" w:styleId="Zkladntextodsazen3Char">
    <w:name w:val="Základní text odsazený 3 Char"/>
    <w:basedOn w:val="Standardnpsmoodstavce"/>
    <w:link w:val="Zkladntextodsazen3"/>
    <w:semiHidden/>
    <w:rsid w:val="005D26EF"/>
    <w:rPr>
      <w:rFonts w:ascii="Arial" w:eastAsia="Times New Roman" w:hAnsi="Arial" w:cs="Arial"/>
      <w:sz w:val="20"/>
      <w:szCs w:val="24"/>
      <w:lang w:eastAsia="cs-CZ"/>
    </w:rPr>
  </w:style>
  <w:style w:type="paragraph" w:styleId="Zkladntext">
    <w:name w:val="Body Text"/>
    <w:basedOn w:val="Normln"/>
    <w:link w:val="ZkladntextChar"/>
    <w:uiPriority w:val="99"/>
    <w:unhideWhenUsed/>
    <w:rsid w:val="005D26EF"/>
    <w:pPr>
      <w:spacing w:after="120"/>
    </w:pPr>
  </w:style>
  <w:style w:type="character" w:customStyle="1" w:styleId="ZkladntextChar">
    <w:name w:val="Základní text Char"/>
    <w:basedOn w:val="Standardnpsmoodstavce"/>
    <w:link w:val="Zkladntext"/>
    <w:uiPriority w:val="99"/>
    <w:rsid w:val="005D26EF"/>
    <w:rPr>
      <w:rFonts w:ascii="Arial" w:eastAsia="Times New Roman" w:hAnsi="Arial" w:cs="Times New Roman"/>
      <w:sz w:val="20"/>
      <w:szCs w:val="24"/>
      <w:lang w:eastAsia="cs-CZ"/>
    </w:rPr>
  </w:style>
  <w:style w:type="paragraph" w:styleId="Zkladntext2">
    <w:name w:val="Body Text 2"/>
    <w:basedOn w:val="Normln"/>
    <w:link w:val="Zkladntext2Char"/>
    <w:uiPriority w:val="99"/>
    <w:semiHidden/>
    <w:unhideWhenUsed/>
    <w:rsid w:val="005D26EF"/>
    <w:pPr>
      <w:spacing w:after="120" w:line="480" w:lineRule="auto"/>
    </w:pPr>
  </w:style>
  <w:style w:type="character" w:customStyle="1" w:styleId="Zkladntext2Char">
    <w:name w:val="Základní text 2 Char"/>
    <w:basedOn w:val="Standardnpsmoodstavce"/>
    <w:link w:val="Zkladntext2"/>
    <w:uiPriority w:val="99"/>
    <w:semiHidden/>
    <w:rsid w:val="005D26EF"/>
    <w:rPr>
      <w:rFonts w:ascii="Arial" w:eastAsia="Times New Roman" w:hAnsi="Arial" w:cs="Times New Roman"/>
      <w:sz w:val="20"/>
      <w:szCs w:val="24"/>
      <w:lang w:eastAsia="cs-CZ"/>
    </w:rPr>
  </w:style>
  <w:style w:type="paragraph" w:styleId="Zkladntext3">
    <w:name w:val="Body Text 3"/>
    <w:basedOn w:val="Normln"/>
    <w:link w:val="Zkladntext3Char"/>
    <w:uiPriority w:val="99"/>
    <w:semiHidden/>
    <w:unhideWhenUsed/>
    <w:rsid w:val="005D26EF"/>
    <w:pPr>
      <w:spacing w:after="120"/>
    </w:pPr>
    <w:rPr>
      <w:sz w:val="16"/>
      <w:szCs w:val="16"/>
    </w:rPr>
  </w:style>
  <w:style w:type="character" w:customStyle="1" w:styleId="Zkladntext3Char">
    <w:name w:val="Základní text 3 Char"/>
    <w:basedOn w:val="Standardnpsmoodstavce"/>
    <w:link w:val="Zkladntext3"/>
    <w:uiPriority w:val="99"/>
    <w:semiHidden/>
    <w:rsid w:val="005D26EF"/>
    <w:rPr>
      <w:rFonts w:ascii="Arial" w:eastAsia="Times New Roman" w:hAnsi="Arial" w:cs="Times New Roman"/>
      <w:sz w:val="16"/>
      <w:szCs w:val="16"/>
      <w:lang w:eastAsia="cs-CZ"/>
    </w:rPr>
  </w:style>
  <w:style w:type="paragraph" w:styleId="Rozvrendokumentu">
    <w:name w:val="Document Map"/>
    <w:basedOn w:val="Normln"/>
    <w:link w:val="RozvrendokumentuChar"/>
    <w:uiPriority w:val="99"/>
    <w:semiHidden/>
    <w:unhideWhenUsed/>
    <w:rsid w:val="005D26EF"/>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5D26EF"/>
    <w:rPr>
      <w:rFonts w:ascii="Tahoma" w:eastAsia="Times New Roman" w:hAnsi="Tahoma" w:cs="Tahoma"/>
      <w:sz w:val="16"/>
      <w:szCs w:val="16"/>
      <w:lang w:eastAsia="cs-CZ"/>
    </w:rPr>
  </w:style>
  <w:style w:type="paragraph" w:styleId="Obsah4">
    <w:name w:val="toc 4"/>
    <w:basedOn w:val="Normln"/>
    <w:next w:val="Normln"/>
    <w:autoRedefine/>
    <w:uiPriority w:val="39"/>
    <w:unhideWhenUsed/>
    <w:rsid w:val="00B41625"/>
    <w:pPr>
      <w:spacing w:after="100"/>
      <w:ind w:left="600"/>
    </w:pPr>
  </w:style>
  <w:style w:type="paragraph" w:styleId="Normlnweb">
    <w:name w:val="Normal (Web)"/>
    <w:basedOn w:val="Normln"/>
    <w:uiPriority w:val="99"/>
    <w:unhideWhenUsed/>
    <w:rsid w:val="00F84A22"/>
    <w:pPr>
      <w:spacing w:before="100" w:beforeAutospacing="1" w:after="100" w:afterAutospacing="1"/>
      <w:jc w:val="left"/>
    </w:pPr>
    <w:rPr>
      <w:rFonts w:ascii="Times New Roman" w:eastAsia="Calibri" w:hAnsi="Times New Roman"/>
      <w:sz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8B216-80D9-4D17-A17D-9F04954C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1090</Words>
  <Characters>6435</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Service</dc:creator>
  <cp:lastModifiedBy>dubska1552</cp:lastModifiedBy>
  <cp:revision>2</cp:revision>
  <cp:lastPrinted>2013-09-04T06:52:00Z</cp:lastPrinted>
  <dcterms:created xsi:type="dcterms:W3CDTF">2014-05-13T15:09:00Z</dcterms:created>
  <dcterms:modified xsi:type="dcterms:W3CDTF">2014-05-13T15:09:00Z</dcterms:modified>
</cp:coreProperties>
</file>