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95" w:rsidRPr="000B6B95" w:rsidRDefault="000B6B95" w:rsidP="000B6B95">
      <w:pPr>
        <w:keepNext/>
        <w:keepLines/>
        <w:spacing w:line="288" w:lineRule="auto"/>
        <w:ind w:left="0" w:firstLine="0"/>
        <w:outlineLvl w:val="2"/>
        <w:rPr>
          <w:rFonts w:ascii="Arial" w:eastAsia="MS Gothic" w:hAnsi="Arial"/>
          <w:b/>
          <w:bCs/>
          <w:color w:val="0071BC"/>
          <w:lang w:val="cs-CZ"/>
        </w:rPr>
      </w:pPr>
      <w:bookmarkStart w:id="0" w:name="_Toc63258270"/>
      <w:r w:rsidRPr="000B6B95">
        <w:rPr>
          <w:rFonts w:ascii="Arial" w:eastAsia="MS Gothic" w:hAnsi="Arial"/>
          <w:b/>
          <w:bCs/>
          <w:color w:val="0071BC"/>
          <w:lang w:val="cs-CZ"/>
        </w:rPr>
        <w:t>Úvod</w:t>
      </w:r>
      <w:bookmarkEnd w:id="0"/>
    </w:p>
    <w:p w:rsidR="000B6B95" w:rsidRPr="000B6B95" w:rsidRDefault="000B6B95" w:rsidP="000B6B95">
      <w:pPr>
        <w:spacing w:line="240" w:lineRule="auto"/>
        <w:ind w:left="0" w:firstLine="0"/>
        <w:rPr>
          <w:rFonts w:ascii="Arial" w:hAnsi="Arial"/>
          <w:sz w:val="20"/>
          <w:lang w:val="cs-CZ"/>
        </w:rPr>
      </w:pPr>
    </w:p>
    <w:p w:rsidR="000B6B95" w:rsidRPr="000B6B95" w:rsidRDefault="000B6B95" w:rsidP="000B6B95">
      <w:pPr>
        <w:spacing w:after="200" w:line="276" w:lineRule="auto"/>
        <w:ind w:left="0" w:firstLine="851"/>
        <w:jc w:val="both"/>
        <w:rPr>
          <w:rFonts w:ascii="Arial" w:eastAsia="MS Gothic" w:hAnsi="Arial"/>
          <w:bCs/>
          <w:sz w:val="20"/>
          <w:szCs w:val="20"/>
          <w:lang w:val="cs-CZ"/>
        </w:rPr>
      </w:pPr>
      <w:r w:rsidRPr="000B6B95">
        <w:rPr>
          <w:rFonts w:ascii="Arial" w:eastAsia="MS Gothic" w:hAnsi="Arial"/>
          <w:bCs/>
          <w:sz w:val="20"/>
          <w:szCs w:val="20"/>
          <w:lang w:val="cs-CZ"/>
        </w:rPr>
        <w:t>Vážené čtenářky, vážení čtenáři,</w:t>
      </w:r>
    </w:p>
    <w:p w:rsidR="000B6B95" w:rsidRPr="000B6B95" w:rsidRDefault="000B6B95" w:rsidP="000B6B95">
      <w:pPr>
        <w:spacing w:after="200" w:line="276" w:lineRule="auto"/>
        <w:ind w:left="0" w:firstLine="851"/>
        <w:jc w:val="both"/>
        <w:rPr>
          <w:rFonts w:ascii="Arial" w:eastAsia="MS Gothic" w:hAnsi="Arial"/>
          <w:bCs/>
          <w:sz w:val="20"/>
          <w:szCs w:val="20"/>
          <w:lang w:val="cs-CZ"/>
        </w:rPr>
      </w:pPr>
    </w:p>
    <w:p w:rsidR="000B6B95" w:rsidRPr="000B6B95" w:rsidRDefault="000B6B95" w:rsidP="000B6B95">
      <w:pPr>
        <w:spacing w:after="200" w:line="276" w:lineRule="auto"/>
        <w:ind w:left="0" w:firstLine="851"/>
        <w:jc w:val="both"/>
        <w:rPr>
          <w:rFonts w:ascii="Arial" w:eastAsia="MS Gothic" w:hAnsi="Arial"/>
          <w:bCs/>
          <w:sz w:val="20"/>
          <w:szCs w:val="20"/>
          <w:lang w:val="cs-CZ"/>
        </w:rPr>
      </w:pPr>
      <w:r w:rsidRPr="000B6B95">
        <w:rPr>
          <w:rFonts w:ascii="Arial" w:eastAsia="MS Gothic" w:hAnsi="Arial"/>
          <w:bCs/>
          <w:sz w:val="20"/>
          <w:szCs w:val="20"/>
          <w:lang w:val="cs-CZ"/>
        </w:rPr>
        <w:t>v roce 2020 ČSÚ dokončil plánovaný proces modernizace sběru a zpracování dat o odpadech, jehož výsledkem je i aktuální publikace. Ta oproti předchozím rokům přináší řadu změn, které jsou podrobněji popsány v části věnované metodickým poznámkám. Zde mi dovolte krátce uvést skutečnosti, které k těmto změnám vedly.</w:t>
      </w:r>
    </w:p>
    <w:p w:rsidR="000B6B95" w:rsidRPr="000B6B95" w:rsidRDefault="000B6B95" w:rsidP="000B6B95">
      <w:pPr>
        <w:spacing w:after="200" w:line="276" w:lineRule="auto"/>
        <w:ind w:left="0" w:firstLine="851"/>
        <w:jc w:val="both"/>
        <w:rPr>
          <w:rFonts w:ascii="Arial" w:eastAsia="MS Gothic" w:hAnsi="Arial"/>
          <w:bCs/>
          <w:sz w:val="20"/>
          <w:szCs w:val="20"/>
          <w:lang w:val="cs-CZ"/>
        </w:rPr>
      </w:pPr>
      <w:r w:rsidRPr="000B6B95">
        <w:rPr>
          <w:rFonts w:ascii="Arial" w:eastAsia="MS Gothic" w:hAnsi="Arial"/>
          <w:bCs/>
          <w:sz w:val="20"/>
          <w:szCs w:val="20"/>
          <w:lang w:val="cs-CZ"/>
        </w:rPr>
        <w:t xml:space="preserve">První z nich spočívá v aktualizovaném výkladu definice komunálního odpadu, který striktně aplikuje aktuální metodická doporučení </w:t>
      </w:r>
      <w:proofErr w:type="spellStart"/>
      <w:r w:rsidRPr="000B6B95">
        <w:rPr>
          <w:rFonts w:ascii="Arial" w:eastAsia="MS Gothic" w:hAnsi="Arial"/>
          <w:bCs/>
          <w:sz w:val="20"/>
          <w:szCs w:val="20"/>
          <w:lang w:val="cs-CZ"/>
        </w:rPr>
        <w:t>Eurostatu</w:t>
      </w:r>
      <w:proofErr w:type="spellEnd"/>
      <w:r w:rsidRPr="000B6B95">
        <w:rPr>
          <w:rFonts w:ascii="Arial" w:eastAsia="MS Gothic" w:hAnsi="Arial"/>
          <w:bCs/>
          <w:sz w:val="20"/>
          <w:szCs w:val="20"/>
          <w:lang w:val="cs-CZ"/>
        </w:rPr>
        <w:t xml:space="preserve"> související s implementací směrnice 98/2008 o odpadech. Dochází tak k rozšíření pojetí komunálního odpadu o odpad podobný odpadům z domácností a komplexnějšímu podchycení odpadů sbíraných mimo systém obcí. </w:t>
      </w:r>
    </w:p>
    <w:p w:rsidR="000B6B95" w:rsidRPr="000B6B95" w:rsidRDefault="000B6B95" w:rsidP="000B6B95">
      <w:pPr>
        <w:spacing w:after="200" w:line="276" w:lineRule="auto"/>
        <w:ind w:left="0" w:firstLine="851"/>
        <w:jc w:val="both"/>
        <w:rPr>
          <w:rFonts w:ascii="Arial" w:eastAsia="MS Gothic" w:hAnsi="Arial"/>
          <w:bCs/>
          <w:sz w:val="20"/>
          <w:szCs w:val="20"/>
          <w:lang w:val="cs-CZ"/>
        </w:rPr>
      </w:pPr>
      <w:r w:rsidRPr="000B6B95">
        <w:rPr>
          <w:rFonts w:ascii="Arial" w:eastAsia="MS Gothic" w:hAnsi="Arial"/>
          <w:bCs/>
          <w:sz w:val="20"/>
          <w:szCs w:val="20"/>
          <w:lang w:val="cs-CZ"/>
        </w:rPr>
        <w:t xml:space="preserve">Druhá, neméně podstatná změna, vyplývá z možnosti širšího využití administrativních dat o produkci a nakládání s odpady. Analytické práce  zaměřené na srovnání dat z Integrovaného systému ohlašovacích povinností (ISPOP) a statistického zjišťování o Produkci a nakládání s odpadem (roční výkaz </w:t>
      </w:r>
      <w:proofErr w:type="spellStart"/>
      <w:r w:rsidRPr="000B6B95">
        <w:rPr>
          <w:rFonts w:ascii="Arial" w:eastAsia="MS Gothic" w:hAnsi="Arial"/>
          <w:bCs/>
          <w:sz w:val="20"/>
          <w:szCs w:val="20"/>
          <w:lang w:val="cs-CZ"/>
        </w:rPr>
        <w:t>Odp</w:t>
      </w:r>
      <w:proofErr w:type="spellEnd"/>
      <w:r w:rsidRPr="000B6B95">
        <w:rPr>
          <w:rFonts w:ascii="Arial" w:eastAsia="MS Gothic" w:hAnsi="Arial"/>
          <w:bCs/>
          <w:sz w:val="20"/>
          <w:szCs w:val="20"/>
          <w:lang w:val="cs-CZ"/>
        </w:rPr>
        <w:t xml:space="preserve"> 5-01) prokázaly dostatečnou míru kompatibility obou primárních zdrojů dat pro sestavení výsledků v souladu s metodikou nařízení Evropského parlamentu a rady 2150/2002 o statistice odpadů a navazujících metodických pokynů. Při zpracování statistických výsledků proto bylo možné využít administrativní data ke zlepšení pokrytí sledované populace. Současně tak došlo ke snížení administrativní zátěže ekonomických subjektů.</w:t>
      </w:r>
    </w:p>
    <w:p w:rsidR="000B6B95" w:rsidRPr="000B6B95" w:rsidRDefault="000B6B95" w:rsidP="000B6B95">
      <w:pPr>
        <w:spacing w:after="200" w:line="276" w:lineRule="auto"/>
        <w:ind w:left="0" w:firstLine="851"/>
        <w:jc w:val="both"/>
        <w:rPr>
          <w:rFonts w:ascii="Arial" w:eastAsia="MS Gothic" w:hAnsi="Arial"/>
          <w:bCs/>
          <w:sz w:val="20"/>
          <w:szCs w:val="20"/>
          <w:lang w:val="cs-CZ"/>
        </w:rPr>
      </w:pPr>
      <w:r w:rsidRPr="000B6B95">
        <w:rPr>
          <w:rFonts w:ascii="Arial" w:eastAsia="MS Gothic" w:hAnsi="Arial"/>
          <w:bCs/>
          <w:sz w:val="20"/>
          <w:szCs w:val="20"/>
          <w:lang w:val="cs-CZ"/>
        </w:rPr>
        <w:t>Z výše uvedených důvodů nejsou data v této publikaci srovnatelná s dříve publikovanými údaji. Metodicky konsistentní výsledky jsou prezentovány v publikaci za roky 2017 – 2019, což umožňuje srovnání v čase. Práce na přepočtu časových řad budou pokračovat zároveň se zpracováním údajů za rok 2020 tak, aby byl uživatelům poskytnut co možná nejúplnější obrázek o trendech vývoje odpadového hospodářství podle srovnatelné metodiky.</w:t>
      </w:r>
    </w:p>
    <w:p w:rsidR="000B6B95" w:rsidRPr="000B6B95" w:rsidRDefault="000B6B95" w:rsidP="000B6B95">
      <w:pPr>
        <w:spacing w:after="200" w:line="276" w:lineRule="auto"/>
        <w:ind w:left="0" w:firstLine="851"/>
        <w:jc w:val="both"/>
        <w:rPr>
          <w:rFonts w:ascii="Arial" w:eastAsia="MS Gothic" w:hAnsi="Arial"/>
          <w:bCs/>
          <w:sz w:val="20"/>
          <w:szCs w:val="20"/>
          <w:lang w:val="cs-CZ"/>
        </w:rPr>
      </w:pPr>
    </w:p>
    <w:p w:rsidR="000B6B95" w:rsidRPr="000B6B95" w:rsidRDefault="000B6B95" w:rsidP="000B6B95">
      <w:pPr>
        <w:spacing w:after="200" w:line="276" w:lineRule="auto"/>
        <w:ind w:left="0" w:firstLine="851"/>
        <w:jc w:val="both"/>
        <w:rPr>
          <w:rFonts w:ascii="Arial" w:eastAsia="MS Gothic" w:hAnsi="Arial"/>
          <w:bCs/>
          <w:sz w:val="20"/>
          <w:szCs w:val="20"/>
          <w:lang w:val="cs-CZ"/>
        </w:rPr>
      </w:pPr>
      <w:r w:rsidRPr="000B6B95">
        <w:rPr>
          <w:rFonts w:ascii="Arial" w:eastAsia="MS Gothic" w:hAnsi="Arial"/>
          <w:bCs/>
          <w:sz w:val="20"/>
          <w:szCs w:val="20"/>
          <w:lang w:val="cs-CZ"/>
        </w:rPr>
        <w:t>Marie Boušková</w:t>
      </w:r>
    </w:p>
    <w:p w:rsidR="000B6B95" w:rsidRPr="000B6B95" w:rsidRDefault="000B6B95" w:rsidP="000B6B95">
      <w:pPr>
        <w:spacing w:after="240" w:line="288" w:lineRule="auto"/>
        <w:ind w:left="0" w:firstLine="851"/>
        <w:rPr>
          <w:rFonts w:ascii="Arial" w:hAnsi="Arial"/>
          <w:sz w:val="20"/>
          <w:lang w:val="cs-CZ"/>
        </w:rPr>
      </w:pPr>
      <w:r w:rsidRPr="000B6B95">
        <w:rPr>
          <w:rFonts w:ascii="Arial" w:eastAsia="MS Gothic" w:hAnsi="Arial" w:cs="Arial"/>
          <w:bCs/>
          <w:sz w:val="20"/>
          <w:szCs w:val="20"/>
          <w:lang w:val="cs-CZ"/>
        </w:rPr>
        <w:t>ředitelka Odboru</w:t>
      </w:r>
      <w:r w:rsidRPr="000B6B95">
        <w:rPr>
          <w:rFonts w:ascii="Arial" w:eastAsia="MS Gothic" w:hAnsi="Arial" w:cs="Arial"/>
          <w:b/>
          <w:bCs/>
          <w:sz w:val="20"/>
          <w:szCs w:val="20"/>
          <w:lang w:val="cs-CZ"/>
        </w:rPr>
        <w:t xml:space="preserve"> </w:t>
      </w:r>
      <w:r w:rsidRPr="000B6B95">
        <w:rPr>
          <w:rFonts w:ascii="Arial" w:eastAsia="MS Gothic" w:hAnsi="Arial" w:cs="Arial"/>
          <w:bCs/>
          <w:sz w:val="20"/>
          <w:szCs w:val="20"/>
          <w:lang w:val="cs-CZ"/>
        </w:rPr>
        <w:t>statistiky obchodu, dopravy, služeb, cestovního ruchu a životního prostředí</w:t>
      </w:r>
    </w:p>
    <w:p w:rsidR="00245479" w:rsidRPr="000B6B95" w:rsidRDefault="00245479" w:rsidP="000B6B95">
      <w:bookmarkStart w:id="1" w:name="_GoBack"/>
      <w:bookmarkEnd w:id="1"/>
    </w:p>
    <w:sectPr w:rsidR="00245479" w:rsidRPr="000B6B95" w:rsidSect="00415762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0FE" w:rsidRDefault="002C10FE" w:rsidP="00415762">
      <w:pPr>
        <w:spacing w:line="240" w:lineRule="auto"/>
      </w:pPr>
      <w:r>
        <w:separator/>
      </w:r>
    </w:p>
  </w:endnote>
  <w:endnote w:type="continuationSeparator" w:id="0">
    <w:p w:rsidR="002C10FE" w:rsidRDefault="002C10FE" w:rsidP="00415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62" w:rsidRPr="008E3663" w:rsidRDefault="00415762" w:rsidP="00415762">
    <w:pPr>
      <w:pStyle w:val="Zpat"/>
      <w:ind w:right="360" w:firstLine="360"/>
      <w:jc w:val="center"/>
      <w:rPr>
        <w:rFonts w:ascii="Arial" w:hAnsi="Arial" w:cs="Arial"/>
        <w:sz w:val="18"/>
        <w:szCs w:val="18"/>
        <w:lang w:val="cs-CZ"/>
      </w:rPr>
    </w:pPr>
    <w:r w:rsidRPr="008E3663">
      <w:rPr>
        <w:rFonts w:ascii="Arial" w:hAnsi="Arial" w:cs="Arial"/>
        <w:noProof/>
        <w:sz w:val="18"/>
        <w:szCs w:val="18"/>
        <w:lang w:val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635</wp:posOffset>
          </wp:positionV>
          <wp:extent cx="510540" cy="272415"/>
          <wp:effectExtent l="19050" t="0" r="3810" b="0"/>
          <wp:wrapNone/>
          <wp:docPr id="1" name="obrázek 1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U RGB CZ logo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659B">
      <w:rPr>
        <w:rFonts w:ascii="Arial" w:hAnsi="Arial" w:cs="Arial"/>
        <w:noProof/>
        <w:sz w:val="18"/>
        <w:szCs w:val="18"/>
        <w:lang w:val="cs-CZ"/>
      </w:rPr>
      <w:t>2018</w:t>
    </w:r>
  </w:p>
  <w:p w:rsidR="00415762" w:rsidRDefault="004157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0FE" w:rsidRDefault="002C10FE" w:rsidP="00415762">
      <w:pPr>
        <w:spacing w:line="240" w:lineRule="auto"/>
      </w:pPr>
      <w:r>
        <w:separator/>
      </w:r>
    </w:p>
  </w:footnote>
  <w:footnote w:type="continuationSeparator" w:id="0">
    <w:p w:rsidR="002C10FE" w:rsidRDefault="002C10FE" w:rsidP="004157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63" w:rsidRPr="00B77E78" w:rsidRDefault="008E3663" w:rsidP="008E3663">
    <w:pPr>
      <w:pStyle w:val="Zhlav"/>
      <w:tabs>
        <w:tab w:val="clear" w:pos="4536"/>
        <w:tab w:val="clear" w:pos="9072"/>
      </w:tabs>
      <w:spacing w:line="288" w:lineRule="auto"/>
      <w:ind w:left="0" w:firstLine="0"/>
      <w:rPr>
        <w:rFonts w:ascii="Arial" w:eastAsia="Calibri" w:hAnsi="Arial"/>
        <w:sz w:val="16"/>
        <w:szCs w:val="22"/>
        <w:lang w:val="cs-CZ" w:eastAsia="en-US"/>
      </w:rPr>
    </w:pPr>
    <w:r w:rsidRPr="00B77E78">
      <w:rPr>
        <w:rFonts w:ascii="Arial" w:eastAsia="Calibri" w:hAnsi="Arial"/>
        <w:sz w:val="16"/>
        <w:szCs w:val="22"/>
        <w:lang w:val="cs-CZ" w:eastAsia="en-US"/>
      </w:rPr>
      <w:t>Produkce, využití a odstranění odpadů</w:t>
    </w:r>
  </w:p>
  <w:p w:rsidR="008E3663" w:rsidRPr="008E3663" w:rsidRDefault="008E3663" w:rsidP="008E3663">
    <w:pPr>
      <w:pStyle w:val="Zhlav"/>
      <w:tabs>
        <w:tab w:val="clear" w:pos="4536"/>
        <w:tab w:val="clear" w:pos="9072"/>
      </w:tabs>
      <w:spacing w:line="288" w:lineRule="auto"/>
      <w:ind w:left="0" w:firstLine="0"/>
      <w:rPr>
        <w:rFonts w:ascii="Arial" w:eastAsia="Calibri" w:hAnsi="Arial"/>
        <w:i/>
        <w:sz w:val="16"/>
        <w:szCs w:val="22"/>
        <w:lang w:val="cs-CZ" w:eastAsia="en-US"/>
      </w:rPr>
    </w:pPr>
    <w:proofErr w:type="spellStart"/>
    <w:r w:rsidRPr="002B3DCA">
      <w:rPr>
        <w:rFonts w:ascii="Arial" w:eastAsia="Calibri" w:hAnsi="Arial"/>
        <w:i/>
        <w:sz w:val="16"/>
        <w:szCs w:val="22"/>
        <w:lang w:val="cs-CZ" w:eastAsia="en-US"/>
      </w:rPr>
      <w:t>Generation</w:t>
    </w:r>
    <w:proofErr w:type="spellEnd"/>
    <w:r w:rsidRPr="002B3DCA">
      <w:rPr>
        <w:rFonts w:ascii="Arial" w:eastAsia="Calibri" w:hAnsi="Arial"/>
        <w:i/>
        <w:sz w:val="16"/>
        <w:szCs w:val="22"/>
        <w:lang w:val="cs-CZ" w:eastAsia="en-US"/>
      </w:rPr>
      <w:t>,</w:t>
    </w:r>
    <w:r>
      <w:rPr>
        <w:rFonts w:ascii="Arial" w:eastAsia="Calibri" w:hAnsi="Arial"/>
        <w:i/>
        <w:sz w:val="16"/>
        <w:szCs w:val="22"/>
        <w:lang w:val="cs-CZ" w:eastAsia="en-US"/>
      </w:rPr>
      <w:t xml:space="preserve"> </w:t>
    </w:r>
    <w:proofErr w:type="spellStart"/>
    <w:r>
      <w:rPr>
        <w:rFonts w:ascii="Arial" w:eastAsia="Calibri" w:hAnsi="Arial"/>
        <w:i/>
        <w:sz w:val="16"/>
        <w:szCs w:val="22"/>
        <w:lang w:val="cs-CZ" w:eastAsia="en-US"/>
      </w:rPr>
      <w:t>Recovery</w:t>
    </w:r>
    <w:proofErr w:type="spellEnd"/>
    <w:r>
      <w:rPr>
        <w:rFonts w:ascii="Arial" w:eastAsia="Calibri" w:hAnsi="Arial"/>
        <w:i/>
        <w:sz w:val="16"/>
        <w:szCs w:val="22"/>
        <w:lang w:val="cs-CZ" w:eastAsia="en-US"/>
      </w:rPr>
      <w:t xml:space="preserve"> and </w:t>
    </w:r>
    <w:proofErr w:type="spellStart"/>
    <w:r>
      <w:rPr>
        <w:rFonts w:ascii="Arial" w:eastAsia="Calibri" w:hAnsi="Arial"/>
        <w:i/>
        <w:sz w:val="16"/>
        <w:szCs w:val="22"/>
        <w:lang w:val="cs-CZ" w:eastAsia="en-US"/>
      </w:rPr>
      <w:t>Disposal</w:t>
    </w:r>
    <w:proofErr w:type="spellEnd"/>
    <w:r>
      <w:rPr>
        <w:rFonts w:ascii="Arial" w:eastAsia="Calibri" w:hAnsi="Arial"/>
        <w:i/>
        <w:sz w:val="16"/>
        <w:szCs w:val="22"/>
        <w:lang w:val="cs-CZ" w:eastAsia="en-US"/>
      </w:rPr>
      <w:t xml:space="preserve"> </w:t>
    </w:r>
    <w:proofErr w:type="spellStart"/>
    <w:r>
      <w:rPr>
        <w:rFonts w:ascii="Arial" w:eastAsia="Calibri" w:hAnsi="Arial"/>
        <w:i/>
        <w:sz w:val="16"/>
        <w:szCs w:val="22"/>
        <w:lang w:val="cs-CZ" w:eastAsia="en-US"/>
      </w:rPr>
      <w:t>of</w:t>
    </w:r>
    <w:proofErr w:type="spellEnd"/>
    <w:r>
      <w:rPr>
        <w:rFonts w:ascii="Arial" w:eastAsia="Calibri" w:hAnsi="Arial"/>
        <w:i/>
        <w:sz w:val="16"/>
        <w:szCs w:val="22"/>
        <w:lang w:val="cs-CZ" w:eastAsia="en-US"/>
      </w:rPr>
      <w:t xml:space="preserve"> </w:t>
    </w:r>
    <w:proofErr w:type="spellStart"/>
    <w:r>
      <w:rPr>
        <w:rFonts w:ascii="Arial" w:eastAsia="Calibri" w:hAnsi="Arial"/>
        <w:i/>
        <w:sz w:val="16"/>
        <w:szCs w:val="22"/>
        <w:lang w:val="cs-CZ" w:eastAsia="en-US"/>
      </w:rPr>
      <w:t>Waste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50EC5"/>
    <w:multiLevelType w:val="hybridMultilevel"/>
    <w:tmpl w:val="39FE435A"/>
    <w:lvl w:ilvl="0" w:tplc="351AA43C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57397501"/>
    <w:multiLevelType w:val="hybridMultilevel"/>
    <w:tmpl w:val="578CFCFA"/>
    <w:lvl w:ilvl="0" w:tplc="25E63C4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06367"/>
    <w:multiLevelType w:val="hybridMultilevel"/>
    <w:tmpl w:val="B818FDE4"/>
    <w:lvl w:ilvl="0" w:tplc="EA0A02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DCD"/>
    <w:rsid w:val="00013DCD"/>
    <w:rsid w:val="000521D7"/>
    <w:rsid w:val="000A7395"/>
    <w:rsid w:val="000B6B95"/>
    <w:rsid w:val="00137085"/>
    <w:rsid w:val="00245479"/>
    <w:rsid w:val="002C10FE"/>
    <w:rsid w:val="003A1A2A"/>
    <w:rsid w:val="00415762"/>
    <w:rsid w:val="004378C0"/>
    <w:rsid w:val="0057506F"/>
    <w:rsid w:val="006D16C5"/>
    <w:rsid w:val="00706B9F"/>
    <w:rsid w:val="008E3663"/>
    <w:rsid w:val="00AC6880"/>
    <w:rsid w:val="00D622C9"/>
    <w:rsid w:val="00F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E741AF-E61C-4EA0-A3B2-4A26BA7C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3DCD"/>
    <w:pPr>
      <w:spacing w:after="0" w:line="0" w:lineRule="atLeast"/>
      <w:ind w:left="851" w:hanging="851"/>
    </w:pPr>
    <w:rPr>
      <w:rFonts w:ascii="Times New Roman" w:eastAsia="Times New Roman" w:hAnsi="Times New Roman" w:cs="Times New Roman"/>
      <w:sz w:val="24"/>
      <w:szCs w:val="24"/>
      <w:lang w:val="ru-RU" w:eastAsia="cs-CZ"/>
    </w:rPr>
  </w:style>
  <w:style w:type="paragraph" w:styleId="Nadpis3">
    <w:name w:val="heading 3"/>
    <w:next w:val="Normln"/>
    <w:link w:val="Nadpis3Char"/>
    <w:uiPriority w:val="9"/>
    <w:qFormat/>
    <w:rsid w:val="003A1A2A"/>
    <w:pPr>
      <w:keepNext/>
      <w:keepLines/>
      <w:spacing w:after="0" w:line="288" w:lineRule="auto"/>
      <w:outlineLvl w:val="2"/>
    </w:pPr>
    <w:rPr>
      <w:rFonts w:ascii="Arial" w:eastAsia="MS Gothic" w:hAnsi="Arial" w:cs="Times New Roman"/>
      <w:b/>
      <w:bCs/>
      <w:color w:val="0071BC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013DCD"/>
    <w:pPr>
      <w:tabs>
        <w:tab w:val="left" w:pos="684"/>
      </w:tabs>
      <w:jc w:val="both"/>
    </w:pPr>
    <w:rPr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013D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41576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415762"/>
    <w:rPr>
      <w:rFonts w:ascii="Times New Roman" w:eastAsia="Times New Roman" w:hAnsi="Times New Roman" w:cs="Times New Roman"/>
      <w:sz w:val="24"/>
      <w:szCs w:val="24"/>
      <w:lang w:val="ru-RU" w:eastAsia="cs-CZ"/>
    </w:rPr>
  </w:style>
  <w:style w:type="paragraph" w:styleId="Zpat">
    <w:name w:val="footer"/>
    <w:basedOn w:val="Normln"/>
    <w:link w:val="ZpatChar"/>
    <w:uiPriority w:val="99"/>
    <w:unhideWhenUsed/>
    <w:rsid w:val="0041576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762"/>
    <w:rPr>
      <w:rFonts w:ascii="Times New Roman" w:eastAsia="Times New Roman" w:hAnsi="Times New Roman" w:cs="Times New Roman"/>
      <w:sz w:val="24"/>
      <w:szCs w:val="24"/>
      <w:lang w:val="ru-RU"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157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15762"/>
    <w:rPr>
      <w:rFonts w:ascii="Times New Roman" w:eastAsia="Times New Roman" w:hAnsi="Times New Roman" w:cs="Times New Roman"/>
      <w:sz w:val="16"/>
      <w:szCs w:val="16"/>
      <w:lang w:val="ru-RU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157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15762"/>
    <w:rPr>
      <w:rFonts w:ascii="Times New Roman" w:eastAsia="Times New Roman" w:hAnsi="Times New Roman" w:cs="Times New Roman"/>
      <w:sz w:val="24"/>
      <w:szCs w:val="24"/>
      <w:lang w:val="ru-RU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A1A2A"/>
    <w:rPr>
      <w:rFonts w:ascii="Arial" w:eastAsia="MS Gothic" w:hAnsi="Arial" w:cs="Times New Roman"/>
      <w:b/>
      <w:bCs/>
      <w:color w:val="0071BC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1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EF67F-7144-49F4-9FE0-91B18A31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1674</Characters>
  <Application>Microsoft Office Word</Application>
  <DocSecurity>0</DocSecurity>
  <Lines>13</Lines>
  <Paragraphs>3</Paragraphs>
  <ScaleCrop>false</ScaleCrop>
  <Company>CSU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Ing. Tomáš Harák</cp:lastModifiedBy>
  <cp:revision>11</cp:revision>
  <dcterms:created xsi:type="dcterms:W3CDTF">2016-10-14T12:33:00Z</dcterms:created>
  <dcterms:modified xsi:type="dcterms:W3CDTF">2021-02-03T14:36:00Z</dcterms:modified>
</cp:coreProperties>
</file>