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4472CA" w:rsidP="0097104F">
      <w:pPr>
        <w:pStyle w:val="Nadpis1"/>
      </w:pPr>
      <w:r w:rsidRPr="004472CA">
        <w:t>Ceny brambor opět vzrostly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4472CA">
        <w:t>květen</w:t>
      </w:r>
      <w:r w:rsidR="00250429">
        <w:t> 2019</w:t>
      </w:r>
    </w:p>
    <w:p w:rsidR="00C031B4" w:rsidRPr="00B650AB" w:rsidRDefault="004472CA" w:rsidP="00C031B4">
      <w:pPr>
        <w:pStyle w:val="Perex"/>
      </w:pPr>
      <w:r w:rsidRPr="004472CA">
        <w:t>Spotřebitelské ceny vzrostly v květnu proti dubnu o 0,7 %. Tento vývoj byl ovlivněn zejména vyššími cenami v oddíle potraviny a nealkoholické nápoje. Meziroční růst spotřebitelských cen v květnu zrychlil na 2,9 %, což bylo o 0,1 procentního bodu více než v dubnu.</w:t>
      </w:r>
    </w:p>
    <w:p w:rsidR="004472CA" w:rsidRDefault="004472CA" w:rsidP="004472C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242A63">
        <w:rPr>
          <w:rFonts w:eastAsia="Calibri" w:cs="Arial"/>
          <w:b/>
          <w:szCs w:val="20"/>
        </w:rPr>
        <w:t>Meziměsíční</w:t>
      </w:r>
      <w:r w:rsidRPr="001E1E73">
        <w:rPr>
          <w:rFonts w:eastAsia="Calibri" w:cs="Arial"/>
          <w:szCs w:val="20"/>
        </w:rPr>
        <w:t xml:space="preserve"> </w:t>
      </w:r>
      <w:r w:rsidRPr="00242A63">
        <w:rPr>
          <w:rFonts w:eastAsia="Calibri" w:cs="Arial"/>
          <w:szCs w:val="20"/>
        </w:rPr>
        <w:t>růst spotřebitelských cen v oddíle potraviny a nealkoholické nápoje způsobilo zejména zvýšení cen zeleniny o 6,2 %, z čehož c</w:t>
      </w:r>
      <w:r>
        <w:rPr>
          <w:rFonts w:eastAsia="Calibri" w:cs="Arial"/>
          <w:szCs w:val="20"/>
        </w:rPr>
        <w:t>eny brambor vzrostly o 11,1 % a </w:t>
      </w:r>
      <w:r w:rsidRPr="00242A63">
        <w:rPr>
          <w:rFonts w:eastAsia="Calibri" w:cs="Arial"/>
          <w:szCs w:val="20"/>
        </w:rPr>
        <w:t xml:space="preserve">dosáhly hodnoty </w:t>
      </w:r>
      <w:r>
        <w:rPr>
          <w:rFonts w:eastAsia="Calibri" w:cs="Arial"/>
          <w:szCs w:val="18"/>
        </w:rPr>
        <w:t>26,19 </w:t>
      </w:r>
      <w:r w:rsidRPr="00242A63">
        <w:rPr>
          <w:rFonts w:eastAsia="Calibri" w:cs="Arial"/>
          <w:szCs w:val="18"/>
        </w:rPr>
        <w:t>Kč/kg. Ceny masa byly vyšší</w:t>
      </w:r>
      <w:r>
        <w:rPr>
          <w:rFonts w:eastAsia="Calibri" w:cs="Arial"/>
          <w:szCs w:val="18"/>
        </w:rPr>
        <w:t xml:space="preserve"> o 2,4 %, ovoce o 7,0 %, sýrů a </w:t>
      </w:r>
      <w:r w:rsidRPr="00242A63">
        <w:rPr>
          <w:rFonts w:eastAsia="Calibri" w:cs="Arial"/>
          <w:szCs w:val="18"/>
        </w:rPr>
        <w:t xml:space="preserve">tvarohů o 2,2 %. V oddíle alkoholické nápoje, tabák vzrostly ceny lihovin o 4,6 %, piva o 3,9 % a vína o 1,5 %. Růst cen v oddíle bydlení byl </w:t>
      </w:r>
      <w:r>
        <w:rPr>
          <w:rFonts w:eastAsia="Calibri" w:cs="Arial"/>
          <w:szCs w:val="18"/>
        </w:rPr>
        <w:t>způsoben</w:t>
      </w:r>
      <w:r w:rsidRPr="00242A63">
        <w:rPr>
          <w:rFonts w:eastAsia="Calibri" w:cs="Arial"/>
          <w:szCs w:val="18"/>
        </w:rPr>
        <w:t xml:space="preserve"> především zvýšením cen elektřiny o 0,5 % a nájemného z bytu o 0,4 %. </w:t>
      </w:r>
      <w:r w:rsidRPr="006F037C">
        <w:rPr>
          <w:rFonts w:cs="Arial"/>
          <w:szCs w:val="20"/>
        </w:rPr>
        <w:t>V oddíle doprava pokračoval třetí měsíc růst cen pohonných hmot</w:t>
      </w:r>
      <w:r>
        <w:rPr>
          <w:rFonts w:cs="Arial"/>
          <w:szCs w:val="20"/>
        </w:rPr>
        <w:t xml:space="preserve"> a </w:t>
      </w:r>
      <w:r w:rsidRPr="006F037C">
        <w:rPr>
          <w:rFonts w:cs="Arial"/>
          <w:szCs w:val="20"/>
        </w:rPr>
        <w:t>olejů, který v </w:t>
      </w:r>
      <w:r>
        <w:rPr>
          <w:rFonts w:cs="Arial"/>
          <w:szCs w:val="20"/>
        </w:rPr>
        <w:t>květnu činil 2,6 </w:t>
      </w:r>
      <w:r w:rsidRPr="006F037C">
        <w:rPr>
          <w:rFonts w:cs="Arial"/>
          <w:szCs w:val="20"/>
        </w:rPr>
        <w:t>%.</w:t>
      </w:r>
    </w:p>
    <w:p w:rsidR="004472CA" w:rsidRPr="00AD2106" w:rsidRDefault="004472CA" w:rsidP="004472CA">
      <w:pPr>
        <w:pStyle w:val="Perex"/>
        <w:spacing w:before="0" w:after="240"/>
        <w:rPr>
          <w:b w:val="0"/>
          <w:szCs w:val="20"/>
        </w:rPr>
      </w:pPr>
      <w:r w:rsidRPr="001428B6">
        <w:rPr>
          <w:b w:val="0"/>
          <w:szCs w:val="20"/>
        </w:rPr>
        <w:t>Na snižování celkové úrovně spotřebitelských cen v květnu působil především pokles cen v</w:t>
      </w:r>
      <w:r>
        <w:rPr>
          <w:b w:val="0"/>
          <w:szCs w:val="20"/>
        </w:rPr>
        <w:t> </w:t>
      </w:r>
      <w:r w:rsidRPr="001428B6">
        <w:rPr>
          <w:b w:val="0"/>
          <w:szCs w:val="20"/>
        </w:rPr>
        <w:t>oddíle</w:t>
      </w:r>
      <w:r>
        <w:rPr>
          <w:b w:val="0"/>
          <w:szCs w:val="20"/>
        </w:rPr>
        <w:t xml:space="preserve"> </w:t>
      </w:r>
      <w:r w:rsidRPr="001428B6">
        <w:rPr>
          <w:b w:val="0"/>
          <w:szCs w:val="20"/>
        </w:rPr>
        <w:t>rekreace a kultura</w:t>
      </w:r>
      <w:r>
        <w:rPr>
          <w:b w:val="0"/>
          <w:szCs w:val="20"/>
        </w:rPr>
        <w:t>, kde</w:t>
      </w:r>
      <w:r w:rsidRPr="001428B6">
        <w:rPr>
          <w:b w:val="0"/>
          <w:szCs w:val="20"/>
        </w:rPr>
        <w:t xml:space="preserve"> se snížily zejména ceny dovolených s komplexními službami o </w:t>
      </w:r>
      <w:r>
        <w:rPr>
          <w:b w:val="0"/>
          <w:szCs w:val="20"/>
        </w:rPr>
        <w:t>1,8</w:t>
      </w:r>
      <w:r w:rsidRPr="001428B6">
        <w:rPr>
          <w:b w:val="0"/>
          <w:szCs w:val="20"/>
        </w:rPr>
        <w:t> %.</w:t>
      </w:r>
      <w:r>
        <w:rPr>
          <w:b w:val="0"/>
          <w:szCs w:val="20"/>
        </w:rPr>
        <w:t xml:space="preserve"> V oddíle odívání a obuv klesly ceny oděvů o 0,4 %. </w:t>
      </w:r>
      <w:r w:rsidRPr="00AD2106">
        <w:rPr>
          <w:b w:val="0"/>
          <w:szCs w:val="20"/>
        </w:rPr>
        <w:t>Z potravin byly nižší především ceny n</w:t>
      </w:r>
      <w:r>
        <w:rPr>
          <w:b w:val="0"/>
          <w:szCs w:val="20"/>
        </w:rPr>
        <w:t>ealkoholických nápojů </w:t>
      </w:r>
      <w:r w:rsidRPr="00AD2106">
        <w:rPr>
          <w:b w:val="0"/>
          <w:szCs w:val="20"/>
        </w:rPr>
        <w:t>o 1,</w:t>
      </w:r>
      <w:r>
        <w:rPr>
          <w:b w:val="0"/>
          <w:szCs w:val="20"/>
        </w:rPr>
        <w:t>5</w:t>
      </w:r>
      <w:r w:rsidRPr="00AD2106">
        <w:rPr>
          <w:b w:val="0"/>
          <w:szCs w:val="20"/>
        </w:rPr>
        <w:t> %</w:t>
      </w:r>
      <w:r>
        <w:rPr>
          <w:b w:val="0"/>
          <w:szCs w:val="20"/>
        </w:rPr>
        <w:t>.</w:t>
      </w:r>
    </w:p>
    <w:p w:rsidR="004472CA" w:rsidRPr="00783940" w:rsidRDefault="004472CA" w:rsidP="004472CA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0,9 % a </w:t>
      </w:r>
      <w:r w:rsidRPr="00783940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o 0,3 %</w:t>
      </w:r>
      <w:r w:rsidRPr="00783940">
        <w:rPr>
          <w:rFonts w:cs="Arial"/>
          <w:szCs w:val="20"/>
        </w:rPr>
        <w:t>.</w:t>
      </w:r>
    </w:p>
    <w:p w:rsidR="004472CA" w:rsidRPr="00B226EE" w:rsidRDefault="004472CA" w:rsidP="004472CA">
      <w:pPr>
        <w:jc w:val="both"/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květnu</w:t>
      </w:r>
      <w:r w:rsidRPr="0078394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2,9</w:t>
      </w:r>
      <w:r w:rsidRPr="00783940">
        <w:rPr>
          <w:rFonts w:cs="Arial"/>
          <w:szCs w:val="20"/>
        </w:rPr>
        <w:t> %, což </w:t>
      </w:r>
      <w:r>
        <w:rPr>
          <w:rFonts w:cs="Arial"/>
          <w:szCs w:val="20"/>
        </w:rPr>
        <w:t>bylo</w:t>
      </w:r>
      <w:r w:rsidRPr="00783940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1</w:t>
      </w:r>
      <w:r w:rsidRPr="00783940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783940">
        <w:rPr>
          <w:rFonts w:cs="Arial"/>
          <w:szCs w:val="20"/>
        </w:rPr>
        <w:t xml:space="preserve"> než v </w:t>
      </w:r>
      <w:r>
        <w:rPr>
          <w:rFonts w:cs="Arial"/>
          <w:szCs w:val="20"/>
        </w:rPr>
        <w:t>dubnu</w:t>
      </w:r>
      <w:r w:rsidRPr="00783940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B226EE">
        <w:rPr>
          <w:rFonts w:cs="Arial"/>
          <w:szCs w:val="20"/>
        </w:rPr>
        <w:t xml:space="preserve">Zrychlení </w:t>
      </w:r>
      <w:r w:rsidRPr="00B226EE">
        <w:t>meziročního cenového růstu nastalo především v oddíle potraviny a nealkoholické nápoje, kde ce</w:t>
      </w:r>
      <w:r>
        <w:t>ny brambor vzrostly o 88,4 % (v dubnu o 70,2 %). U </w:t>
      </w:r>
      <w:r w:rsidRPr="00B226EE">
        <w:t>řady potravin došlo buď k přechodu v růst z jejich dubnového poklesu, nebo ke zmírnění cenového poklesu. Ceny masa byly vyšší</w:t>
      </w:r>
      <w:r>
        <w:t xml:space="preserve"> o 2,2 % (v dubnu pokles o </w:t>
      </w:r>
      <w:r w:rsidRPr="00B226EE">
        <w:t xml:space="preserve">0,2 %), </w:t>
      </w:r>
      <w:r>
        <w:t>ceny ve </w:t>
      </w:r>
      <w:r w:rsidRPr="00B226EE">
        <w:t>skupin</w:t>
      </w:r>
      <w:r>
        <w:t>ě mléko, sýry, vejce o 1,7 % (v </w:t>
      </w:r>
      <w:r w:rsidRPr="00B226EE">
        <w:t xml:space="preserve">dubnu pokles o 0,1 %). Ceny ovoce </w:t>
      </w:r>
      <w:r>
        <w:t>byly v květnu nižší o 7,5 % (v dubnu o 9,5 %) a ceny cukru o 23,8 % (v </w:t>
      </w:r>
      <w:r w:rsidRPr="00B226EE">
        <w:t>dubnu o 30,8 %).</w:t>
      </w:r>
      <w:r>
        <w:t xml:space="preserve"> Meziroční růst cen zrychlil také v oddíle alkoholické nápoje, tabák, kde byly ceny lihovin v květnu vyšší o 1,8 % (v dubnu pokles o 0,5 %) a ceny piva o 7,2 % (v dubnu pokles o 1,1 %). Zpomalení meziročního cenového růstu v oddíle doprava bylo způsobeno zejména cenami pohonných hmot a olejů, které zmírnily svůj růst na 3,1 % (v dubnu 4,7 %), a to částečně i vlivem jejich výraznějšího meziměsíčního zvýšení v květnu 2018. V oddíle rekreace a kultura vzrostly ceny dovolených s komplexními službami o 3,2 % (v dubnu o 4,6 %).</w:t>
      </w:r>
    </w:p>
    <w:p w:rsidR="004472CA" w:rsidRPr="001E3748" w:rsidRDefault="004472CA" w:rsidP="004472CA">
      <w:pPr>
        <w:jc w:val="both"/>
      </w:pPr>
      <w:r w:rsidRPr="008A4A8C">
        <w:rPr>
          <w:rFonts w:cs="Arial"/>
          <w:szCs w:val="20"/>
        </w:rPr>
        <w:t xml:space="preserve">Na meziroční zvyšování cenové hladiny měly </w:t>
      </w:r>
      <w:r>
        <w:rPr>
          <w:rFonts w:cs="Arial"/>
          <w:szCs w:val="20"/>
        </w:rPr>
        <w:t xml:space="preserve">v květnu nadále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</w:t>
      </w:r>
      <w:r w:rsidRPr="008A4A8C">
        <w:t>ceny v oddíle bydlení</w:t>
      </w:r>
      <w:r>
        <w:t>, kde se </w:t>
      </w:r>
      <w:r w:rsidRPr="00783940">
        <w:t xml:space="preserve">zvýšily ceny nájemného </w:t>
      </w:r>
      <w:r>
        <w:t xml:space="preserve">z bytu o 3,3 %, </w:t>
      </w:r>
      <w:r w:rsidRPr="00256600">
        <w:t xml:space="preserve">vodného </w:t>
      </w:r>
      <w:r>
        <w:t>a </w:t>
      </w:r>
      <w:r w:rsidRPr="00303B5D">
        <w:t xml:space="preserve">stočného </w:t>
      </w:r>
      <w:r>
        <w:t xml:space="preserve">shodně </w:t>
      </w:r>
      <w:r w:rsidRPr="00303B5D">
        <w:t>o </w:t>
      </w:r>
      <w:r>
        <w:t>2,6</w:t>
      </w:r>
      <w:r w:rsidRPr="00303B5D">
        <w:t> %</w:t>
      </w:r>
      <w:r>
        <w:t>, elektřiny o 12,5 %, zemního plynu o 3,6 %</w:t>
      </w:r>
      <w:r w:rsidRPr="008A4A8C">
        <w:t>.</w:t>
      </w:r>
      <w:r>
        <w:t xml:space="preserve"> Další v pořadí vlivu byly ceny v </w:t>
      </w:r>
      <w:r w:rsidRPr="00783940">
        <w:t>oddíle</w:t>
      </w:r>
      <w:r>
        <w:t xml:space="preserve"> </w:t>
      </w:r>
      <w:r w:rsidRPr="000B6FB9">
        <w:rPr>
          <w:rFonts w:cs="Arial"/>
          <w:szCs w:val="20"/>
        </w:rPr>
        <w:t>potraviny</w:t>
      </w:r>
      <w:r>
        <w:rPr>
          <w:rFonts w:cs="Arial"/>
          <w:szCs w:val="20"/>
        </w:rPr>
        <w:t xml:space="preserve"> a nealkoholické nápoje</w:t>
      </w:r>
      <w:r>
        <w:t xml:space="preserve"> (nárůst o 2,8 %). </w:t>
      </w:r>
      <w:r>
        <w:rPr>
          <w:rFonts w:cs="Arial"/>
          <w:szCs w:val="20"/>
        </w:rPr>
        <w:t>Vliv na zvýšení celkové cenové hladiny měly také ceny</w:t>
      </w:r>
      <w:r>
        <w:t xml:space="preserve"> v</w:t>
      </w:r>
      <w:r w:rsidRPr="00F9149D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ostatní zboží a </w:t>
      </w:r>
      <w:r w:rsidRPr="00F9149D">
        <w:rPr>
          <w:rFonts w:cs="Arial"/>
          <w:szCs w:val="20"/>
        </w:rPr>
        <w:t>služby</w:t>
      </w:r>
      <w:r>
        <w:rPr>
          <w:rFonts w:cs="Arial"/>
          <w:szCs w:val="20"/>
        </w:rPr>
        <w:t xml:space="preserve">, kde vzrostly ceny </w:t>
      </w:r>
      <w:r w:rsidRPr="00FC7031">
        <w:rPr>
          <w:rFonts w:cs="Arial"/>
          <w:szCs w:val="20"/>
        </w:rPr>
        <w:t>pojištění</w:t>
      </w:r>
      <w:r w:rsidRPr="00F91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5,5 % a ceny finančních služeb o 5,7</w:t>
      </w:r>
      <w:r w:rsidRPr="00F9149D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alkoholické nápoje, tabák se ceny zvýšily o 2,3 %. V oddíle stravování a ubytování byly vyšší ceny stravovacích služeb o 4,0 % a ceny ubytovacích služeb o 2,5 %.</w:t>
      </w:r>
    </w:p>
    <w:p w:rsidR="004472CA" w:rsidRDefault="004472CA" w:rsidP="004472CA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květnu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 xml:space="preserve">odívání a obuv vlivem cen oděvů, které byly nižší o 3,1 %. Ceny 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klesly o 1,3 %.</w:t>
      </w:r>
    </w:p>
    <w:p w:rsidR="004472CA" w:rsidRDefault="004472CA" w:rsidP="004472C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2,6 %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3,4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102,6</w:t>
      </w:r>
      <w:r w:rsidRPr="00916640">
        <w:rPr>
          <w:rFonts w:cs="Arial"/>
          <w:szCs w:val="20"/>
        </w:rPr>
        <w:t> %.</w:t>
      </w:r>
    </w:p>
    <w:p w:rsidR="004472CA" w:rsidRPr="00576E20" w:rsidRDefault="004472CA" w:rsidP="004472C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květnu 2,5</w:t>
      </w:r>
      <w:r w:rsidRPr="00576E20">
        <w:rPr>
          <w:rFonts w:cs="Arial"/>
          <w:szCs w:val="20"/>
        </w:rPr>
        <w:t> %.</w:t>
      </w:r>
    </w:p>
    <w:p w:rsidR="00D20C94" w:rsidRDefault="004472CA" w:rsidP="004472CA">
      <w:pPr>
        <w:jc w:val="both"/>
        <w:rPr>
          <w:rFonts w:cs="Arial"/>
          <w:szCs w:val="20"/>
        </w:rPr>
      </w:pPr>
      <w:r w:rsidRPr="00576E20">
        <w:rPr>
          <w:rFonts w:cs="Arial"/>
          <w:b/>
          <w:szCs w:val="20"/>
        </w:rPr>
        <w:lastRenderedPageBreak/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v dubnu </w:t>
      </w:r>
      <w:r w:rsidRPr="00112ABB">
        <w:rPr>
          <w:rFonts w:cs="Arial"/>
          <w:szCs w:val="20"/>
        </w:rPr>
        <w:t>1,9 %,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což bylo</w:t>
      </w:r>
      <w:r w:rsidRPr="0077017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0,3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v březnu. </w:t>
      </w:r>
      <w:r w:rsidRPr="006F3483">
        <w:rPr>
          <w:rFonts w:cs="Arial"/>
          <w:bCs/>
          <w:szCs w:val="22"/>
        </w:rPr>
        <w:t>Nejvíce ceny vzrostly v</w:t>
      </w:r>
      <w:r>
        <w:rPr>
          <w:rFonts w:cs="Arial"/>
          <w:bCs/>
          <w:szCs w:val="22"/>
        </w:rPr>
        <w:t> Rumunsku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(o 4,4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v Chorvatsku (o 0,8 %)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dubnu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zpomalil</w:t>
      </w:r>
      <w:r w:rsidRPr="006F3483">
        <w:rPr>
          <w:rFonts w:cs="Arial"/>
          <w:bCs/>
          <w:szCs w:val="22"/>
        </w:rPr>
        <w:t xml:space="preserve"> na </w:t>
      </w:r>
      <w:r>
        <w:rPr>
          <w:rFonts w:cs="Arial"/>
          <w:bCs/>
          <w:szCs w:val="22"/>
        </w:rPr>
        <w:t>2,4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2,7</w:t>
      </w:r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březnu.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2,1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březnu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1,4</w:t>
      </w:r>
      <w:r w:rsidRPr="005649DF">
        <w:rPr>
          <w:rFonts w:cs="Arial"/>
          <w:szCs w:val="20"/>
        </w:rPr>
        <w:t> %).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květnu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 xml:space="preserve">meziměsíční </w:t>
      </w:r>
      <w:r>
        <w:rPr>
          <w:rFonts w:cs="Arial"/>
          <w:b/>
          <w:szCs w:val="20"/>
        </w:rPr>
        <w:t>přírůstek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>HICP v</w:t>
      </w:r>
      <w:r>
        <w:rPr>
          <w:rFonts w:cs="Arial"/>
          <w:szCs w:val="20"/>
        </w:rPr>
        <w:t> </w:t>
      </w:r>
      <w:r w:rsidRPr="00D15612">
        <w:rPr>
          <w:rFonts w:cs="Arial"/>
          <w:szCs w:val="20"/>
        </w:rPr>
        <w:t xml:space="preserve">ČR </w:t>
      </w:r>
      <w:r w:rsidRPr="00826848">
        <w:rPr>
          <w:rFonts w:cs="Arial"/>
          <w:szCs w:val="20"/>
        </w:rPr>
        <w:t>0,7 % a </w:t>
      </w:r>
      <w:r w:rsidRPr="00826848">
        <w:rPr>
          <w:rFonts w:cs="Arial"/>
          <w:b/>
          <w:szCs w:val="20"/>
        </w:rPr>
        <w:t xml:space="preserve">meziroční </w:t>
      </w:r>
      <w:r w:rsidRPr="00826848">
        <w:rPr>
          <w:rFonts w:cs="Arial"/>
          <w:szCs w:val="20"/>
        </w:rPr>
        <w:t>2,6</w:t>
      </w:r>
      <w:r w:rsidRPr="00D15612">
        <w:rPr>
          <w:rFonts w:cs="Arial"/>
          <w:szCs w:val="20"/>
        </w:rPr>
        <w:t> %.</w:t>
      </w:r>
      <w:r w:rsidRPr="008A7701">
        <w:rPr>
          <w:rFonts w:cs="Arial"/>
          <w:szCs w:val="20"/>
        </w:rPr>
        <w:t xml:space="preserve"> Bleskový</w:t>
      </w:r>
      <w:r w:rsidRPr="00721B1D">
        <w:rPr>
          <w:rFonts w:cs="Arial"/>
          <w:szCs w:val="20"/>
        </w:rPr>
        <w:t xml:space="preserve"> odhad meziroční změny HICP </w:t>
      </w:r>
      <w:r w:rsidRPr="00721B1D">
        <w:rPr>
          <w:rFonts w:cs="Arial"/>
          <w:b/>
          <w:szCs w:val="20"/>
        </w:rPr>
        <w:t>pro</w:t>
      </w:r>
      <w:r w:rsidRPr="00721B1D">
        <w:rPr>
          <w:rFonts w:cs="Arial"/>
          <w:b/>
          <w:bCs/>
          <w:szCs w:val="20"/>
        </w:rPr>
        <w:t> </w:t>
      </w:r>
      <w:proofErr w:type="spellStart"/>
      <w:r w:rsidRPr="00721B1D">
        <w:rPr>
          <w:rFonts w:cs="Arial"/>
          <w:b/>
          <w:bCs/>
          <w:szCs w:val="20"/>
        </w:rPr>
        <w:t>eur</w:t>
      </w:r>
      <w:r w:rsidRPr="004A212A">
        <w:rPr>
          <w:rFonts w:cs="Arial"/>
          <w:b/>
          <w:bCs/>
          <w:szCs w:val="20"/>
        </w:rPr>
        <w:t>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> květen 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9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E82452">
        <w:rPr>
          <w:rFonts w:cs="Arial"/>
          <w:szCs w:val="20"/>
        </w:rPr>
        <w:t>1,2</w:t>
      </w:r>
      <w:r w:rsidRPr="00FB6ACF">
        <w:rPr>
          <w:rFonts w:cs="Arial"/>
          <w:szCs w:val="20"/>
        </w:rPr>
        <w:t> %,</w:t>
      </w:r>
      <w:r w:rsidRPr="00DF34E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p w:rsidR="00CF244C" w:rsidRDefault="00CF244C" w:rsidP="00CF244C">
      <w:pPr>
        <w:jc w:val="both"/>
      </w:pPr>
      <w:r w:rsidRPr="00CE5590">
        <w:t xml:space="preserve">Celková úroveň spotřebitelských cen </w:t>
      </w:r>
      <w:r w:rsidRPr="00CE5590">
        <w:rPr>
          <w:b/>
          <w:bCs/>
        </w:rPr>
        <w:t>domácností důchodců</w:t>
      </w:r>
      <w:r w:rsidRPr="00CE5590">
        <w:t xml:space="preserve"> v </w:t>
      </w:r>
      <w:r>
        <w:t>květnu</w:t>
      </w:r>
      <w:r w:rsidRPr="00CE5590">
        <w:t xml:space="preserve"> ve srovnání s předcházejícím měsícem </w:t>
      </w:r>
      <w:r>
        <w:t>vzrostla</w:t>
      </w:r>
      <w:r w:rsidRPr="00CE5590">
        <w:t xml:space="preserve"> o 0,</w:t>
      </w:r>
      <w:r>
        <w:t>8</w:t>
      </w:r>
      <w:r w:rsidRPr="00CE5590">
        <w:t xml:space="preserve"> %. </w:t>
      </w:r>
      <w:r>
        <w:t>V oddíle potraviny a nealkoholické nápoje došlo k růstu cen o 2,1 %. Největší vliv na změnu cenové hladiny v tomto oddíle měly ceny zeleniny, masa a ovoce. V oddíle alkoholické nápoje, tabák vzrostly ceny o 1,8 %. V tomto oddíle se zvýšily zejména ceny lihovin a piva. Na druhé straně se projevil meziměsíční pokles cen v oddíle rekreace a kultura o 0,2 %, především vlivem nižších cen dovolených s komplexními službami.</w:t>
      </w:r>
    </w:p>
    <w:p w:rsidR="00CF244C" w:rsidRPr="003E0D5C" w:rsidRDefault="00CF244C" w:rsidP="00CF244C">
      <w:pPr>
        <w:jc w:val="both"/>
      </w:pPr>
      <w:r w:rsidRPr="00CE5590">
        <w:rPr>
          <w:b/>
          <w:bCs/>
        </w:rPr>
        <w:t>V hlavním městě Praze</w:t>
      </w:r>
      <w:r w:rsidRPr="00CE5590">
        <w:t xml:space="preserve"> se úhrnný index spotřebitelských cen (životních nákladů) ve srovnání s minulým měsícem zvýšil</w:t>
      </w:r>
      <w:r>
        <w:t xml:space="preserve"> o 0,6</w:t>
      </w:r>
      <w:r w:rsidRPr="00CE5590">
        <w:t xml:space="preserve"> % (</w:t>
      </w:r>
      <w:r>
        <w:t xml:space="preserve">o </w:t>
      </w:r>
      <w:r w:rsidRPr="00CE5590">
        <w:t>0,</w:t>
      </w:r>
      <w:r>
        <w:t>7</w:t>
      </w:r>
      <w:r w:rsidRPr="00CE5590">
        <w:t xml:space="preserve"> % v ČR). </w:t>
      </w:r>
      <w:r>
        <w:t>V oddíle bydlení se zvýšil index spotřebitelských cen o 0,9 % (o 0,4 % v ČR). V tomto oddíle vzrostly zejména ceny elektřiny. V oddíle potraviny a nealkoholické nápoje se ceny zvýšily o 1,6 % (o 2,0 % v ČR). V tomto oddíle vzrostly zejména ceny masa, zeleniny a ovoce. Opačný vliv na změnu cenové hladiny v Praze měly ceny v oddíle rekreace a kultura. Zde došlo k meziměsíčnímu poklesu cenové hladiny o 0,6 % (o 0,3 % v ČR), především vlivem nižších cen dovolených s komplexními službami.</w:t>
      </w:r>
    </w:p>
    <w:sectPr w:rsidR="00CF244C" w:rsidRPr="003E0D5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F9" w:rsidRDefault="00655AF9" w:rsidP="00E71A58">
      <w:r>
        <w:separator/>
      </w:r>
    </w:p>
  </w:endnote>
  <w:endnote w:type="continuationSeparator" w:id="0">
    <w:p w:rsidR="00655AF9" w:rsidRDefault="00655AF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AE45C6">
      <w:rPr>
        <w:szCs w:val="16"/>
      </w:rPr>
      <w:t>květ</w:t>
    </w:r>
    <w:r w:rsidR="00A87EBC">
      <w:rPr>
        <w:szCs w:val="16"/>
      </w:rPr>
      <w:t>en</w:t>
    </w:r>
    <w:r>
      <w:rPr>
        <w:rStyle w:val="ZpatChar"/>
        <w:szCs w:val="16"/>
      </w:rPr>
      <w:t xml:space="preserve"> 201</w:t>
    </w:r>
    <w:r w:rsidR="00B15543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AE45C6">
      <w:rPr>
        <w:rStyle w:val="ZpatChar"/>
        <w:i/>
        <w:szCs w:val="16"/>
      </w:rPr>
      <w:t>May</w:t>
    </w:r>
    <w:r>
      <w:rPr>
        <w:rStyle w:val="ZpatChar"/>
        <w:i/>
        <w:szCs w:val="16"/>
      </w:rPr>
      <w:t xml:space="preserve"> 201</w:t>
    </w:r>
    <w:r w:rsidR="00B15543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F9" w:rsidRDefault="00655AF9" w:rsidP="00E71A58">
      <w:r>
        <w:separator/>
      </w:r>
    </w:p>
  </w:footnote>
  <w:footnote w:type="continuationSeparator" w:id="0">
    <w:p w:rsidR="00655AF9" w:rsidRDefault="00655AF9" w:rsidP="00E71A58">
      <w:r>
        <w:continuationSeparator/>
      </w:r>
    </w:p>
  </w:footnote>
  <w:footnote w:id="1">
    <w:p w:rsidR="004472CA" w:rsidRDefault="004472CA" w:rsidP="004472C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065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304771"/>
    <w:rsid w:val="003052D4"/>
    <w:rsid w:val="00306C5B"/>
    <w:rsid w:val="003209D6"/>
    <w:rsid w:val="0032656E"/>
    <w:rsid w:val="00332190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472CA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E7C78"/>
    <w:rsid w:val="005F3EB1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5AF9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A55DC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408FE"/>
    <w:rsid w:val="0084433D"/>
    <w:rsid w:val="0084708F"/>
    <w:rsid w:val="008477C8"/>
    <w:rsid w:val="0085114D"/>
    <w:rsid w:val="00852217"/>
    <w:rsid w:val="00855408"/>
    <w:rsid w:val="00856D65"/>
    <w:rsid w:val="008604FF"/>
    <w:rsid w:val="00861B41"/>
    <w:rsid w:val="00863434"/>
    <w:rsid w:val="00865E4C"/>
    <w:rsid w:val="008701E4"/>
    <w:rsid w:val="00871BC7"/>
    <w:rsid w:val="008743F9"/>
    <w:rsid w:val="00875A32"/>
    <w:rsid w:val="00876086"/>
    <w:rsid w:val="0088448E"/>
    <w:rsid w:val="00884704"/>
    <w:rsid w:val="008873D4"/>
    <w:rsid w:val="0089223D"/>
    <w:rsid w:val="00893E85"/>
    <w:rsid w:val="00894031"/>
    <w:rsid w:val="008A77F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87EBC"/>
    <w:rsid w:val="00A94D1E"/>
    <w:rsid w:val="00AA2996"/>
    <w:rsid w:val="00AA52BF"/>
    <w:rsid w:val="00AA559A"/>
    <w:rsid w:val="00AA765E"/>
    <w:rsid w:val="00AB24DE"/>
    <w:rsid w:val="00AB2AF1"/>
    <w:rsid w:val="00AC12B4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3FB8"/>
    <w:rsid w:val="00C36A79"/>
    <w:rsid w:val="00C40515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244C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3F6D"/>
    <w:rsid w:val="00E96E34"/>
    <w:rsid w:val="00EA0C68"/>
    <w:rsid w:val="00EB68E4"/>
    <w:rsid w:val="00EC03D7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1B42"/>
    <w:rsid w:val="00F943EC"/>
    <w:rsid w:val="00F96717"/>
    <w:rsid w:val="00FA16F5"/>
    <w:rsid w:val="00FA5D4D"/>
    <w:rsid w:val="00FA6941"/>
    <w:rsid w:val="00FB1D79"/>
    <w:rsid w:val="00FC079A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7262-DA68-45BB-8C36-7C077382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157</TotalTime>
  <Pages>2</Pages>
  <Words>789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89</cp:revision>
  <cp:lastPrinted>2017-01-18T13:33:00Z</cp:lastPrinted>
  <dcterms:created xsi:type="dcterms:W3CDTF">2017-02-09T16:27:00Z</dcterms:created>
  <dcterms:modified xsi:type="dcterms:W3CDTF">2019-06-19T12:06:00Z</dcterms:modified>
</cp:coreProperties>
</file>