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A6ED5" w14:textId="45CC86F1" w:rsidR="00144108" w:rsidRPr="003E6DEE" w:rsidRDefault="00144108" w:rsidP="00144108">
      <w:pPr>
        <w:pStyle w:val="Nadpis11"/>
        <w:rPr>
          <w:lang w:val="en-GB"/>
        </w:rPr>
      </w:pPr>
      <w:bookmarkStart w:id="0" w:name="_Toc98756084"/>
      <w:bookmarkStart w:id="1" w:name="_GoBack"/>
      <w:bookmarkEnd w:id="1"/>
      <w:r w:rsidRPr="00787441">
        <w:rPr>
          <w:szCs w:val="32"/>
        </w:rPr>
        <w:t>8</w:t>
      </w:r>
      <w:r>
        <w:t>. </w:t>
      </w:r>
      <w:r w:rsidRPr="003E6DEE">
        <w:rPr>
          <w:lang w:val="en-GB"/>
        </w:rPr>
        <w:t>St</w:t>
      </w:r>
      <w:r w:rsidR="003E6DEE" w:rsidRPr="003E6DEE">
        <w:rPr>
          <w:lang w:val="en-GB"/>
        </w:rPr>
        <w:t>ate Budget</w:t>
      </w:r>
      <w:bookmarkEnd w:id="0"/>
    </w:p>
    <w:tbl>
      <w:tblPr>
        <w:tblW w:w="9669" w:type="dxa"/>
        <w:tblInd w:w="-20" w:type="dxa"/>
        <w:tblCellMar>
          <w:left w:w="0" w:type="dxa"/>
          <w:right w:w="0" w:type="dxa"/>
        </w:tblCellMar>
        <w:tblLook w:val="00A0" w:firstRow="1" w:lastRow="0" w:firstColumn="1" w:lastColumn="0" w:noHBand="0" w:noVBand="0"/>
      </w:tblPr>
      <w:tblGrid>
        <w:gridCol w:w="1732"/>
        <w:gridCol w:w="217"/>
        <w:gridCol w:w="7720"/>
      </w:tblGrid>
      <w:tr w:rsidR="00144108" w:rsidRPr="003E6DEE" w14:paraId="45B8425E" w14:textId="77777777" w:rsidTr="008E039E">
        <w:trPr>
          <w:trHeight w:val="145"/>
        </w:trPr>
        <w:tc>
          <w:tcPr>
            <w:tcW w:w="1732" w:type="dxa"/>
            <w:shd w:val="clear" w:color="auto" w:fill="auto"/>
            <w:tcMar>
              <w:left w:w="0" w:type="dxa"/>
            </w:tcMar>
          </w:tcPr>
          <w:p w14:paraId="290A9741" w14:textId="18D1C32B" w:rsidR="00144108" w:rsidRPr="003E6DEE" w:rsidRDefault="00144108" w:rsidP="008E039E">
            <w:pPr>
              <w:pStyle w:val="Marginlie"/>
              <w:rPr>
                <w:spacing w:val="-3"/>
                <w:lang w:val="en-GB"/>
              </w:rPr>
            </w:pPr>
            <w:r w:rsidRPr="003E6DEE">
              <w:rPr>
                <w:spacing w:val="-3"/>
                <w:lang w:val="en-GB"/>
              </w:rPr>
              <w:t>St</w:t>
            </w:r>
            <w:r w:rsidR="00CE3695">
              <w:rPr>
                <w:spacing w:val="-3"/>
                <w:lang w:val="en-GB"/>
              </w:rPr>
              <w:t xml:space="preserve">ate budget ended in record deficit in year </w:t>
            </w:r>
            <w:r w:rsidRPr="003E6DEE">
              <w:rPr>
                <w:spacing w:val="-3"/>
                <w:lang w:val="en-GB"/>
              </w:rPr>
              <w:t>2021</w:t>
            </w:r>
            <w:r w:rsidR="00CE3695">
              <w:rPr>
                <w:spacing w:val="-3"/>
                <w:lang w:val="en-GB"/>
              </w:rPr>
              <w:t xml:space="preserve">, which was however lower than the budget anticipations. </w:t>
            </w:r>
          </w:p>
        </w:tc>
        <w:tc>
          <w:tcPr>
            <w:tcW w:w="217" w:type="dxa"/>
            <w:shd w:val="clear" w:color="auto" w:fill="auto"/>
            <w:tcMar>
              <w:left w:w="0" w:type="dxa"/>
            </w:tcMar>
          </w:tcPr>
          <w:p w14:paraId="16596318" w14:textId="77777777" w:rsidR="00144108" w:rsidRPr="003E6DEE" w:rsidRDefault="00144108" w:rsidP="008E039E">
            <w:pPr>
              <w:pStyle w:val="Textpoznpodarou"/>
              <w:jc w:val="both"/>
              <w:rPr>
                <w:spacing w:val="-4"/>
                <w:lang w:val="en-GB"/>
              </w:rPr>
            </w:pPr>
          </w:p>
        </w:tc>
        <w:tc>
          <w:tcPr>
            <w:tcW w:w="7720" w:type="dxa"/>
            <w:shd w:val="clear" w:color="auto" w:fill="auto"/>
            <w:tcMar>
              <w:left w:w="0" w:type="dxa"/>
            </w:tcMar>
          </w:tcPr>
          <w:p w14:paraId="7E3B5852" w14:textId="5E817D5E" w:rsidR="00144108" w:rsidRPr="003D472E" w:rsidRDefault="00CE3695" w:rsidP="008E039E">
            <w:pPr>
              <w:spacing w:after="200"/>
              <w:rPr>
                <w:spacing w:val="-2"/>
                <w:lang w:val="en-GB"/>
              </w:rPr>
            </w:pPr>
            <w:r w:rsidRPr="003D472E">
              <w:rPr>
                <w:spacing w:val="-2"/>
                <w:lang w:val="en-GB"/>
              </w:rPr>
              <w:t xml:space="preserve">State budget </w:t>
            </w:r>
            <w:r w:rsidR="00144108" w:rsidRPr="003D472E">
              <w:rPr>
                <w:spacing w:val="-2"/>
                <w:lang w:val="en-GB"/>
              </w:rPr>
              <w:t>(SR)</w:t>
            </w:r>
            <w:r w:rsidR="00144108" w:rsidRPr="003D472E">
              <w:rPr>
                <w:spacing w:val="-2"/>
                <w:vertAlign w:val="superscript"/>
                <w:lang w:val="en-GB"/>
              </w:rPr>
              <w:footnoteReference w:id="1"/>
            </w:r>
            <w:r w:rsidR="00144108" w:rsidRPr="003D472E">
              <w:rPr>
                <w:spacing w:val="-2"/>
                <w:lang w:val="en-GB"/>
              </w:rPr>
              <w:t xml:space="preserve"> </w:t>
            </w:r>
            <w:r w:rsidRPr="003D472E">
              <w:rPr>
                <w:spacing w:val="-2"/>
                <w:lang w:val="en-GB"/>
              </w:rPr>
              <w:t xml:space="preserve">ended </w:t>
            </w:r>
            <w:r w:rsidR="00A25FAC" w:rsidRPr="003D472E">
              <w:rPr>
                <w:spacing w:val="-2"/>
                <w:lang w:val="en-GB"/>
              </w:rPr>
              <w:t xml:space="preserve">in deep deficit in the amount of </w:t>
            </w:r>
            <w:r w:rsidR="00144108" w:rsidRPr="003D472E">
              <w:rPr>
                <w:spacing w:val="-2"/>
                <w:lang w:val="en-GB"/>
              </w:rPr>
              <w:t>419</w:t>
            </w:r>
            <w:r w:rsidR="00A25FAC" w:rsidRPr="003D472E">
              <w:rPr>
                <w:spacing w:val="-2"/>
                <w:lang w:val="en-GB"/>
              </w:rPr>
              <w:t>.</w:t>
            </w:r>
            <w:r w:rsidR="00144108" w:rsidRPr="003D472E">
              <w:rPr>
                <w:spacing w:val="-2"/>
                <w:lang w:val="en-GB"/>
              </w:rPr>
              <w:t>7</w:t>
            </w:r>
            <w:r w:rsidR="00A25FAC" w:rsidRPr="003D472E">
              <w:rPr>
                <w:spacing w:val="-2"/>
                <w:lang w:val="en-GB"/>
              </w:rPr>
              <w:t xml:space="preserve"> CZK bn in 2021</w:t>
            </w:r>
            <w:r w:rsidR="00144108" w:rsidRPr="003D472E">
              <w:rPr>
                <w:spacing w:val="-2"/>
                <w:lang w:val="en-GB"/>
              </w:rPr>
              <w:t>,</w:t>
            </w:r>
            <w:r w:rsidR="00A25FAC" w:rsidRPr="003D472E">
              <w:rPr>
                <w:spacing w:val="-2"/>
                <w:lang w:val="en-GB"/>
              </w:rPr>
              <w:t xml:space="preserve"> which was by </w:t>
            </w:r>
            <w:r w:rsidR="00144108" w:rsidRPr="003D472E">
              <w:rPr>
                <w:spacing w:val="-2"/>
                <w:lang w:val="en-GB"/>
              </w:rPr>
              <w:t>52</w:t>
            </w:r>
            <w:r w:rsidR="00A25FAC" w:rsidRPr="003D472E">
              <w:rPr>
                <w:spacing w:val="-2"/>
                <w:lang w:val="en-GB"/>
              </w:rPr>
              <w:t>.</w:t>
            </w:r>
            <w:r w:rsidR="00144108" w:rsidRPr="003D472E">
              <w:rPr>
                <w:spacing w:val="-2"/>
                <w:lang w:val="en-GB"/>
              </w:rPr>
              <w:t>2</w:t>
            </w:r>
            <w:r w:rsidR="00A25FAC" w:rsidRPr="003D472E">
              <w:rPr>
                <w:spacing w:val="-2"/>
                <w:lang w:val="en-GB"/>
              </w:rPr>
              <w:t xml:space="preserve"> bn higher</w:t>
            </w:r>
            <w:r w:rsidR="00144108" w:rsidRPr="003D472E">
              <w:rPr>
                <w:rStyle w:val="Znakapoznpodarou"/>
                <w:spacing w:val="-2"/>
                <w:lang w:val="en-GB"/>
              </w:rPr>
              <w:footnoteReference w:id="2"/>
            </w:r>
            <w:r w:rsidR="00A25FAC" w:rsidRPr="003D472E">
              <w:rPr>
                <w:spacing w:val="-2"/>
                <w:lang w:val="en-GB"/>
              </w:rPr>
              <w:t xml:space="preserve"> compared to the previously record deficit from year 2020</w:t>
            </w:r>
            <w:r w:rsidR="00144108" w:rsidRPr="003D472E">
              <w:rPr>
                <w:spacing w:val="-2"/>
                <w:lang w:val="en-GB"/>
              </w:rPr>
              <w:t>.</w:t>
            </w:r>
            <w:r w:rsidR="00A25FAC" w:rsidRPr="003D472E">
              <w:rPr>
                <w:spacing w:val="-2"/>
                <w:lang w:val="en-GB"/>
              </w:rPr>
              <w:t xml:space="preserve"> Mainly the growth of current expenditures contributed to the deepening of the deficit. Even though the budget deficit was achieved in all last year’s months, </w:t>
            </w:r>
            <w:r w:rsidR="00F45EEF">
              <w:rPr>
                <w:spacing w:val="-2"/>
                <w:lang w:val="en-GB"/>
              </w:rPr>
              <w:t>the measures realised during the Spring pandemic wave, which put a major strain on the budget expenditures</w:t>
            </w:r>
            <w:r w:rsidR="00144108" w:rsidRPr="003D472E">
              <w:rPr>
                <w:rStyle w:val="Znakapoznpodarou"/>
                <w:spacing w:val="-2"/>
                <w:lang w:val="en-GB"/>
              </w:rPr>
              <w:footnoteReference w:id="3"/>
            </w:r>
            <w:r w:rsidR="00F45EEF">
              <w:rPr>
                <w:spacing w:val="-2"/>
                <w:lang w:val="en-GB"/>
              </w:rPr>
              <w:t xml:space="preserve"> </w:t>
            </w:r>
            <w:r w:rsidR="00F15C73">
              <w:rPr>
                <w:spacing w:val="-2"/>
                <w:lang w:val="en-GB"/>
              </w:rPr>
              <w:t>fundamentally participated on the total deficit size</w:t>
            </w:r>
            <w:r w:rsidR="00144108" w:rsidRPr="003D472E">
              <w:rPr>
                <w:spacing w:val="-2"/>
                <w:lang w:val="en-GB"/>
              </w:rPr>
              <w:t xml:space="preserve">. </w:t>
            </w:r>
            <w:r w:rsidR="00A25FAC" w:rsidRPr="003D472E">
              <w:rPr>
                <w:spacing w:val="-2"/>
                <w:lang w:val="en-GB"/>
              </w:rPr>
              <w:t>Partial loosening of pressure on some current budget expenditures occurred and gradual recovery started to be favourably reflected in total tax collection in the remaining part of the year</w:t>
            </w:r>
            <w:r w:rsidR="00144108" w:rsidRPr="003D472E">
              <w:rPr>
                <w:spacing w:val="-2"/>
                <w:lang w:val="en-GB"/>
              </w:rPr>
              <w:t>.</w:t>
            </w:r>
          </w:p>
        </w:tc>
      </w:tr>
      <w:tr w:rsidR="00144108" w:rsidRPr="003C07E6" w14:paraId="5E3395FC" w14:textId="77777777" w:rsidTr="008E039E">
        <w:trPr>
          <w:trHeight w:val="145"/>
        </w:trPr>
        <w:tc>
          <w:tcPr>
            <w:tcW w:w="1732" w:type="dxa"/>
            <w:shd w:val="clear" w:color="auto" w:fill="auto"/>
            <w:tcMar>
              <w:left w:w="0" w:type="dxa"/>
            </w:tcMar>
          </w:tcPr>
          <w:p w14:paraId="48D6DE4C" w14:textId="712B2188" w:rsidR="00144108" w:rsidRPr="003D472E" w:rsidRDefault="003D472E" w:rsidP="008E039E">
            <w:pPr>
              <w:pStyle w:val="Marginlie"/>
              <w:rPr>
                <w:spacing w:val="-3"/>
                <w:lang w:val="en-GB"/>
              </w:rPr>
            </w:pPr>
            <w:r>
              <w:rPr>
                <w:spacing w:val="-3"/>
                <w:lang w:val="en-GB"/>
              </w:rPr>
              <w:t xml:space="preserve">Continuing revival of economy as well as the absence of more significant restrictions during the Autumn pandemic wave led to the situation, when the state-wide tax collection already evened up the pre pandemic level at the end of the year. </w:t>
            </w:r>
          </w:p>
        </w:tc>
        <w:tc>
          <w:tcPr>
            <w:tcW w:w="217" w:type="dxa"/>
            <w:shd w:val="clear" w:color="auto" w:fill="auto"/>
            <w:tcMar>
              <w:left w:w="0" w:type="dxa"/>
            </w:tcMar>
          </w:tcPr>
          <w:p w14:paraId="761AF4C1" w14:textId="77777777" w:rsidR="00144108" w:rsidRDefault="00144108" w:rsidP="008E039E">
            <w:pPr>
              <w:pStyle w:val="Textpoznpodarou"/>
              <w:jc w:val="both"/>
              <w:rPr>
                <w:spacing w:val="-4"/>
              </w:rPr>
            </w:pPr>
          </w:p>
        </w:tc>
        <w:tc>
          <w:tcPr>
            <w:tcW w:w="7720" w:type="dxa"/>
            <w:shd w:val="clear" w:color="auto" w:fill="auto"/>
            <w:tcMar>
              <w:left w:w="0" w:type="dxa"/>
            </w:tcMar>
          </w:tcPr>
          <w:p w14:paraId="032C8694" w14:textId="25DCAA31" w:rsidR="00144108" w:rsidRPr="003D472E" w:rsidRDefault="003E0487" w:rsidP="008E039E">
            <w:pPr>
              <w:spacing w:after="200"/>
              <w:rPr>
                <w:spacing w:val="-2"/>
                <w:lang w:val="en-GB"/>
              </w:rPr>
            </w:pPr>
            <w:r>
              <w:rPr>
                <w:color w:val="0D0D0D" w:themeColor="text1" w:themeTint="F2"/>
                <w:spacing w:val="-2"/>
                <w:lang w:val="en-GB"/>
              </w:rPr>
              <w:t xml:space="preserve">The total SR revenues increased by </w:t>
            </w:r>
            <w:r w:rsidR="00144108" w:rsidRPr="003D472E">
              <w:rPr>
                <w:spacing w:val="-2"/>
                <w:lang w:val="en-GB"/>
              </w:rPr>
              <w:t>0</w:t>
            </w:r>
            <w:r>
              <w:rPr>
                <w:spacing w:val="-2"/>
                <w:lang w:val="en-GB"/>
              </w:rPr>
              <w:t>.</w:t>
            </w:r>
            <w:r w:rsidR="00144108" w:rsidRPr="003D472E">
              <w:rPr>
                <w:spacing w:val="-2"/>
                <w:lang w:val="en-GB"/>
              </w:rPr>
              <w:t>8% (+11</w:t>
            </w:r>
            <w:r>
              <w:rPr>
                <w:spacing w:val="-2"/>
                <w:lang w:val="en-GB"/>
              </w:rPr>
              <w:t>.</w:t>
            </w:r>
            <w:r w:rsidR="00144108" w:rsidRPr="003D472E">
              <w:rPr>
                <w:spacing w:val="-2"/>
                <w:lang w:val="en-GB"/>
              </w:rPr>
              <w:t>8</w:t>
            </w:r>
            <w:r>
              <w:rPr>
                <w:spacing w:val="-2"/>
                <w:lang w:val="en-GB"/>
              </w:rPr>
              <w:t xml:space="preserve"> CZK bn</w:t>
            </w:r>
            <w:r w:rsidR="00144108" w:rsidRPr="003D472E">
              <w:rPr>
                <w:spacing w:val="-2"/>
                <w:lang w:val="en-GB"/>
              </w:rPr>
              <w:t>)</w:t>
            </w:r>
            <w:r>
              <w:rPr>
                <w:spacing w:val="-2"/>
                <w:lang w:val="en-GB"/>
              </w:rPr>
              <w:t xml:space="preserve"> year-on-year last year</w:t>
            </w:r>
            <w:r w:rsidR="00144108" w:rsidRPr="003D472E">
              <w:rPr>
                <w:spacing w:val="-2"/>
                <w:lang w:val="en-GB"/>
              </w:rPr>
              <w:t>.</w:t>
            </w:r>
            <w:r>
              <w:rPr>
                <w:spacing w:val="-2"/>
                <w:lang w:val="en-GB"/>
              </w:rPr>
              <w:t xml:space="preserve"> Mild increase was associated with higher tax income here </w:t>
            </w:r>
            <w:r w:rsidR="00144108" w:rsidRPr="003D472E">
              <w:rPr>
                <w:spacing w:val="-2"/>
                <w:lang w:val="en-GB"/>
              </w:rPr>
              <w:t>(</w:t>
            </w:r>
            <w:r>
              <w:rPr>
                <w:spacing w:val="-2"/>
                <w:lang w:val="en-GB"/>
              </w:rPr>
              <w:t>including insurance</w:t>
            </w:r>
            <w:r w:rsidR="00144108" w:rsidRPr="003D472E">
              <w:rPr>
                <w:spacing w:val="-2"/>
                <w:lang w:val="en-GB"/>
              </w:rPr>
              <w:t xml:space="preserve">), </w:t>
            </w:r>
            <w:r>
              <w:rPr>
                <w:spacing w:val="-2"/>
                <w:lang w:val="en-GB"/>
              </w:rPr>
              <w:t xml:space="preserve">since both the non-tax and capital income and received transfers did not reach the level from year </w:t>
            </w:r>
            <w:r w:rsidR="00144108" w:rsidRPr="003D472E">
              <w:rPr>
                <w:spacing w:val="-2"/>
                <w:lang w:val="en-GB"/>
              </w:rPr>
              <w:t>2020</w:t>
            </w:r>
            <w:r>
              <w:rPr>
                <w:spacing w:val="-2"/>
                <w:lang w:val="en-GB"/>
              </w:rPr>
              <w:t xml:space="preserve">. </w:t>
            </w:r>
            <w:r w:rsidR="00627A5F">
              <w:rPr>
                <w:spacing w:val="-2"/>
                <w:lang w:val="en-GB"/>
              </w:rPr>
              <w:t xml:space="preserve">Mainly the low comparative bases were reflected in the strengthened tax revenues </w:t>
            </w:r>
            <w:r w:rsidR="00144108" w:rsidRPr="003D472E">
              <w:rPr>
                <w:spacing w:val="-2"/>
                <w:lang w:val="en-GB"/>
              </w:rPr>
              <w:t>(+35</w:t>
            </w:r>
            <w:r w:rsidR="00627A5F">
              <w:rPr>
                <w:spacing w:val="-2"/>
                <w:lang w:val="en-GB"/>
              </w:rPr>
              <w:t>.</w:t>
            </w:r>
            <w:r w:rsidR="00144108" w:rsidRPr="003D472E">
              <w:rPr>
                <w:spacing w:val="-2"/>
                <w:lang w:val="en-GB"/>
              </w:rPr>
              <w:t>4</w:t>
            </w:r>
            <w:r w:rsidR="00627A5F">
              <w:rPr>
                <w:spacing w:val="-2"/>
                <w:lang w:val="en-GB"/>
              </w:rPr>
              <w:t xml:space="preserve"> CZK bn</w:t>
            </w:r>
            <w:r w:rsidR="00F53E9C" w:rsidRPr="003D472E">
              <w:rPr>
                <w:spacing w:val="-2"/>
                <w:lang w:val="en-GB"/>
              </w:rPr>
              <w:t>)</w:t>
            </w:r>
            <w:r w:rsidR="00F53E9C">
              <w:rPr>
                <w:spacing w:val="-2"/>
                <w:lang w:val="en-GB"/>
              </w:rPr>
              <w:t xml:space="preserve"> since</w:t>
            </w:r>
            <w:r w:rsidR="00627A5F">
              <w:rPr>
                <w:spacing w:val="-2"/>
                <w:lang w:val="en-GB"/>
              </w:rPr>
              <w:t xml:space="preserve"> an exceptional deferral of legal deadlines on the due date of weight significant taxes as well as insurance on social security (SS) was put in place in Q2 </w:t>
            </w:r>
            <w:r w:rsidR="00144108" w:rsidRPr="003D472E">
              <w:rPr>
                <w:spacing w:val="-2"/>
                <w:lang w:val="en-GB"/>
              </w:rPr>
              <w:t>2020</w:t>
            </w:r>
            <w:r w:rsidR="00627A5F">
              <w:rPr>
                <w:spacing w:val="-2"/>
                <w:lang w:val="en-GB"/>
              </w:rPr>
              <w:t xml:space="preserve">. </w:t>
            </w:r>
            <w:r w:rsidR="00701373">
              <w:rPr>
                <w:spacing w:val="-2"/>
                <w:lang w:val="en-GB"/>
              </w:rPr>
              <w:t>Lowering of tax burden on labour and property and also the change of the</w:t>
            </w:r>
            <w:r w:rsidR="0055230D">
              <w:rPr>
                <w:spacing w:val="-2"/>
                <w:lang w:val="en-GB"/>
              </w:rPr>
              <w:t xml:space="preserve"> budgetary determination of the tax to the benefit of the regional budgets</w:t>
            </w:r>
            <w:r w:rsidR="00144108" w:rsidRPr="003D472E">
              <w:rPr>
                <w:rStyle w:val="Znakapoznpodarou"/>
                <w:color w:val="0D0D0D" w:themeColor="text1" w:themeTint="F2"/>
                <w:spacing w:val="-2"/>
                <w:lang w:val="en-GB"/>
              </w:rPr>
              <w:footnoteReference w:id="4"/>
            </w:r>
            <w:r w:rsidR="00701373">
              <w:rPr>
                <w:color w:val="0D0D0D" w:themeColor="text1" w:themeTint="F2"/>
                <w:spacing w:val="-2"/>
                <w:lang w:val="en-GB"/>
              </w:rPr>
              <w:t xml:space="preserve"> had an adverse effect on the SB revenues for year 2021</w:t>
            </w:r>
            <w:r w:rsidR="00144108" w:rsidRPr="003D472E">
              <w:rPr>
                <w:color w:val="0D0D0D" w:themeColor="text1" w:themeTint="F2"/>
                <w:spacing w:val="-2"/>
                <w:lang w:val="en-GB"/>
              </w:rPr>
              <w:t xml:space="preserve">. </w:t>
            </w:r>
            <w:r w:rsidR="00D17137">
              <w:rPr>
                <w:color w:val="0D0D0D" w:themeColor="text1" w:themeTint="F2"/>
                <w:spacing w:val="-2"/>
                <w:lang w:val="en-GB"/>
              </w:rPr>
              <w:t xml:space="preserve">The total state wide collection of taxes </w:t>
            </w:r>
            <w:r w:rsidR="00144108" w:rsidRPr="003D472E">
              <w:rPr>
                <w:color w:val="0D0D0D" w:themeColor="text1" w:themeTint="F2"/>
                <w:spacing w:val="-2"/>
                <w:lang w:val="en-GB"/>
              </w:rPr>
              <w:t>(</w:t>
            </w:r>
            <w:r w:rsidR="00D17137">
              <w:rPr>
                <w:color w:val="0D0D0D" w:themeColor="text1" w:themeTint="F2"/>
                <w:spacing w:val="-2"/>
                <w:lang w:val="en-GB"/>
              </w:rPr>
              <w:t>without the insurance on SS</w:t>
            </w:r>
            <w:r w:rsidR="00144108" w:rsidRPr="003D472E">
              <w:rPr>
                <w:color w:val="0D0D0D" w:themeColor="text1" w:themeTint="F2"/>
                <w:spacing w:val="-2"/>
                <w:lang w:val="en-GB"/>
              </w:rPr>
              <w:t xml:space="preserve">) </w:t>
            </w:r>
            <w:r w:rsidR="00193706">
              <w:rPr>
                <w:color w:val="0D0D0D" w:themeColor="text1" w:themeTint="F2"/>
                <w:spacing w:val="-2"/>
                <w:lang w:val="en-GB"/>
              </w:rPr>
              <w:t xml:space="preserve">at the level of all public budgets did strengthen by 1.2% year-on-year last year, nevertheless it still lagged behind the level from year 2019 </w:t>
            </w:r>
            <w:r w:rsidR="00144108" w:rsidRPr="003D472E">
              <w:rPr>
                <w:spacing w:val="-2"/>
                <w:lang w:val="en-GB"/>
              </w:rPr>
              <w:t>(</w:t>
            </w:r>
            <w:r w:rsidR="00193706">
              <w:rPr>
                <w:spacing w:val="-2"/>
                <w:lang w:val="en-GB"/>
              </w:rPr>
              <w:t xml:space="preserve">by </w:t>
            </w:r>
            <w:r w:rsidR="00144108" w:rsidRPr="003D472E">
              <w:rPr>
                <w:spacing w:val="-2"/>
                <w:lang w:val="en-GB"/>
              </w:rPr>
              <w:t>4</w:t>
            </w:r>
            <w:r w:rsidR="00193706">
              <w:rPr>
                <w:spacing w:val="-2"/>
                <w:lang w:val="en-GB"/>
              </w:rPr>
              <w:t>.</w:t>
            </w:r>
            <w:r w:rsidR="00144108" w:rsidRPr="003D472E">
              <w:rPr>
                <w:spacing w:val="-2"/>
                <w:lang w:val="en-GB"/>
              </w:rPr>
              <w:t xml:space="preserve">2%). </w:t>
            </w:r>
            <w:r w:rsidR="00193706">
              <w:rPr>
                <w:spacing w:val="-2"/>
                <w:lang w:val="en-GB"/>
              </w:rPr>
              <w:t xml:space="preserve">In the course of the last year the collection however gradually improved. </w:t>
            </w:r>
            <w:r w:rsidR="00144108" w:rsidRPr="003D472E">
              <w:rPr>
                <w:spacing w:val="-2"/>
                <w:lang w:val="en-GB"/>
              </w:rPr>
              <w:t xml:space="preserve"> </w:t>
            </w:r>
            <w:r w:rsidR="00193706">
              <w:rPr>
                <w:spacing w:val="-2"/>
                <w:lang w:val="en-GB"/>
              </w:rPr>
              <w:t>The revival of economy was not even majorly disrupted by the Autumn pandemic wave, which was not anymore accompanied by more significant restrictions of the economic activity in services. T</w:t>
            </w:r>
            <w:r w:rsidR="00701373">
              <w:rPr>
                <w:color w:val="0D0D0D" w:themeColor="text1" w:themeTint="F2"/>
                <w:spacing w:val="-2"/>
                <w:lang w:val="en-GB"/>
              </w:rPr>
              <w:t>he state</w:t>
            </w:r>
            <w:r w:rsidR="00193706">
              <w:rPr>
                <w:color w:val="0D0D0D" w:themeColor="text1" w:themeTint="F2"/>
                <w:spacing w:val="-2"/>
                <w:lang w:val="en-GB"/>
              </w:rPr>
              <w:t xml:space="preserve"> </w:t>
            </w:r>
            <w:r w:rsidR="00701373">
              <w:rPr>
                <w:color w:val="0D0D0D" w:themeColor="text1" w:themeTint="F2"/>
                <w:spacing w:val="-2"/>
                <w:lang w:val="en-GB"/>
              </w:rPr>
              <w:t xml:space="preserve">wide collection of taxes thus lagged behind only by 0.7% behind the same period of year </w:t>
            </w:r>
            <w:r w:rsidR="00144108" w:rsidRPr="003D472E">
              <w:rPr>
                <w:spacing w:val="-2"/>
                <w:lang w:val="en-GB"/>
              </w:rPr>
              <w:t>2019</w:t>
            </w:r>
            <w:r w:rsidR="00701373">
              <w:rPr>
                <w:spacing w:val="-2"/>
                <w:lang w:val="en-GB"/>
              </w:rPr>
              <w:t xml:space="preserve"> and it was comparable with this level in Q</w:t>
            </w:r>
            <w:r w:rsidR="00144108" w:rsidRPr="003D472E">
              <w:rPr>
                <w:spacing w:val="-2"/>
                <w:lang w:val="en-GB"/>
              </w:rPr>
              <w:t>4.</w:t>
            </w:r>
          </w:p>
        </w:tc>
      </w:tr>
      <w:tr w:rsidR="00144108" w:rsidRPr="003C07E6" w14:paraId="30D0A5B3" w14:textId="77777777" w:rsidTr="008E039E">
        <w:trPr>
          <w:trHeight w:val="145"/>
        </w:trPr>
        <w:tc>
          <w:tcPr>
            <w:tcW w:w="1732" w:type="dxa"/>
            <w:shd w:val="clear" w:color="auto" w:fill="auto"/>
            <w:tcMar>
              <w:left w:w="0" w:type="dxa"/>
            </w:tcMar>
          </w:tcPr>
          <w:p w14:paraId="7C0DC38E" w14:textId="4721C786" w:rsidR="00144108" w:rsidRPr="00F15C73" w:rsidRDefault="00B77117" w:rsidP="008E039E">
            <w:pPr>
              <w:pStyle w:val="Marginlie"/>
              <w:rPr>
                <w:spacing w:val="-3"/>
                <w:lang w:val="en-GB"/>
              </w:rPr>
            </w:pPr>
            <w:r>
              <w:rPr>
                <w:spacing w:val="-3"/>
                <w:lang w:val="en-GB"/>
              </w:rPr>
              <w:t xml:space="preserve">Growing </w:t>
            </w:r>
            <w:r w:rsidR="00F82670">
              <w:rPr>
                <w:spacing w:val="-3"/>
                <w:lang w:val="en-GB"/>
              </w:rPr>
              <w:t xml:space="preserve">VAT collection reflected the impact of fast recovery of private consumption as well as the acceleration of prices in the economy. </w:t>
            </w:r>
          </w:p>
        </w:tc>
        <w:tc>
          <w:tcPr>
            <w:tcW w:w="217" w:type="dxa"/>
            <w:shd w:val="clear" w:color="auto" w:fill="auto"/>
            <w:tcMar>
              <w:left w:w="0" w:type="dxa"/>
            </w:tcMar>
          </w:tcPr>
          <w:p w14:paraId="37141BB8" w14:textId="77777777" w:rsidR="00144108" w:rsidRPr="00F15C73" w:rsidRDefault="00144108" w:rsidP="008E039E">
            <w:pPr>
              <w:pStyle w:val="Textpoznpodarou"/>
              <w:jc w:val="both"/>
              <w:rPr>
                <w:spacing w:val="-4"/>
                <w:lang w:val="en-GB"/>
              </w:rPr>
            </w:pPr>
          </w:p>
        </w:tc>
        <w:tc>
          <w:tcPr>
            <w:tcW w:w="7720" w:type="dxa"/>
            <w:shd w:val="clear" w:color="auto" w:fill="auto"/>
            <w:tcMar>
              <w:left w:w="0" w:type="dxa"/>
            </w:tcMar>
          </w:tcPr>
          <w:p w14:paraId="19782282" w14:textId="66C9FAAE" w:rsidR="00144108" w:rsidRPr="00F15C73" w:rsidRDefault="00301FD5" w:rsidP="008E039E">
            <w:pPr>
              <w:spacing w:after="200"/>
              <w:rPr>
                <w:spacing w:val="-5"/>
                <w:lang w:val="en-GB"/>
              </w:rPr>
            </w:pPr>
            <w:r>
              <w:rPr>
                <w:spacing w:val="-5"/>
                <w:lang w:val="en-GB"/>
              </w:rPr>
              <w:t>From the VAT</w:t>
            </w:r>
            <w:r w:rsidR="00144108" w:rsidRPr="00F15C73">
              <w:rPr>
                <w:spacing w:val="-5"/>
                <w:lang w:val="en-GB"/>
              </w:rPr>
              <w:t xml:space="preserve">, </w:t>
            </w:r>
            <w:r w:rsidR="00730DA9">
              <w:rPr>
                <w:spacing w:val="-5"/>
                <w:lang w:val="en-GB"/>
              </w:rPr>
              <w:t xml:space="preserve">which traditionally represents the significantly weight dominant tax, flew by 3.7% more </w:t>
            </w:r>
            <w:r w:rsidR="00730DA9" w:rsidRPr="00F15C73">
              <w:rPr>
                <w:spacing w:val="-5"/>
                <w:lang w:val="en-GB"/>
              </w:rPr>
              <w:t>(+10</w:t>
            </w:r>
            <w:r w:rsidR="00730DA9">
              <w:rPr>
                <w:spacing w:val="-5"/>
                <w:lang w:val="en-GB"/>
              </w:rPr>
              <w:t>.</w:t>
            </w:r>
            <w:r w:rsidR="00730DA9" w:rsidRPr="00F15C73">
              <w:rPr>
                <w:spacing w:val="-5"/>
                <w:lang w:val="en-GB"/>
              </w:rPr>
              <w:t>7</w:t>
            </w:r>
            <w:r w:rsidR="00730DA9">
              <w:rPr>
                <w:spacing w:val="-5"/>
                <w:lang w:val="en-GB"/>
              </w:rPr>
              <w:t xml:space="preserve"> CZK bn</w:t>
            </w:r>
            <w:r w:rsidR="00730DA9" w:rsidRPr="00F15C73">
              <w:rPr>
                <w:spacing w:val="-5"/>
                <w:lang w:val="en-GB"/>
              </w:rPr>
              <w:t>)</w:t>
            </w:r>
            <w:r w:rsidR="00730DA9">
              <w:rPr>
                <w:spacing w:val="-5"/>
                <w:lang w:val="en-GB"/>
              </w:rPr>
              <w:t xml:space="preserve"> into the SB year-on-year last year. The collection at the level of all public budgets strengthened by </w:t>
            </w:r>
            <w:r w:rsidR="00144108" w:rsidRPr="00F15C73">
              <w:rPr>
                <w:spacing w:val="-5"/>
                <w:lang w:val="en-GB"/>
              </w:rPr>
              <w:t>8</w:t>
            </w:r>
            <w:r w:rsidR="00730DA9">
              <w:rPr>
                <w:spacing w:val="-5"/>
                <w:lang w:val="en-GB"/>
              </w:rPr>
              <w:t>.</w:t>
            </w:r>
            <w:r w:rsidR="00144108" w:rsidRPr="00F15C73">
              <w:rPr>
                <w:spacing w:val="-5"/>
                <w:lang w:val="en-GB"/>
              </w:rPr>
              <w:t>7% (</w:t>
            </w:r>
            <w:r w:rsidR="00730DA9">
              <w:rPr>
                <w:spacing w:val="-5"/>
                <w:lang w:val="en-GB"/>
              </w:rPr>
              <w:t xml:space="preserve">by </w:t>
            </w:r>
            <w:r w:rsidR="00144108" w:rsidRPr="00F15C73">
              <w:rPr>
                <w:spacing w:val="-5"/>
                <w:lang w:val="en-GB"/>
              </w:rPr>
              <w:t>7</w:t>
            </w:r>
            <w:r w:rsidR="00730DA9">
              <w:rPr>
                <w:spacing w:val="-5"/>
                <w:lang w:val="en-GB"/>
              </w:rPr>
              <w:t>.</w:t>
            </w:r>
            <w:r w:rsidR="00144108" w:rsidRPr="00F15C73">
              <w:rPr>
                <w:spacing w:val="-5"/>
                <w:lang w:val="en-GB"/>
              </w:rPr>
              <w:t>4%</w:t>
            </w:r>
            <w:r w:rsidR="00730DA9">
              <w:rPr>
                <w:spacing w:val="-5"/>
                <w:lang w:val="en-GB"/>
              </w:rPr>
              <w:t xml:space="preserve"> in two years</w:t>
            </w:r>
            <w:r w:rsidR="00144108" w:rsidRPr="00F15C73">
              <w:rPr>
                <w:spacing w:val="-5"/>
                <w:lang w:val="en-GB"/>
              </w:rPr>
              <w:t>).</w:t>
            </w:r>
            <w:r w:rsidR="00730DA9">
              <w:rPr>
                <w:spacing w:val="-5"/>
                <w:lang w:val="en-GB"/>
              </w:rPr>
              <w:t xml:space="preserve"> The effect of fast revival of private consumption </w:t>
            </w:r>
            <w:r w:rsidR="00144108" w:rsidRPr="00F15C73">
              <w:rPr>
                <w:spacing w:val="-5"/>
                <w:lang w:val="en-GB"/>
              </w:rPr>
              <w:t>(</w:t>
            </w:r>
            <w:r w:rsidR="00730DA9">
              <w:rPr>
                <w:spacing w:val="-5"/>
                <w:lang w:val="en-GB"/>
              </w:rPr>
              <w:t>supported by swift growth of volume of paid out wages and salaries in the economy</w:t>
            </w:r>
            <w:r w:rsidR="00144108" w:rsidRPr="00F15C73">
              <w:rPr>
                <w:spacing w:val="-5"/>
                <w:lang w:val="en-GB"/>
              </w:rPr>
              <w:t xml:space="preserve">) </w:t>
            </w:r>
            <w:r w:rsidR="007562AA">
              <w:rPr>
                <w:spacing w:val="-5"/>
                <w:lang w:val="en-GB"/>
              </w:rPr>
              <w:t>overshadowed the impact of lowering of rate of this tax for some services</w:t>
            </w:r>
            <w:r w:rsidR="00144108" w:rsidRPr="00F15C73">
              <w:rPr>
                <w:rStyle w:val="Znakapoznpodarou"/>
                <w:spacing w:val="-5"/>
                <w:lang w:val="en-GB"/>
              </w:rPr>
              <w:footnoteReference w:id="5"/>
            </w:r>
            <w:r w:rsidR="00144108" w:rsidRPr="00F15C73">
              <w:rPr>
                <w:spacing w:val="-5"/>
                <w:lang w:val="en-GB"/>
              </w:rPr>
              <w:t xml:space="preserve">. </w:t>
            </w:r>
            <w:r w:rsidR="007562AA">
              <w:rPr>
                <w:spacing w:val="-5"/>
                <w:lang w:val="en-GB"/>
              </w:rPr>
              <w:t xml:space="preserve">Especially at the end of the last year, the large collection of tax more and more reflected the accelerating price growth pervading the whole economy. </w:t>
            </w:r>
            <w:r w:rsidR="00263F44">
              <w:rPr>
                <w:spacing w:val="-5"/>
                <w:lang w:val="en-GB"/>
              </w:rPr>
              <w:t xml:space="preserve">State wide VAT collection thus exceeded the corresponding level from year 2019 by more than 15% in both November and December. </w:t>
            </w:r>
          </w:p>
        </w:tc>
      </w:tr>
      <w:tr w:rsidR="00144108" w:rsidRPr="003C07E6" w14:paraId="3739E974" w14:textId="77777777" w:rsidTr="008E039E">
        <w:trPr>
          <w:trHeight w:val="145"/>
        </w:trPr>
        <w:tc>
          <w:tcPr>
            <w:tcW w:w="1732" w:type="dxa"/>
            <w:shd w:val="clear" w:color="auto" w:fill="auto"/>
            <w:tcMar>
              <w:left w:w="0" w:type="dxa"/>
            </w:tcMar>
          </w:tcPr>
          <w:p w14:paraId="4F71A103" w14:textId="62DFF086" w:rsidR="00144108" w:rsidRPr="00193706" w:rsidRDefault="005F5B50" w:rsidP="008E039E">
            <w:pPr>
              <w:pStyle w:val="Marginlie"/>
              <w:rPr>
                <w:spacing w:val="-3"/>
                <w:lang w:val="en-GB"/>
              </w:rPr>
            </w:pPr>
            <w:r>
              <w:rPr>
                <w:spacing w:val="-3"/>
                <w:lang w:val="en-GB"/>
              </w:rPr>
              <w:t xml:space="preserve">Collection of consumption tax on mineral oils and tobacco fell year-on-year and did not fulfil the budget anticipations. </w:t>
            </w:r>
          </w:p>
        </w:tc>
        <w:tc>
          <w:tcPr>
            <w:tcW w:w="217" w:type="dxa"/>
            <w:shd w:val="clear" w:color="auto" w:fill="auto"/>
            <w:tcMar>
              <w:left w:w="0" w:type="dxa"/>
            </w:tcMar>
          </w:tcPr>
          <w:p w14:paraId="553AD9E3" w14:textId="77777777" w:rsidR="00144108" w:rsidRPr="00193706" w:rsidRDefault="00144108" w:rsidP="008E039E">
            <w:pPr>
              <w:pStyle w:val="Textpoznpodarou"/>
              <w:jc w:val="both"/>
              <w:rPr>
                <w:spacing w:val="-4"/>
                <w:lang w:val="en-GB"/>
              </w:rPr>
            </w:pPr>
          </w:p>
        </w:tc>
        <w:tc>
          <w:tcPr>
            <w:tcW w:w="7720" w:type="dxa"/>
            <w:shd w:val="clear" w:color="auto" w:fill="auto"/>
            <w:tcMar>
              <w:left w:w="0" w:type="dxa"/>
            </w:tcMar>
          </w:tcPr>
          <w:p w14:paraId="4DC5C596" w14:textId="40F990C1" w:rsidR="00144108" w:rsidRPr="00193706" w:rsidRDefault="005F5B50" w:rsidP="00A06545">
            <w:pPr>
              <w:spacing w:after="200"/>
              <w:rPr>
                <w:spacing w:val="-2"/>
                <w:lang w:val="en-GB"/>
              </w:rPr>
            </w:pPr>
            <w:r>
              <w:rPr>
                <w:color w:val="0D0D0D" w:themeColor="text1" w:themeTint="F2"/>
                <w:spacing w:val="-5"/>
                <w:lang w:val="en-GB"/>
              </w:rPr>
              <w:t>SB revenues from all consumption taxes decreased by even 3% last year and slightly deepened their decrease from</w:t>
            </w:r>
            <w:r w:rsidR="00012F79">
              <w:rPr>
                <w:color w:val="0D0D0D" w:themeColor="text1" w:themeTint="F2"/>
                <w:spacing w:val="-5"/>
                <w:lang w:val="en-GB"/>
              </w:rPr>
              <w:t xml:space="preserve"> the</w:t>
            </w:r>
            <w:r>
              <w:rPr>
                <w:color w:val="0D0D0D" w:themeColor="text1" w:themeTint="F2"/>
                <w:spacing w:val="-5"/>
                <w:lang w:val="en-GB"/>
              </w:rPr>
              <w:t xml:space="preserve"> first year of the pandemics. </w:t>
            </w:r>
            <w:r w:rsidR="00012F79">
              <w:rPr>
                <w:color w:val="0D0D0D" w:themeColor="text1" w:themeTint="F2"/>
                <w:spacing w:val="-5"/>
                <w:lang w:val="en-GB"/>
              </w:rPr>
              <w:t xml:space="preserve">The lower collection of tax on tobacco products was the most evident last year </w:t>
            </w:r>
            <w:r w:rsidR="00144108" w:rsidRPr="00193706">
              <w:rPr>
                <w:color w:val="0D0D0D" w:themeColor="text1" w:themeTint="F2"/>
                <w:spacing w:val="-4"/>
                <w:lang w:val="en-GB"/>
              </w:rPr>
              <w:t>(</w:t>
            </w:r>
            <w:r w:rsidR="00144108" w:rsidRPr="00193706">
              <w:rPr>
                <w:spacing w:val="-4"/>
                <w:lang w:val="en-GB"/>
              </w:rPr>
              <w:t>–</w:t>
            </w:r>
            <w:r w:rsidR="00144108" w:rsidRPr="00193706">
              <w:rPr>
                <w:color w:val="0D0D0D" w:themeColor="text1" w:themeTint="F2"/>
                <w:spacing w:val="-4"/>
                <w:lang w:val="en-GB"/>
              </w:rPr>
              <w:t>5</w:t>
            </w:r>
            <w:r w:rsidR="00012F79">
              <w:rPr>
                <w:color w:val="0D0D0D" w:themeColor="text1" w:themeTint="F2"/>
                <w:spacing w:val="-4"/>
                <w:lang w:val="en-GB"/>
              </w:rPr>
              <w:t>.</w:t>
            </w:r>
            <w:r w:rsidR="00144108" w:rsidRPr="00193706">
              <w:rPr>
                <w:color w:val="0D0D0D" w:themeColor="text1" w:themeTint="F2"/>
                <w:spacing w:val="-4"/>
                <w:lang w:val="en-GB"/>
              </w:rPr>
              <w:t>5%),</w:t>
            </w:r>
            <w:r w:rsidR="00012F79">
              <w:rPr>
                <w:color w:val="0D0D0D" w:themeColor="text1" w:themeTint="F2"/>
                <w:spacing w:val="-4"/>
                <w:lang w:val="en-GB"/>
              </w:rPr>
              <w:t xml:space="preserve"> despite the </w:t>
            </w:r>
            <w:r w:rsidR="00144108" w:rsidRPr="00193706">
              <w:rPr>
                <w:spacing w:val="-4"/>
                <w:lang w:val="en-GB"/>
              </w:rPr>
              <w:t xml:space="preserve">10% </w:t>
            </w:r>
            <w:r w:rsidR="00012F79">
              <w:rPr>
                <w:spacing w:val="-4"/>
                <w:lang w:val="en-GB"/>
              </w:rPr>
              <w:t xml:space="preserve">increase of the tax rate. </w:t>
            </w:r>
            <w:r w:rsidR="00012F79">
              <w:rPr>
                <w:color w:val="0D0D0D" w:themeColor="text1" w:themeTint="F2"/>
                <w:spacing w:val="-5"/>
                <w:lang w:val="en-GB"/>
              </w:rPr>
              <w:t xml:space="preserve">By contrast, for mineral oils the decrease of the tax rate </w:t>
            </w:r>
            <w:r w:rsidR="00144108" w:rsidRPr="00193706">
              <w:rPr>
                <w:color w:val="0D0D0D" w:themeColor="text1" w:themeTint="F2"/>
                <w:spacing w:val="-5"/>
                <w:lang w:val="en-GB"/>
              </w:rPr>
              <w:t>(</w:t>
            </w:r>
            <w:r w:rsidR="00012F79">
              <w:rPr>
                <w:color w:val="0D0D0D" w:themeColor="text1" w:themeTint="F2"/>
                <w:spacing w:val="-5"/>
                <w:lang w:val="en-GB"/>
              </w:rPr>
              <w:t xml:space="preserve">by </w:t>
            </w:r>
            <w:r w:rsidR="00144108" w:rsidRPr="00193706">
              <w:rPr>
                <w:color w:val="0D0D0D" w:themeColor="text1" w:themeTint="F2"/>
                <w:spacing w:val="-5"/>
                <w:lang w:val="en-GB"/>
              </w:rPr>
              <w:t>1 </w:t>
            </w:r>
            <w:r w:rsidR="00012F79">
              <w:rPr>
                <w:color w:val="0D0D0D" w:themeColor="text1" w:themeTint="F2"/>
                <w:spacing w:val="-5"/>
                <w:lang w:val="en-GB"/>
              </w:rPr>
              <w:t xml:space="preserve">CZK for </w:t>
            </w:r>
            <w:r w:rsidR="009F150E">
              <w:rPr>
                <w:color w:val="0D0D0D" w:themeColor="text1" w:themeTint="F2"/>
                <w:spacing w:val="-5"/>
                <w:lang w:val="en-GB"/>
              </w:rPr>
              <w:t>diesel fuels</w:t>
            </w:r>
            <w:r w:rsidR="00144108" w:rsidRPr="00193706">
              <w:rPr>
                <w:color w:val="0D0D0D" w:themeColor="text1" w:themeTint="F2"/>
                <w:spacing w:val="-5"/>
                <w:lang w:val="en-GB"/>
              </w:rPr>
              <w:t>)</w:t>
            </w:r>
            <w:r w:rsidR="009F150E">
              <w:rPr>
                <w:color w:val="0D0D0D" w:themeColor="text1" w:themeTint="F2"/>
                <w:spacing w:val="-5"/>
                <w:lang w:val="en-GB"/>
              </w:rPr>
              <w:t xml:space="preserve"> had a visible impact, since the collection of tax would grow without it</w:t>
            </w:r>
            <w:r w:rsidR="00144108" w:rsidRPr="00193706">
              <w:rPr>
                <w:rStyle w:val="Znakapoznpodarou"/>
                <w:color w:val="0D0D0D" w:themeColor="text1" w:themeTint="F2"/>
                <w:spacing w:val="-5"/>
                <w:lang w:val="en-GB"/>
              </w:rPr>
              <w:footnoteReference w:id="6"/>
            </w:r>
            <w:r w:rsidR="00144108" w:rsidRPr="00193706">
              <w:rPr>
                <w:color w:val="0D0D0D" w:themeColor="text1" w:themeTint="F2"/>
                <w:spacing w:val="-5"/>
                <w:lang w:val="en-GB"/>
              </w:rPr>
              <w:t xml:space="preserve">, </w:t>
            </w:r>
            <w:r w:rsidR="009F150E">
              <w:rPr>
                <w:color w:val="0D0D0D" w:themeColor="text1" w:themeTint="F2"/>
                <w:spacing w:val="-5"/>
                <w:lang w:val="en-GB"/>
              </w:rPr>
              <w:t xml:space="preserve">as suggested by (so far </w:t>
            </w:r>
            <w:r w:rsidR="009F150E">
              <w:rPr>
                <w:color w:val="0D0D0D" w:themeColor="text1" w:themeTint="F2"/>
                <w:spacing w:val="-5"/>
                <w:lang w:val="en-GB"/>
              </w:rPr>
              <w:lastRenderedPageBreak/>
              <w:t>incomplete</w:t>
            </w:r>
            <w:r w:rsidR="00144108" w:rsidRPr="00193706">
              <w:rPr>
                <w:color w:val="0D0D0D" w:themeColor="text1" w:themeTint="F2"/>
                <w:spacing w:val="-5"/>
                <w:lang w:val="en-GB"/>
              </w:rPr>
              <w:t>)</w:t>
            </w:r>
            <w:r w:rsidR="009F150E">
              <w:rPr>
                <w:color w:val="0D0D0D" w:themeColor="text1" w:themeTint="F2"/>
                <w:spacing w:val="-5"/>
                <w:lang w:val="en-GB"/>
              </w:rPr>
              <w:t xml:space="preserve"> data regarding the consumption of oil products</w:t>
            </w:r>
            <w:r w:rsidR="00144108" w:rsidRPr="00193706">
              <w:rPr>
                <w:rStyle w:val="Znakapoznpodarou"/>
                <w:spacing w:val="-4"/>
                <w:lang w:val="en-GB"/>
              </w:rPr>
              <w:footnoteReference w:id="7"/>
            </w:r>
            <w:r w:rsidR="00144108" w:rsidRPr="00193706">
              <w:rPr>
                <w:spacing w:val="-4"/>
                <w:lang w:val="en-GB"/>
              </w:rPr>
              <w:t xml:space="preserve">. </w:t>
            </w:r>
            <w:r w:rsidR="009F150E">
              <w:rPr>
                <w:spacing w:val="-4"/>
                <w:lang w:val="en-GB"/>
              </w:rPr>
              <w:t xml:space="preserve">In Q4, the collection of this tax was higher year-on-year </w:t>
            </w:r>
            <w:r w:rsidR="00144108" w:rsidRPr="00193706">
              <w:rPr>
                <w:spacing w:val="-4"/>
                <w:lang w:val="en-GB"/>
              </w:rPr>
              <w:t>(+5</w:t>
            </w:r>
            <w:r w:rsidR="009F150E">
              <w:rPr>
                <w:spacing w:val="-4"/>
                <w:lang w:val="en-GB"/>
              </w:rPr>
              <w:t>.</w:t>
            </w:r>
            <w:r w:rsidR="00144108" w:rsidRPr="00193706">
              <w:rPr>
                <w:spacing w:val="-4"/>
                <w:lang w:val="en-GB"/>
              </w:rPr>
              <w:t xml:space="preserve">1%), </w:t>
            </w:r>
            <w:r w:rsidR="004701E1">
              <w:rPr>
                <w:spacing w:val="-4"/>
                <w:lang w:val="en-GB"/>
              </w:rPr>
              <w:t xml:space="preserve">however it still slightly lagged behind the level from the pre pandemic year. Despite revival at the end of the last year, the collection of both above mentioned consumption taxes, in contrast to all other weight more significant taxes, behind the budget anticipations. </w:t>
            </w:r>
          </w:p>
        </w:tc>
      </w:tr>
      <w:tr w:rsidR="00144108" w:rsidRPr="003C07E6" w14:paraId="3B8C0163" w14:textId="77777777" w:rsidTr="008E039E">
        <w:trPr>
          <w:trHeight w:val="145"/>
        </w:trPr>
        <w:tc>
          <w:tcPr>
            <w:tcW w:w="1732" w:type="dxa"/>
            <w:shd w:val="clear" w:color="auto" w:fill="auto"/>
            <w:tcMar>
              <w:left w:w="0" w:type="dxa"/>
            </w:tcMar>
          </w:tcPr>
          <w:p w14:paraId="43BDD870" w14:textId="45FE7081" w:rsidR="00144108" w:rsidRPr="004701E1" w:rsidRDefault="002744B9" w:rsidP="008E039E">
            <w:pPr>
              <w:pStyle w:val="Marginlie"/>
              <w:rPr>
                <w:lang w:val="en-GB"/>
              </w:rPr>
            </w:pPr>
            <w:r>
              <w:rPr>
                <w:lang w:val="en-GB"/>
              </w:rPr>
              <w:lastRenderedPageBreak/>
              <w:t xml:space="preserve">Collection of consumption tax on alcohol </w:t>
            </w:r>
            <w:r w:rsidR="008A1A3B">
              <w:rPr>
                <w:lang w:val="en-GB"/>
              </w:rPr>
              <w:t>grew</w:t>
            </w:r>
            <w:r>
              <w:rPr>
                <w:lang w:val="en-GB"/>
              </w:rPr>
              <w:t xml:space="preserve"> from tax on beer it fell</w:t>
            </w:r>
          </w:p>
        </w:tc>
        <w:tc>
          <w:tcPr>
            <w:tcW w:w="217" w:type="dxa"/>
            <w:shd w:val="clear" w:color="auto" w:fill="auto"/>
            <w:tcMar>
              <w:left w:w="0" w:type="dxa"/>
            </w:tcMar>
          </w:tcPr>
          <w:p w14:paraId="65251D99" w14:textId="77777777" w:rsidR="00144108" w:rsidRPr="004701E1" w:rsidRDefault="00144108" w:rsidP="008E039E">
            <w:pPr>
              <w:pStyle w:val="Textpoznpodarou"/>
              <w:jc w:val="both"/>
              <w:rPr>
                <w:spacing w:val="-4"/>
                <w:lang w:val="en-GB"/>
              </w:rPr>
            </w:pPr>
          </w:p>
        </w:tc>
        <w:tc>
          <w:tcPr>
            <w:tcW w:w="7720" w:type="dxa"/>
            <w:shd w:val="clear" w:color="auto" w:fill="auto"/>
            <w:tcMar>
              <w:left w:w="0" w:type="dxa"/>
            </w:tcMar>
          </w:tcPr>
          <w:p w14:paraId="5BED5969" w14:textId="3936C8C2" w:rsidR="00144108" w:rsidRPr="004701E1" w:rsidRDefault="008A1A3B" w:rsidP="008E039E">
            <w:pPr>
              <w:spacing w:after="200"/>
              <w:rPr>
                <w:color w:val="0D0D0D" w:themeColor="text1" w:themeTint="F2"/>
                <w:spacing w:val="-2"/>
                <w:lang w:val="en-GB"/>
              </w:rPr>
            </w:pPr>
            <w:r>
              <w:rPr>
                <w:color w:val="0D0D0D" w:themeColor="text1" w:themeTint="F2"/>
                <w:spacing w:val="-2"/>
                <w:lang w:val="en-GB"/>
              </w:rPr>
              <w:t>Collection</w:t>
            </w:r>
            <w:r w:rsidR="002744B9">
              <w:rPr>
                <w:color w:val="0D0D0D" w:themeColor="text1" w:themeTint="F2"/>
                <w:spacing w:val="-2"/>
                <w:lang w:val="en-GB"/>
              </w:rPr>
              <w:t xml:space="preserve"> of other, less significant by weight consumption taxes slightly grew last year, mainly due to the newly introduced tax on digital services and higher collection of tax on alcohol (also thanks to increased rate). On the contrary, the collection of tax on beer  fell </w:t>
            </w:r>
            <w:r w:rsidR="00144108" w:rsidRPr="004701E1">
              <w:rPr>
                <w:color w:val="0D0D0D" w:themeColor="text1" w:themeTint="F2"/>
                <w:spacing w:val="-2"/>
                <w:lang w:val="en-GB"/>
              </w:rPr>
              <w:t>(</w:t>
            </w:r>
            <w:r w:rsidR="002744B9">
              <w:rPr>
                <w:color w:val="0D0D0D" w:themeColor="text1" w:themeTint="F2"/>
                <w:spacing w:val="-2"/>
                <w:lang w:val="en-GB"/>
              </w:rPr>
              <w:t xml:space="preserve">by </w:t>
            </w:r>
            <w:r w:rsidR="00144108" w:rsidRPr="004701E1">
              <w:rPr>
                <w:color w:val="0D0D0D" w:themeColor="text1" w:themeTint="F2"/>
                <w:spacing w:val="-2"/>
                <w:lang w:val="en-GB"/>
              </w:rPr>
              <w:t>5</w:t>
            </w:r>
            <w:r w:rsidR="002744B9">
              <w:rPr>
                <w:color w:val="0D0D0D" w:themeColor="text1" w:themeTint="F2"/>
                <w:spacing w:val="-2"/>
                <w:lang w:val="en-GB"/>
              </w:rPr>
              <w:t>.</w:t>
            </w:r>
            <w:r w:rsidR="00144108" w:rsidRPr="004701E1">
              <w:rPr>
                <w:color w:val="0D0D0D" w:themeColor="text1" w:themeTint="F2"/>
                <w:spacing w:val="-2"/>
                <w:lang w:val="en-GB"/>
              </w:rPr>
              <w:t>5%</w:t>
            </w:r>
            <w:r w:rsidR="00AC7578" w:rsidRPr="004701E1">
              <w:rPr>
                <w:color w:val="0D0D0D" w:themeColor="text1" w:themeTint="F2"/>
                <w:spacing w:val="-2"/>
                <w:lang w:val="en-GB"/>
              </w:rPr>
              <w:t>) since</w:t>
            </w:r>
            <w:r w:rsidR="002744B9">
              <w:rPr>
                <w:color w:val="0D0D0D" w:themeColor="text1" w:themeTint="F2"/>
                <w:spacing w:val="-2"/>
                <w:lang w:val="en-GB"/>
              </w:rPr>
              <w:t xml:space="preserve"> some administrative measures affecting the attendance of restaurant facilities as well as the arrival tourism were in place also in the last months of year </w:t>
            </w:r>
            <w:r w:rsidR="00144108" w:rsidRPr="004701E1">
              <w:rPr>
                <w:color w:val="0D0D0D" w:themeColor="text1" w:themeTint="F2"/>
                <w:spacing w:val="-2"/>
                <w:lang w:val="en-GB"/>
              </w:rPr>
              <w:t>2021.</w:t>
            </w:r>
          </w:p>
        </w:tc>
      </w:tr>
      <w:tr w:rsidR="00144108" w:rsidRPr="003C07E6" w14:paraId="447615D6" w14:textId="77777777" w:rsidTr="008E039E">
        <w:trPr>
          <w:trHeight w:val="145"/>
        </w:trPr>
        <w:tc>
          <w:tcPr>
            <w:tcW w:w="1732" w:type="dxa"/>
            <w:shd w:val="clear" w:color="auto" w:fill="auto"/>
            <w:tcMar>
              <w:left w:w="0" w:type="dxa"/>
            </w:tcMar>
          </w:tcPr>
          <w:p w14:paraId="051E108E" w14:textId="5E15F6D9" w:rsidR="00144108" w:rsidRPr="002744B9" w:rsidRDefault="00144108" w:rsidP="008E039E">
            <w:pPr>
              <w:pStyle w:val="Marginlie"/>
              <w:rPr>
                <w:lang w:val="en-GB"/>
              </w:rPr>
            </w:pPr>
            <w:r w:rsidRPr="002744B9">
              <w:rPr>
                <w:lang w:val="en-GB"/>
              </w:rPr>
              <w:t>S</w:t>
            </w:r>
            <w:r w:rsidR="00AC7578">
              <w:rPr>
                <w:lang w:val="en-GB"/>
              </w:rPr>
              <w:t xml:space="preserve">wift growth of the collection of corporate tax was significantly affected by the transfer of part of payments from year 2020 to year 2021. </w:t>
            </w:r>
          </w:p>
        </w:tc>
        <w:tc>
          <w:tcPr>
            <w:tcW w:w="217" w:type="dxa"/>
            <w:shd w:val="clear" w:color="auto" w:fill="auto"/>
            <w:tcMar>
              <w:left w:w="0" w:type="dxa"/>
            </w:tcMar>
          </w:tcPr>
          <w:p w14:paraId="6D6DC60A" w14:textId="77777777" w:rsidR="00144108" w:rsidRPr="002744B9" w:rsidRDefault="00144108" w:rsidP="008E039E">
            <w:pPr>
              <w:pStyle w:val="Textpoznpodarou"/>
              <w:jc w:val="both"/>
              <w:rPr>
                <w:spacing w:val="-4"/>
                <w:lang w:val="en-GB"/>
              </w:rPr>
            </w:pPr>
          </w:p>
        </w:tc>
        <w:tc>
          <w:tcPr>
            <w:tcW w:w="7720" w:type="dxa"/>
            <w:shd w:val="clear" w:color="auto" w:fill="auto"/>
            <w:tcMar>
              <w:left w:w="0" w:type="dxa"/>
            </w:tcMar>
          </w:tcPr>
          <w:p w14:paraId="27535F27" w14:textId="51EA2435" w:rsidR="00144108" w:rsidRPr="002744B9" w:rsidRDefault="00906E5F" w:rsidP="00C23909">
            <w:pPr>
              <w:spacing w:after="220"/>
              <w:rPr>
                <w:spacing w:val="-4"/>
                <w:lang w:val="en-GB"/>
              </w:rPr>
            </w:pPr>
            <w:r>
              <w:rPr>
                <w:color w:val="0D0D0D" w:themeColor="text1" w:themeTint="F2"/>
                <w:spacing w:val="-5"/>
                <w:lang w:val="en-GB"/>
              </w:rPr>
              <w:t xml:space="preserve">SB acquired by </w:t>
            </w:r>
            <w:r w:rsidR="00144108" w:rsidRPr="002744B9">
              <w:rPr>
                <w:spacing w:val="-5"/>
                <w:lang w:val="en-GB"/>
              </w:rPr>
              <w:t>19% (20</w:t>
            </w:r>
            <w:r>
              <w:rPr>
                <w:spacing w:val="-5"/>
                <w:lang w:val="en-GB"/>
              </w:rPr>
              <w:t>.</w:t>
            </w:r>
            <w:r w:rsidR="00144108" w:rsidRPr="002744B9">
              <w:rPr>
                <w:spacing w:val="-5"/>
                <w:lang w:val="en-GB"/>
              </w:rPr>
              <w:t>8</w:t>
            </w:r>
            <w:r>
              <w:rPr>
                <w:spacing w:val="-5"/>
                <w:lang w:val="en-GB"/>
              </w:rPr>
              <w:t xml:space="preserve"> CZK bn</w:t>
            </w:r>
            <w:r w:rsidR="00144108" w:rsidRPr="002744B9">
              <w:rPr>
                <w:spacing w:val="-5"/>
                <w:lang w:val="en-GB"/>
              </w:rPr>
              <w:t>)</w:t>
            </w:r>
            <w:r>
              <w:rPr>
                <w:spacing w:val="-5"/>
                <w:lang w:val="en-GB"/>
              </w:rPr>
              <w:t xml:space="preserve"> more on the corporate tax</w:t>
            </w:r>
            <w:r w:rsidR="00144108" w:rsidRPr="002744B9">
              <w:rPr>
                <w:spacing w:val="-5"/>
                <w:lang w:val="en-GB"/>
              </w:rPr>
              <w:t xml:space="preserve">. </w:t>
            </w:r>
            <w:r>
              <w:rPr>
                <w:spacing w:val="-5"/>
                <w:lang w:val="en-GB"/>
              </w:rPr>
              <w:t xml:space="preserve">Together with higher collection of insurance on SS </w:t>
            </w:r>
            <w:r w:rsidR="00144108" w:rsidRPr="002744B9">
              <w:rPr>
                <w:spacing w:val="-5"/>
                <w:lang w:val="en-GB"/>
              </w:rPr>
              <w:t>(+55 </w:t>
            </w:r>
            <w:r>
              <w:rPr>
                <w:spacing w:val="-5"/>
                <w:lang w:val="en-GB"/>
              </w:rPr>
              <w:t>bn</w:t>
            </w:r>
            <w:r w:rsidR="00144108" w:rsidRPr="002744B9">
              <w:rPr>
                <w:spacing w:val="-5"/>
                <w:lang w:val="en-GB"/>
              </w:rPr>
              <w:t xml:space="preserve">) </w:t>
            </w:r>
            <w:r>
              <w:rPr>
                <w:spacing w:val="-5"/>
                <w:lang w:val="en-GB"/>
              </w:rPr>
              <w:t xml:space="preserve">it concerned the items, which contributed to the growth of the total SB revenue the most. Swift growth of the corporate tax collection </w:t>
            </w:r>
            <w:r w:rsidR="00095B8B">
              <w:rPr>
                <w:spacing w:val="-5"/>
                <w:lang w:val="en-GB"/>
              </w:rPr>
              <w:t xml:space="preserve">was significantly affected by the transfer of part of payments from year </w:t>
            </w:r>
            <w:r w:rsidR="00144108" w:rsidRPr="002744B9">
              <w:rPr>
                <w:spacing w:val="-5"/>
                <w:lang w:val="en-GB"/>
              </w:rPr>
              <w:t>2020</w:t>
            </w:r>
            <w:r w:rsidR="00095B8B">
              <w:rPr>
                <w:spacing w:val="-5"/>
                <w:lang w:val="en-GB"/>
              </w:rPr>
              <w:t xml:space="preserve"> into the subsequent year</w:t>
            </w:r>
            <w:r w:rsidR="00144108" w:rsidRPr="002744B9">
              <w:rPr>
                <w:rStyle w:val="Znakapoznpodarou"/>
                <w:spacing w:val="-5"/>
                <w:lang w:val="en-GB"/>
              </w:rPr>
              <w:footnoteReference w:id="8"/>
            </w:r>
            <w:r w:rsidR="00144108" w:rsidRPr="002744B9">
              <w:rPr>
                <w:spacing w:val="-5"/>
                <w:lang w:val="en-GB"/>
              </w:rPr>
              <w:t xml:space="preserve">. </w:t>
            </w:r>
            <w:r w:rsidR="00095B8B">
              <w:rPr>
                <w:spacing w:val="-5"/>
                <w:lang w:val="en-GB"/>
              </w:rPr>
              <w:t>Collection of this tax adversely affected the individual requests of firms for adjustment of the advance payments</w:t>
            </w:r>
            <w:r w:rsidR="00144108" w:rsidRPr="002744B9">
              <w:rPr>
                <w:rStyle w:val="Znakapoznpodarou"/>
                <w:spacing w:val="-5"/>
                <w:lang w:val="en-GB"/>
              </w:rPr>
              <w:footnoteReference w:id="9"/>
            </w:r>
            <w:r w:rsidR="00095B8B">
              <w:rPr>
                <w:spacing w:val="-5"/>
                <w:lang w:val="en-GB"/>
              </w:rPr>
              <w:t xml:space="preserve"> in both pandemic years</w:t>
            </w:r>
            <w:r w:rsidR="00144108" w:rsidRPr="002744B9">
              <w:rPr>
                <w:spacing w:val="-5"/>
                <w:lang w:val="en-GB"/>
              </w:rPr>
              <w:t xml:space="preserve">. </w:t>
            </w:r>
            <w:r w:rsidR="00A934FB">
              <w:rPr>
                <w:spacing w:val="-5"/>
                <w:lang w:val="en-GB"/>
              </w:rPr>
              <w:t xml:space="preserve">The comparison of state wide collection of the corporate tax (at the level of all public budgets) presents a relatively non-distorted picture for H2 2021 with the same period of year </w:t>
            </w:r>
            <w:r w:rsidR="00144108" w:rsidRPr="002744B9">
              <w:rPr>
                <w:spacing w:val="-5"/>
                <w:lang w:val="en-GB"/>
              </w:rPr>
              <w:t>2019 (+6</w:t>
            </w:r>
            <w:r w:rsidR="00A934FB">
              <w:rPr>
                <w:spacing w:val="-5"/>
                <w:lang w:val="en-GB"/>
              </w:rPr>
              <w:t>.</w:t>
            </w:r>
            <w:r w:rsidR="00144108" w:rsidRPr="002744B9">
              <w:rPr>
                <w:spacing w:val="-5"/>
                <w:lang w:val="en-GB"/>
              </w:rPr>
              <w:t>2%).</w:t>
            </w:r>
          </w:p>
        </w:tc>
      </w:tr>
      <w:tr w:rsidR="00144108" w:rsidRPr="00F704D2" w14:paraId="43FED60F" w14:textId="77777777" w:rsidTr="008E039E">
        <w:trPr>
          <w:trHeight w:val="170"/>
        </w:trPr>
        <w:tc>
          <w:tcPr>
            <w:tcW w:w="1732" w:type="dxa"/>
            <w:vMerge w:val="restart"/>
            <w:shd w:val="clear" w:color="auto" w:fill="auto"/>
            <w:tcMar>
              <w:left w:w="0" w:type="dxa"/>
            </w:tcMar>
          </w:tcPr>
          <w:p w14:paraId="729F92FD" w14:textId="77777777" w:rsidR="00144108" w:rsidRDefault="00144108" w:rsidP="008E039E">
            <w:pPr>
              <w:pStyle w:val="Marginlie"/>
            </w:pPr>
          </w:p>
        </w:tc>
        <w:tc>
          <w:tcPr>
            <w:tcW w:w="217" w:type="dxa"/>
            <w:vMerge w:val="restart"/>
            <w:shd w:val="clear" w:color="auto" w:fill="auto"/>
            <w:tcMar>
              <w:left w:w="0" w:type="dxa"/>
            </w:tcMar>
          </w:tcPr>
          <w:p w14:paraId="6ED6DE75" w14:textId="77777777" w:rsidR="00144108" w:rsidRDefault="00144108" w:rsidP="008E039E">
            <w:pPr>
              <w:pStyle w:val="Textpoznpodarou"/>
              <w:jc w:val="both"/>
              <w:rPr>
                <w:spacing w:val="-4"/>
              </w:rPr>
            </w:pPr>
          </w:p>
        </w:tc>
        <w:tc>
          <w:tcPr>
            <w:tcW w:w="7720" w:type="dxa"/>
            <w:shd w:val="clear" w:color="auto" w:fill="auto"/>
            <w:tcMar>
              <w:left w:w="0" w:type="dxa"/>
            </w:tcMar>
          </w:tcPr>
          <w:p w14:paraId="442113BB" w14:textId="62112C5D" w:rsidR="00144108" w:rsidRPr="001C3794" w:rsidRDefault="00AC7578" w:rsidP="00A02E8B">
            <w:pPr>
              <w:spacing w:after="0" w:line="240" w:lineRule="auto"/>
              <w:rPr>
                <w:rFonts w:cs="Arial"/>
                <w:bCs/>
              </w:rPr>
            </w:pPr>
            <w:r>
              <w:rPr>
                <w:rFonts w:cs="Arial"/>
                <w:b/>
                <w:bCs/>
                <w:color w:val="000000"/>
                <w:szCs w:val="20"/>
              </w:rPr>
              <w:t xml:space="preserve">Chart </w:t>
            </w:r>
            <w:r w:rsidR="001C3794" w:rsidRPr="001C3794">
              <w:rPr>
                <w:rFonts w:cs="Arial"/>
                <w:b/>
                <w:bCs/>
                <w:color w:val="000000"/>
                <w:szCs w:val="20"/>
              </w:rPr>
              <w:t>1</w:t>
            </w:r>
            <w:r w:rsidR="00A02E8B">
              <w:rPr>
                <w:rFonts w:cs="Arial"/>
                <w:b/>
                <w:bCs/>
                <w:color w:val="000000"/>
                <w:szCs w:val="20"/>
              </w:rPr>
              <w:t>8</w:t>
            </w:r>
            <w:r w:rsidR="00144108" w:rsidRPr="001C3794">
              <w:rPr>
                <w:rFonts w:cs="Arial"/>
                <w:b/>
                <w:bCs/>
                <w:color w:val="000000"/>
                <w:szCs w:val="20"/>
              </w:rPr>
              <w:t xml:space="preserve">  </w:t>
            </w:r>
            <w:r w:rsidR="00AA7FEB" w:rsidRPr="00D970F7">
              <w:rPr>
                <w:rFonts w:cs="Arial"/>
                <w:b/>
                <w:bCs/>
                <w:spacing w:val="-2"/>
                <w:lang w:val="en-GB"/>
              </w:rPr>
              <w:t>State wide collection of selected tax incomes</w:t>
            </w:r>
            <w:r w:rsidR="00AA7FEB" w:rsidRPr="00D970F7">
              <w:rPr>
                <w:rFonts w:cs="Arial"/>
                <w:b/>
                <w:bCs/>
                <w:color w:val="000000"/>
                <w:spacing w:val="-2"/>
                <w:sz w:val="18"/>
                <w:lang w:val="en-GB"/>
              </w:rPr>
              <w:t xml:space="preserve"> </w:t>
            </w:r>
            <w:r w:rsidR="00AA7FEB" w:rsidRPr="00D970F7">
              <w:rPr>
                <w:rFonts w:cs="Arial"/>
                <w:bCs/>
                <w:spacing w:val="-2"/>
                <w:lang w:val="en-GB"/>
              </w:rPr>
              <w:t xml:space="preserve">(year-on-year in </w:t>
            </w:r>
            <w:r w:rsidR="00AA7FEB" w:rsidRPr="00D970F7">
              <w:rPr>
                <w:bCs/>
                <w:spacing w:val="-2"/>
                <w:lang w:val="en-GB"/>
              </w:rPr>
              <w:t>%)</w:t>
            </w:r>
            <w:r w:rsidR="00AA7FEB" w:rsidRPr="00D970F7">
              <w:rPr>
                <w:bCs/>
                <w:spacing w:val="-2"/>
                <w:lang w:val="en-GB"/>
              </w:rPr>
              <w:br/>
            </w:r>
            <w:r w:rsidR="00AA7FEB" w:rsidRPr="00D970F7">
              <w:rPr>
                <w:rFonts w:cs="Arial"/>
                <w:b/>
                <w:bCs/>
                <w:spacing w:val="-2"/>
                <w:lang w:val="en-GB"/>
              </w:rPr>
              <w:t xml:space="preserve">and state budget balance </w:t>
            </w:r>
            <w:r w:rsidR="00AA7FEB" w:rsidRPr="00D970F7">
              <w:rPr>
                <w:rFonts w:cs="Arial"/>
                <w:bCs/>
                <w:spacing w:val="-6"/>
                <w:lang w:val="en-GB"/>
              </w:rPr>
              <w:t>(in CZK bn</w:t>
            </w:r>
            <w:r w:rsidR="007910A8">
              <w:rPr>
                <w:rFonts w:cs="Arial"/>
                <w:bCs/>
                <w:spacing w:val="-6"/>
                <w:lang w:val="en-GB"/>
              </w:rPr>
              <w:t xml:space="preserve">) </w:t>
            </w:r>
          </w:p>
        </w:tc>
      </w:tr>
      <w:tr w:rsidR="00144108" w14:paraId="3939DF9F" w14:textId="77777777" w:rsidTr="00C23909">
        <w:tblPrEx>
          <w:tblCellMar>
            <w:left w:w="70" w:type="dxa"/>
            <w:right w:w="70" w:type="dxa"/>
          </w:tblCellMar>
        </w:tblPrEx>
        <w:trPr>
          <w:trHeight w:val="170"/>
        </w:trPr>
        <w:tc>
          <w:tcPr>
            <w:tcW w:w="1732" w:type="dxa"/>
            <w:vMerge/>
            <w:shd w:val="clear" w:color="auto" w:fill="auto"/>
          </w:tcPr>
          <w:p w14:paraId="2266D139" w14:textId="77777777" w:rsidR="00144108" w:rsidRDefault="00144108" w:rsidP="008E039E">
            <w:pPr>
              <w:pStyle w:val="Marginlie"/>
            </w:pPr>
          </w:p>
        </w:tc>
        <w:tc>
          <w:tcPr>
            <w:tcW w:w="217" w:type="dxa"/>
            <w:vMerge/>
            <w:shd w:val="clear" w:color="auto" w:fill="auto"/>
          </w:tcPr>
          <w:p w14:paraId="5D752E07" w14:textId="77777777" w:rsidR="00144108" w:rsidRDefault="00144108" w:rsidP="008E039E">
            <w:pPr>
              <w:pStyle w:val="Textpoznpodarou"/>
              <w:jc w:val="both"/>
              <w:rPr>
                <w:spacing w:val="-4"/>
              </w:rPr>
            </w:pPr>
          </w:p>
        </w:tc>
        <w:tc>
          <w:tcPr>
            <w:tcW w:w="7720" w:type="dxa"/>
            <w:shd w:val="clear" w:color="auto" w:fill="auto"/>
          </w:tcPr>
          <w:p w14:paraId="7373B6D4" w14:textId="3BAA9D3D" w:rsidR="00144108" w:rsidRPr="0067514E" w:rsidRDefault="00C23909" w:rsidP="008E039E">
            <w:pPr>
              <w:spacing w:after="0"/>
              <w:rPr>
                <w:spacing w:val="-6"/>
              </w:rPr>
            </w:pPr>
            <w:r>
              <w:rPr>
                <w:noProof/>
              </w:rPr>
              <w:drawing>
                <wp:inline distT="0" distB="0" distL="0" distR="0" wp14:anchorId="1B5EEEA6" wp14:editId="43A7D7ED">
                  <wp:extent cx="4733925" cy="3600450"/>
                  <wp:effectExtent l="0" t="0" r="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144108" w:rsidRPr="007B3A78" w14:paraId="2B2C05BA" w14:textId="77777777" w:rsidTr="008E039E">
        <w:trPr>
          <w:trHeight w:val="170"/>
        </w:trPr>
        <w:tc>
          <w:tcPr>
            <w:tcW w:w="1732" w:type="dxa"/>
            <w:vMerge/>
            <w:shd w:val="clear" w:color="auto" w:fill="auto"/>
            <w:tcMar>
              <w:left w:w="0" w:type="dxa"/>
            </w:tcMar>
          </w:tcPr>
          <w:p w14:paraId="7C44B34B" w14:textId="77777777" w:rsidR="00144108" w:rsidRDefault="00144108" w:rsidP="008E039E">
            <w:pPr>
              <w:pStyle w:val="Marginlie"/>
            </w:pPr>
          </w:p>
        </w:tc>
        <w:tc>
          <w:tcPr>
            <w:tcW w:w="217" w:type="dxa"/>
            <w:vMerge/>
            <w:shd w:val="clear" w:color="auto" w:fill="auto"/>
            <w:tcMar>
              <w:left w:w="0" w:type="dxa"/>
            </w:tcMar>
          </w:tcPr>
          <w:p w14:paraId="729F50F5" w14:textId="77777777" w:rsidR="00144108" w:rsidRDefault="00144108" w:rsidP="008E039E">
            <w:pPr>
              <w:pStyle w:val="Textpoznpodarou"/>
              <w:jc w:val="both"/>
              <w:rPr>
                <w:spacing w:val="-4"/>
              </w:rPr>
            </w:pPr>
          </w:p>
        </w:tc>
        <w:tc>
          <w:tcPr>
            <w:tcW w:w="7720" w:type="dxa"/>
            <w:shd w:val="clear" w:color="auto" w:fill="auto"/>
            <w:tcMar>
              <w:left w:w="0" w:type="dxa"/>
            </w:tcMar>
          </w:tcPr>
          <w:p w14:paraId="64F1CC00" w14:textId="522EB495" w:rsidR="00725647" w:rsidRPr="00C23909" w:rsidRDefault="00AC0580" w:rsidP="00C23909">
            <w:pPr>
              <w:tabs>
                <w:tab w:val="right" w:pos="7683"/>
              </w:tabs>
              <w:spacing w:after="220" w:line="240" w:lineRule="auto"/>
              <w:jc w:val="left"/>
              <w:rPr>
                <w:spacing w:val="-2"/>
                <w:sz w:val="14"/>
                <w:szCs w:val="14"/>
              </w:rPr>
            </w:pPr>
            <w:r>
              <w:rPr>
                <w:spacing w:val="-2"/>
                <w:sz w:val="14"/>
                <w:szCs w:val="14"/>
              </w:rPr>
              <w:t>Source</w:t>
            </w:r>
            <w:r w:rsidR="00144108" w:rsidRPr="00A66749">
              <w:rPr>
                <w:spacing w:val="-2"/>
                <w:sz w:val="14"/>
                <w:szCs w:val="14"/>
              </w:rPr>
              <w:t>: MF </w:t>
            </w:r>
            <w:r>
              <w:rPr>
                <w:spacing w:val="-2"/>
                <w:sz w:val="14"/>
                <w:szCs w:val="14"/>
              </w:rPr>
              <w:t>C</w:t>
            </w:r>
            <w:r w:rsidR="00C23909">
              <w:rPr>
                <w:spacing w:val="-2"/>
                <w:sz w:val="14"/>
                <w:szCs w:val="14"/>
              </w:rPr>
              <w:t>R</w:t>
            </w:r>
          </w:p>
        </w:tc>
      </w:tr>
      <w:tr w:rsidR="00C23909" w:rsidRPr="008266F0" w14:paraId="3ACB6E1C" w14:textId="77777777" w:rsidTr="008E039E">
        <w:trPr>
          <w:trHeight w:val="145"/>
        </w:trPr>
        <w:tc>
          <w:tcPr>
            <w:tcW w:w="1732" w:type="dxa"/>
            <w:shd w:val="clear" w:color="auto" w:fill="auto"/>
            <w:tcMar>
              <w:left w:w="0" w:type="dxa"/>
            </w:tcMar>
          </w:tcPr>
          <w:p w14:paraId="66A2019C" w14:textId="059967C7" w:rsidR="00C23909" w:rsidRDefault="00C23909" w:rsidP="00C23909">
            <w:pPr>
              <w:pStyle w:val="Marginlie"/>
              <w:rPr>
                <w:lang w:val="en-GB"/>
              </w:rPr>
            </w:pPr>
            <w:r>
              <w:rPr>
                <w:lang w:val="en-GB"/>
              </w:rPr>
              <w:t xml:space="preserve">Extraordinary budget slump for income tax of </w:t>
            </w:r>
            <w:r>
              <w:rPr>
                <w:lang w:val="en-GB"/>
              </w:rPr>
              <w:lastRenderedPageBreak/>
              <w:t xml:space="preserve">natural persons was completely caused by the legislative amendments. </w:t>
            </w:r>
          </w:p>
        </w:tc>
        <w:tc>
          <w:tcPr>
            <w:tcW w:w="217" w:type="dxa"/>
            <w:shd w:val="clear" w:color="auto" w:fill="auto"/>
            <w:tcMar>
              <w:left w:w="0" w:type="dxa"/>
            </w:tcMar>
          </w:tcPr>
          <w:p w14:paraId="7024A91E" w14:textId="77777777" w:rsidR="00C23909" w:rsidRPr="008D77D6" w:rsidRDefault="00C23909" w:rsidP="00C23909">
            <w:pPr>
              <w:pStyle w:val="Textpoznpodarou"/>
              <w:jc w:val="both"/>
              <w:rPr>
                <w:spacing w:val="-4"/>
                <w:lang w:val="en-GB"/>
              </w:rPr>
            </w:pPr>
          </w:p>
        </w:tc>
        <w:tc>
          <w:tcPr>
            <w:tcW w:w="7720" w:type="dxa"/>
            <w:shd w:val="clear" w:color="auto" w:fill="auto"/>
            <w:tcMar>
              <w:left w:w="0" w:type="dxa"/>
            </w:tcMar>
          </w:tcPr>
          <w:p w14:paraId="4978CFDF" w14:textId="692EE9B9" w:rsidR="00C23909" w:rsidRPr="008D77D6" w:rsidRDefault="00C23909" w:rsidP="00C23909">
            <w:pPr>
              <w:spacing w:after="200"/>
              <w:rPr>
                <w:color w:val="0D0D0D" w:themeColor="text1" w:themeTint="F2"/>
                <w:spacing w:val="-5"/>
                <w:lang w:val="en-GB"/>
              </w:rPr>
            </w:pPr>
            <w:r>
              <w:rPr>
                <w:color w:val="0D0D0D" w:themeColor="text1" w:themeTint="F2"/>
                <w:spacing w:val="-5"/>
                <w:lang w:val="en-GB"/>
              </w:rPr>
              <w:t xml:space="preserve">The lowering of the tax burden on labour </w:t>
            </w:r>
            <w:r>
              <w:rPr>
                <w:spacing w:val="-4"/>
                <w:lang w:val="en-GB"/>
              </w:rPr>
              <w:t xml:space="preserve">was next to the change of the budget determination of taxes the most reflected in the extraordinary last </w:t>
            </w:r>
            <w:r w:rsidRPr="000D2312">
              <w:rPr>
                <w:spacing w:val="-4"/>
                <w:lang w:val="en-GB"/>
              </w:rPr>
              <w:t xml:space="preserve">year’s slump of SB revenues (by 29.2%, </w:t>
            </w:r>
            <w:r w:rsidRPr="000D2312">
              <w:rPr>
                <w:spacing w:val="-4"/>
                <w:lang w:val="en-GB"/>
              </w:rPr>
              <w:lastRenderedPageBreak/>
              <w:t>resp. 45 CZK bn)</w:t>
            </w:r>
            <w:r w:rsidRPr="000D2312">
              <w:rPr>
                <w:rStyle w:val="Znakapoznpodarou"/>
                <w:spacing w:val="-5"/>
                <w:lang w:val="en-GB"/>
              </w:rPr>
              <w:footnoteReference w:id="10"/>
            </w:r>
            <w:r w:rsidRPr="000D2312">
              <w:rPr>
                <w:spacing w:val="-4"/>
                <w:lang w:val="en-GB"/>
              </w:rPr>
              <w:t>. The rescue programmes also still affected the size of collection (compensatory bonuses – especially self-employed persons), their negative budget impact was however</w:t>
            </w:r>
            <w:r>
              <w:rPr>
                <w:spacing w:val="-4"/>
                <w:lang w:val="en-GB"/>
              </w:rPr>
              <w:t xml:space="preserve"> weaker last year compared to year </w:t>
            </w:r>
            <w:r w:rsidRPr="002744B9">
              <w:rPr>
                <w:spacing w:val="-5"/>
                <w:lang w:val="en-GB"/>
              </w:rPr>
              <w:t>2020</w:t>
            </w:r>
            <w:r w:rsidRPr="002744B9">
              <w:rPr>
                <w:rStyle w:val="Znakapoznpodarou"/>
                <w:spacing w:val="-4"/>
                <w:lang w:val="en-GB"/>
              </w:rPr>
              <w:footnoteReference w:id="11"/>
            </w:r>
            <w:r w:rsidRPr="002744B9">
              <w:rPr>
                <w:spacing w:val="-4"/>
                <w:lang w:val="en-GB"/>
              </w:rPr>
              <w:t xml:space="preserve">. </w:t>
            </w:r>
            <w:r>
              <w:rPr>
                <w:spacing w:val="-4"/>
                <w:lang w:val="en-GB"/>
              </w:rPr>
              <w:t xml:space="preserve">The slump of collection was subdued by the growing employment, further increase of the minimum wage, as well as the Spring payment of extraordinary bonuses to workers of the public sector standing in the front line of fight with the pandemics. </w:t>
            </w:r>
          </w:p>
        </w:tc>
      </w:tr>
      <w:tr w:rsidR="00C23909" w:rsidRPr="008266F0" w14:paraId="5AB3DE73" w14:textId="77777777" w:rsidTr="008E039E">
        <w:trPr>
          <w:trHeight w:val="145"/>
        </w:trPr>
        <w:tc>
          <w:tcPr>
            <w:tcW w:w="1732" w:type="dxa"/>
            <w:shd w:val="clear" w:color="auto" w:fill="auto"/>
            <w:tcMar>
              <w:left w:w="0" w:type="dxa"/>
            </w:tcMar>
          </w:tcPr>
          <w:p w14:paraId="52E46F5C" w14:textId="3BEFA075" w:rsidR="00C23909" w:rsidRPr="008D77D6" w:rsidRDefault="00C23909" w:rsidP="00C23909">
            <w:pPr>
              <w:pStyle w:val="Marginlie"/>
              <w:rPr>
                <w:spacing w:val="-5"/>
                <w:lang w:val="en-GB"/>
              </w:rPr>
            </w:pPr>
            <w:r>
              <w:rPr>
                <w:lang w:val="en-GB"/>
              </w:rPr>
              <w:lastRenderedPageBreak/>
              <w:t xml:space="preserve">Year-on-year growth of revenues from the EU budget halted in year </w:t>
            </w:r>
            <w:r w:rsidRPr="008D77D6">
              <w:rPr>
                <w:lang w:val="en-GB"/>
              </w:rPr>
              <w:t>2021.</w:t>
            </w:r>
          </w:p>
        </w:tc>
        <w:tc>
          <w:tcPr>
            <w:tcW w:w="217" w:type="dxa"/>
            <w:shd w:val="clear" w:color="auto" w:fill="auto"/>
            <w:tcMar>
              <w:left w:w="0" w:type="dxa"/>
            </w:tcMar>
          </w:tcPr>
          <w:p w14:paraId="2090FE81" w14:textId="77777777" w:rsidR="00C23909" w:rsidRPr="008D77D6" w:rsidRDefault="00C23909" w:rsidP="00C23909">
            <w:pPr>
              <w:pStyle w:val="Textpoznpodarou"/>
              <w:jc w:val="both"/>
              <w:rPr>
                <w:spacing w:val="-4"/>
                <w:lang w:val="en-GB"/>
              </w:rPr>
            </w:pPr>
          </w:p>
        </w:tc>
        <w:tc>
          <w:tcPr>
            <w:tcW w:w="7720" w:type="dxa"/>
            <w:shd w:val="clear" w:color="auto" w:fill="auto"/>
            <w:tcMar>
              <w:left w:w="0" w:type="dxa"/>
            </w:tcMar>
          </w:tcPr>
          <w:p w14:paraId="75806BC8" w14:textId="74EA42F9" w:rsidR="00C23909" w:rsidRPr="008D77D6" w:rsidRDefault="00C23909" w:rsidP="00C23909">
            <w:pPr>
              <w:spacing w:after="200"/>
              <w:rPr>
                <w:spacing w:val="-2"/>
                <w:lang w:val="en-GB"/>
              </w:rPr>
            </w:pPr>
            <w:r w:rsidRPr="008D77D6">
              <w:rPr>
                <w:color w:val="0D0D0D" w:themeColor="text1" w:themeTint="F2"/>
                <w:spacing w:val="-5"/>
                <w:lang w:val="en-GB"/>
              </w:rPr>
              <w:t>S</w:t>
            </w:r>
            <w:r>
              <w:rPr>
                <w:color w:val="0D0D0D" w:themeColor="text1" w:themeTint="F2"/>
                <w:spacing w:val="-5"/>
                <w:lang w:val="en-GB"/>
              </w:rPr>
              <w:t xml:space="preserve">wift growth of the non-tax and capital revenues and SB transfer after year 2017 halted last year. Their year-on-year decrease </w:t>
            </w:r>
            <w:r w:rsidRPr="008D77D6">
              <w:rPr>
                <w:spacing w:val="-2"/>
                <w:lang w:val="en-GB"/>
              </w:rPr>
              <w:t>(</w:t>
            </w:r>
            <w:r>
              <w:rPr>
                <w:spacing w:val="-2"/>
                <w:lang w:val="en-GB"/>
              </w:rPr>
              <w:t xml:space="preserve">by </w:t>
            </w:r>
            <w:r w:rsidRPr="008D77D6">
              <w:rPr>
                <w:spacing w:val="-2"/>
                <w:lang w:val="en-GB"/>
              </w:rPr>
              <w:t>23</w:t>
            </w:r>
            <w:r>
              <w:rPr>
                <w:spacing w:val="-2"/>
                <w:lang w:val="en-GB"/>
              </w:rPr>
              <w:t>.</w:t>
            </w:r>
            <w:r w:rsidRPr="008D77D6">
              <w:rPr>
                <w:spacing w:val="-2"/>
                <w:lang w:val="en-GB"/>
              </w:rPr>
              <w:t>7</w:t>
            </w:r>
            <w:r>
              <w:rPr>
                <w:spacing w:val="-2"/>
                <w:lang w:val="en-GB"/>
              </w:rPr>
              <w:t xml:space="preserve"> CZK bn</w:t>
            </w:r>
            <w:r w:rsidRPr="008D77D6">
              <w:rPr>
                <w:spacing w:val="-2"/>
                <w:lang w:val="en-GB"/>
              </w:rPr>
              <w:t>)</w:t>
            </w:r>
            <w:r>
              <w:rPr>
                <w:spacing w:val="-2"/>
                <w:lang w:val="en-GB"/>
              </w:rPr>
              <w:t xml:space="preserve"> was from nearly one half affected by lower revenues from the EU budget </w:t>
            </w:r>
            <w:r w:rsidRPr="008D77D6">
              <w:rPr>
                <w:spacing w:val="-2"/>
                <w:lang w:val="en-GB"/>
              </w:rPr>
              <w:t>(</w:t>
            </w:r>
            <w:r>
              <w:rPr>
                <w:spacing w:val="-2"/>
                <w:lang w:val="en-GB"/>
              </w:rPr>
              <w:t>serving to cover the expenditures previously already prefinanced by the state</w:t>
            </w:r>
            <w:r w:rsidRPr="008D77D6">
              <w:rPr>
                <w:spacing w:val="-2"/>
                <w:lang w:val="en-GB"/>
              </w:rPr>
              <w:t>)</w:t>
            </w:r>
            <w:r w:rsidRPr="008D77D6">
              <w:rPr>
                <w:rStyle w:val="Znakapoznpodarou"/>
                <w:spacing w:val="-2"/>
                <w:lang w:val="en-GB"/>
              </w:rPr>
              <w:footnoteReference w:id="12"/>
            </w:r>
            <w:r w:rsidRPr="008D77D6">
              <w:rPr>
                <w:spacing w:val="-2"/>
                <w:lang w:val="en-GB"/>
              </w:rPr>
              <w:t>. Pl</w:t>
            </w:r>
            <w:r>
              <w:rPr>
                <w:spacing w:val="-2"/>
                <w:lang w:val="en-GB"/>
              </w:rPr>
              <w:t>anned year-on-year decrease of the volume of transfer of funds of the privatisation account into the SB was broadly compensated by extraordinary last year</w:t>
            </w:r>
            <w:r>
              <w:rPr>
                <w:spacing w:val="-2"/>
                <w:lang w:val="en-US"/>
              </w:rPr>
              <w:t xml:space="preserve">’s revenues from the auction of radio frequencies </w:t>
            </w:r>
            <w:r w:rsidRPr="008D77D6">
              <w:rPr>
                <w:spacing w:val="-2"/>
                <w:lang w:val="en-GB"/>
              </w:rPr>
              <w:t>(+5</w:t>
            </w:r>
            <w:r>
              <w:rPr>
                <w:spacing w:val="-2"/>
                <w:lang w:val="en-GB"/>
              </w:rPr>
              <w:t>.</w:t>
            </w:r>
            <w:r w:rsidRPr="008D77D6">
              <w:rPr>
                <w:spacing w:val="-2"/>
                <w:lang w:val="en-GB"/>
              </w:rPr>
              <w:t>6</w:t>
            </w:r>
            <w:r>
              <w:rPr>
                <w:spacing w:val="-2"/>
                <w:lang w:val="en-GB"/>
              </w:rPr>
              <w:t xml:space="preserve"> bn</w:t>
            </w:r>
            <w:r w:rsidRPr="008D77D6">
              <w:rPr>
                <w:spacing w:val="-2"/>
                <w:lang w:val="en-GB"/>
              </w:rPr>
              <w:t>).</w:t>
            </w:r>
          </w:p>
        </w:tc>
      </w:tr>
      <w:tr w:rsidR="00C23909" w:rsidRPr="008266F0" w14:paraId="5D1765FB" w14:textId="77777777" w:rsidTr="008E039E">
        <w:trPr>
          <w:trHeight w:val="145"/>
        </w:trPr>
        <w:tc>
          <w:tcPr>
            <w:tcW w:w="1732" w:type="dxa"/>
            <w:shd w:val="clear" w:color="auto" w:fill="auto"/>
            <w:tcMar>
              <w:left w:w="0" w:type="dxa"/>
            </w:tcMar>
          </w:tcPr>
          <w:p w14:paraId="4169D94A" w14:textId="0C236249" w:rsidR="00C23909" w:rsidRPr="00557B02" w:rsidRDefault="00C23909" w:rsidP="00C23909">
            <w:pPr>
              <w:pStyle w:val="Marginlie"/>
              <w:rPr>
                <w:spacing w:val="-5"/>
                <w:lang w:val="en-GB"/>
              </w:rPr>
            </w:pPr>
            <w:r>
              <w:rPr>
                <w:spacing w:val="-5"/>
                <w:lang w:val="en-GB"/>
              </w:rPr>
              <w:t xml:space="preserve">Lower need for support programmes and measures thanks to the improved epidemic situation was reflected in the considerable slowdown of growth of the SB current expenditures in H2. </w:t>
            </w:r>
          </w:p>
        </w:tc>
        <w:tc>
          <w:tcPr>
            <w:tcW w:w="217" w:type="dxa"/>
            <w:shd w:val="clear" w:color="auto" w:fill="auto"/>
            <w:tcMar>
              <w:left w:w="0" w:type="dxa"/>
            </w:tcMar>
          </w:tcPr>
          <w:p w14:paraId="14C1BADC" w14:textId="77777777" w:rsidR="00C23909" w:rsidRPr="00557B02" w:rsidRDefault="00C23909" w:rsidP="00C23909">
            <w:pPr>
              <w:pStyle w:val="Textpoznpodarou"/>
              <w:jc w:val="both"/>
              <w:rPr>
                <w:spacing w:val="-4"/>
                <w:lang w:val="en-GB"/>
              </w:rPr>
            </w:pPr>
          </w:p>
        </w:tc>
        <w:tc>
          <w:tcPr>
            <w:tcW w:w="7720" w:type="dxa"/>
            <w:shd w:val="clear" w:color="auto" w:fill="auto"/>
            <w:tcMar>
              <w:left w:w="0" w:type="dxa"/>
            </w:tcMar>
          </w:tcPr>
          <w:p w14:paraId="672A4EA1" w14:textId="447E3095" w:rsidR="00C23909" w:rsidRPr="00557B02" w:rsidRDefault="00C23909" w:rsidP="00C23909">
            <w:pPr>
              <w:spacing w:after="200"/>
              <w:rPr>
                <w:spacing w:val="-2"/>
                <w:lang w:val="en-GB"/>
              </w:rPr>
            </w:pPr>
            <w:r>
              <w:rPr>
                <w:color w:val="0D0D0D" w:themeColor="text1" w:themeTint="F2"/>
                <w:spacing w:val="-2"/>
                <w:lang w:val="en-GB"/>
              </w:rPr>
              <w:t xml:space="preserve">Total SB expenditures slightly increased by 3.5% </w:t>
            </w:r>
            <w:r w:rsidRPr="00557B02">
              <w:rPr>
                <w:spacing w:val="-2"/>
                <w:lang w:val="en-GB"/>
              </w:rPr>
              <w:t>(+64 </w:t>
            </w:r>
            <w:r>
              <w:rPr>
                <w:spacing w:val="-2"/>
                <w:lang w:val="en-GB"/>
              </w:rPr>
              <w:t>CZK bn</w:t>
            </w:r>
            <w:r w:rsidRPr="00557B02">
              <w:rPr>
                <w:spacing w:val="-2"/>
                <w:lang w:val="en-GB"/>
              </w:rPr>
              <w:t>)</w:t>
            </w:r>
            <w:r>
              <w:rPr>
                <w:spacing w:val="-2"/>
                <w:lang w:val="en-GB"/>
              </w:rPr>
              <w:t xml:space="preserve"> in line with the budget anticipations in year 2021</w:t>
            </w:r>
            <w:r w:rsidRPr="00557B02">
              <w:rPr>
                <w:spacing w:val="-2"/>
                <w:lang w:val="en-GB"/>
              </w:rPr>
              <w:t xml:space="preserve">. </w:t>
            </w:r>
            <w:r>
              <w:rPr>
                <w:spacing w:val="-2"/>
                <w:lang w:val="en-GB"/>
              </w:rPr>
              <w:t xml:space="preserve">Compared to the sharp increase in the first pandemic year </w:t>
            </w:r>
            <w:r w:rsidRPr="00557B02">
              <w:rPr>
                <w:spacing w:val="-2"/>
                <w:lang w:val="en-GB"/>
              </w:rPr>
              <w:t>(+291</w:t>
            </w:r>
            <w:r>
              <w:rPr>
                <w:spacing w:val="-2"/>
                <w:lang w:val="en-GB"/>
              </w:rPr>
              <w:t>.</w:t>
            </w:r>
            <w:r w:rsidRPr="00557B02">
              <w:rPr>
                <w:spacing w:val="-2"/>
                <w:lang w:val="en-GB"/>
              </w:rPr>
              <w:t>2</w:t>
            </w:r>
            <w:r>
              <w:rPr>
                <w:spacing w:val="-2"/>
                <w:lang w:val="en-GB"/>
              </w:rPr>
              <w:t xml:space="preserve"> bn</w:t>
            </w:r>
            <w:r w:rsidRPr="00557B02">
              <w:rPr>
                <w:spacing w:val="-2"/>
                <w:lang w:val="en-GB"/>
              </w:rPr>
              <w:t>)</w:t>
            </w:r>
            <w:r>
              <w:rPr>
                <w:spacing w:val="-2"/>
                <w:lang w:val="en-GB"/>
              </w:rPr>
              <w:t xml:space="preserve"> it represented a significant moderation of the fiscal expansion. The pace of expenditures also slowed down during the last year – while it was compared to the same period of the </w:t>
            </w:r>
            <w:r w:rsidRPr="00557B02">
              <w:rPr>
                <w:spacing w:val="-2"/>
                <w:lang w:val="en-GB"/>
              </w:rPr>
              <w:t>„</w:t>
            </w:r>
            <w:r>
              <w:rPr>
                <w:spacing w:val="-2"/>
                <w:lang w:val="en-GB"/>
              </w:rPr>
              <w:t>common</w:t>
            </w:r>
            <w:r w:rsidRPr="00557B02">
              <w:rPr>
                <w:spacing w:val="-2"/>
                <w:lang w:val="en-GB"/>
              </w:rPr>
              <w:t xml:space="preserve">“ </w:t>
            </w:r>
            <w:r>
              <w:rPr>
                <w:spacing w:val="-2"/>
                <w:lang w:val="en-GB"/>
              </w:rPr>
              <w:t xml:space="preserve">year </w:t>
            </w:r>
            <w:r w:rsidRPr="00557B02">
              <w:rPr>
                <w:spacing w:val="-2"/>
                <w:lang w:val="en-GB"/>
              </w:rPr>
              <w:t xml:space="preserve">2019 </w:t>
            </w:r>
            <w:r>
              <w:rPr>
                <w:spacing w:val="-2"/>
                <w:lang w:val="en-GB"/>
              </w:rPr>
              <w:t xml:space="preserve">higher by </w:t>
            </w:r>
            <w:r w:rsidRPr="00557B02">
              <w:rPr>
                <w:spacing w:val="-2"/>
                <w:lang w:val="en-GB"/>
              </w:rPr>
              <w:t>31%</w:t>
            </w:r>
            <w:r>
              <w:rPr>
                <w:spacing w:val="-2"/>
                <w:lang w:val="en-GB"/>
              </w:rPr>
              <w:t xml:space="preserve"> in Q2 2021</w:t>
            </w:r>
            <w:r w:rsidRPr="00557B02">
              <w:rPr>
                <w:spacing w:val="-2"/>
                <w:lang w:val="en-GB"/>
              </w:rPr>
              <w:t xml:space="preserve">, </w:t>
            </w:r>
            <w:r>
              <w:rPr>
                <w:spacing w:val="-2"/>
                <w:lang w:val="en-GB"/>
              </w:rPr>
              <w:t xml:space="preserve">it was already </w:t>
            </w:r>
            <w:r w:rsidRPr="00557B02">
              <w:rPr>
                <w:spacing w:val="-2"/>
                <w:lang w:val="en-GB"/>
              </w:rPr>
              <w:t>„</w:t>
            </w:r>
            <w:r>
              <w:rPr>
                <w:spacing w:val="-2"/>
                <w:lang w:val="en-GB"/>
              </w:rPr>
              <w:t>only</w:t>
            </w:r>
            <w:r w:rsidRPr="00557B02">
              <w:rPr>
                <w:spacing w:val="-2"/>
                <w:lang w:val="en-GB"/>
              </w:rPr>
              <w:t xml:space="preserve">“ </w:t>
            </w:r>
            <w:r>
              <w:rPr>
                <w:spacing w:val="-2"/>
                <w:lang w:val="en-GB"/>
              </w:rPr>
              <w:t xml:space="preserve">by </w:t>
            </w:r>
            <w:r w:rsidRPr="00557B02">
              <w:rPr>
                <w:spacing w:val="-2"/>
                <w:lang w:val="en-GB"/>
              </w:rPr>
              <w:t>17%</w:t>
            </w:r>
            <w:r>
              <w:rPr>
                <w:spacing w:val="-2"/>
                <w:lang w:val="en-GB"/>
              </w:rPr>
              <w:t xml:space="preserve"> in Q4</w:t>
            </w:r>
            <w:r w:rsidRPr="00557B02">
              <w:rPr>
                <w:spacing w:val="-2"/>
                <w:lang w:val="en-GB"/>
              </w:rPr>
              <w:t xml:space="preserve">. </w:t>
            </w:r>
            <w:r>
              <w:rPr>
                <w:spacing w:val="-2"/>
                <w:lang w:val="en-GB"/>
              </w:rPr>
              <w:t>It was associated with the loosening of the counter pandemic measures. Out of the wide spectrum of the support programmes and measures</w:t>
            </w:r>
            <w:r w:rsidRPr="00557B02">
              <w:rPr>
                <w:rStyle w:val="Znakapoznpodarou"/>
                <w:color w:val="0D0D0D" w:themeColor="text1" w:themeTint="F2"/>
                <w:spacing w:val="-5"/>
                <w:lang w:val="en-GB"/>
              </w:rPr>
              <w:footnoteReference w:id="13"/>
            </w:r>
            <w:r w:rsidRPr="00557B02">
              <w:rPr>
                <w:color w:val="0D0D0D" w:themeColor="text1" w:themeTint="F2"/>
                <w:spacing w:val="-2"/>
                <w:lang w:val="en-GB"/>
              </w:rPr>
              <w:t xml:space="preserve"> </w:t>
            </w:r>
            <w:r>
              <w:rPr>
                <w:color w:val="0D0D0D" w:themeColor="text1" w:themeTint="F2"/>
                <w:spacing w:val="-2"/>
                <w:lang w:val="en-GB"/>
              </w:rPr>
              <w:t xml:space="preserve">thus some of them were in effect suspended at the beginning of Summer, alternatively significantly reduced </w:t>
            </w:r>
            <w:r w:rsidRPr="00557B02">
              <w:rPr>
                <w:spacing w:val="-2"/>
                <w:lang w:val="en-GB"/>
              </w:rPr>
              <w:t>(</w:t>
            </w:r>
            <w:r>
              <w:rPr>
                <w:spacing w:val="-2"/>
                <w:lang w:val="en-GB"/>
              </w:rPr>
              <w:t>e.g. care benefits or the Antivirus programme</w:t>
            </w:r>
            <w:r w:rsidRPr="00557B02">
              <w:rPr>
                <w:spacing w:val="-2"/>
                <w:lang w:val="en-GB"/>
              </w:rPr>
              <w:t>).</w:t>
            </w:r>
            <w:r>
              <w:rPr>
                <w:spacing w:val="-2"/>
                <w:lang w:val="en-GB"/>
              </w:rPr>
              <w:t xml:space="preserve"> In H</w:t>
            </w:r>
            <w:r w:rsidRPr="00557B02">
              <w:rPr>
                <w:spacing w:val="-2"/>
                <w:lang w:val="en-GB"/>
              </w:rPr>
              <w:t>2</w:t>
            </w:r>
            <w:r>
              <w:rPr>
                <w:spacing w:val="-2"/>
                <w:lang w:val="en-GB"/>
              </w:rPr>
              <w:t xml:space="preserve">, the drawing of special programmes on the direct support of the afflicted branches of the economy also fell. Only increased payments per state insured persons and also the purchases of protective equipment </w:t>
            </w:r>
            <w:r w:rsidRPr="00557B02">
              <w:rPr>
                <w:spacing w:val="-2"/>
                <w:lang w:val="en-GB"/>
              </w:rPr>
              <w:t>(</w:t>
            </w:r>
            <w:r>
              <w:rPr>
                <w:spacing w:val="-2"/>
                <w:lang w:val="en-GB"/>
              </w:rPr>
              <w:t>e.g. vaccines</w:t>
            </w:r>
            <w:r w:rsidRPr="00557B02">
              <w:rPr>
                <w:spacing w:val="-2"/>
                <w:lang w:val="en-GB"/>
              </w:rPr>
              <w:t>)</w:t>
            </w:r>
            <w:r>
              <w:rPr>
                <w:spacing w:val="-2"/>
                <w:lang w:val="en-GB"/>
              </w:rPr>
              <w:t xml:space="preserve"> burdened the SB evenly throughout the whole last year</w:t>
            </w:r>
            <w:r w:rsidRPr="00557B02">
              <w:rPr>
                <w:spacing w:val="-2"/>
                <w:lang w:val="en-GB"/>
              </w:rPr>
              <w:t>.</w:t>
            </w:r>
          </w:p>
        </w:tc>
      </w:tr>
      <w:tr w:rsidR="00C23909" w:rsidRPr="008266F0" w14:paraId="37366BE8" w14:textId="77777777" w:rsidTr="008E039E">
        <w:trPr>
          <w:trHeight w:val="145"/>
        </w:trPr>
        <w:tc>
          <w:tcPr>
            <w:tcW w:w="1732" w:type="dxa"/>
            <w:shd w:val="clear" w:color="auto" w:fill="auto"/>
            <w:tcMar>
              <w:left w:w="0" w:type="dxa"/>
            </w:tcMar>
          </w:tcPr>
          <w:p w14:paraId="339A2D3B" w14:textId="086342C4" w:rsidR="00C23909" w:rsidRDefault="00C23909" w:rsidP="00C23909">
            <w:pPr>
              <w:pStyle w:val="Marginlie"/>
              <w:rPr>
                <w:spacing w:val="-3"/>
                <w:lang w:val="en-GB"/>
              </w:rPr>
            </w:pPr>
            <w:r>
              <w:rPr>
                <w:spacing w:val="-3"/>
                <w:lang w:val="en-GB"/>
              </w:rPr>
              <w:t>Increase of the SB current expenditures mirrored especially the heightened payments into the health care per state insured persons</w:t>
            </w:r>
            <w:r w:rsidRPr="00225255">
              <w:rPr>
                <w:spacing w:val="-3"/>
                <w:lang w:val="en-GB"/>
              </w:rPr>
              <w:t xml:space="preserve"> a</w:t>
            </w:r>
            <w:r>
              <w:rPr>
                <w:spacing w:val="-3"/>
                <w:lang w:val="en-GB"/>
              </w:rPr>
              <w:t xml:space="preserve">nd also the higher transfers to entrepreneur entities. </w:t>
            </w:r>
          </w:p>
          <w:p w14:paraId="7772B0C0" w14:textId="77777777" w:rsidR="00C23909" w:rsidRPr="00225255" w:rsidRDefault="00C23909" w:rsidP="00C23909">
            <w:pPr>
              <w:pStyle w:val="Marginlie"/>
              <w:rPr>
                <w:spacing w:val="-3"/>
                <w:lang w:val="en-GB"/>
              </w:rPr>
            </w:pPr>
          </w:p>
          <w:p w14:paraId="3CC5F7D7" w14:textId="77777777" w:rsidR="00C23909" w:rsidRPr="00225255" w:rsidRDefault="00C23909" w:rsidP="00C23909">
            <w:pPr>
              <w:pStyle w:val="Marginlie"/>
              <w:rPr>
                <w:spacing w:val="-3"/>
                <w:lang w:val="en-GB"/>
              </w:rPr>
            </w:pPr>
          </w:p>
          <w:p w14:paraId="11C1D0EB" w14:textId="77777777" w:rsidR="00C23909" w:rsidRPr="00225255" w:rsidRDefault="00C23909" w:rsidP="00C23909">
            <w:pPr>
              <w:pStyle w:val="Marginlie"/>
              <w:rPr>
                <w:spacing w:val="-3"/>
                <w:lang w:val="en-GB"/>
              </w:rPr>
            </w:pPr>
          </w:p>
          <w:p w14:paraId="53788ABB" w14:textId="77777777" w:rsidR="00C23909" w:rsidRPr="00225255" w:rsidRDefault="00C23909" w:rsidP="00C23909">
            <w:pPr>
              <w:pStyle w:val="Marginlie"/>
              <w:rPr>
                <w:spacing w:val="-3"/>
                <w:lang w:val="en-GB"/>
              </w:rPr>
            </w:pPr>
          </w:p>
          <w:p w14:paraId="526F0D16" w14:textId="77777777" w:rsidR="00C23909" w:rsidRPr="00225255" w:rsidRDefault="00C23909" w:rsidP="00C23909">
            <w:pPr>
              <w:pStyle w:val="Marginlie"/>
              <w:rPr>
                <w:spacing w:val="-3"/>
                <w:lang w:val="en-GB"/>
              </w:rPr>
            </w:pPr>
          </w:p>
          <w:p w14:paraId="0955E714" w14:textId="77777777" w:rsidR="00C23909" w:rsidRPr="00225255" w:rsidRDefault="00C23909" w:rsidP="00C23909">
            <w:pPr>
              <w:pStyle w:val="Marginlie"/>
              <w:rPr>
                <w:spacing w:val="-3"/>
                <w:lang w:val="en-GB"/>
              </w:rPr>
            </w:pPr>
          </w:p>
          <w:p w14:paraId="3F8E94D3" w14:textId="77777777" w:rsidR="00C23909" w:rsidRPr="00225255" w:rsidRDefault="00C23909" w:rsidP="00C23909">
            <w:pPr>
              <w:pStyle w:val="Marginlie"/>
              <w:rPr>
                <w:spacing w:val="-3"/>
                <w:lang w:val="en-GB"/>
              </w:rPr>
            </w:pPr>
          </w:p>
          <w:p w14:paraId="5BF04315" w14:textId="07E8903D" w:rsidR="00C23909" w:rsidRPr="00225255" w:rsidRDefault="00C23909" w:rsidP="00C23909">
            <w:pPr>
              <w:pStyle w:val="Marginlie"/>
              <w:rPr>
                <w:spacing w:val="-5"/>
                <w:lang w:val="en-GB"/>
              </w:rPr>
            </w:pPr>
            <w:r>
              <w:rPr>
                <w:spacing w:val="-3"/>
                <w:lang w:val="en-GB"/>
              </w:rPr>
              <w:lastRenderedPageBreak/>
              <w:t>Sharp growth for the non-investment purchases in the year before the last markedly dampened in year 2</w:t>
            </w:r>
            <w:r w:rsidRPr="00225255">
              <w:rPr>
                <w:spacing w:val="-3"/>
                <w:lang w:val="en-GB"/>
              </w:rPr>
              <w:t>021</w:t>
            </w:r>
            <w:r>
              <w:rPr>
                <w:spacing w:val="-3"/>
                <w:lang w:val="en-GB"/>
              </w:rPr>
              <w:t xml:space="preserve">. </w:t>
            </w:r>
          </w:p>
        </w:tc>
        <w:tc>
          <w:tcPr>
            <w:tcW w:w="217" w:type="dxa"/>
            <w:shd w:val="clear" w:color="auto" w:fill="auto"/>
            <w:tcMar>
              <w:left w:w="0" w:type="dxa"/>
            </w:tcMar>
          </w:tcPr>
          <w:p w14:paraId="2B4A7411" w14:textId="77777777" w:rsidR="00C23909" w:rsidRPr="00225255" w:rsidRDefault="00C23909" w:rsidP="00C23909">
            <w:pPr>
              <w:pStyle w:val="Textpoznpodarou"/>
              <w:jc w:val="both"/>
              <w:rPr>
                <w:spacing w:val="-4"/>
                <w:lang w:val="en-GB"/>
              </w:rPr>
            </w:pPr>
          </w:p>
        </w:tc>
        <w:tc>
          <w:tcPr>
            <w:tcW w:w="7720" w:type="dxa"/>
            <w:shd w:val="clear" w:color="auto" w:fill="auto"/>
            <w:tcMar>
              <w:left w:w="0" w:type="dxa"/>
            </w:tcMar>
          </w:tcPr>
          <w:p w14:paraId="6253782E" w14:textId="39125574" w:rsidR="00C23909" w:rsidRPr="00225255" w:rsidRDefault="00C23909" w:rsidP="00C23909">
            <w:pPr>
              <w:spacing w:after="200"/>
              <w:rPr>
                <w:spacing w:val="-2"/>
                <w:lang w:val="en-GB"/>
              </w:rPr>
            </w:pPr>
            <w:r>
              <w:rPr>
                <w:spacing w:val="-2"/>
                <w:lang w:val="en-GB"/>
              </w:rPr>
              <w:t xml:space="preserve">Raised payments per state insured persons </w:t>
            </w:r>
            <w:r w:rsidRPr="00225255">
              <w:rPr>
                <w:color w:val="0D0D0D" w:themeColor="text1" w:themeTint="F2"/>
                <w:spacing w:val="-2"/>
                <w:lang w:val="en-GB"/>
              </w:rPr>
              <w:t>(</w:t>
            </w:r>
            <w:r>
              <w:rPr>
                <w:color w:val="0D0D0D" w:themeColor="text1" w:themeTint="F2"/>
                <w:spacing w:val="-2"/>
                <w:lang w:val="en-GB"/>
              </w:rPr>
              <w:t xml:space="preserve">with growth of </w:t>
            </w:r>
            <w:r w:rsidRPr="00225255">
              <w:rPr>
                <w:color w:val="0D0D0D" w:themeColor="text1" w:themeTint="F2"/>
                <w:spacing w:val="-2"/>
                <w:lang w:val="en-GB"/>
              </w:rPr>
              <w:t>30%)</w:t>
            </w:r>
            <w:r>
              <w:rPr>
                <w:color w:val="0D0D0D" w:themeColor="text1" w:themeTint="F2"/>
                <w:spacing w:val="-2"/>
                <w:lang w:val="en-GB"/>
              </w:rPr>
              <w:t xml:space="preserve"> and further the non-investment transfers to commercial entities </w:t>
            </w:r>
            <w:r w:rsidRPr="00225255">
              <w:rPr>
                <w:color w:val="0D0D0D" w:themeColor="text1" w:themeTint="F2"/>
                <w:spacing w:val="-5"/>
                <w:lang w:val="en-GB"/>
              </w:rPr>
              <w:t>(+18%),</w:t>
            </w:r>
            <w:r>
              <w:rPr>
                <w:color w:val="0D0D0D" w:themeColor="text1" w:themeTint="F2"/>
                <w:spacing w:val="-5"/>
                <w:lang w:val="en-GB"/>
              </w:rPr>
              <w:t xml:space="preserve"> whose drawing significantly overtook the budget </w:t>
            </w:r>
            <w:r w:rsidRPr="00FC79D0">
              <w:rPr>
                <w:color w:val="0D0D0D" w:themeColor="text1" w:themeTint="F2"/>
                <w:spacing w:val="-5"/>
                <w:lang w:val="en-GB"/>
              </w:rPr>
              <w:t xml:space="preserve">anticipations (+19 CZK bn), were instrumental in the last year’s strengthening of the </w:t>
            </w:r>
            <w:r w:rsidR="00A06545">
              <w:rPr>
                <w:color w:val="0D0D0D" w:themeColor="text1" w:themeTint="F2"/>
                <w:spacing w:val="-5"/>
                <w:lang w:val="en-GB"/>
              </w:rPr>
              <w:t xml:space="preserve">total </w:t>
            </w:r>
            <w:r w:rsidRPr="00FC79D0">
              <w:rPr>
                <w:color w:val="0D0D0D" w:themeColor="text1" w:themeTint="F2"/>
                <w:spacing w:val="-5"/>
                <w:lang w:val="en-GB"/>
              </w:rPr>
              <w:t xml:space="preserve">current expenditures </w:t>
            </w:r>
            <w:r w:rsidRPr="00FC79D0">
              <w:rPr>
                <w:color w:val="0D0D0D" w:themeColor="text1" w:themeTint="F2"/>
                <w:spacing w:val="-2"/>
                <w:lang w:val="en-GB"/>
              </w:rPr>
              <w:t xml:space="preserve">(+59.2 CZK bn) </w:t>
            </w:r>
            <w:r w:rsidRPr="00FC79D0">
              <w:rPr>
                <w:color w:val="0D0D0D" w:themeColor="text1" w:themeTint="F2"/>
                <w:spacing w:val="-5"/>
                <w:lang w:val="en-GB"/>
              </w:rPr>
              <w:t>year-on-year.</w:t>
            </w:r>
            <w:r w:rsidRPr="00FC79D0">
              <w:rPr>
                <w:spacing w:val="-5"/>
                <w:lang w:val="en-GB"/>
              </w:rPr>
              <w:t xml:space="preserve"> T</w:t>
            </w:r>
            <w:r>
              <w:rPr>
                <w:spacing w:val="-5"/>
                <w:lang w:val="en-GB"/>
              </w:rPr>
              <w:t xml:space="preserve">hese transfers concentrate the decisive part of the support measures </w:t>
            </w:r>
            <w:r w:rsidRPr="00FC79D0">
              <w:rPr>
                <w:spacing w:val="-5"/>
                <w:lang w:val="en-GB"/>
              </w:rPr>
              <w:t>(program</w:t>
            </w:r>
            <w:r>
              <w:rPr>
                <w:spacing w:val="-5"/>
                <w:lang w:val="en-GB"/>
              </w:rPr>
              <w:t>me</w:t>
            </w:r>
            <w:r w:rsidRPr="00FC79D0">
              <w:rPr>
                <w:spacing w:val="-5"/>
                <w:lang w:val="en-GB"/>
              </w:rPr>
              <w:t xml:space="preserve"> Antivirus, </w:t>
            </w:r>
            <w:r>
              <w:rPr>
                <w:spacing w:val="-5"/>
                <w:lang w:val="en-GB"/>
              </w:rPr>
              <w:t>support of companies in the most hit branches, care benefits for the self-employed</w:t>
            </w:r>
            <w:r w:rsidRPr="00FC79D0">
              <w:rPr>
                <w:spacing w:val="-5"/>
                <w:lang w:val="en-GB"/>
              </w:rPr>
              <w:t>).</w:t>
            </w:r>
            <w:r>
              <w:rPr>
                <w:spacing w:val="-5"/>
                <w:lang w:val="en-GB"/>
              </w:rPr>
              <w:t xml:space="preserve"> Even despite milder growth </w:t>
            </w:r>
            <w:r w:rsidRPr="00FC79D0">
              <w:rPr>
                <w:spacing w:val="-5"/>
                <w:lang w:val="en-GB"/>
              </w:rPr>
              <w:t>(+5</w:t>
            </w:r>
            <w:r>
              <w:rPr>
                <w:spacing w:val="-5"/>
                <w:lang w:val="en-GB"/>
              </w:rPr>
              <w:t>.</w:t>
            </w:r>
            <w:r w:rsidRPr="00FC79D0">
              <w:rPr>
                <w:spacing w:val="-5"/>
                <w:lang w:val="en-GB"/>
              </w:rPr>
              <w:t>9%)</w:t>
            </w:r>
            <w:r>
              <w:rPr>
                <w:spacing w:val="-5"/>
                <w:lang w:val="en-GB"/>
              </w:rPr>
              <w:t>, the current transfers to regional budgets significant by volume also had substantial impact, which was associated with the continuing growth of wages in the regional education</w:t>
            </w:r>
            <w:r w:rsidRPr="00FC79D0">
              <w:rPr>
                <w:rStyle w:val="Znakapoznpodarou"/>
                <w:spacing w:val="-5"/>
                <w:lang w:val="en-GB"/>
              </w:rPr>
              <w:footnoteReference w:id="14"/>
            </w:r>
            <w:r w:rsidRPr="00FC79D0">
              <w:rPr>
                <w:spacing w:val="-5"/>
                <w:lang w:val="en-GB"/>
              </w:rPr>
              <w:t>,</w:t>
            </w:r>
            <w:r>
              <w:rPr>
                <w:spacing w:val="-5"/>
                <w:lang w:val="en-GB"/>
              </w:rPr>
              <w:t xml:space="preserve"> with increased financing of the social services and to a lesser extent also with the extraordinary bonuses to employees in the hospital bed care</w:t>
            </w:r>
            <w:r w:rsidRPr="00FC79D0">
              <w:rPr>
                <w:spacing w:val="-5"/>
                <w:lang w:val="en-GB"/>
              </w:rPr>
              <w:t>. T</w:t>
            </w:r>
            <w:r>
              <w:rPr>
                <w:spacing w:val="-5"/>
                <w:lang w:val="en-GB"/>
              </w:rPr>
              <w:t xml:space="preserve">hese bonuses were also reflected in the transfers to the state cofinanced organisations, which however slightly fell in total </w:t>
            </w:r>
            <w:r w:rsidRPr="00FC79D0">
              <w:rPr>
                <w:spacing w:val="-5"/>
                <w:lang w:val="en-GB"/>
              </w:rPr>
              <w:t>(</w:t>
            </w:r>
            <w:r>
              <w:rPr>
                <w:spacing w:val="-5"/>
                <w:lang w:val="en-GB"/>
              </w:rPr>
              <w:t xml:space="preserve">by </w:t>
            </w:r>
            <w:r w:rsidRPr="00FC79D0">
              <w:rPr>
                <w:spacing w:val="-5"/>
                <w:lang w:val="en-GB"/>
              </w:rPr>
              <w:t>3</w:t>
            </w:r>
            <w:r>
              <w:rPr>
                <w:spacing w:val="-5"/>
                <w:lang w:val="en-GB"/>
              </w:rPr>
              <w:t>.</w:t>
            </w:r>
            <w:r w:rsidRPr="00FC79D0">
              <w:rPr>
                <w:spacing w:val="-5"/>
                <w:lang w:val="en-GB"/>
              </w:rPr>
              <w:t>5%),</w:t>
            </w:r>
            <w:r>
              <w:rPr>
                <w:spacing w:val="-5"/>
                <w:lang w:val="en-GB"/>
              </w:rPr>
              <w:t xml:space="preserve"> since the expenditures on the debt elimination realised in year </w:t>
            </w:r>
            <w:r w:rsidRPr="00FC79D0">
              <w:rPr>
                <w:spacing w:val="-5"/>
                <w:lang w:val="en-GB"/>
              </w:rPr>
              <w:t>2020</w:t>
            </w:r>
            <w:r>
              <w:rPr>
                <w:spacing w:val="-5"/>
                <w:lang w:val="en-GB"/>
              </w:rPr>
              <w:t xml:space="preserve"> did not repeat last year. </w:t>
            </w:r>
            <w:r>
              <w:rPr>
                <w:spacing w:val="-5"/>
                <w:lang w:val="en-GB"/>
              </w:rPr>
              <w:lastRenderedPageBreak/>
              <w:t>The expenditures on non-investment purchases were also linked to the pandemics</w:t>
            </w:r>
            <w:r w:rsidRPr="00FC79D0">
              <w:rPr>
                <w:rStyle w:val="Znakapoznpodarou"/>
                <w:spacing w:val="-5"/>
                <w:lang w:val="en-GB"/>
              </w:rPr>
              <w:footnoteReference w:id="15"/>
            </w:r>
            <w:r w:rsidRPr="00FC79D0">
              <w:rPr>
                <w:spacing w:val="-5"/>
                <w:lang w:val="en-GB"/>
              </w:rPr>
              <w:t>.</w:t>
            </w:r>
            <w:r>
              <w:rPr>
                <w:spacing w:val="-5"/>
                <w:lang w:val="en-GB"/>
              </w:rPr>
              <w:t xml:space="preserve"> Compared to their record size from year 2020 </w:t>
            </w:r>
            <w:r w:rsidRPr="00FC79D0">
              <w:rPr>
                <w:spacing w:val="-5"/>
                <w:lang w:val="en-GB"/>
              </w:rPr>
              <w:t>(77</w:t>
            </w:r>
            <w:r>
              <w:rPr>
                <w:spacing w:val="-5"/>
                <w:lang w:val="en-GB"/>
              </w:rPr>
              <w:t>.</w:t>
            </w:r>
            <w:r w:rsidRPr="00FC79D0">
              <w:rPr>
                <w:spacing w:val="-5"/>
                <w:lang w:val="en-GB"/>
              </w:rPr>
              <w:t>9</w:t>
            </w:r>
            <w:r>
              <w:rPr>
                <w:spacing w:val="-5"/>
                <w:lang w:val="en-GB"/>
              </w:rPr>
              <w:t xml:space="preserve"> CZK bn</w:t>
            </w:r>
            <w:r w:rsidRPr="00FC79D0">
              <w:rPr>
                <w:spacing w:val="-5"/>
                <w:lang w:val="en-GB"/>
              </w:rPr>
              <w:t>)</w:t>
            </w:r>
            <w:r>
              <w:rPr>
                <w:spacing w:val="-5"/>
                <w:lang w:val="en-GB"/>
              </w:rPr>
              <w:t xml:space="preserve">, they increased only slightly </w:t>
            </w:r>
            <w:r w:rsidRPr="00FC79D0">
              <w:rPr>
                <w:spacing w:val="-5"/>
                <w:lang w:val="en-GB"/>
              </w:rPr>
              <w:t>(+1</w:t>
            </w:r>
            <w:r>
              <w:rPr>
                <w:spacing w:val="-5"/>
                <w:lang w:val="en-GB"/>
              </w:rPr>
              <w:t>.</w:t>
            </w:r>
            <w:r w:rsidRPr="00FC79D0">
              <w:rPr>
                <w:spacing w:val="-5"/>
                <w:lang w:val="en-GB"/>
              </w:rPr>
              <w:t>6%).</w:t>
            </w:r>
            <w:r>
              <w:rPr>
                <w:spacing w:val="-5"/>
                <w:lang w:val="en-GB"/>
              </w:rPr>
              <w:t xml:space="preserve"> Lower need of protective equipment and medical goods was to a large part substituted by higher expenditures on purchases of vaccines</w:t>
            </w:r>
            <w:r w:rsidRPr="00FC79D0">
              <w:rPr>
                <w:spacing w:val="-5"/>
                <w:lang w:val="en-GB"/>
              </w:rPr>
              <w:t>.</w:t>
            </w:r>
            <w:r>
              <w:rPr>
                <w:spacing w:val="-5"/>
                <w:lang w:val="en-GB"/>
              </w:rPr>
              <w:t xml:space="preserve"> The rate of growth of expenditures on wages </w:t>
            </w:r>
            <w:r w:rsidRPr="00FC79D0">
              <w:rPr>
                <w:spacing w:val="-5"/>
                <w:lang w:val="en-GB"/>
              </w:rPr>
              <w:t>(</w:t>
            </w:r>
            <w:r>
              <w:rPr>
                <w:spacing w:val="-5"/>
                <w:lang w:val="en-GB"/>
              </w:rPr>
              <w:t>and related expenditures</w:t>
            </w:r>
            <w:r w:rsidRPr="00FC79D0">
              <w:rPr>
                <w:spacing w:val="-5"/>
                <w:lang w:val="en-GB"/>
              </w:rPr>
              <w:t>)</w:t>
            </w:r>
            <w:r>
              <w:rPr>
                <w:spacing w:val="-5"/>
                <w:lang w:val="en-GB"/>
              </w:rPr>
              <w:t xml:space="preserve"> in the organisational units of the state eased pace for the third year in a row. These expenditures increased by </w:t>
            </w:r>
            <w:r w:rsidRPr="00FC79D0">
              <w:rPr>
                <w:spacing w:val="-5"/>
                <w:lang w:val="en-GB"/>
              </w:rPr>
              <w:t>1</w:t>
            </w:r>
            <w:r>
              <w:rPr>
                <w:spacing w:val="-5"/>
                <w:lang w:val="en-GB"/>
              </w:rPr>
              <w:t>.</w:t>
            </w:r>
            <w:r w:rsidRPr="00FC79D0">
              <w:rPr>
                <w:spacing w:val="-5"/>
                <w:lang w:val="en-GB"/>
              </w:rPr>
              <w:t>3%</w:t>
            </w:r>
            <w:r>
              <w:rPr>
                <w:spacing w:val="-5"/>
                <w:lang w:val="en-GB"/>
              </w:rPr>
              <w:t xml:space="preserve"> year-on-year last year</w:t>
            </w:r>
            <w:r w:rsidRPr="00FC79D0">
              <w:rPr>
                <w:spacing w:val="-5"/>
                <w:lang w:val="en-GB"/>
              </w:rPr>
              <w:t xml:space="preserve">, </w:t>
            </w:r>
            <w:r>
              <w:rPr>
                <w:spacing w:val="-5"/>
                <w:lang w:val="en-GB"/>
              </w:rPr>
              <w:t>the least in the last nine years</w:t>
            </w:r>
            <w:r w:rsidRPr="00FC79D0">
              <w:rPr>
                <w:spacing w:val="-5"/>
                <w:lang w:val="en-GB"/>
              </w:rPr>
              <w:t>.</w:t>
            </w:r>
            <w:r>
              <w:rPr>
                <w:spacing w:val="-5"/>
                <w:lang w:val="en-GB"/>
              </w:rPr>
              <w:t xml:space="preserve"> The majority of growth was associated to the agendas more intensively employed in the fight with the pandemics </w:t>
            </w:r>
            <w:r w:rsidRPr="00FC79D0">
              <w:rPr>
                <w:spacing w:val="-5"/>
                <w:lang w:val="en-GB"/>
              </w:rPr>
              <w:t>(</w:t>
            </w:r>
            <w:r>
              <w:rPr>
                <w:spacing w:val="-5"/>
                <w:lang w:val="en-GB"/>
              </w:rPr>
              <w:t>e.g. police, army, sanitary services</w:t>
            </w:r>
            <w:r w:rsidRPr="00FC79D0">
              <w:rPr>
                <w:spacing w:val="-5"/>
                <w:lang w:val="en-GB"/>
              </w:rPr>
              <w:t>).</w:t>
            </w:r>
          </w:p>
        </w:tc>
      </w:tr>
      <w:tr w:rsidR="00C23909" w:rsidRPr="008266F0" w14:paraId="41B376FA" w14:textId="77777777" w:rsidTr="008E039E">
        <w:trPr>
          <w:trHeight w:val="145"/>
        </w:trPr>
        <w:tc>
          <w:tcPr>
            <w:tcW w:w="1732" w:type="dxa"/>
            <w:shd w:val="clear" w:color="auto" w:fill="auto"/>
            <w:tcMar>
              <w:left w:w="0" w:type="dxa"/>
            </w:tcMar>
          </w:tcPr>
          <w:p w14:paraId="3DD66C09" w14:textId="776A016F" w:rsidR="00C23909" w:rsidRPr="001C064B" w:rsidRDefault="00C23909" w:rsidP="00C23909">
            <w:pPr>
              <w:pStyle w:val="Marginlie"/>
              <w:rPr>
                <w:spacing w:val="-3"/>
                <w:lang w:val="en-GB"/>
              </w:rPr>
            </w:pPr>
            <w:r>
              <w:rPr>
                <w:spacing w:val="-3"/>
                <w:lang w:val="en-GB"/>
              </w:rPr>
              <w:lastRenderedPageBreak/>
              <w:t xml:space="preserve">Proportion of SB expenditures allocated on the social benefits kept falling further. The pension account returned into a mild surplus. </w:t>
            </w:r>
          </w:p>
        </w:tc>
        <w:tc>
          <w:tcPr>
            <w:tcW w:w="217" w:type="dxa"/>
            <w:shd w:val="clear" w:color="auto" w:fill="auto"/>
            <w:tcMar>
              <w:left w:w="0" w:type="dxa"/>
            </w:tcMar>
          </w:tcPr>
          <w:p w14:paraId="65FB7D6B" w14:textId="77777777" w:rsidR="00C23909" w:rsidRPr="001C064B" w:rsidRDefault="00C23909" w:rsidP="00C23909">
            <w:pPr>
              <w:pStyle w:val="Textpoznpodarou"/>
              <w:jc w:val="both"/>
              <w:rPr>
                <w:spacing w:val="-4"/>
                <w:lang w:val="en-GB"/>
              </w:rPr>
            </w:pPr>
          </w:p>
        </w:tc>
        <w:tc>
          <w:tcPr>
            <w:tcW w:w="7720" w:type="dxa"/>
            <w:shd w:val="clear" w:color="auto" w:fill="auto"/>
            <w:tcMar>
              <w:left w:w="0" w:type="dxa"/>
            </w:tcMar>
          </w:tcPr>
          <w:p w14:paraId="7C075E24" w14:textId="0B70FA8B" w:rsidR="00C23909" w:rsidRPr="001C064B" w:rsidRDefault="00C23909" w:rsidP="00C23909">
            <w:pPr>
              <w:spacing w:after="200"/>
              <w:rPr>
                <w:spacing w:val="-3"/>
                <w:lang w:val="en-GB"/>
              </w:rPr>
            </w:pPr>
            <w:r>
              <w:rPr>
                <w:spacing w:val="-3"/>
                <w:lang w:val="en-GB"/>
              </w:rPr>
              <w:t>Resources on social benefits, which represent the weight dominant SB expenditure</w:t>
            </w:r>
            <w:r w:rsidRPr="001C064B">
              <w:rPr>
                <w:rStyle w:val="Znakapoznpodarou"/>
                <w:spacing w:val="-3"/>
                <w:lang w:val="en-GB"/>
              </w:rPr>
              <w:footnoteReference w:id="16"/>
            </w:r>
            <w:r>
              <w:rPr>
                <w:spacing w:val="-3"/>
                <w:lang w:val="en-GB"/>
              </w:rPr>
              <w:t xml:space="preserve"> in the long-term</w:t>
            </w:r>
            <w:r w:rsidRPr="001C064B">
              <w:rPr>
                <w:spacing w:val="-3"/>
                <w:lang w:val="en-GB"/>
              </w:rPr>
              <w:t>,</w:t>
            </w:r>
            <w:r>
              <w:rPr>
                <w:spacing w:val="-3"/>
                <w:lang w:val="en-GB"/>
              </w:rPr>
              <w:t xml:space="preserve"> increased by </w:t>
            </w:r>
            <w:r w:rsidRPr="001C064B">
              <w:rPr>
                <w:spacing w:val="-3"/>
                <w:lang w:val="en-GB"/>
              </w:rPr>
              <w:t>0</w:t>
            </w:r>
            <w:r>
              <w:rPr>
                <w:spacing w:val="-3"/>
                <w:lang w:val="en-GB"/>
              </w:rPr>
              <w:t>.</w:t>
            </w:r>
            <w:r w:rsidRPr="001C064B">
              <w:rPr>
                <w:spacing w:val="-3"/>
                <w:lang w:val="en-GB"/>
              </w:rPr>
              <w:t>8%</w:t>
            </w:r>
            <w:r>
              <w:rPr>
                <w:spacing w:val="-3"/>
                <w:lang w:val="en-GB"/>
              </w:rPr>
              <w:t xml:space="preserve"> year-on-year last year</w:t>
            </w:r>
            <w:r w:rsidRPr="001C064B">
              <w:rPr>
                <w:spacing w:val="-3"/>
                <w:lang w:val="en-GB"/>
              </w:rPr>
              <w:t>,</w:t>
            </w:r>
            <w:r>
              <w:rPr>
                <w:spacing w:val="-3"/>
                <w:lang w:val="en-GB"/>
              </w:rPr>
              <w:t xml:space="preserve"> when they escalated to </w:t>
            </w:r>
            <w:r w:rsidRPr="001C064B">
              <w:rPr>
                <w:spacing w:val="-3"/>
                <w:lang w:val="en-GB"/>
              </w:rPr>
              <w:t>14</w:t>
            </w:r>
            <w:r>
              <w:rPr>
                <w:spacing w:val="-3"/>
                <w:lang w:val="en-GB"/>
              </w:rPr>
              <w:t>.</w:t>
            </w:r>
            <w:r w:rsidRPr="001C064B">
              <w:rPr>
                <w:spacing w:val="-3"/>
                <w:lang w:val="en-GB"/>
              </w:rPr>
              <w:t>2%</w:t>
            </w:r>
            <w:r w:rsidRPr="001C064B">
              <w:rPr>
                <w:rStyle w:val="Znakapoznpodarou"/>
                <w:spacing w:val="-3"/>
                <w:lang w:val="en-GB"/>
              </w:rPr>
              <w:footnoteReference w:id="17"/>
            </w:r>
            <w:r>
              <w:rPr>
                <w:spacing w:val="-3"/>
                <w:lang w:val="en-GB"/>
              </w:rPr>
              <w:t xml:space="preserve"> in year 2020</w:t>
            </w:r>
            <w:r w:rsidRPr="001C064B">
              <w:rPr>
                <w:spacing w:val="-3"/>
                <w:lang w:val="en-GB"/>
              </w:rPr>
              <w:t xml:space="preserve">. </w:t>
            </w:r>
            <w:r>
              <w:rPr>
                <w:spacing w:val="-3"/>
                <w:lang w:val="en-GB"/>
              </w:rPr>
              <w:t xml:space="preserve">In contrast to year </w:t>
            </w:r>
            <w:r w:rsidRPr="001C064B">
              <w:rPr>
                <w:spacing w:val="-3"/>
                <w:lang w:val="en-GB"/>
              </w:rPr>
              <w:t>2020</w:t>
            </w:r>
            <w:r>
              <w:rPr>
                <w:spacing w:val="-3"/>
                <w:lang w:val="en-GB"/>
              </w:rPr>
              <w:t xml:space="preserve">, the last year’s growth was saturated exclusively by higher expenditure on pensions </w:t>
            </w:r>
            <w:r w:rsidRPr="001C064B">
              <w:rPr>
                <w:spacing w:val="-3"/>
                <w:lang w:val="en-GB"/>
              </w:rPr>
              <w:t>(+2</w:t>
            </w:r>
            <w:r>
              <w:rPr>
                <w:spacing w:val="-3"/>
                <w:lang w:val="en-GB"/>
              </w:rPr>
              <w:t>.</w:t>
            </w:r>
            <w:r w:rsidRPr="001C064B">
              <w:rPr>
                <w:spacing w:val="-3"/>
                <w:lang w:val="en-GB"/>
              </w:rPr>
              <w:t xml:space="preserve">1%). </w:t>
            </w:r>
            <w:r>
              <w:rPr>
                <w:spacing w:val="-3"/>
                <w:lang w:val="en-GB"/>
              </w:rPr>
              <w:t xml:space="preserve">Weaker pace of the growth of pensions is connected to the pay out of one-off allowance to all pensioners in December </w:t>
            </w:r>
            <w:r w:rsidRPr="001C064B">
              <w:rPr>
                <w:spacing w:val="-3"/>
                <w:lang w:val="en-GB"/>
              </w:rPr>
              <w:t>2020</w:t>
            </w:r>
            <w:r w:rsidRPr="001C064B">
              <w:rPr>
                <w:rStyle w:val="Znakapoznpodarou"/>
                <w:spacing w:val="-3"/>
                <w:lang w:val="en-GB"/>
              </w:rPr>
              <w:footnoteReference w:id="18"/>
            </w:r>
            <w:r w:rsidRPr="001C064B">
              <w:rPr>
                <w:spacing w:val="-3"/>
                <w:lang w:val="en-GB"/>
              </w:rPr>
              <w:t>.</w:t>
            </w:r>
            <w:r>
              <w:rPr>
                <w:spacing w:val="-3"/>
                <w:lang w:val="en-GB"/>
              </w:rPr>
              <w:t xml:space="preserve"> </w:t>
            </w:r>
            <w:r w:rsidRPr="001C064B">
              <w:rPr>
                <w:spacing w:val="-3"/>
                <w:lang w:val="en-GB"/>
              </w:rPr>
              <w:t xml:space="preserve"> </w:t>
            </w:r>
            <w:r>
              <w:rPr>
                <w:spacing w:val="-3"/>
                <w:lang w:val="en-GB"/>
              </w:rPr>
              <w:t>The decline of the number of pension recipients (by nearly 1%) also had an effect to a lesser extent. Revenues of the pension insurance compared to weaker basis of year 2</w:t>
            </w:r>
            <w:r w:rsidRPr="001C064B">
              <w:rPr>
                <w:rFonts w:cs="Arial"/>
                <w:color w:val="0D0D0D" w:themeColor="text1" w:themeTint="F2"/>
                <w:spacing w:val="-5"/>
                <w:lang w:val="en-GB"/>
              </w:rPr>
              <w:t>020</w:t>
            </w:r>
            <w:r w:rsidRPr="001C064B">
              <w:rPr>
                <w:rStyle w:val="Znakapoznpodarou"/>
                <w:color w:val="0D0D0D" w:themeColor="text1" w:themeTint="F2"/>
                <w:spacing w:val="-5"/>
                <w:lang w:val="en-GB"/>
              </w:rPr>
              <w:footnoteReference w:id="19"/>
            </w:r>
            <w:r>
              <w:rPr>
                <w:rFonts w:cs="Arial"/>
                <w:color w:val="0D0D0D" w:themeColor="text1" w:themeTint="F2"/>
                <w:spacing w:val="-5"/>
                <w:lang w:val="en-GB"/>
              </w:rPr>
              <w:t xml:space="preserve"> increased by </w:t>
            </w:r>
            <w:r w:rsidRPr="001C064B">
              <w:rPr>
                <w:rFonts w:cs="Arial"/>
                <w:color w:val="0D0D0D" w:themeColor="text1" w:themeTint="F2"/>
                <w:spacing w:val="-5"/>
                <w:lang w:val="en-GB"/>
              </w:rPr>
              <w:t>9</w:t>
            </w:r>
            <w:r>
              <w:rPr>
                <w:rFonts w:cs="Arial"/>
                <w:color w:val="0D0D0D" w:themeColor="text1" w:themeTint="F2"/>
                <w:spacing w:val="-5"/>
                <w:lang w:val="en-GB"/>
              </w:rPr>
              <w:t>.</w:t>
            </w:r>
            <w:r w:rsidRPr="001C064B">
              <w:rPr>
                <w:rFonts w:cs="Arial"/>
                <w:color w:val="0D0D0D" w:themeColor="text1" w:themeTint="F2"/>
                <w:spacing w:val="-5"/>
                <w:lang w:val="en-GB"/>
              </w:rPr>
              <w:t>8%</w:t>
            </w:r>
            <w:r>
              <w:rPr>
                <w:rFonts w:cs="Arial"/>
                <w:color w:val="0D0D0D" w:themeColor="text1" w:themeTint="F2"/>
                <w:spacing w:val="-5"/>
                <w:lang w:val="en-GB"/>
              </w:rPr>
              <w:t xml:space="preserve"> last year</w:t>
            </w:r>
            <w:r w:rsidRPr="001C064B">
              <w:rPr>
                <w:rFonts w:cs="Arial"/>
                <w:color w:val="0D0D0D" w:themeColor="text1" w:themeTint="F2"/>
                <w:spacing w:val="-5"/>
                <w:lang w:val="en-GB"/>
              </w:rPr>
              <w:t>.</w:t>
            </w:r>
            <w:r>
              <w:rPr>
                <w:rFonts w:cs="Arial"/>
                <w:color w:val="0D0D0D" w:themeColor="text1" w:themeTint="F2"/>
                <w:spacing w:val="-5"/>
                <w:lang w:val="en-GB"/>
              </w:rPr>
              <w:t xml:space="preserve"> The pension account balance</w:t>
            </w:r>
            <w:r w:rsidRPr="001C064B">
              <w:rPr>
                <w:rStyle w:val="Znakapoznpodarou"/>
                <w:color w:val="0D0D0D" w:themeColor="text1" w:themeTint="F2"/>
                <w:spacing w:val="-5"/>
                <w:lang w:val="en-GB"/>
              </w:rPr>
              <w:footnoteReference w:id="20"/>
            </w:r>
            <w:r w:rsidRPr="001C064B">
              <w:rPr>
                <w:rFonts w:cs="Arial"/>
                <w:color w:val="0D0D0D" w:themeColor="text1" w:themeTint="F2"/>
                <w:spacing w:val="-5"/>
                <w:lang w:val="en-GB"/>
              </w:rPr>
              <w:t xml:space="preserve"> </w:t>
            </w:r>
            <w:r>
              <w:rPr>
                <w:rFonts w:cs="Arial"/>
                <w:color w:val="0D0D0D" w:themeColor="text1" w:themeTint="F2"/>
                <w:spacing w:val="-5"/>
                <w:lang w:val="en-GB"/>
              </w:rPr>
              <w:t xml:space="preserve">thus following a mild slump in the first pandemic year </w:t>
            </w:r>
            <w:r w:rsidRPr="001C064B">
              <w:rPr>
                <w:rFonts w:cs="Arial"/>
                <w:color w:val="0D0D0D" w:themeColor="text1" w:themeTint="F2"/>
                <w:spacing w:val="-5"/>
                <w:lang w:val="en-GB"/>
              </w:rPr>
              <w:t>(</w:t>
            </w:r>
            <w:r w:rsidRPr="001C064B">
              <w:rPr>
                <w:spacing w:val="-4"/>
                <w:lang w:val="en-GB"/>
              </w:rPr>
              <w:t>–</w:t>
            </w:r>
            <w:r w:rsidRPr="001C064B">
              <w:rPr>
                <w:rFonts w:cs="Arial"/>
                <w:color w:val="0D0D0D" w:themeColor="text1" w:themeTint="F2"/>
                <w:spacing w:val="-5"/>
                <w:lang w:val="en-GB"/>
              </w:rPr>
              <w:t>34 </w:t>
            </w:r>
            <w:r>
              <w:rPr>
                <w:rFonts w:cs="Arial"/>
                <w:color w:val="0D0D0D" w:themeColor="text1" w:themeTint="F2"/>
                <w:spacing w:val="-5"/>
                <w:lang w:val="en-GB"/>
              </w:rPr>
              <w:t>CZK bn</w:t>
            </w:r>
            <w:r w:rsidRPr="001C064B">
              <w:rPr>
                <w:rFonts w:cs="Arial"/>
                <w:color w:val="0D0D0D" w:themeColor="text1" w:themeTint="F2"/>
                <w:spacing w:val="-5"/>
                <w:lang w:val="en-GB"/>
              </w:rPr>
              <w:t xml:space="preserve">) </w:t>
            </w:r>
            <w:r>
              <w:rPr>
                <w:rFonts w:cs="Arial"/>
                <w:color w:val="0D0D0D" w:themeColor="text1" w:themeTint="F2"/>
                <w:spacing w:val="-5"/>
                <w:lang w:val="en-GB"/>
              </w:rPr>
              <w:t xml:space="preserve">returned to a mild surplus last year </w:t>
            </w:r>
            <w:r w:rsidRPr="001C064B">
              <w:rPr>
                <w:rFonts w:cs="Arial"/>
                <w:color w:val="0D0D0D" w:themeColor="text1" w:themeTint="F2"/>
                <w:spacing w:val="-5"/>
                <w:lang w:val="en-GB"/>
              </w:rPr>
              <w:t>(+2 </w:t>
            </w:r>
            <w:r>
              <w:rPr>
                <w:rFonts w:cs="Arial"/>
                <w:color w:val="0D0D0D" w:themeColor="text1" w:themeTint="F2"/>
                <w:spacing w:val="-5"/>
                <w:lang w:val="en-GB"/>
              </w:rPr>
              <w:t>bn</w:t>
            </w:r>
            <w:r w:rsidRPr="001C064B">
              <w:rPr>
                <w:rFonts w:cs="Arial"/>
                <w:color w:val="0D0D0D" w:themeColor="text1" w:themeTint="F2"/>
                <w:spacing w:val="-5"/>
                <w:lang w:val="en-GB"/>
              </w:rPr>
              <w:t>).</w:t>
            </w:r>
          </w:p>
        </w:tc>
      </w:tr>
      <w:tr w:rsidR="00C23909" w:rsidRPr="008266F0" w14:paraId="61E6A1FE" w14:textId="77777777" w:rsidTr="008E039E">
        <w:trPr>
          <w:trHeight w:val="145"/>
        </w:trPr>
        <w:tc>
          <w:tcPr>
            <w:tcW w:w="1732" w:type="dxa"/>
            <w:shd w:val="clear" w:color="auto" w:fill="auto"/>
            <w:tcMar>
              <w:left w:w="0" w:type="dxa"/>
            </w:tcMar>
          </w:tcPr>
          <w:p w14:paraId="0FCEF80A" w14:textId="3BFF6EA7" w:rsidR="00C23909" w:rsidRDefault="00C23909" w:rsidP="00C23909">
            <w:pPr>
              <w:pStyle w:val="Marginlie"/>
              <w:rPr>
                <w:lang w:val="en-GB"/>
              </w:rPr>
            </w:pPr>
            <w:r>
              <w:rPr>
                <w:lang w:val="en-GB"/>
              </w:rPr>
              <w:t xml:space="preserve">Drawing of majority of non-pension social benefits went down thanks to the economic revival in year </w:t>
            </w:r>
            <w:r w:rsidRPr="007E4AC8">
              <w:rPr>
                <w:lang w:val="en-GB"/>
              </w:rPr>
              <w:t>2021</w:t>
            </w:r>
            <w:r>
              <w:rPr>
                <w:lang w:val="en-GB"/>
              </w:rPr>
              <w:t xml:space="preserve">. </w:t>
            </w:r>
          </w:p>
          <w:p w14:paraId="5144BEFB" w14:textId="77777777" w:rsidR="00C23909" w:rsidRPr="007E4AC8" w:rsidRDefault="00C23909" w:rsidP="00C23909">
            <w:pPr>
              <w:pStyle w:val="Marginlie"/>
              <w:rPr>
                <w:lang w:val="en-GB"/>
              </w:rPr>
            </w:pPr>
          </w:p>
          <w:p w14:paraId="120E4D0F" w14:textId="77777777" w:rsidR="00C23909" w:rsidRPr="007E4AC8" w:rsidRDefault="00C23909" w:rsidP="00C23909">
            <w:pPr>
              <w:pStyle w:val="Marginlie"/>
              <w:rPr>
                <w:lang w:val="en-GB"/>
              </w:rPr>
            </w:pPr>
          </w:p>
          <w:p w14:paraId="49AEFF7B" w14:textId="77777777" w:rsidR="00C23909" w:rsidRPr="007E4AC8" w:rsidRDefault="00C23909" w:rsidP="00C23909">
            <w:pPr>
              <w:pStyle w:val="Marginlie"/>
              <w:rPr>
                <w:lang w:val="en-GB"/>
              </w:rPr>
            </w:pPr>
          </w:p>
          <w:p w14:paraId="598BF304" w14:textId="77777777" w:rsidR="00C23909" w:rsidRPr="007E4AC8" w:rsidRDefault="00C23909" w:rsidP="00C23909">
            <w:pPr>
              <w:pStyle w:val="Marginlie"/>
              <w:rPr>
                <w:lang w:val="en-GB"/>
              </w:rPr>
            </w:pPr>
          </w:p>
          <w:p w14:paraId="68F6B86B" w14:textId="591C165C" w:rsidR="00C23909" w:rsidRPr="007E4AC8" w:rsidRDefault="00C23909" w:rsidP="00C23909">
            <w:pPr>
              <w:pStyle w:val="Marginlie"/>
              <w:rPr>
                <w:lang w:val="en-GB"/>
              </w:rPr>
            </w:pPr>
            <w:r>
              <w:rPr>
                <w:lang w:val="en-GB"/>
              </w:rPr>
              <w:t xml:space="preserve">Growth of expenditures on sickness benefits, maternity benefits as well as material deprivation benefits however continued. </w:t>
            </w:r>
          </w:p>
        </w:tc>
        <w:tc>
          <w:tcPr>
            <w:tcW w:w="217" w:type="dxa"/>
            <w:shd w:val="clear" w:color="auto" w:fill="auto"/>
            <w:tcMar>
              <w:left w:w="0" w:type="dxa"/>
            </w:tcMar>
          </w:tcPr>
          <w:p w14:paraId="5C0DC426" w14:textId="77777777" w:rsidR="00C23909" w:rsidRPr="007E4AC8" w:rsidRDefault="00C23909" w:rsidP="00C23909">
            <w:pPr>
              <w:pStyle w:val="Textpoznpodarou"/>
              <w:jc w:val="both"/>
              <w:rPr>
                <w:spacing w:val="-4"/>
                <w:lang w:val="en-GB"/>
              </w:rPr>
            </w:pPr>
          </w:p>
        </w:tc>
        <w:tc>
          <w:tcPr>
            <w:tcW w:w="7720" w:type="dxa"/>
            <w:shd w:val="clear" w:color="auto" w:fill="auto"/>
            <w:tcMar>
              <w:left w:w="0" w:type="dxa"/>
            </w:tcMar>
          </w:tcPr>
          <w:p w14:paraId="172AD97F" w14:textId="65F7A958" w:rsidR="00C23909" w:rsidRPr="007E4AC8" w:rsidRDefault="00C23909" w:rsidP="00C23909">
            <w:pPr>
              <w:spacing w:after="200"/>
              <w:rPr>
                <w:spacing w:val="-5"/>
                <w:lang w:val="en-GB"/>
              </w:rPr>
            </w:pPr>
            <w:r w:rsidRPr="007E4AC8">
              <w:rPr>
                <w:spacing w:val="-5"/>
                <w:lang w:val="en-GB"/>
              </w:rPr>
              <w:t>162 </w:t>
            </w:r>
            <w:r>
              <w:rPr>
                <w:spacing w:val="-5"/>
                <w:lang w:val="en-GB"/>
              </w:rPr>
              <w:t>CZK bn was directed on the non-pension social benefits last year</w:t>
            </w:r>
            <w:r w:rsidRPr="007E4AC8">
              <w:rPr>
                <w:spacing w:val="-5"/>
                <w:lang w:val="en-GB"/>
              </w:rPr>
              <w:t xml:space="preserve">, </w:t>
            </w:r>
            <w:r>
              <w:rPr>
                <w:spacing w:val="-5"/>
                <w:lang w:val="en-GB"/>
              </w:rPr>
              <w:t xml:space="preserve">by </w:t>
            </w:r>
            <w:r w:rsidRPr="007E4AC8">
              <w:rPr>
                <w:spacing w:val="-5"/>
                <w:lang w:val="en-GB"/>
              </w:rPr>
              <w:t>5</w:t>
            </w:r>
            <w:r>
              <w:rPr>
                <w:spacing w:val="-5"/>
                <w:lang w:val="en-GB"/>
              </w:rPr>
              <w:t>.</w:t>
            </w:r>
            <w:r w:rsidRPr="007E4AC8">
              <w:rPr>
                <w:spacing w:val="-5"/>
                <w:lang w:val="en-GB"/>
              </w:rPr>
              <w:t xml:space="preserve">7% </w:t>
            </w:r>
            <w:r>
              <w:rPr>
                <w:spacing w:val="-5"/>
                <w:lang w:val="en-GB"/>
              </w:rPr>
              <w:t xml:space="preserve">less year-on-year </w:t>
            </w:r>
            <w:r w:rsidRPr="007E4AC8">
              <w:rPr>
                <w:spacing w:val="-5"/>
                <w:lang w:val="en-GB"/>
              </w:rPr>
              <w:t>(</w:t>
            </w:r>
            <w:r>
              <w:rPr>
                <w:spacing w:val="-5"/>
                <w:lang w:val="en-GB"/>
              </w:rPr>
              <w:t xml:space="preserve">however expenditures rose by nearly one third compared to year </w:t>
            </w:r>
            <w:r w:rsidRPr="007E4AC8">
              <w:rPr>
                <w:spacing w:val="-5"/>
                <w:lang w:val="en-GB"/>
              </w:rPr>
              <w:t xml:space="preserve">2019). </w:t>
            </w:r>
            <w:r>
              <w:rPr>
                <w:spacing w:val="-5"/>
                <w:lang w:val="en-GB"/>
              </w:rPr>
              <w:t>Primarily the lower drawing of care benefits became evident</w:t>
            </w:r>
            <w:r w:rsidRPr="007E4AC8">
              <w:rPr>
                <w:spacing w:val="-5"/>
                <w:lang w:val="en-GB"/>
              </w:rPr>
              <w:t xml:space="preserve">, </w:t>
            </w:r>
            <w:r>
              <w:rPr>
                <w:spacing w:val="-5"/>
                <w:lang w:val="en-GB"/>
              </w:rPr>
              <w:t>which compared to the record level from year 2</w:t>
            </w:r>
            <w:r w:rsidRPr="007E4AC8">
              <w:rPr>
                <w:spacing w:val="-5"/>
                <w:lang w:val="en-GB"/>
              </w:rPr>
              <w:t>020 (11</w:t>
            </w:r>
            <w:r>
              <w:rPr>
                <w:spacing w:val="-5"/>
                <w:lang w:val="en-GB"/>
              </w:rPr>
              <w:t>.</w:t>
            </w:r>
            <w:r w:rsidRPr="007E4AC8">
              <w:rPr>
                <w:spacing w:val="-5"/>
                <w:lang w:val="en-GB"/>
              </w:rPr>
              <w:t>5</w:t>
            </w:r>
            <w:r>
              <w:rPr>
                <w:spacing w:val="-5"/>
                <w:lang w:val="en-GB"/>
              </w:rPr>
              <w:t xml:space="preserve"> CZK bn</w:t>
            </w:r>
            <w:r w:rsidRPr="007E4AC8">
              <w:rPr>
                <w:spacing w:val="-5"/>
                <w:lang w:val="en-GB"/>
              </w:rPr>
              <w:t>)</w:t>
            </w:r>
            <w:r>
              <w:rPr>
                <w:spacing w:val="-5"/>
                <w:lang w:val="en-GB"/>
              </w:rPr>
              <w:t xml:space="preserve"> slumped by more than one half</w:t>
            </w:r>
            <w:r w:rsidRPr="007E4AC8">
              <w:rPr>
                <w:spacing w:val="-5"/>
                <w:lang w:val="en-GB"/>
              </w:rPr>
              <w:t xml:space="preserve">. </w:t>
            </w:r>
            <w:r>
              <w:rPr>
                <w:spacing w:val="-5"/>
                <w:lang w:val="en-GB"/>
              </w:rPr>
              <w:t xml:space="preserve">Monetary benefits </w:t>
            </w:r>
            <w:r w:rsidRPr="007E4AC8">
              <w:rPr>
                <w:spacing w:val="-5"/>
                <w:lang w:val="en-GB"/>
              </w:rPr>
              <w:t>(+6</w:t>
            </w:r>
            <w:r>
              <w:rPr>
                <w:spacing w:val="-5"/>
                <w:lang w:val="en-GB"/>
              </w:rPr>
              <w:t>.</w:t>
            </w:r>
            <w:r w:rsidRPr="007E4AC8">
              <w:rPr>
                <w:spacing w:val="-5"/>
                <w:lang w:val="en-GB"/>
              </w:rPr>
              <w:t>9%)</w:t>
            </w:r>
            <w:r>
              <w:rPr>
                <w:spacing w:val="-5"/>
                <w:lang w:val="en-GB"/>
              </w:rPr>
              <w:t xml:space="preserve"> as well as the more significant by volume sickness benefits continued in growth last year </w:t>
            </w:r>
            <w:r w:rsidRPr="007E4AC8">
              <w:rPr>
                <w:spacing w:val="-5"/>
                <w:lang w:val="en-GB"/>
              </w:rPr>
              <w:t>(+3</w:t>
            </w:r>
            <w:r>
              <w:rPr>
                <w:spacing w:val="-5"/>
                <w:lang w:val="en-GB"/>
              </w:rPr>
              <w:t>.</w:t>
            </w:r>
            <w:r w:rsidRPr="007E4AC8">
              <w:rPr>
                <w:spacing w:val="-5"/>
                <w:lang w:val="en-GB"/>
              </w:rPr>
              <w:t xml:space="preserve">1%), </w:t>
            </w:r>
            <w:r>
              <w:rPr>
                <w:spacing w:val="-5"/>
                <w:lang w:val="en-GB"/>
              </w:rPr>
              <w:t xml:space="preserve">even though in the second case by markedly weaker pace than in the previous years. The growth of the volume of state social support benefits after the jump increase two years ago halted </w:t>
            </w:r>
            <w:r w:rsidRPr="007E4AC8">
              <w:rPr>
                <w:spacing w:val="-5"/>
                <w:lang w:val="en-GB"/>
              </w:rPr>
              <w:t>(–5</w:t>
            </w:r>
            <w:r>
              <w:rPr>
                <w:spacing w:val="-5"/>
                <w:lang w:val="en-GB"/>
              </w:rPr>
              <w:t>.</w:t>
            </w:r>
            <w:r w:rsidRPr="007E4AC8">
              <w:rPr>
                <w:spacing w:val="-5"/>
                <w:lang w:val="en-GB"/>
              </w:rPr>
              <w:t>5%),</w:t>
            </w:r>
            <w:r>
              <w:rPr>
                <w:spacing w:val="-5"/>
                <w:lang w:val="en-GB"/>
              </w:rPr>
              <w:t xml:space="preserve"> because the key expenditures on parental allowances with simultaneous higher drawing of the child allowance (due to legislative amendment as of </w:t>
            </w:r>
            <w:r w:rsidRPr="007E4AC8">
              <w:rPr>
                <w:spacing w:val="-5"/>
                <w:lang w:val="en-GB"/>
              </w:rPr>
              <w:t>1. 7. 2021)</w:t>
            </w:r>
            <w:r w:rsidRPr="007E4AC8">
              <w:rPr>
                <w:rStyle w:val="Znakapoznpodarou"/>
                <w:spacing w:val="-5"/>
                <w:lang w:val="en-GB"/>
              </w:rPr>
              <w:footnoteReference w:id="21"/>
            </w:r>
            <w:r>
              <w:rPr>
                <w:spacing w:val="-5"/>
                <w:lang w:val="en-GB"/>
              </w:rPr>
              <w:t xml:space="preserve"> decreased</w:t>
            </w:r>
            <w:r w:rsidRPr="007E4AC8">
              <w:rPr>
                <w:spacing w:val="-5"/>
                <w:lang w:val="en-GB"/>
              </w:rPr>
              <w:t xml:space="preserve">. </w:t>
            </w:r>
            <w:r>
              <w:rPr>
                <w:spacing w:val="-5"/>
                <w:lang w:val="en-GB"/>
              </w:rPr>
              <w:t xml:space="preserve">Improvement of the situation on the labour market thanks to the retreat of pandemics led to the lower volume of paid out unemployment benefits </w:t>
            </w:r>
            <w:r w:rsidRPr="007E4AC8">
              <w:rPr>
                <w:spacing w:val="-5"/>
                <w:lang w:val="en-GB"/>
              </w:rPr>
              <w:t>(–5</w:t>
            </w:r>
            <w:r>
              <w:rPr>
                <w:spacing w:val="-5"/>
                <w:lang w:val="en-GB"/>
              </w:rPr>
              <w:t>.</w:t>
            </w:r>
            <w:r w:rsidRPr="007E4AC8">
              <w:rPr>
                <w:spacing w:val="-5"/>
                <w:lang w:val="en-GB"/>
              </w:rPr>
              <w:t xml:space="preserve">2%). </w:t>
            </w:r>
            <w:r>
              <w:rPr>
                <w:spacing w:val="-5"/>
                <w:lang w:val="en-GB"/>
              </w:rPr>
              <w:t xml:space="preserve">The higher drawing of material deprivation benefits however signals a worsened income situation of some households, apparent throughout the whole pandemic period. By one tenth more year-on-year was directed on these benefits for year </w:t>
            </w:r>
            <w:r w:rsidRPr="007E4AC8">
              <w:rPr>
                <w:spacing w:val="-5"/>
                <w:lang w:val="en-GB"/>
              </w:rPr>
              <w:t xml:space="preserve">2021, </w:t>
            </w:r>
            <w:r>
              <w:rPr>
                <w:spacing w:val="-5"/>
                <w:lang w:val="en-GB"/>
              </w:rPr>
              <w:t xml:space="preserve">the extraordinary help to persons damaged by natural disaster (June tornado). </w:t>
            </w:r>
          </w:p>
        </w:tc>
      </w:tr>
      <w:tr w:rsidR="00C23909" w:rsidRPr="008266F0" w14:paraId="3BF7C06C" w14:textId="77777777" w:rsidTr="008E039E">
        <w:trPr>
          <w:trHeight w:val="145"/>
        </w:trPr>
        <w:tc>
          <w:tcPr>
            <w:tcW w:w="1732" w:type="dxa"/>
            <w:shd w:val="clear" w:color="auto" w:fill="auto"/>
            <w:tcMar>
              <w:left w:w="0" w:type="dxa"/>
            </w:tcMar>
          </w:tcPr>
          <w:p w14:paraId="5524055F" w14:textId="3BEB502B" w:rsidR="00C23909" w:rsidRDefault="00C23909" w:rsidP="00C23909">
            <w:pPr>
              <w:pStyle w:val="Marginlie"/>
              <w:rPr>
                <w:lang w:val="en-GB"/>
              </w:rPr>
            </w:pPr>
            <w:r w:rsidRPr="00F64C00">
              <w:rPr>
                <w:color w:val="0D0D0D" w:themeColor="text1" w:themeTint="F2"/>
                <w:lang w:val="en-GB"/>
              </w:rPr>
              <w:t>Invest</w:t>
            </w:r>
            <w:r>
              <w:rPr>
                <w:color w:val="0D0D0D" w:themeColor="text1" w:themeTint="F2"/>
                <w:lang w:val="en-GB"/>
              </w:rPr>
              <w:t xml:space="preserve">ment expenditures lagged behind the budget anticipations despite mild year-on-year growth. </w:t>
            </w:r>
          </w:p>
        </w:tc>
        <w:tc>
          <w:tcPr>
            <w:tcW w:w="217" w:type="dxa"/>
            <w:shd w:val="clear" w:color="auto" w:fill="auto"/>
            <w:tcMar>
              <w:left w:w="0" w:type="dxa"/>
            </w:tcMar>
          </w:tcPr>
          <w:p w14:paraId="61EEF523" w14:textId="77777777" w:rsidR="00C23909" w:rsidRPr="007E4AC8" w:rsidRDefault="00C23909" w:rsidP="00C23909">
            <w:pPr>
              <w:pStyle w:val="Textpoznpodarou"/>
              <w:jc w:val="both"/>
              <w:rPr>
                <w:spacing w:val="-4"/>
                <w:lang w:val="en-GB"/>
              </w:rPr>
            </w:pPr>
          </w:p>
        </w:tc>
        <w:tc>
          <w:tcPr>
            <w:tcW w:w="7720" w:type="dxa"/>
            <w:shd w:val="clear" w:color="auto" w:fill="auto"/>
            <w:tcMar>
              <w:left w:w="0" w:type="dxa"/>
            </w:tcMar>
          </w:tcPr>
          <w:p w14:paraId="273F2193" w14:textId="4D6F687F" w:rsidR="00C23909" w:rsidRPr="007E4AC8" w:rsidRDefault="00C23909" w:rsidP="00C23909">
            <w:pPr>
              <w:spacing w:after="200"/>
              <w:rPr>
                <w:spacing w:val="-5"/>
                <w:lang w:val="en-GB"/>
              </w:rPr>
            </w:pPr>
            <w:r>
              <w:rPr>
                <w:bCs/>
                <w:color w:val="0D0D0D" w:themeColor="text1" w:themeTint="F2"/>
                <w:szCs w:val="20"/>
                <w:lang w:val="en-GB"/>
              </w:rPr>
              <w:t xml:space="preserve">Capital expenditures achieved record </w:t>
            </w:r>
            <w:r w:rsidRPr="00F64C00">
              <w:rPr>
                <w:color w:val="0D0D0D" w:themeColor="text1" w:themeTint="F2"/>
                <w:szCs w:val="20"/>
                <w:lang w:val="en-GB"/>
              </w:rPr>
              <w:t>177</w:t>
            </w:r>
            <w:r>
              <w:rPr>
                <w:color w:val="0D0D0D" w:themeColor="text1" w:themeTint="F2"/>
                <w:szCs w:val="20"/>
                <w:lang w:val="en-GB"/>
              </w:rPr>
              <w:t>.</w:t>
            </w:r>
            <w:r w:rsidRPr="00F64C00">
              <w:rPr>
                <w:color w:val="0D0D0D" w:themeColor="text1" w:themeTint="F2"/>
                <w:szCs w:val="20"/>
                <w:lang w:val="en-GB"/>
              </w:rPr>
              <w:t>4</w:t>
            </w:r>
            <w:r>
              <w:rPr>
                <w:color w:val="0D0D0D" w:themeColor="text1" w:themeTint="F2"/>
                <w:szCs w:val="20"/>
                <w:lang w:val="en-GB"/>
              </w:rPr>
              <w:t xml:space="preserve"> CZK bn last year and it strengthened by </w:t>
            </w:r>
            <w:r w:rsidRPr="00F64C00">
              <w:rPr>
                <w:color w:val="0D0D0D" w:themeColor="text1" w:themeTint="F2"/>
                <w:szCs w:val="20"/>
                <w:lang w:val="en-GB"/>
              </w:rPr>
              <w:t>2</w:t>
            </w:r>
            <w:r>
              <w:rPr>
                <w:color w:val="0D0D0D" w:themeColor="text1" w:themeTint="F2"/>
                <w:szCs w:val="20"/>
                <w:lang w:val="en-GB"/>
              </w:rPr>
              <w:t>.</w:t>
            </w:r>
            <w:r w:rsidRPr="00F64C00">
              <w:rPr>
                <w:color w:val="0D0D0D" w:themeColor="text1" w:themeTint="F2"/>
                <w:szCs w:val="20"/>
                <w:lang w:val="en-GB"/>
              </w:rPr>
              <w:t>8%</w:t>
            </w:r>
            <w:r>
              <w:rPr>
                <w:color w:val="0D0D0D" w:themeColor="text1" w:themeTint="F2"/>
                <w:szCs w:val="20"/>
                <w:lang w:val="en-GB"/>
              </w:rPr>
              <w:t xml:space="preserve"> year-on-year</w:t>
            </w:r>
            <w:r w:rsidRPr="00F64C00">
              <w:rPr>
                <w:color w:val="0D0D0D" w:themeColor="text1" w:themeTint="F2"/>
                <w:szCs w:val="20"/>
                <w:lang w:val="en-GB"/>
              </w:rPr>
              <w:t>.</w:t>
            </w:r>
            <w:r>
              <w:rPr>
                <w:color w:val="0D0D0D" w:themeColor="text1" w:themeTint="F2"/>
                <w:szCs w:val="20"/>
                <w:lang w:val="en-GB"/>
              </w:rPr>
              <w:t xml:space="preserve"> Even in spite of fast drawing, they remained around 6% behind the budget anticipations towards the end of the year</w:t>
            </w:r>
            <w:r w:rsidRPr="00F64C00">
              <w:rPr>
                <w:color w:val="0D0D0D" w:themeColor="text1" w:themeTint="F2"/>
                <w:szCs w:val="20"/>
                <w:lang w:val="en-GB"/>
              </w:rPr>
              <w:t>.</w:t>
            </w:r>
            <w:r>
              <w:rPr>
                <w:color w:val="0D0D0D" w:themeColor="text1" w:themeTint="F2"/>
                <w:szCs w:val="20"/>
                <w:lang w:val="en-GB"/>
              </w:rPr>
              <w:t xml:space="preserve"> It is connected to the slower realisation of projects in the area of transportation, regional development, sport and culture. More than one third of investment were aimed at the State Fund for Transport Infrastructure. Its budget was strengthened by </w:t>
            </w:r>
            <w:r w:rsidRPr="00F64C00">
              <w:rPr>
                <w:color w:val="0D0D0D" w:themeColor="text1" w:themeTint="F2"/>
                <w:szCs w:val="20"/>
                <w:lang w:val="en-GB"/>
              </w:rPr>
              <w:t>3</w:t>
            </w:r>
            <w:r>
              <w:rPr>
                <w:color w:val="0D0D0D" w:themeColor="text1" w:themeTint="F2"/>
                <w:szCs w:val="20"/>
                <w:lang w:val="en-GB"/>
              </w:rPr>
              <w:t>.</w:t>
            </w:r>
            <w:r w:rsidRPr="00F64C00">
              <w:rPr>
                <w:color w:val="0D0D0D" w:themeColor="text1" w:themeTint="F2"/>
                <w:szCs w:val="20"/>
                <w:lang w:val="en-GB"/>
              </w:rPr>
              <w:t>5</w:t>
            </w:r>
            <w:r>
              <w:rPr>
                <w:color w:val="0D0D0D" w:themeColor="text1" w:themeTint="F2"/>
                <w:szCs w:val="20"/>
                <w:lang w:val="en-GB"/>
              </w:rPr>
              <w:t xml:space="preserve"> CZK bn this way year-on-year</w:t>
            </w:r>
            <w:r w:rsidRPr="00F64C00">
              <w:rPr>
                <w:color w:val="0D0D0D" w:themeColor="text1" w:themeTint="F2"/>
                <w:szCs w:val="20"/>
                <w:lang w:val="en-GB"/>
              </w:rPr>
              <w:t>,</w:t>
            </w:r>
            <w:r>
              <w:rPr>
                <w:color w:val="0D0D0D" w:themeColor="text1" w:themeTint="F2"/>
                <w:szCs w:val="20"/>
                <w:lang w:val="en-GB"/>
              </w:rPr>
              <w:t xml:space="preserve"> which together with higher own revenues (from collection of tolls) led to a mild strengthening of expenditures </w:t>
            </w:r>
            <w:r>
              <w:rPr>
                <w:color w:val="0D0D0D" w:themeColor="text1" w:themeTint="F2"/>
                <w:szCs w:val="20"/>
                <w:lang w:val="en-GB"/>
              </w:rPr>
              <w:lastRenderedPageBreak/>
              <w:t xml:space="preserve">of the Transportation Fund. The share of investment on total SB expenditures stayed last year at similar size to year </w:t>
            </w:r>
            <w:r w:rsidRPr="00F64C00">
              <w:rPr>
                <w:color w:val="0D0D0D" w:themeColor="text1" w:themeTint="F2"/>
                <w:szCs w:val="20"/>
                <w:lang w:val="en-GB"/>
              </w:rPr>
              <w:t>2020 (9</w:t>
            </w:r>
            <w:r>
              <w:rPr>
                <w:color w:val="0D0D0D" w:themeColor="text1" w:themeTint="F2"/>
                <w:szCs w:val="20"/>
                <w:lang w:val="en-GB"/>
              </w:rPr>
              <w:t>.</w:t>
            </w:r>
            <w:r w:rsidRPr="00F64C00">
              <w:rPr>
                <w:color w:val="0D0D0D" w:themeColor="text1" w:themeTint="F2"/>
                <w:szCs w:val="20"/>
                <w:lang w:val="en-GB"/>
              </w:rPr>
              <w:t>3%)</w:t>
            </w:r>
            <w:r>
              <w:rPr>
                <w:color w:val="0D0D0D" w:themeColor="text1" w:themeTint="F2"/>
                <w:szCs w:val="20"/>
                <w:lang w:val="en-GB"/>
              </w:rPr>
              <w:t xml:space="preserve"> and it also did not significantly deflect from the long-term average. </w:t>
            </w:r>
            <w:r w:rsidRPr="00F64C00">
              <w:rPr>
                <w:color w:val="0D0D0D" w:themeColor="text1" w:themeTint="F2"/>
                <w:szCs w:val="20"/>
                <w:lang w:val="en-GB"/>
              </w:rPr>
              <w:t xml:space="preserve"> </w:t>
            </w:r>
          </w:p>
        </w:tc>
      </w:tr>
      <w:tr w:rsidR="00C23909" w:rsidRPr="00F704D2" w14:paraId="6DA2B77A" w14:textId="77777777" w:rsidTr="008E039E">
        <w:trPr>
          <w:trHeight w:val="170"/>
        </w:trPr>
        <w:tc>
          <w:tcPr>
            <w:tcW w:w="1732" w:type="dxa"/>
            <w:vMerge w:val="restart"/>
            <w:shd w:val="clear" w:color="auto" w:fill="auto"/>
            <w:tcMar>
              <w:left w:w="0" w:type="dxa"/>
            </w:tcMar>
          </w:tcPr>
          <w:p w14:paraId="67E18AB4" w14:textId="77777777" w:rsidR="00C23909" w:rsidRDefault="00C23909" w:rsidP="00C23909">
            <w:pPr>
              <w:pStyle w:val="Marginlie"/>
            </w:pPr>
          </w:p>
        </w:tc>
        <w:tc>
          <w:tcPr>
            <w:tcW w:w="217" w:type="dxa"/>
            <w:vMerge w:val="restart"/>
            <w:shd w:val="clear" w:color="auto" w:fill="auto"/>
            <w:tcMar>
              <w:left w:w="0" w:type="dxa"/>
            </w:tcMar>
          </w:tcPr>
          <w:p w14:paraId="5292F7C7" w14:textId="77777777" w:rsidR="00C23909" w:rsidRDefault="00C23909" w:rsidP="00C23909">
            <w:pPr>
              <w:pStyle w:val="Textpoznpodarou"/>
              <w:jc w:val="both"/>
              <w:rPr>
                <w:spacing w:val="-4"/>
              </w:rPr>
            </w:pPr>
          </w:p>
        </w:tc>
        <w:tc>
          <w:tcPr>
            <w:tcW w:w="7720" w:type="dxa"/>
            <w:shd w:val="clear" w:color="auto" w:fill="auto"/>
            <w:tcMar>
              <w:left w:w="0" w:type="dxa"/>
            </w:tcMar>
          </w:tcPr>
          <w:p w14:paraId="6B3865B5" w14:textId="7487EE56" w:rsidR="00C23909" w:rsidRPr="009E555E" w:rsidRDefault="00C23909" w:rsidP="00C23909">
            <w:pPr>
              <w:spacing w:after="20" w:line="240" w:lineRule="auto"/>
              <w:jc w:val="left"/>
              <w:rPr>
                <w:rFonts w:cs="Arial"/>
                <w:bCs/>
                <w:spacing w:val="-2"/>
              </w:rPr>
            </w:pPr>
            <w:r>
              <w:rPr>
                <w:b/>
                <w:spacing w:val="-2"/>
              </w:rPr>
              <w:t>Chart 19</w:t>
            </w:r>
            <w:r w:rsidRPr="009E555E">
              <w:rPr>
                <w:b/>
                <w:spacing w:val="-2"/>
              </w:rPr>
              <w:t xml:space="preserve">  </w:t>
            </w:r>
            <w:r w:rsidRPr="000A5DBC">
              <w:rPr>
                <w:b/>
                <w:spacing w:val="-6"/>
                <w:lang w:val="en-GB"/>
              </w:rPr>
              <w:t>Selected</w:t>
            </w:r>
            <w:r w:rsidRPr="000A5DBC">
              <w:rPr>
                <w:rFonts w:cs="Arial"/>
                <w:b/>
                <w:bCs/>
                <w:spacing w:val="-6"/>
                <w:lang w:val="en-GB"/>
              </w:rPr>
              <w:t xml:space="preserve"> expenditures of the state budget </w:t>
            </w:r>
            <w:r w:rsidRPr="000A5DBC">
              <w:rPr>
                <w:rFonts w:cs="Arial"/>
                <w:bCs/>
                <w:spacing w:val="-6"/>
                <w:lang w:val="en-GB"/>
              </w:rPr>
              <w:t>(in CZK bn</w:t>
            </w:r>
            <w:r>
              <w:rPr>
                <w:rFonts w:cs="Arial"/>
                <w:bCs/>
                <w:spacing w:val="-6"/>
                <w:lang w:val="en-GB"/>
              </w:rPr>
              <w:t>)</w:t>
            </w:r>
          </w:p>
        </w:tc>
      </w:tr>
      <w:tr w:rsidR="00C23909" w14:paraId="59682A5A" w14:textId="77777777" w:rsidTr="00AC7ACA">
        <w:tblPrEx>
          <w:tblCellMar>
            <w:left w:w="70" w:type="dxa"/>
            <w:right w:w="70" w:type="dxa"/>
          </w:tblCellMar>
        </w:tblPrEx>
        <w:trPr>
          <w:trHeight w:val="170"/>
        </w:trPr>
        <w:tc>
          <w:tcPr>
            <w:tcW w:w="1732" w:type="dxa"/>
            <w:vMerge/>
            <w:shd w:val="clear" w:color="auto" w:fill="auto"/>
          </w:tcPr>
          <w:p w14:paraId="1665C4B9" w14:textId="77777777" w:rsidR="00C23909" w:rsidRDefault="00C23909" w:rsidP="00C23909">
            <w:pPr>
              <w:pStyle w:val="Marginlie"/>
            </w:pPr>
          </w:p>
        </w:tc>
        <w:tc>
          <w:tcPr>
            <w:tcW w:w="217" w:type="dxa"/>
            <w:vMerge/>
            <w:shd w:val="clear" w:color="auto" w:fill="auto"/>
          </w:tcPr>
          <w:p w14:paraId="5938BB5B" w14:textId="77777777" w:rsidR="00C23909" w:rsidRDefault="00C23909" w:rsidP="00C23909">
            <w:pPr>
              <w:pStyle w:val="Textpoznpodarou"/>
              <w:jc w:val="both"/>
              <w:rPr>
                <w:spacing w:val="-4"/>
              </w:rPr>
            </w:pPr>
          </w:p>
        </w:tc>
        <w:tc>
          <w:tcPr>
            <w:tcW w:w="7720" w:type="dxa"/>
            <w:shd w:val="clear" w:color="auto" w:fill="auto"/>
          </w:tcPr>
          <w:p w14:paraId="70787D34" w14:textId="0021339C" w:rsidR="00C23909" w:rsidRPr="0067514E" w:rsidRDefault="00AC7ACA" w:rsidP="00C23909">
            <w:pPr>
              <w:spacing w:after="0"/>
              <w:rPr>
                <w:spacing w:val="-6"/>
              </w:rPr>
            </w:pPr>
            <w:r>
              <w:rPr>
                <w:noProof/>
              </w:rPr>
              <w:drawing>
                <wp:inline distT="0" distB="0" distL="0" distR="0" wp14:anchorId="14C5A2F2" wp14:editId="366CBCC4">
                  <wp:extent cx="4769487" cy="3362348"/>
                  <wp:effectExtent l="0" t="0" r="0"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C23909" w:rsidRPr="00343AC1" w14:paraId="09A84D7F" w14:textId="77777777" w:rsidTr="008E039E">
        <w:trPr>
          <w:trHeight w:val="170"/>
        </w:trPr>
        <w:tc>
          <w:tcPr>
            <w:tcW w:w="1732" w:type="dxa"/>
            <w:vMerge/>
            <w:shd w:val="clear" w:color="auto" w:fill="auto"/>
            <w:tcMar>
              <w:left w:w="0" w:type="dxa"/>
            </w:tcMar>
          </w:tcPr>
          <w:p w14:paraId="0C2D9F48" w14:textId="77777777" w:rsidR="00C23909" w:rsidRDefault="00C23909" w:rsidP="00C23909">
            <w:pPr>
              <w:pStyle w:val="Marginlie"/>
            </w:pPr>
          </w:p>
        </w:tc>
        <w:tc>
          <w:tcPr>
            <w:tcW w:w="217" w:type="dxa"/>
            <w:vMerge/>
            <w:shd w:val="clear" w:color="auto" w:fill="auto"/>
            <w:tcMar>
              <w:left w:w="0" w:type="dxa"/>
            </w:tcMar>
          </w:tcPr>
          <w:p w14:paraId="4D4445CD" w14:textId="77777777" w:rsidR="00C23909" w:rsidRDefault="00C23909" w:rsidP="00C23909">
            <w:pPr>
              <w:pStyle w:val="Textpoznpodarou"/>
              <w:jc w:val="both"/>
              <w:rPr>
                <w:spacing w:val="-4"/>
              </w:rPr>
            </w:pPr>
          </w:p>
        </w:tc>
        <w:tc>
          <w:tcPr>
            <w:tcW w:w="7720" w:type="dxa"/>
            <w:shd w:val="clear" w:color="auto" w:fill="auto"/>
            <w:tcMar>
              <w:left w:w="0" w:type="dxa"/>
            </w:tcMar>
          </w:tcPr>
          <w:p w14:paraId="71ADBDA4" w14:textId="522EE53F" w:rsidR="00C23909" w:rsidRPr="00DC4FD0" w:rsidRDefault="00C23909" w:rsidP="00C23909">
            <w:pPr>
              <w:pStyle w:val="Textpoznpodarou"/>
              <w:rPr>
                <w:i/>
                <w:spacing w:val="-4"/>
                <w:sz w:val="14"/>
                <w:szCs w:val="14"/>
              </w:rPr>
            </w:pPr>
            <w:r w:rsidRPr="00DC4FD0">
              <w:rPr>
                <w:i/>
                <w:spacing w:val="-4"/>
                <w:sz w:val="14"/>
                <w:szCs w:val="14"/>
              </w:rPr>
              <w:t>*</w:t>
            </w:r>
            <w:r>
              <w:rPr>
                <w:i/>
                <w:spacing w:val="-4"/>
                <w:sz w:val="14"/>
                <w:szCs w:val="14"/>
              </w:rPr>
              <w:t xml:space="preserve"> </w:t>
            </w:r>
            <w:r w:rsidRPr="00DC4FD0">
              <w:rPr>
                <w:i/>
                <w:spacing w:val="-4"/>
                <w:sz w:val="14"/>
                <w:szCs w:val="14"/>
                <w:lang w:val="en-GB"/>
              </w:rPr>
              <w:t>They cover</w:t>
            </w:r>
            <w:r>
              <w:rPr>
                <w:i/>
                <w:spacing w:val="-4"/>
                <w:sz w:val="14"/>
                <w:szCs w:val="14"/>
                <w:lang w:val="en-GB"/>
              </w:rPr>
              <w:t xml:space="preserve"> expenditure on wages in organisational units of the state. They exclude, for example, wage expenditure on regional education. </w:t>
            </w:r>
          </w:p>
          <w:p w14:paraId="07A7931D" w14:textId="60C8D692" w:rsidR="00C23909" w:rsidRPr="00DC4FD0" w:rsidRDefault="00C23909" w:rsidP="00C23909">
            <w:pPr>
              <w:pStyle w:val="Textpoznpodarou"/>
              <w:rPr>
                <w:i/>
                <w:spacing w:val="-4"/>
                <w:sz w:val="14"/>
                <w:szCs w:val="14"/>
              </w:rPr>
            </w:pPr>
            <w:r w:rsidRPr="00DC4FD0">
              <w:rPr>
                <w:i/>
                <w:spacing w:val="-4"/>
                <w:sz w:val="14"/>
                <w:szCs w:val="14"/>
                <w:lang w:val="en-GB"/>
              </w:rPr>
              <w:t>**</w:t>
            </w:r>
            <w:r>
              <w:rPr>
                <w:i/>
                <w:spacing w:val="-4"/>
                <w:sz w:val="14"/>
                <w:szCs w:val="14"/>
                <w:lang w:val="en-GB"/>
              </w:rPr>
              <w:t xml:space="preserve"> </w:t>
            </w:r>
            <w:r w:rsidRPr="00DC4FD0">
              <w:rPr>
                <w:i/>
                <w:spacing w:val="-4"/>
                <w:sz w:val="14"/>
                <w:szCs w:val="14"/>
                <w:lang w:val="en-GB"/>
              </w:rPr>
              <w:t>It also includes</w:t>
            </w:r>
            <w:r>
              <w:rPr>
                <w:i/>
                <w:spacing w:val="-4"/>
                <w:sz w:val="14"/>
                <w:szCs w:val="14"/>
                <w:lang w:val="en-GB"/>
              </w:rPr>
              <w:t xml:space="preserve"> foster care benefits </w:t>
            </w:r>
            <w:r w:rsidRPr="00E918E3">
              <w:rPr>
                <w:i/>
                <w:spacing w:val="-4"/>
                <w:sz w:val="14"/>
                <w:szCs w:val="14"/>
                <w:lang w:val="en-GB"/>
              </w:rPr>
              <w:t xml:space="preserve">and </w:t>
            </w:r>
            <w:r w:rsidRPr="00F31A67">
              <w:rPr>
                <w:i/>
                <w:spacing w:val="-4"/>
                <w:sz w:val="14"/>
                <w:szCs w:val="14"/>
                <w:lang w:val="en-GB"/>
              </w:rPr>
              <w:t xml:space="preserve">substitute </w:t>
            </w:r>
            <w:r w:rsidRPr="0097527D">
              <w:rPr>
                <w:i/>
                <w:spacing w:val="-4"/>
                <w:sz w:val="14"/>
                <w:szCs w:val="14"/>
                <w:lang w:val="en-GB"/>
              </w:rPr>
              <w:t>child support (maintenance).</w:t>
            </w:r>
            <w:r>
              <w:rPr>
                <w:i/>
                <w:spacing w:val="-4"/>
                <w:sz w:val="14"/>
                <w:szCs w:val="14"/>
                <w:lang w:val="en-GB"/>
              </w:rPr>
              <w:t xml:space="preserve"> </w:t>
            </w:r>
          </w:p>
          <w:p w14:paraId="77E47EF5" w14:textId="0516ED0D" w:rsidR="00C23909" w:rsidRPr="00DC4FD0" w:rsidRDefault="00C23909" w:rsidP="00C23909">
            <w:pPr>
              <w:pStyle w:val="Textpoznpodarou"/>
              <w:tabs>
                <w:tab w:val="right" w:pos="7683"/>
              </w:tabs>
              <w:rPr>
                <w:i/>
                <w:spacing w:val="-4"/>
                <w:sz w:val="14"/>
                <w:szCs w:val="14"/>
                <w:lang w:val="en-GB"/>
              </w:rPr>
            </w:pPr>
            <w:r w:rsidRPr="00DC4FD0">
              <w:rPr>
                <w:i/>
                <w:spacing w:val="-4"/>
                <w:sz w:val="14"/>
                <w:szCs w:val="14"/>
                <w:lang w:val="en-GB"/>
              </w:rPr>
              <w:t>***</w:t>
            </w:r>
            <w:r>
              <w:rPr>
                <w:i/>
                <w:spacing w:val="-4"/>
                <w:sz w:val="14"/>
                <w:szCs w:val="14"/>
                <w:lang w:val="en-GB"/>
              </w:rPr>
              <w:t xml:space="preserve"> </w:t>
            </w:r>
            <w:r w:rsidRPr="00DC4FD0">
              <w:rPr>
                <w:i/>
                <w:spacing w:val="-4"/>
                <w:sz w:val="14"/>
                <w:szCs w:val="14"/>
                <w:lang w:val="en-GB"/>
              </w:rPr>
              <w:t>They include benefits of assistance in material need,</w:t>
            </w:r>
            <w:r w:rsidRPr="00225560">
              <w:rPr>
                <w:i/>
                <w:spacing w:val="-4"/>
                <w:sz w:val="14"/>
                <w:szCs w:val="14"/>
                <w:lang w:val="en-GB"/>
              </w:rPr>
              <w:t xml:space="preserve"> benefits for people with disabilities, </w:t>
            </w:r>
            <w:r w:rsidRPr="00DC4FD0">
              <w:rPr>
                <w:i/>
                <w:spacing w:val="-4"/>
                <w:sz w:val="14"/>
                <w:szCs w:val="14"/>
                <w:lang w:val="en-GB"/>
              </w:rPr>
              <w:t>care benefit pursuant to the Act on Social Services.</w:t>
            </w:r>
            <w:r>
              <w:rPr>
                <w:i/>
                <w:spacing w:val="-4"/>
                <w:sz w:val="14"/>
                <w:szCs w:val="14"/>
                <w:lang w:val="en-GB"/>
              </w:rPr>
              <w:t xml:space="preserve"> </w:t>
            </w:r>
          </w:p>
          <w:p w14:paraId="6C0AC7D5" w14:textId="61ABB8B2" w:rsidR="00C23909" w:rsidRPr="00DC4FD0" w:rsidRDefault="00C23909" w:rsidP="00C23909">
            <w:pPr>
              <w:pStyle w:val="Textpoznpodarou"/>
              <w:tabs>
                <w:tab w:val="right" w:pos="7683"/>
              </w:tabs>
              <w:rPr>
                <w:i/>
                <w:spacing w:val="-4"/>
                <w:sz w:val="14"/>
                <w:szCs w:val="14"/>
              </w:rPr>
            </w:pPr>
            <w:r w:rsidRPr="00DC4FD0">
              <w:rPr>
                <w:i/>
                <w:spacing w:val="-4"/>
                <w:sz w:val="14"/>
                <w:szCs w:val="14"/>
                <w:lang w:val="en-GB"/>
              </w:rPr>
              <w:t>****</w:t>
            </w:r>
            <w:r>
              <w:rPr>
                <w:i/>
                <w:spacing w:val="-4"/>
                <w:sz w:val="14"/>
                <w:szCs w:val="14"/>
                <w:lang w:val="en-GB"/>
              </w:rPr>
              <w:t xml:space="preserve"> </w:t>
            </w:r>
            <w:r w:rsidRPr="00DC4FD0">
              <w:rPr>
                <w:i/>
                <w:spacing w:val="-4"/>
                <w:sz w:val="14"/>
                <w:szCs w:val="14"/>
                <w:lang w:val="en-GB"/>
              </w:rPr>
              <w:t>They mainly include expenditure on purchase of services, material, energies, or other services (for example,</w:t>
            </w:r>
            <w:r>
              <w:rPr>
                <w:i/>
                <w:spacing w:val="-4"/>
                <w:sz w:val="14"/>
                <w:szCs w:val="14"/>
                <w:lang w:val="en-GB"/>
              </w:rPr>
              <w:t xml:space="preserve"> expenditure on repairs and maintenance). </w:t>
            </w:r>
          </w:p>
          <w:p w14:paraId="4BBD2FDC" w14:textId="3282A5EB" w:rsidR="00C23909" w:rsidRPr="00DC4FD0" w:rsidRDefault="00C23909" w:rsidP="00C23909">
            <w:pPr>
              <w:pStyle w:val="Textpoznpodarou"/>
              <w:tabs>
                <w:tab w:val="right" w:pos="7683"/>
              </w:tabs>
              <w:rPr>
                <w:i/>
                <w:spacing w:val="-6"/>
                <w:sz w:val="14"/>
                <w:szCs w:val="14"/>
              </w:rPr>
            </w:pPr>
            <w:r w:rsidRPr="00DC4FD0">
              <w:rPr>
                <w:i/>
                <w:spacing w:val="-6"/>
                <w:sz w:val="14"/>
                <w:szCs w:val="14"/>
              </w:rPr>
              <w:t>*****</w:t>
            </w:r>
            <w:r>
              <w:rPr>
                <w:i/>
                <w:spacing w:val="-6"/>
                <w:sz w:val="14"/>
                <w:szCs w:val="14"/>
              </w:rPr>
              <w:t xml:space="preserve"> </w:t>
            </w:r>
            <w:r w:rsidRPr="00DC4FD0">
              <w:rPr>
                <w:i/>
                <w:spacing w:val="-6"/>
                <w:sz w:val="14"/>
                <w:szCs w:val="14"/>
                <w:lang w:val="en-GB"/>
              </w:rPr>
              <w:t xml:space="preserve">It corresponds to the balance of the </w:t>
            </w:r>
            <w:r>
              <w:rPr>
                <w:i/>
                <w:spacing w:val="-6"/>
                <w:sz w:val="14"/>
                <w:szCs w:val="14"/>
                <w:lang w:val="en-GB"/>
              </w:rPr>
              <w:t>“</w:t>
            </w:r>
            <w:r w:rsidRPr="00DC4FD0">
              <w:rPr>
                <w:i/>
                <w:spacing w:val="-6"/>
                <w:sz w:val="14"/>
                <w:szCs w:val="14"/>
                <w:lang w:val="en-GB"/>
              </w:rPr>
              <w:t>State debt</w:t>
            </w:r>
            <w:r>
              <w:rPr>
                <w:i/>
                <w:spacing w:val="-6"/>
                <w:sz w:val="14"/>
                <w:szCs w:val="14"/>
                <w:lang w:val="en-GB"/>
              </w:rPr>
              <w:t xml:space="preserve">” </w:t>
            </w:r>
            <w:r w:rsidRPr="0091207F">
              <w:rPr>
                <w:i/>
                <w:spacing w:val="-6"/>
                <w:sz w:val="14"/>
                <w:szCs w:val="14"/>
                <w:lang w:val="en-GB"/>
              </w:rPr>
              <w:t>budget chapter</w:t>
            </w:r>
            <w:r w:rsidRPr="00DC4FD0">
              <w:rPr>
                <w:i/>
                <w:spacing w:val="-6"/>
                <w:sz w:val="14"/>
                <w:szCs w:val="14"/>
                <w:lang w:val="en-GB"/>
              </w:rPr>
              <w:t>.</w:t>
            </w:r>
            <w:r>
              <w:rPr>
                <w:i/>
                <w:spacing w:val="-6"/>
                <w:sz w:val="14"/>
                <w:szCs w:val="14"/>
              </w:rPr>
              <w:t xml:space="preserve">  </w:t>
            </w:r>
          </w:p>
          <w:p w14:paraId="6C18ACC1" w14:textId="758E8F80" w:rsidR="00C23909" w:rsidRPr="00C23909" w:rsidRDefault="00C23909" w:rsidP="00C23909">
            <w:pPr>
              <w:pStyle w:val="Textpoznpodarou"/>
              <w:tabs>
                <w:tab w:val="right" w:pos="7683"/>
              </w:tabs>
              <w:spacing w:after="200"/>
              <w:rPr>
                <w:b/>
                <w:bCs/>
                <w:i/>
                <w:spacing w:val="-6"/>
                <w:sz w:val="16"/>
                <w:szCs w:val="16"/>
                <w:lang w:val="en-GB"/>
              </w:rPr>
            </w:pPr>
            <w:r w:rsidRPr="00DC4FD0">
              <w:rPr>
                <w:i/>
                <w:spacing w:val="-6"/>
                <w:sz w:val="14"/>
                <w:szCs w:val="14"/>
                <w:lang w:val="en-GB"/>
              </w:rPr>
              <w:t>Source: Ministry of Finance of the Czech Republic, Ministry of Labour and Social Affairs</w:t>
            </w:r>
          </w:p>
        </w:tc>
      </w:tr>
      <w:tr w:rsidR="00C23909" w:rsidRPr="00343AC1" w14:paraId="6BE8E008" w14:textId="77777777" w:rsidTr="008E039E">
        <w:trPr>
          <w:trHeight w:val="170"/>
        </w:trPr>
        <w:tc>
          <w:tcPr>
            <w:tcW w:w="1732" w:type="dxa"/>
            <w:shd w:val="clear" w:color="auto" w:fill="auto"/>
            <w:tcMar>
              <w:left w:w="0" w:type="dxa"/>
            </w:tcMar>
          </w:tcPr>
          <w:p w14:paraId="3A902ABA" w14:textId="1B8AE84E" w:rsidR="00C23909" w:rsidRPr="00105C5C" w:rsidRDefault="00C23909" w:rsidP="00C23909">
            <w:pPr>
              <w:pStyle w:val="Marginlie"/>
              <w:rPr>
                <w:lang w:val="en-GB"/>
              </w:rPr>
            </w:pPr>
            <w:r>
              <w:rPr>
                <w:lang w:val="en-GB"/>
              </w:rPr>
              <w:t>Dynamic growth of the state debt continued for the second year in a row. Expenditures on servicing the debt however have not grown significantly so far.</w:t>
            </w:r>
          </w:p>
        </w:tc>
        <w:tc>
          <w:tcPr>
            <w:tcW w:w="217" w:type="dxa"/>
            <w:shd w:val="clear" w:color="auto" w:fill="auto"/>
            <w:tcMar>
              <w:left w:w="0" w:type="dxa"/>
            </w:tcMar>
          </w:tcPr>
          <w:p w14:paraId="47C3FDA8" w14:textId="77777777" w:rsidR="00C23909" w:rsidRPr="00105C5C" w:rsidRDefault="00C23909" w:rsidP="00C23909">
            <w:pPr>
              <w:pStyle w:val="Textpoznpodarou"/>
              <w:jc w:val="both"/>
              <w:rPr>
                <w:color w:val="0D0D0D" w:themeColor="text1" w:themeTint="F2"/>
                <w:spacing w:val="-4"/>
                <w:lang w:val="en-GB"/>
              </w:rPr>
            </w:pPr>
          </w:p>
        </w:tc>
        <w:tc>
          <w:tcPr>
            <w:tcW w:w="7720" w:type="dxa"/>
            <w:shd w:val="clear" w:color="auto" w:fill="auto"/>
            <w:tcMar>
              <w:left w:w="0" w:type="dxa"/>
            </w:tcMar>
          </w:tcPr>
          <w:p w14:paraId="44E6F8F0" w14:textId="44A16A13" w:rsidR="00C23909" w:rsidRPr="00105C5C" w:rsidRDefault="00C23909" w:rsidP="00C23909">
            <w:pPr>
              <w:spacing w:after="180"/>
              <w:rPr>
                <w:color w:val="0D0D0D" w:themeColor="text1" w:themeTint="F2"/>
                <w:spacing w:val="-5"/>
                <w:lang w:val="en-GB"/>
              </w:rPr>
            </w:pPr>
            <w:r w:rsidRPr="00105C5C">
              <w:rPr>
                <w:color w:val="0D0D0D" w:themeColor="text1" w:themeTint="F2"/>
                <w:spacing w:val="-5"/>
                <w:lang w:val="en-GB"/>
              </w:rPr>
              <w:t>S</w:t>
            </w:r>
            <w:r>
              <w:rPr>
                <w:color w:val="0D0D0D" w:themeColor="text1" w:themeTint="F2"/>
                <w:spacing w:val="-5"/>
                <w:lang w:val="en-GB"/>
              </w:rPr>
              <w:t>trongly growing need for funding tied to the necessity to cover the crisis SB deficit resulted in the acceleration of the state debt during the pandemic period. It arrived at 2 </w:t>
            </w:r>
            <w:r w:rsidRPr="00105C5C">
              <w:rPr>
                <w:color w:val="0D0D0D" w:themeColor="text1" w:themeTint="F2"/>
                <w:spacing w:val="-5"/>
                <w:lang w:val="en-GB"/>
              </w:rPr>
              <w:t>466</w:t>
            </w:r>
            <w:r>
              <w:rPr>
                <w:color w:val="0D0D0D" w:themeColor="text1" w:themeTint="F2"/>
                <w:spacing w:val="-5"/>
                <w:lang w:val="en-GB"/>
              </w:rPr>
              <w:t xml:space="preserve"> CZK bn at the end of last </w:t>
            </w:r>
            <w:r w:rsidRPr="0062604A">
              <w:rPr>
                <w:color w:val="0D0D0D" w:themeColor="text1" w:themeTint="F2"/>
                <w:spacing w:val="-5"/>
                <w:lang w:val="en-GB"/>
              </w:rPr>
              <w:t xml:space="preserve">year’s December and it hiked up by 416 bn from January 2021, i.e. comparably to year 2020. </w:t>
            </w:r>
            <w:r>
              <w:rPr>
                <w:color w:val="0D0D0D" w:themeColor="text1" w:themeTint="F2"/>
                <w:spacing w:val="-5"/>
                <w:lang w:val="en-GB"/>
              </w:rPr>
              <w:t xml:space="preserve">Total increase of debt for both pandemic years was by nearly 40 CZK bn higher than the budget deficits. The debt increase was for the major part financed by means of domestic bonds. Their total volume increased by </w:t>
            </w:r>
            <w:r w:rsidRPr="0062604A">
              <w:rPr>
                <w:color w:val="0D0D0D" w:themeColor="text1" w:themeTint="F2"/>
                <w:spacing w:val="-5"/>
                <w:lang w:val="en-GB"/>
              </w:rPr>
              <w:t>22%</w:t>
            </w:r>
            <w:r>
              <w:rPr>
                <w:color w:val="0D0D0D" w:themeColor="text1" w:themeTint="F2"/>
                <w:spacing w:val="-5"/>
                <w:lang w:val="en-GB"/>
              </w:rPr>
              <w:t xml:space="preserve"> for year 2021</w:t>
            </w:r>
            <w:r w:rsidRPr="0062604A">
              <w:rPr>
                <w:color w:val="0D0D0D" w:themeColor="text1" w:themeTint="F2"/>
                <w:spacing w:val="-5"/>
                <w:lang w:val="en-GB"/>
              </w:rPr>
              <w:t xml:space="preserve"> (</w:t>
            </w:r>
            <w:r>
              <w:rPr>
                <w:color w:val="0D0D0D" w:themeColor="text1" w:themeTint="F2"/>
                <w:spacing w:val="-5"/>
                <w:lang w:val="en-GB"/>
              </w:rPr>
              <w:t xml:space="preserve">by </w:t>
            </w:r>
            <w:r w:rsidRPr="0062604A">
              <w:rPr>
                <w:color w:val="0D0D0D" w:themeColor="text1" w:themeTint="F2"/>
                <w:spacing w:val="-5"/>
                <w:lang w:val="en-GB"/>
              </w:rPr>
              <w:t>60%</w:t>
            </w:r>
            <w:r>
              <w:rPr>
                <w:color w:val="0D0D0D" w:themeColor="text1" w:themeTint="F2"/>
                <w:spacing w:val="-5"/>
                <w:lang w:val="en-GB"/>
              </w:rPr>
              <w:t xml:space="preserve"> in two years</w:t>
            </w:r>
            <w:r w:rsidRPr="0062604A">
              <w:rPr>
                <w:color w:val="0D0D0D" w:themeColor="text1" w:themeTint="F2"/>
                <w:spacing w:val="-5"/>
                <w:lang w:val="en-GB"/>
              </w:rPr>
              <w:t>),</w:t>
            </w:r>
            <w:r>
              <w:rPr>
                <w:color w:val="0D0D0D" w:themeColor="text1" w:themeTint="F2"/>
                <w:spacing w:val="-5"/>
                <w:lang w:val="en-GB"/>
              </w:rPr>
              <w:t xml:space="preserve"> it was </w:t>
            </w:r>
            <w:r w:rsidRPr="0062604A">
              <w:rPr>
                <w:color w:val="0D0D0D" w:themeColor="text1" w:themeTint="F2"/>
                <w:spacing w:val="-5"/>
                <w:lang w:val="en-GB"/>
              </w:rPr>
              <w:t>2 292</w:t>
            </w:r>
            <w:r w:rsidRPr="00105C5C">
              <w:rPr>
                <w:color w:val="0D0D0D" w:themeColor="text1" w:themeTint="F2"/>
                <w:spacing w:val="-5"/>
                <w:lang w:val="en-GB"/>
              </w:rPr>
              <w:t> </w:t>
            </w:r>
            <w:r>
              <w:rPr>
                <w:color w:val="0D0D0D" w:themeColor="text1" w:themeTint="F2"/>
                <w:spacing w:val="-5"/>
                <w:lang w:val="en-GB"/>
              </w:rPr>
              <w:t>CZK bn at the end of December</w:t>
            </w:r>
            <w:r w:rsidRPr="00105C5C">
              <w:rPr>
                <w:color w:val="0D0D0D" w:themeColor="text1" w:themeTint="F2"/>
                <w:spacing w:val="-5"/>
                <w:lang w:val="en-GB"/>
              </w:rPr>
              <w:t xml:space="preserve">. </w:t>
            </w:r>
            <w:r>
              <w:rPr>
                <w:color w:val="0D0D0D" w:themeColor="text1" w:themeTint="F2"/>
                <w:spacing w:val="-5"/>
                <w:lang w:val="en-GB"/>
              </w:rPr>
              <w:t>The domestic financial institutions still more dominated among the bond holders</w:t>
            </w:r>
            <w:r w:rsidRPr="00105C5C">
              <w:rPr>
                <w:color w:val="0D0D0D" w:themeColor="text1" w:themeTint="F2"/>
                <w:spacing w:val="-5"/>
                <w:lang w:val="en-GB"/>
              </w:rPr>
              <w:t xml:space="preserve">, </w:t>
            </w:r>
            <w:r>
              <w:rPr>
                <w:color w:val="0D0D0D" w:themeColor="text1" w:themeTint="F2"/>
                <w:spacing w:val="-5"/>
                <w:lang w:val="en-GB"/>
              </w:rPr>
              <w:t xml:space="preserve">the proportion of non-residents on the contrary decreased from 40.6% to 26.5% between years </w:t>
            </w:r>
            <w:r w:rsidRPr="00105C5C">
              <w:rPr>
                <w:color w:val="0D0D0D" w:themeColor="text1" w:themeTint="F2"/>
                <w:spacing w:val="-5"/>
                <w:lang w:val="en-GB"/>
              </w:rPr>
              <w:t>2019 a</w:t>
            </w:r>
            <w:r>
              <w:rPr>
                <w:color w:val="0D0D0D" w:themeColor="text1" w:themeTint="F2"/>
                <w:spacing w:val="-5"/>
                <w:lang w:val="en-GB"/>
              </w:rPr>
              <w:t>nd</w:t>
            </w:r>
            <w:r w:rsidRPr="00105C5C">
              <w:rPr>
                <w:color w:val="0D0D0D" w:themeColor="text1" w:themeTint="F2"/>
                <w:spacing w:val="-5"/>
                <w:lang w:val="en-GB"/>
              </w:rPr>
              <w:t> 2021</w:t>
            </w:r>
            <w:r>
              <w:rPr>
                <w:color w:val="0D0D0D" w:themeColor="text1" w:themeTint="F2"/>
                <w:spacing w:val="-5"/>
                <w:lang w:val="en-GB"/>
              </w:rPr>
              <w:t>. Ratio of external debt on the total indebtedness was further falling, mainly thanks to the repayments of foreign bonds. Net expenditures on servicing the state debt</w:t>
            </w:r>
            <w:r w:rsidRPr="00105C5C">
              <w:rPr>
                <w:rStyle w:val="Znakapoznpodarou"/>
                <w:color w:val="0D0D0D" w:themeColor="text1" w:themeTint="F2"/>
                <w:spacing w:val="-5"/>
                <w:lang w:val="en-GB"/>
              </w:rPr>
              <w:footnoteReference w:id="22"/>
            </w:r>
            <w:r>
              <w:rPr>
                <w:color w:val="0D0D0D" w:themeColor="text1" w:themeTint="F2"/>
                <w:spacing w:val="-5"/>
                <w:lang w:val="en-GB"/>
              </w:rPr>
              <w:t xml:space="preserve"> rose also due to the growing interest rates of the domestic state bonds slightly increased year-on-year </w:t>
            </w:r>
            <w:r w:rsidRPr="00105C5C">
              <w:rPr>
                <w:color w:val="0D0D0D" w:themeColor="text1" w:themeTint="F2"/>
                <w:spacing w:val="-5"/>
                <w:lang w:val="en-GB"/>
              </w:rPr>
              <w:t>(</w:t>
            </w:r>
            <w:r>
              <w:rPr>
                <w:color w:val="0D0D0D" w:themeColor="text1" w:themeTint="F2"/>
                <w:spacing w:val="-5"/>
                <w:lang w:val="en-GB"/>
              </w:rPr>
              <w:t xml:space="preserve">by </w:t>
            </w:r>
            <w:r w:rsidRPr="00105C5C">
              <w:rPr>
                <w:color w:val="0D0D0D" w:themeColor="text1" w:themeTint="F2"/>
                <w:spacing w:val="-5"/>
                <w:lang w:val="en-GB"/>
              </w:rPr>
              <w:t>5</w:t>
            </w:r>
            <w:r>
              <w:rPr>
                <w:color w:val="0D0D0D" w:themeColor="text1" w:themeTint="F2"/>
                <w:spacing w:val="-5"/>
                <w:lang w:val="en-GB"/>
              </w:rPr>
              <w:t>.</w:t>
            </w:r>
            <w:r w:rsidRPr="00105C5C">
              <w:rPr>
                <w:color w:val="0D0D0D" w:themeColor="text1" w:themeTint="F2"/>
                <w:spacing w:val="-5"/>
                <w:lang w:val="en-GB"/>
              </w:rPr>
              <w:t>2%)</w:t>
            </w:r>
            <w:r>
              <w:rPr>
                <w:color w:val="0D0D0D" w:themeColor="text1" w:themeTint="F2"/>
                <w:spacing w:val="-5"/>
                <w:lang w:val="en-GB"/>
              </w:rPr>
              <w:t xml:space="preserve"> to </w:t>
            </w:r>
            <w:r w:rsidRPr="00105C5C">
              <w:rPr>
                <w:color w:val="0D0D0D" w:themeColor="text1" w:themeTint="F2"/>
                <w:spacing w:val="-5"/>
                <w:lang w:val="en-GB"/>
              </w:rPr>
              <w:t>42</w:t>
            </w:r>
            <w:r>
              <w:rPr>
                <w:color w:val="0D0D0D" w:themeColor="text1" w:themeTint="F2"/>
                <w:spacing w:val="-5"/>
                <w:lang w:val="en-GB"/>
              </w:rPr>
              <w:t>.</w:t>
            </w:r>
            <w:r w:rsidRPr="00105C5C">
              <w:rPr>
                <w:color w:val="0D0D0D" w:themeColor="text1" w:themeTint="F2"/>
                <w:spacing w:val="-5"/>
                <w:lang w:val="en-GB"/>
              </w:rPr>
              <w:t>2</w:t>
            </w:r>
            <w:r>
              <w:rPr>
                <w:color w:val="0D0D0D" w:themeColor="text1" w:themeTint="F2"/>
                <w:spacing w:val="-5"/>
                <w:lang w:val="en-GB"/>
              </w:rPr>
              <w:t xml:space="preserve"> CZK bn last year</w:t>
            </w:r>
            <w:r w:rsidRPr="00105C5C">
              <w:rPr>
                <w:color w:val="0D0D0D" w:themeColor="text1" w:themeTint="F2"/>
                <w:spacing w:val="-5"/>
                <w:lang w:val="en-GB"/>
              </w:rPr>
              <w:t xml:space="preserve">. </w:t>
            </w:r>
            <w:r>
              <w:rPr>
                <w:color w:val="0D0D0D" w:themeColor="text1" w:themeTint="F2"/>
                <w:spacing w:val="-5"/>
                <w:lang w:val="en-GB"/>
              </w:rPr>
              <w:t xml:space="preserve">Expenditures oscillated around 40 CZK bn in the last six years. </w:t>
            </w:r>
          </w:p>
        </w:tc>
      </w:tr>
      <w:tr w:rsidR="00C23909" w:rsidRPr="00E65CA0" w14:paraId="7CC43DE9" w14:textId="77777777" w:rsidTr="008E039E">
        <w:trPr>
          <w:trHeight w:val="170"/>
        </w:trPr>
        <w:tc>
          <w:tcPr>
            <w:tcW w:w="1732" w:type="dxa"/>
            <w:shd w:val="clear" w:color="auto" w:fill="auto"/>
            <w:tcMar>
              <w:left w:w="0" w:type="dxa"/>
            </w:tcMar>
          </w:tcPr>
          <w:p w14:paraId="5FE792BB" w14:textId="2AF75D8C" w:rsidR="00C23909" w:rsidRPr="007C57FA" w:rsidRDefault="00C23909" w:rsidP="00C23909">
            <w:pPr>
              <w:pStyle w:val="Marginlie"/>
              <w:rPr>
                <w:lang w:val="en-GB"/>
              </w:rPr>
            </w:pPr>
            <w:r>
              <w:rPr>
                <w:lang w:val="en-GB"/>
              </w:rPr>
              <w:t xml:space="preserve">Budget of the government institutions sector </w:t>
            </w:r>
            <w:r w:rsidRPr="007C57FA">
              <w:rPr>
                <w:lang w:val="en-GB"/>
              </w:rPr>
              <w:t xml:space="preserve">(VI) </w:t>
            </w:r>
            <w:r>
              <w:rPr>
                <w:lang w:val="en-GB"/>
              </w:rPr>
              <w:t xml:space="preserve">ended in deficit </w:t>
            </w:r>
            <w:r w:rsidRPr="007C57FA">
              <w:rPr>
                <w:lang w:val="en-GB"/>
              </w:rPr>
              <w:t>246</w:t>
            </w:r>
            <w:r>
              <w:rPr>
                <w:lang w:val="en-GB"/>
              </w:rPr>
              <w:t xml:space="preserve"> CZK bn for the three quarters</w:t>
            </w:r>
            <w:r w:rsidRPr="007C57FA">
              <w:rPr>
                <w:lang w:val="en-GB"/>
              </w:rPr>
              <w:t>.</w:t>
            </w:r>
          </w:p>
        </w:tc>
        <w:tc>
          <w:tcPr>
            <w:tcW w:w="217" w:type="dxa"/>
            <w:shd w:val="clear" w:color="auto" w:fill="auto"/>
            <w:tcMar>
              <w:left w:w="0" w:type="dxa"/>
            </w:tcMar>
          </w:tcPr>
          <w:p w14:paraId="51F50BA4" w14:textId="77777777" w:rsidR="00C23909" w:rsidRPr="007C57FA" w:rsidRDefault="00C23909" w:rsidP="00C23909">
            <w:pPr>
              <w:pStyle w:val="Textpoznpodarou"/>
              <w:jc w:val="both"/>
              <w:rPr>
                <w:spacing w:val="-4"/>
                <w:lang w:val="en-GB"/>
              </w:rPr>
            </w:pPr>
          </w:p>
        </w:tc>
        <w:tc>
          <w:tcPr>
            <w:tcW w:w="7720" w:type="dxa"/>
            <w:shd w:val="clear" w:color="auto" w:fill="auto"/>
            <w:tcMar>
              <w:left w:w="0" w:type="dxa"/>
            </w:tcMar>
          </w:tcPr>
          <w:p w14:paraId="40CC6826" w14:textId="369575C3" w:rsidR="00C23909" w:rsidRPr="007C57FA" w:rsidRDefault="00C23909" w:rsidP="00C23909">
            <w:pPr>
              <w:spacing w:after="180"/>
              <w:rPr>
                <w:spacing w:val="-4"/>
                <w:lang w:val="en-GB"/>
              </w:rPr>
            </w:pPr>
            <w:r>
              <w:rPr>
                <w:color w:val="0D0D0D" w:themeColor="text1" w:themeTint="F2"/>
                <w:spacing w:val="-4"/>
                <w:lang w:val="en-GB"/>
              </w:rPr>
              <w:t xml:space="preserve">Budget of the government institution sector </w:t>
            </w:r>
            <w:r w:rsidRPr="007C57FA">
              <w:rPr>
                <w:color w:val="0D0D0D" w:themeColor="text1" w:themeTint="F2"/>
                <w:spacing w:val="-4"/>
                <w:lang w:val="en-GB"/>
              </w:rPr>
              <w:t>(VI)</w:t>
            </w:r>
            <w:r>
              <w:rPr>
                <w:color w:val="0D0D0D" w:themeColor="text1" w:themeTint="F2"/>
                <w:spacing w:val="-4"/>
                <w:lang w:val="en-GB"/>
              </w:rPr>
              <w:t xml:space="preserve"> in the CR ended in deficit of 245.9 CZK bn in total for the three quarters </w:t>
            </w:r>
            <w:r w:rsidRPr="007C57FA">
              <w:rPr>
                <w:color w:val="0D0D0D" w:themeColor="text1" w:themeTint="F2"/>
                <w:spacing w:val="-4"/>
                <w:lang w:val="en-GB"/>
              </w:rPr>
              <w:t>2021</w:t>
            </w:r>
            <w:r w:rsidRPr="007C57FA">
              <w:rPr>
                <w:rStyle w:val="Znakapoznpodarou"/>
                <w:color w:val="0D0D0D" w:themeColor="text1" w:themeTint="F2"/>
                <w:spacing w:val="-4"/>
                <w:lang w:val="en-GB"/>
              </w:rPr>
              <w:footnoteReference w:id="23"/>
            </w:r>
            <w:r>
              <w:rPr>
                <w:color w:val="0D0D0D" w:themeColor="text1" w:themeTint="F2"/>
                <w:spacing w:val="-4"/>
                <w:lang w:val="en-GB"/>
              </w:rPr>
              <w:t xml:space="preserve">, deeper by </w:t>
            </w:r>
            <w:r w:rsidRPr="007C57FA">
              <w:rPr>
                <w:color w:val="0D0D0D" w:themeColor="text1" w:themeTint="F2"/>
                <w:spacing w:val="-4"/>
                <w:lang w:val="en-GB"/>
              </w:rPr>
              <w:t>61</w:t>
            </w:r>
            <w:r>
              <w:rPr>
                <w:color w:val="0D0D0D" w:themeColor="text1" w:themeTint="F2"/>
                <w:spacing w:val="-4"/>
                <w:lang w:val="en-GB"/>
              </w:rPr>
              <w:t>.</w:t>
            </w:r>
            <w:r w:rsidRPr="007C57FA">
              <w:rPr>
                <w:color w:val="0D0D0D" w:themeColor="text1" w:themeTint="F2"/>
                <w:spacing w:val="-4"/>
                <w:lang w:val="en-GB"/>
              </w:rPr>
              <w:t>7</w:t>
            </w:r>
            <w:r>
              <w:rPr>
                <w:color w:val="0D0D0D" w:themeColor="text1" w:themeTint="F2"/>
                <w:spacing w:val="-4"/>
                <w:lang w:val="en-GB"/>
              </w:rPr>
              <w:t xml:space="preserve"> bn year-on-year. Growth of total revenues </w:t>
            </w:r>
            <w:r w:rsidRPr="007C57FA">
              <w:rPr>
                <w:spacing w:val="-4"/>
                <w:lang w:val="en-GB"/>
              </w:rPr>
              <w:t>VI (6</w:t>
            </w:r>
            <w:r>
              <w:rPr>
                <w:spacing w:val="-4"/>
                <w:lang w:val="en-GB"/>
              </w:rPr>
              <w:t>.</w:t>
            </w:r>
            <w:r w:rsidRPr="007C57FA">
              <w:rPr>
                <w:spacing w:val="-4"/>
                <w:lang w:val="en-GB"/>
              </w:rPr>
              <w:t>0%)</w:t>
            </w:r>
            <w:r>
              <w:rPr>
                <w:spacing w:val="-4"/>
                <w:lang w:val="en-GB"/>
              </w:rPr>
              <w:t xml:space="preserve"> was essentially influenced by the received net social contribution </w:t>
            </w:r>
            <w:r w:rsidRPr="007C57FA">
              <w:rPr>
                <w:lang w:val="en-GB"/>
              </w:rPr>
              <w:t>(+89</w:t>
            </w:r>
            <w:r>
              <w:rPr>
                <w:lang w:val="en-GB"/>
              </w:rPr>
              <w:t>.</w:t>
            </w:r>
            <w:r w:rsidRPr="007C57FA">
              <w:rPr>
                <w:lang w:val="en-GB"/>
              </w:rPr>
              <w:t>5</w:t>
            </w:r>
            <w:r>
              <w:rPr>
                <w:lang w:val="en-GB"/>
              </w:rPr>
              <w:t xml:space="preserve"> CZK bn</w:t>
            </w:r>
            <w:r w:rsidRPr="007C57FA">
              <w:rPr>
                <w:lang w:val="en-GB"/>
              </w:rPr>
              <w:t>),</w:t>
            </w:r>
            <w:r>
              <w:rPr>
                <w:lang w:val="en-GB"/>
              </w:rPr>
              <w:t xml:space="preserve"> since thanks to the government stabilisation support of the economy during the </w:t>
            </w:r>
            <w:r>
              <w:rPr>
                <w:lang w:val="en-GB"/>
              </w:rPr>
              <w:lastRenderedPageBreak/>
              <w:t xml:space="preserve">pandemics the employment did not decrease significantly. Revenues from the tax on production and import also increased year-on-year </w:t>
            </w:r>
            <w:r w:rsidRPr="007C57FA">
              <w:rPr>
                <w:color w:val="0D0D0D" w:themeColor="text1" w:themeTint="F2"/>
                <w:spacing w:val="-4"/>
                <w:lang w:val="en-GB"/>
              </w:rPr>
              <w:t>(+6</w:t>
            </w:r>
            <w:r>
              <w:rPr>
                <w:color w:val="0D0D0D" w:themeColor="text1" w:themeTint="F2"/>
                <w:spacing w:val="-4"/>
                <w:lang w:val="en-GB"/>
              </w:rPr>
              <w:t>.</w:t>
            </w:r>
            <w:r w:rsidRPr="007C57FA">
              <w:rPr>
                <w:color w:val="0D0D0D" w:themeColor="text1" w:themeTint="F2"/>
                <w:spacing w:val="-4"/>
                <w:lang w:val="en-GB"/>
              </w:rPr>
              <w:t>1%) a</w:t>
            </w:r>
            <w:r>
              <w:rPr>
                <w:color w:val="0D0D0D" w:themeColor="text1" w:themeTint="F2"/>
                <w:spacing w:val="-4"/>
                <w:lang w:val="en-GB"/>
              </w:rPr>
              <w:t>nd already caught up to the level from Q</w:t>
            </w:r>
            <w:r w:rsidRPr="007C57FA">
              <w:rPr>
                <w:color w:val="0D0D0D" w:themeColor="text1" w:themeTint="F2"/>
                <w:spacing w:val="-4"/>
                <w:lang w:val="en-GB"/>
              </w:rPr>
              <w:t>1</w:t>
            </w:r>
            <w:r>
              <w:rPr>
                <w:color w:val="0D0D0D" w:themeColor="text1" w:themeTint="F2"/>
                <w:spacing w:val="-4"/>
                <w:lang w:val="en-GB"/>
              </w:rPr>
              <w:t xml:space="preserve"> to Q</w:t>
            </w:r>
            <w:r w:rsidRPr="007C57FA">
              <w:rPr>
                <w:color w:val="0D0D0D" w:themeColor="text1" w:themeTint="F2"/>
                <w:spacing w:val="-4"/>
                <w:lang w:val="en-GB"/>
              </w:rPr>
              <w:t>3</w:t>
            </w:r>
            <w:r>
              <w:rPr>
                <w:color w:val="0D0D0D" w:themeColor="text1" w:themeTint="F2"/>
                <w:spacing w:val="-4"/>
                <w:lang w:val="en-GB"/>
              </w:rPr>
              <w:t xml:space="preserve"> </w:t>
            </w:r>
            <w:r w:rsidRPr="007C57FA">
              <w:rPr>
                <w:color w:val="0D0D0D" w:themeColor="text1" w:themeTint="F2"/>
                <w:spacing w:val="-4"/>
                <w:lang w:val="en-GB"/>
              </w:rPr>
              <w:t xml:space="preserve">2019. </w:t>
            </w:r>
            <w:r>
              <w:rPr>
                <w:color w:val="0D0D0D" w:themeColor="text1" w:themeTint="F2"/>
                <w:spacing w:val="-4"/>
                <w:lang w:val="en-GB"/>
              </w:rPr>
              <w:t xml:space="preserve">The year-on-year growth of the total expenditures </w:t>
            </w:r>
            <w:r w:rsidRPr="007C57FA">
              <w:rPr>
                <w:color w:val="0D0D0D" w:themeColor="text1" w:themeTint="F2"/>
                <w:spacing w:val="-4"/>
                <w:lang w:val="en-GB"/>
              </w:rPr>
              <w:t xml:space="preserve">VI </w:t>
            </w:r>
            <w:r>
              <w:rPr>
                <w:color w:val="0D0D0D" w:themeColor="text1" w:themeTint="F2"/>
                <w:spacing w:val="-4"/>
                <w:lang w:val="en-GB"/>
              </w:rPr>
              <w:t xml:space="preserve">was for the three last year’s quarters despite the brisk pace </w:t>
            </w:r>
            <w:r w:rsidRPr="007C57FA">
              <w:rPr>
                <w:color w:val="0D0D0D" w:themeColor="text1" w:themeTint="F2"/>
                <w:spacing w:val="-4"/>
                <w:lang w:val="en-GB"/>
              </w:rPr>
              <w:t>(8</w:t>
            </w:r>
            <w:r>
              <w:rPr>
                <w:color w:val="0D0D0D" w:themeColor="text1" w:themeTint="F2"/>
                <w:spacing w:val="-4"/>
                <w:lang w:val="en-GB"/>
              </w:rPr>
              <w:t>.</w:t>
            </w:r>
            <w:r w:rsidRPr="007C57FA">
              <w:rPr>
                <w:color w:val="0D0D0D" w:themeColor="text1" w:themeTint="F2"/>
                <w:spacing w:val="-4"/>
                <w:lang w:val="en-GB"/>
              </w:rPr>
              <w:t>7%)</w:t>
            </w:r>
            <w:r>
              <w:rPr>
                <w:color w:val="0D0D0D" w:themeColor="text1" w:themeTint="F2"/>
                <w:spacing w:val="-4"/>
                <w:lang w:val="en-GB"/>
              </w:rPr>
              <w:t xml:space="preserve"> lowest for the last four years</w:t>
            </w:r>
            <w:r w:rsidRPr="007C57FA">
              <w:rPr>
                <w:color w:val="0D0D0D" w:themeColor="text1" w:themeTint="F2"/>
                <w:spacing w:val="-4"/>
                <w:lang w:val="en-GB"/>
              </w:rPr>
              <w:t>. L</w:t>
            </w:r>
            <w:r>
              <w:rPr>
                <w:color w:val="0D0D0D" w:themeColor="text1" w:themeTint="F2"/>
                <w:spacing w:val="-4"/>
                <w:lang w:val="en-GB"/>
              </w:rPr>
              <w:t>ast year</w:t>
            </w:r>
            <w:r>
              <w:rPr>
                <w:color w:val="0D0D0D" w:themeColor="text1" w:themeTint="F2"/>
                <w:spacing w:val="-4"/>
              </w:rPr>
              <w:t xml:space="preserve">’s </w:t>
            </w:r>
            <w:r>
              <w:rPr>
                <w:color w:val="0D0D0D" w:themeColor="text1" w:themeTint="F2"/>
                <w:spacing w:val="-4"/>
                <w:lang w:val="en-US"/>
              </w:rPr>
              <w:t xml:space="preserve">growth was driven mainly by higher social benefits and social transfers in-kind </w:t>
            </w:r>
            <w:r w:rsidRPr="007C57FA">
              <w:rPr>
                <w:spacing w:val="-4"/>
                <w:lang w:val="en-GB"/>
              </w:rPr>
              <w:t>(+57</w:t>
            </w:r>
            <w:r>
              <w:rPr>
                <w:spacing w:val="-4"/>
                <w:lang w:val="en-GB"/>
              </w:rPr>
              <w:t>.</w:t>
            </w:r>
            <w:r w:rsidRPr="007C57FA">
              <w:rPr>
                <w:spacing w:val="-4"/>
                <w:lang w:val="en-GB"/>
              </w:rPr>
              <w:t>5</w:t>
            </w:r>
            <w:r>
              <w:rPr>
                <w:spacing w:val="-4"/>
                <w:lang w:val="en-GB"/>
              </w:rPr>
              <w:t xml:space="preserve"> CZK bn</w:t>
            </w:r>
            <w:r w:rsidRPr="007C57FA">
              <w:rPr>
                <w:spacing w:val="-4"/>
                <w:lang w:val="en-GB"/>
              </w:rPr>
              <w:t xml:space="preserve">), </w:t>
            </w:r>
            <w:r>
              <w:rPr>
                <w:spacing w:val="-4"/>
                <w:lang w:val="en-GB"/>
              </w:rPr>
              <w:t>even though their growth slowed down compared to pace from Q</w:t>
            </w:r>
            <w:r w:rsidRPr="007C57FA">
              <w:rPr>
                <w:spacing w:val="-4"/>
                <w:lang w:val="en-GB"/>
              </w:rPr>
              <w:t>1</w:t>
            </w:r>
            <w:r>
              <w:rPr>
                <w:spacing w:val="-4"/>
                <w:lang w:val="en-GB"/>
              </w:rPr>
              <w:t xml:space="preserve"> till Q</w:t>
            </w:r>
            <w:r w:rsidRPr="007C57FA">
              <w:rPr>
                <w:spacing w:val="-4"/>
                <w:lang w:val="en-GB"/>
              </w:rPr>
              <w:t>3</w:t>
            </w:r>
            <w:r>
              <w:rPr>
                <w:spacing w:val="-4"/>
                <w:lang w:val="en-GB"/>
              </w:rPr>
              <w:t xml:space="preserve"> </w:t>
            </w:r>
            <w:r w:rsidRPr="007C57FA">
              <w:rPr>
                <w:spacing w:val="-4"/>
                <w:lang w:val="en-GB"/>
              </w:rPr>
              <w:t>2020</w:t>
            </w:r>
            <w:r>
              <w:rPr>
                <w:spacing w:val="-4"/>
                <w:lang w:val="en-GB"/>
              </w:rPr>
              <w:t xml:space="preserve"> </w:t>
            </w:r>
            <w:r w:rsidRPr="007C57FA">
              <w:rPr>
                <w:spacing w:val="-4"/>
                <w:lang w:val="en-GB"/>
              </w:rPr>
              <w:t>(</w:t>
            </w:r>
            <w:r>
              <w:rPr>
                <w:spacing w:val="-4"/>
                <w:lang w:val="en-GB"/>
              </w:rPr>
              <w:t xml:space="preserve">to </w:t>
            </w:r>
            <w:r w:rsidRPr="007C57FA">
              <w:rPr>
                <w:spacing w:val="-4"/>
                <w:lang w:val="en-GB"/>
              </w:rPr>
              <w:t>7</w:t>
            </w:r>
            <w:r>
              <w:rPr>
                <w:spacing w:val="-4"/>
                <w:lang w:val="en-GB"/>
              </w:rPr>
              <w:t>.</w:t>
            </w:r>
            <w:r w:rsidRPr="007C57FA">
              <w:rPr>
                <w:spacing w:val="-4"/>
                <w:lang w:val="en-GB"/>
              </w:rPr>
              <w:t>8%).</w:t>
            </w:r>
            <w:r>
              <w:rPr>
                <w:spacing w:val="-4"/>
                <w:lang w:val="en-GB"/>
              </w:rPr>
              <w:t xml:space="preserve"> The contribution of paid out subsidies was also significant </w:t>
            </w:r>
            <w:r w:rsidRPr="007C57FA">
              <w:rPr>
                <w:spacing w:val="-4"/>
                <w:lang w:val="en-GB"/>
              </w:rPr>
              <w:t>(+40</w:t>
            </w:r>
            <w:r>
              <w:rPr>
                <w:spacing w:val="-4"/>
                <w:lang w:val="en-GB"/>
              </w:rPr>
              <w:t>.</w:t>
            </w:r>
            <w:r w:rsidRPr="007C57FA">
              <w:rPr>
                <w:spacing w:val="-4"/>
                <w:lang w:val="en-GB"/>
              </w:rPr>
              <w:t>0</w:t>
            </w:r>
            <w:r>
              <w:rPr>
                <w:spacing w:val="-4"/>
                <w:lang w:val="en-GB"/>
              </w:rPr>
              <w:t xml:space="preserve"> bn</w:t>
            </w:r>
            <w:r w:rsidRPr="007C57FA">
              <w:rPr>
                <w:spacing w:val="-4"/>
                <w:lang w:val="en-GB"/>
              </w:rPr>
              <w:t>,</w:t>
            </w:r>
            <w:r>
              <w:rPr>
                <w:spacing w:val="-4"/>
                <w:lang w:val="en-GB"/>
              </w:rPr>
              <w:t xml:space="preserve"> it was mainly the assistance to afflicted businesses during the pandemics</w:t>
            </w:r>
            <w:r w:rsidRPr="007C57FA">
              <w:rPr>
                <w:spacing w:val="-4"/>
                <w:lang w:val="en-GB"/>
              </w:rPr>
              <w:t xml:space="preserve">) </w:t>
            </w:r>
            <w:r>
              <w:rPr>
                <w:spacing w:val="-4"/>
                <w:lang w:val="en-GB"/>
              </w:rPr>
              <w:t xml:space="preserve">and compensations to employees </w:t>
            </w:r>
            <w:r w:rsidRPr="007C57FA">
              <w:rPr>
                <w:spacing w:val="-4"/>
                <w:lang w:val="en-GB"/>
              </w:rPr>
              <w:t>(+43</w:t>
            </w:r>
            <w:r>
              <w:rPr>
                <w:spacing w:val="-4"/>
                <w:lang w:val="en-GB"/>
              </w:rPr>
              <w:t>.</w:t>
            </w:r>
            <w:r w:rsidRPr="007C57FA">
              <w:rPr>
                <w:spacing w:val="-4"/>
                <w:lang w:val="en-GB"/>
              </w:rPr>
              <w:t>1</w:t>
            </w:r>
            <w:r>
              <w:rPr>
                <w:spacing w:val="-4"/>
                <w:lang w:val="en-GB"/>
              </w:rPr>
              <w:t xml:space="preserve"> bn</w:t>
            </w:r>
            <w:r w:rsidRPr="007C57FA">
              <w:rPr>
                <w:spacing w:val="-4"/>
                <w:lang w:val="en-GB"/>
              </w:rPr>
              <w:t>),</w:t>
            </w:r>
            <w:r>
              <w:rPr>
                <w:spacing w:val="-4"/>
                <w:lang w:val="en-GB"/>
              </w:rPr>
              <w:t xml:space="preserve"> where the payment of bonuses to</w:t>
            </w:r>
            <w:r w:rsidRPr="007C57FA">
              <w:rPr>
                <w:spacing w:val="-4"/>
                <w:lang w:val="en-GB"/>
              </w:rPr>
              <w:t xml:space="preserve"> </w:t>
            </w:r>
            <w:r>
              <w:rPr>
                <w:spacing w:val="-4"/>
                <w:lang w:val="en-GB"/>
              </w:rPr>
              <w:t xml:space="preserve">medical staff and other forces participating on solving the pandemics </w:t>
            </w:r>
            <w:r>
              <w:rPr>
                <w:lang w:val="en-GB"/>
              </w:rPr>
              <w:t>was substantially reflected</w:t>
            </w:r>
            <w:r w:rsidRPr="007C57FA">
              <w:rPr>
                <w:lang w:val="en-GB"/>
              </w:rPr>
              <w:t>.</w:t>
            </w:r>
          </w:p>
        </w:tc>
      </w:tr>
      <w:tr w:rsidR="00C23909" w:rsidRPr="000D151F" w14:paraId="3730028C" w14:textId="77777777" w:rsidTr="008E039E">
        <w:trPr>
          <w:trHeight w:val="170"/>
        </w:trPr>
        <w:tc>
          <w:tcPr>
            <w:tcW w:w="1732" w:type="dxa"/>
            <w:shd w:val="clear" w:color="auto" w:fill="auto"/>
            <w:tcMar>
              <w:left w:w="0" w:type="dxa"/>
            </w:tcMar>
          </w:tcPr>
          <w:p w14:paraId="0F88181F" w14:textId="744E5F09" w:rsidR="00C23909" w:rsidRPr="006E3AB8" w:rsidRDefault="00C23909" w:rsidP="00C23909">
            <w:pPr>
              <w:pStyle w:val="Marginlie"/>
              <w:rPr>
                <w:spacing w:val="0"/>
                <w:lang w:val="en-GB"/>
              </w:rPr>
            </w:pPr>
            <w:r>
              <w:rPr>
                <w:spacing w:val="0"/>
                <w:lang w:val="en-GB"/>
              </w:rPr>
              <w:lastRenderedPageBreak/>
              <w:t xml:space="preserve">Budget balance </w:t>
            </w:r>
            <w:r w:rsidRPr="006E3AB8">
              <w:rPr>
                <w:spacing w:val="0"/>
                <w:lang w:val="en-GB"/>
              </w:rPr>
              <w:t>VI</w:t>
            </w:r>
            <w:r>
              <w:rPr>
                <w:spacing w:val="0"/>
                <w:lang w:val="en-GB"/>
              </w:rPr>
              <w:t xml:space="preserve"> in the EU unlike in the CR shrank in Q3 both year-on-year and quarter-on-quarter. </w:t>
            </w:r>
          </w:p>
        </w:tc>
        <w:tc>
          <w:tcPr>
            <w:tcW w:w="217" w:type="dxa"/>
            <w:shd w:val="clear" w:color="auto" w:fill="auto"/>
            <w:tcMar>
              <w:left w:w="0" w:type="dxa"/>
            </w:tcMar>
          </w:tcPr>
          <w:p w14:paraId="73121621" w14:textId="77777777" w:rsidR="00C23909" w:rsidRPr="006E3AB8" w:rsidRDefault="00C23909" w:rsidP="00C23909">
            <w:pPr>
              <w:pStyle w:val="Textpoznpodarou"/>
              <w:jc w:val="both"/>
              <w:rPr>
                <w:spacing w:val="-4"/>
                <w:lang w:val="en-GB"/>
              </w:rPr>
            </w:pPr>
          </w:p>
        </w:tc>
        <w:tc>
          <w:tcPr>
            <w:tcW w:w="7720" w:type="dxa"/>
            <w:shd w:val="clear" w:color="auto" w:fill="auto"/>
            <w:tcMar>
              <w:left w:w="0" w:type="dxa"/>
            </w:tcMar>
          </w:tcPr>
          <w:p w14:paraId="17E7EB06" w14:textId="1ED384D8" w:rsidR="00C23909" w:rsidRPr="006E3AB8" w:rsidRDefault="00C23909" w:rsidP="00C23909">
            <w:pPr>
              <w:spacing w:after="180"/>
              <w:rPr>
                <w:color w:val="0D0D0D" w:themeColor="text1" w:themeTint="F2"/>
                <w:spacing w:val="-4"/>
                <w:lang w:val="en-GB"/>
              </w:rPr>
            </w:pPr>
            <w:r w:rsidRPr="006E3AB8">
              <w:rPr>
                <w:color w:val="0D0D0D" w:themeColor="text1" w:themeTint="F2"/>
                <w:spacing w:val="-4"/>
                <w:lang w:val="en-GB"/>
              </w:rPr>
              <w:t>S</w:t>
            </w:r>
            <w:r>
              <w:rPr>
                <w:color w:val="0D0D0D" w:themeColor="text1" w:themeTint="F2"/>
                <w:spacing w:val="-4"/>
                <w:lang w:val="en-GB"/>
              </w:rPr>
              <w:t xml:space="preserve">easonally adjusted budget balance </w:t>
            </w:r>
            <w:r w:rsidRPr="006E3AB8">
              <w:rPr>
                <w:color w:val="0D0D0D" w:themeColor="text1" w:themeTint="F2"/>
                <w:spacing w:val="-4"/>
                <w:lang w:val="en-GB"/>
              </w:rPr>
              <w:t>VI</w:t>
            </w:r>
            <w:r>
              <w:rPr>
                <w:color w:val="0D0D0D" w:themeColor="text1" w:themeTint="F2"/>
                <w:spacing w:val="-4"/>
                <w:lang w:val="en-GB"/>
              </w:rPr>
              <w:t xml:space="preserve"> in the CR amounted to </w:t>
            </w:r>
            <w:r w:rsidRPr="006E3AB8">
              <w:rPr>
                <w:color w:val="0D0D0D" w:themeColor="text1" w:themeTint="F2"/>
                <w:spacing w:val="-4"/>
                <w:lang w:val="en-GB"/>
              </w:rPr>
              <w:t>–6</w:t>
            </w:r>
            <w:r>
              <w:rPr>
                <w:color w:val="0D0D0D" w:themeColor="text1" w:themeTint="F2"/>
                <w:spacing w:val="-4"/>
                <w:lang w:val="en-GB"/>
              </w:rPr>
              <w:t>.</w:t>
            </w:r>
            <w:r w:rsidRPr="006E3AB8">
              <w:rPr>
                <w:color w:val="0D0D0D" w:themeColor="text1" w:themeTint="F2"/>
                <w:spacing w:val="-4"/>
                <w:lang w:val="en-GB"/>
              </w:rPr>
              <w:t>0%</w:t>
            </w:r>
            <w:r>
              <w:rPr>
                <w:color w:val="0D0D0D" w:themeColor="text1" w:themeTint="F2"/>
                <w:spacing w:val="-4"/>
                <w:lang w:val="en-GB"/>
              </w:rPr>
              <w:t xml:space="preserve"> of GDP in Q3 last year, which meant mild worsening in relation to the preceding quarter and also in the year-on-year comparison </w:t>
            </w:r>
            <w:r w:rsidRPr="006E3AB8">
              <w:rPr>
                <w:color w:val="0D0D0D" w:themeColor="text1" w:themeTint="F2"/>
                <w:spacing w:val="-4"/>
                <w:lang w:val="en-GB"/>
              </w:rPr>
              <w:t>(</w:t>
            </w:r>
            <w:r>
              <w:rPr>
                <w:color w:val="0D0D0D" w:themeColor="text1" w:themeTint="F2"/>
                <w:spacing w:val="-4"/>
                <w:lang w:val="en-GB"/>
              </w:rPr>
              <w:t xml:space="preserve">similarly by </w:t>
            </w:r>
            <w:r w:rsidRPr="006E3AB8">
              <w:rPr>
                <w:color w:val="0D0D0D" w:themeColor="text1" w:themeTint="F2"/>
                <w:spacing w:val="-4"/>
                <w:lang w:val="en-GB"/>
              </w:rPr>
              <w:t>0</w:t>
            </w:r>
            <w:r>
              <w:rPr>
                <w:color w:val="0D0D0D" w:themeColor="text1" w:themeTint="F2"/>
                <w:spacing w:val="-4"/>
                <w:lang w:val="en-GB"/>
              </w:rPr>
              <w:t>.</w:t>
            </w:r>
            <w:r w:rsidRPr="006E3AB8">
              <w:rPr>
                <w:color w:val="0D0D0D" w:themeColor="text1" w:themeTint="F2"/>
                <w:spacing w:val="-4"/>
                <w:lang w:val="en-GB"/>
              </w:rPr>
              <w:t>6 p.</w:t>
            </w:r>
            <w:r>
              <w:rPr>
                <w:color w:val="0D0D0D" w:themeColor="text1" w:themeTint="F2"/>
                <w:spacing w:val="-4"/>
                <w:lang w:val="en-GB"/>
              </w:rPr>
              <w:t>p</w:t>
            </w:r>
            <w:r w:rsidRPr="006E3AB8">
              <w:rPr>
                <w:color w:val="0D0D0D" w:themeColor="text1" w:themeTint="F2"/>
                <w:spacing w:val="-4"/>
                <w:lang w:val="en-GB"/>
              </w:rPr>
              <w:t>.).</w:t>
            </w:r>
            <w:r>
              <w:rPr>
                <w:color w:val="0D0D0D" w:themeColor="text1" w:themeTint="F2"/>
                <w:spacing w:val="-4"/>
                <w:lang w:val="en-GB"/>
              </w:rPr>
              <w:t xml:space="preserve"> On the contrary,</w:t>
            </w:r>
            <w:r w:rsidRPr="006E3AB8">
              <w:rPr>
                <w:color w:val="0D0D0D" w:themeColor="text1" w:themeTint="F2"/>
                <w:spacing w:val="-4"/>
                <w:lang w:val="en-GB"/>
              </w:rPr>
              <w:t xml:space="preserve"> </w:t>
            </w:r>
            <w:r>
              <w:rPr>
                <w:color w:val="0D0D0D" w:themeColor="text1" w:themeTint="F2"/>
                <w:spacing w:val="-4"/>
                <w:lang w:val="en-GB"/>
              </w:rPr>
              <w:t xml:space="preserve">the last year’s improvement of the pandemic situation was already reflected in the deficit </w:t>
            </w:r>
            <w:r w:rsidRPr="006E3AB8">
              <w:rPr>
                <w:color w:val="0D0D0D" w:themeColor="text1" w:themeTint="F2"/>
                <w:spacing w:val="-4"/>
                <w:lang w:val="en-GB"/>
              </w:rPr>
              <w:t xml:space="preserve">VI </w:t>
            </w:r>
            <w:r>
              <w:rPr>
                <w:color w:val="0D0D0D" w:themeColor="text1" w:themeTint="F2"/>
                <w:spacing w:val="-4"/>
                <w:lang w:val="en-GB"/>
              </w:rPr>
              <w:t>positively in the EU</w:t>
            </w:r>
            <w:r w:rsidRPr="006E3AB8">
              <w:rPr>
                <w:color w:val="0D0D0D" w:themeColor="text1" w:themeTint="F2"/>
                <w:spacing w:val="-4"/>
                <w:lang w:val="en-GB"/>
              </w:rPr>
              <w:t>.</w:t>
            </w:r>
            <w:r>
              <w:rPr>
                <w:color w:val="0D0D0D" w:themeColor="text1" w:themeTint="F2"/>
                <w:spacing w:val="-4"/>
                <w:lang w:val="en-GB"/>
              </w:rPr>
              <w:t xml:space="preserve"> While it arrived at </w:t>
            </w:r>
            <w:r w:rsidRPr="006E3AB8">
              <w:rPr>
                <w:color w:val="0D0D0D" w:themeColor="text1" w:themeTint="F2"/>
                <w:spacing w:val="-4"/>
                <w:lang w:val="en-GB"/>
              </w:rPr>
              <w:t>7</w:t>
            </w:r>
            <w:r>
              <w:rPr>
                <w:color w:val="0D0D0D" w:themeColor="text1" w:themeTint="F2"/>
                <w:spacing w:val="-4"/>
                <w:lang w:val="en-GB"/>
              </w:rPr>
              <w:t>.</w:t>
            </w:r>
            <w:r w:rsidRPr="006E3AB8">
              <w:rPr>
                <w:color w:val="0D0D0D" w:themeColor="text1" w:themeTint="F2"/>
                <w:spacing w:val="-4"/>
                <w:lang w:val="en-GB"/>
              </w:rPr>
              <w:t>3%</w:t>
            </w:r>
            <w:r>
              <w:rPr>
                <w:color w:val="0D0D0D" w:themeColor="text1" w:themeTint="F2"/>
                <w:spacing w:val="-4"/>
                <w:lang w:val="en-GB"/>
              </w:rPr>
              <w:t xml:space="preserve"> of GDP in Q4 2020</w:t>
            </w:r>
            <w:r w:rsidRPr="006E3AB8">
              <w:rPr>
                <w:color w:val="0D0D0D" w:themeColor="text1" w:themeTint="F2"/>
                <w:spacing w:val="-4"/>
                <w:lang w:val="en-GB"/>
              </w:rPr>
              <w:t>,</w:t>
            </w:r>
            <w:r>
              <w:rPr>
                <w:color w:val="0D0D0D" w:themeColor="text1" w:themeTint="F2"/>
                <w:spacing w:val="-4"/>
                <w:lang w:val="en-GB"/>
              </w:rPr>
              <w:t xml:space="preserve"> it was </w:t>
            </w:r>
            <w:r>
              <w:rPr>
                <w:color w:val="0D0D0D" w:themeColor="text1" w:themeTint="F2"/>
                <w:spacing w:val="-4"/>
                <w:lang w:val="en-US"/>
              </w:rPr>
              <w:t>“</w:t>
            </w:r>
            <w:r>
              <w:rPr>
                <w:color w:val="0D0D0D" w:themeColor="text1" w:themeTint="F2"/>
                <w:spacing w:val="-4"/>
                <w:lang w:val="en-GB"/>
              </w:rPr>
              <w:t>only”</w:t>
            </w:r>
            <w:r>
              <w:rPr>
                <w:color w:val="0D0D0D" w:themeColor="text1" w:themeTint="F2"/>
                <w:spacing w:val="-4"/>
              </w:rPr>
              <w:t xml:space="preserve"> </w:t>
            </w:r>
            <w:r w:rsidRPr="006E3AB8">
              <w:rPr>
                <w:color w:val="0D0D0D" w:themeColor="text1" w:themeTint="F2"/>
                <w:spacing w:val="-4"/>
                <w:lang w:val="en-GB"/>
              </w:rPr>
              <w:t>3</w:t>
            </w:r>
            <w:r>
              <w:rPr>
                <w:color w:val="0D0D0D" w:themeColor="text1" w:themeTint="F2"/>
                <w:spacing w:val="-4"/>
                <w:lang w:val="en-GB"/>
              </w:rPr>
              <w:t>.</w:t>
            </w:r>
            <w:r w:rsidRPr="006E3AB8">
              <w:rPr>
                <w:color w:val="0D0D0D" w:themeColor="text1" w:themeTint="F2"/>
                <w:spacing w:val="-4"/>
                <w:lang w:val="en-GB"/>
              </w:rPr>
              <w:t>7%</w:t>
            </w:r>
            <w:r>
              <w:rPr>
                <w:color w:val="0D0D0D" w:themeColor="text1" w:themeTint="F2"/>
                <w:spacing w:val="-4"/>
                <w:lang w:val="en-GB"/>
              </w:rPr>
              <w:t xml:space="preserve"> of GDP in Q3 the following year</w:t>
            </w:r>
            <w:r w:rsidRPr="006E3AB8">
              <w:rPr>
                <w:color w:val="0D0D0D" w:themeColor="text1" w:themeTint="F2"/>
                <w:spacing w:val="-4"/>
                <w:lang w:val="en-GB"/>
              </w:rPr>
              <w:t xml:space="preserve">, </w:t>
            </w:r>
            <w:r>
              <w:rPr>
                <w:color w:val="0D0D0D" w:themeColor="text1" w:themeTint="F2"/>
                <w:spacing w:val="-4"/>
                <w:lang w:val="en-GB"/>
              </w:rPr>
              <w:t xml:space="preserve">when only Belgium, Romania, Spain and Malta recorded the deeper deficit compared to the CR </w:t>
            </w:r>
            <w:r w:rsidRPr="006E3AB8">
              <w:rPr>
                <w:color w:val="0D0D0D" w:themeColor="text1" w:themeTint="F2"/>
                <w:spacing w:val="-4"/>
                <w:lang w:val="en-GB"/>
              </w:rPr>
              <w:t>(</w:t>
            </w:r>
            <w:r>
              <w:rPr>
                <w:color w:val="0D0D0D" w:themeColor="text1" w:themeTint="F2"/>
                <w:spacing w:val="-4"/>
                <w:lang w:val="en-GB"/>
              </w:rPr>
              <w:t xml:space="preserve">within range </w:t>
            </w:r>
            <w:r w:rsidRPr="006E3AB8">
              <w:rPr>
                <w:color w:val="0D0D0D" w:themeColor="text1" w:themeTint="F2"/>
                <w:spacing w:val="-4"/>
                <w:lang w:val="en-GB"/>
              </w:rPr>
              <w:t>6</w:t>
            </w:r>
            <w:r>
              <w:rPr>
                <w:color w:val="0D0D0D" w:themeColor="text1" w:themeTint="F2"/>
                <w:spacing w:val="-4"/>
                <w:lang w:val="en-GB"/>
              </w:rPr>
              <w:t>.</w:t>
            </w:r>
            <w:r w:rsidRPr="006E3AB8">
              <w:rPr>
                <w:color w:val="0D0D0D" w:themeColor="text1" w:themeTint="F2"/>
                <w:spacing w:val="-4"/>
                <w:lang w:val="en-GB"/>
              </w:rPr>
              <w:t>6%</w:t>
            </w:r>
            <w:r>
              <w:rPr>
                <w:color w:val="0D0D0D" w:themeColor="text1" w:themeTint="F2"/>
                <w:spacing w:val="-4"/>
                <w:lang w:val="en-GB"/>
              </w:rPr>
              <w:t xml:space="preserve"> to </w:t>
            </w:r>
            <w:r w:rsidRPr="006E3AB8">
              <w:rPr>
                <w:color w:val="0D0D0D" w:themeColor="text1" w:themeTint="F2"/>
                <w:spacing w:val="-4"/>
                <w:lang w:val="en-GB"/>
              </w:rPr>
              <w:t>8</w:t>
            </w:r>
            <w:r>
              <w:rPr>
                <w:color w:val="0D0D0D" w:themeColor="text1" w:themeTint="F2"/>
                <w:spacing w:val="-4"/>
                <w:lang w:val="en-GB"/>
              </w:rPr>
              <w:t>.</w:t>
            </w:r>
            <w:r w:rsidRPr="006E3AB8">
              <w:rPr>
                <w:color w:val="0D0D0D" w:themeColor="text1" w:themeTint="F2"/>
                <w:spacing w:val="-4"/>
                <w:lang w:val="en-GB"/>
              </w:rPr>
              <w:t>1%</w:t>
            </w:r>
            <w:r>
              <w:rPr>
                <w:color w:val="0D0D0D" w:themeColor="text1" w:themeTint="F2"/>
                <w:spacing w:val="-4"/>
                <w:lang w:val="en-GB"/>
              </w:rPr>
              <w:t xml:space="preserve"> of GDP</w:t>
            </w:r>
            <w:r w:rsidRPr="006E3AB8">
              <w:rPr>
                <w:color w:val="0D0D0D" w:themeColor="text1" w:themeTint="F2"/>
                <w:spacing w:val="-4"/>
                <w:lang w:val="en-GB"/>
              </w:rPr>
              <w:t>)</w:t>
            </w:r>
            <w:r w:rsidRPr="006E3AB8">
              <w:rPr>
                <w:rStyle w:val="Znakapoznpodarou"/>
                <w:spacing w:val="-4"/>
                <w:lang w:val="en-GB"/>
              </w:rPr>
              <w:footnoteReference w:id="24"/>
            </w:r>
            <w:r w:rsidRPr="006E3AB8">
              <w:rPr>
                <w:color w:val="0D0D0D" w:themeColor="text1" w:themeTint="F2"/>
                <w:spacing w:val="-4"/>
                <w:lang w:val="en-GB"/>
              </w:rPr>
              <w:t>.</w:t>
            </w:r>
            <w:r w:rsidRPr="006E3AB8">
              <w:rPr>
                <w:spacing w:val="-4"/>
                <w:lang w:val="en-GB"/>
              </w:rPr>
              <w:t xml:space="preserve"> </w:t>
            </w:r>
            <w:r>
              <w:rPr>
                <w:spacing w:val="-4"/>
                <w:lang w:val="en-GB"/>
              </w:rPr>
              <w:t>By contrast the government sector ended in surplus only in Denmark last year in Q</w:t>
            </w:r>
            <w:r w:rsidRPr="006E3AB8">
              <w:rPr>
                <w:color w:val="0D0D0D" w:themeColor="text1" w:themeTint="F2"/>
                <w:spacing w:val="-4"/>
                <w:lang w:val="en-GB"/>
              </w:rPr>
              <w:t>3</w:t>
            </w:r>
            <w:r>
              <w:rPr>
                <w:color w:val="0D0D0D" w:themeColor="text1" w:themeTint="F2"/>
                <w:spacing w:val="-4"/>
                <w:lang w:val="en-GB"/>
              </w:rPr>
              <w:t xml:space="preserve"> </w:t>
            </w:r>
            <w:r w:rsidRPr="006E3AB8">
              <w:rPr>
                <w:spacing w:val="-4"/>
                <w:lang w:val="en-GB"/>
              </w:rPr>
              <w:t>(2</w:t>
            </w:r>
            <w:r>
              <w:rPr>
                <w:spacing w:val="-4"/>
                <w:lang w:val="en-GB"/>
              </w:rPr>
              <w:t>.</w:t>
            </w:r>
            <w:r w:rsidRPr="006E3AB8">
              <w:rPr>
                <w:spacing w:val="-4"/>
                <w:lang w:val="en-GB"/>
              </w:rPr>
              <w:t>7%</w:t>
            </w:r>
            <w:r>
              <w:rPr>
                <w:spacing w:val="-4"/>
                <w:lang w:val="en-GB"/>
              </w:rPr>
              <w:t xml:space="preserve"> of GDP</w:t>
            </w:r>
            <w:r w:rsidRPr="006E3AB8">
              <w:rPr>
                <w:spacing w:val="-4"/>
                <w:lang w:val="en-GB"/>
              </w:rPr>
              <w:t xml:space="preserve">), </w:t>
            </w:r>
            <w:r>
              <w:rPr>
                <w:spacing w:val="-4"/>
                <w:lang w:val="en-GB"/>
              </w:rPr>
              <w:t xml:space="preserve">where it however presented even more significant surpluses in the pre-crisis year </w:t>
            </w:r>
            <w:r w:rsidRPr="006E3AB8">
              <w:rPr>
                <w:spacing w:val="-4"/>
                <w:lang w:val="en-GB"/>
              </w:rPr>
              <w:t>2019.</w:t>
            </w:r>
          </w:p>
        </w:tc>
      </w:tr>
      <w:tr w:rsidR="00C23909" w:rsidRPr="000D151F" w14:paraId="1EB0950A" w14:textId="77777777" w:rsidTr="008E039E">
        <w:trPr>
          <w:trHeight w:val="170"/>
        </w:trPr>
        <w:tc>
          <w:tcPr>
            <w:tcW w:w="1732" w:type="dxa"/>
            <w:shd w:val="clear" w:color="auto" w:fill="auto"/>
            <w:tcMar>
              <w:left w:w="0" w:type="dxa"/>
            </w:tcMar>
          </w:tcPr>
          <w:p w14:paraId="3EB96A59" w14:textId="339C257E" w:rsidR="00C23909" w:rsidRDefault="00C23909" w:rsidP="00C23909">
            <w:pPr>
              <w:pStyle w:val="Marginlie"/>
              <w:rPr>
                <w:lang w:val="en-GB"/>
              </w:rPr>
            </w:pPr>
            <w:r>
              <w:rPr>
                <w:lang w:val="en-GB"/>
              </w:rPr>
              <w:t xml:space="preserve">Year-on-year growth of the indebtedness rate </w:t>
            </w:r>
            <w:r w:rsidRPr="00BC59FE">
              <w:rPr>
                <w:lang w:val="en-GB"/>
              </w:rPr>
              <w:t>VI</w:t>
            </w:r>
            <w:r>
              <w:rPr>
                <w:lang w:val="en-GB"/>
              </w:rPr>
              <w:t xml:space="preserve"> was considerably moderated by the nominal increase of GDP in the CR. </w:t>
            </w:r>
          </w:p>
          <w:p w14:paraId="08571025" w14:textId="0F1305DB" w:rsidR="00C23909" w:rsidRDefault="00C23909" w:rsidP="00C23909">
            <w:pPr>
              <w:pStyle w:val="Marginlie"/>
              <w:rPr>
                <w:lang w:val="en-GB"/>
              </w:rPr>
            </w:pPr>
          </w:p>
          <w:p w14:paraId="67D44EB0" w14:textId="77777777" w:rsidR="00C23909" w:rsidRPr="00BC59FE" w:rsidRDefault="00C23909" w:rsidP="00C23909">
            <w:pPr>
              <w:pStyle w:val="Marginlie"/>
              <w:rPr>
                <w:lang w:val="en-GB"/>
              </w:rPr>
            </w:pPr>
          </w:p>
          <w:p w14:paraId="6A31B1A5" w14:textId="77777777" w:rsidR="00C23909" w:rsidRPr="00BC59FE" w:rsidRDefault="00C23909" w:rsidP="00C23909">
            <w:pPr>
              <w:pStyle w:val="Marginlie"/>
              <w:rPr>
                <w:lang w:val="en-GB"/>
              </w:rPr>
            </w:pPr>
          </w:p>
          <w:p w14:paraId="0F78F491" w14:textId="197B2F32" w:rsidR="00C23909" w:rsidRPr="00BC59FE" w:rsidRDefault="00C23909" w:rsidP="00C23909">
            <w:pPr>
              <w:pStyle w:val="Marginlie"/>
              <w:rPr>
                <w:lang w:val="en-GB"/>
              </w:rPr>
            </w:pPr>
            <w:r>
              <w:rPr>
                <w:lang w:val="en-GB"/>
              </w:rPr>
              <w:t xml:space="preserve">Compared to the end of year </w:t>
            </w:r>
            <w:r w:rsidRPr="00BC59FE">
              <w:rPr>
                <w:lang w:val="en-GB"/>
              </w:rPr>
              <w:t>2019</w:t>
            </w:r>
            <w:r>
              <w:rPr>
                <w:lang w:val="en-GB"/>
              </w:rPr>
              <w:t xml:space="preserve">, the cumulative increase of the indebtedness in the CR was comparable to Poland of Germany. </w:t>
            </w:r>
          </w:p>
        </w:tc>
        <w:tc>
          <w:tcPr>
            <w:tcW w:w="217" w:type="dxa"/>
            <w:shd w:val="clear" w:color="auto" w:fill="auto"/>
            <w:tcMar>
              <w:left w:w="0" w:type="dxa"/>
            </w:tcMar>
          </w:tcPr>
          <w:p w14:paraId="2E4B0830" w14:textId="77777777" w:rsidR="00C23909" w:rsidRPr="00BC59FE" w:rsidRDefault="00C23909" w:rsidP="00C23909">
            <w:pPr>
              <w:pStyle w:val="Textpoznpodarou"/>
              <w:jc w:val="both"/>
              <w:rPr>
                <w:spacing w:val="-4"/>
                <w:lang w:val="en-GB"/>
              </w:rPr>
            </w:pPr>
          </w:p>
        </w:tc>
        <w:tc>
          <w:tcPr>
            <w:tcW w:w="7720" w:type="dxa"/>
            <w:shd w:val="clear" w:color="auto" w:fill="auto"/>
            <w:tcMar>
              <w:left w:w="0" w:type="dxa"/>
            </w:tcMar>
          </w:tcPr>
          <w:p w14:paraId="0F85E50B" w14:textId="10026A03" w:rsidR="00C23909" w:rsidRPr="00BC59FE" w:rsidRDefault="00C23909" w:rsidP="00C23909">
            <w:pPr>
              <w:spacing w:after="0"/>
              <w:rPr>
                <w:color w:val="0D0D0D" w:themeColor="text1" w:themeTint="F2"/>
                <w:spacing w:val="-5"/>
                <w:lang w:val="en-GB"/>
              </w:rPr>
            </w:pPr>
            <w:r>
              <w:rPr>
                <w:color w:val="0D0D0D" w:themeColor="text1" w:themeTint="F2"/>
                <w:spacing w:val="-5"/>
                <w:lang w:val="en-GB"/>
              </w:rPr>
              <w:t xml:space="preserve">The nominal debt </w:t>
            </w:r>
            <w:r w:rsidRPr="00BC59FE">
              <w:rPr>
                <w:color w:val="0D0D0D" w:themeColor="text1" w:themeTint="F2"/>
                <w:spacing w:val="-5"/>
                <w:lang w:val="en-GB"/>
              </w:rPr>
              <w:t>VI</w:t>
            </w:r>
            <w:r>
              <w:rPr>
                <w:color w:val="0D0D0D" w:themeColor="text1" w:themeTint="F2"/>
                <w:spacing w:val="-5"/>
                <w:lang w:val="en-GB"/>
              </w:rPr>
              <w:t xml:space="preserve"> reached </w:t>
            </w:r>
            <w:r w:rsidRPr="00BC59FE">
              <w:rPr>
                <w:color w:val="0D0D0D" w:themeColor="text1" w:themeTint="F2"/>
                <w:spacing w:val="-5"/>
                <w:lang w:val="en-GB"/>
              </w:rPr>
              <w:t>2</w:t>
            </w:r>
            <w:r>
              <w:rPr>
                <w:color w:val="0D0D0D" w:themeColor="text1" w:themeTint="F2"/>
                <w:spacing w:val="-5"/>
                <w:lang w:val="en-GB"/>
              </w:rPr>
              <w:t> </w:t>
            </w:r>
            <w:r w:rsidRPr="00BC59FE">
              <w:rPr>
                <w:color w:val="0D0D0D" w:themeColor="text1" w:themeTint="F2"/>
                <w:spacing w:val="-5"/>
                <w:lang w:val="en-GB"/>
              </w:rPr>
              <w:t>432</w:t>
            </w:r>
            <w:r>
              <w:rPr>
                <w:color w:val="0D0D0D" w:themeColor="text1" w:themeTint="F2"/>
                <w:spacing w:val="-5"/>
                <w:lang w:val="en-GB"/>
              </w:rPr>
              <w:t>.</w:t>
            </w:r>
            <w:r w:rsidRPr="00BC59FE">
              <w:rPr>
                <w:color w:val="0D0D0D" w:themeColor="text1" w:themeTint="F2"/>
                <w:spacing w:val="-5"/>
                <w:lang w:val="en-GB"/>
              </w:rPr>
              <w:t>9</w:t>
            </w:r>
            <w:r>
              <w:rPr>
                <w:color w:val="0D0D0D" w:themeColor="text1" w:themeTint="F2"/>
                <w:spacing w:val="-5"/>
                <w:lang w:val="en-GB"/>
              </w:rPr>
              <w:t xml:space="preserve"> CZK bn in the CR at the end of Q3</w:t>
            </w:r>
            <w:r w:rsidRPr="00BC59FE">
              <w:rPr>
                <w:color w:val="0D0D0D" w:themeColor="text1" w:themeTint="F2"/>
                <w:spacing w:val="-5"/>
                <w:lang w:val="en-GB"/>
              </w:rPr>
              <w:t xml:space="preserve">, </w:t>
            </w:r>
            <w:r>
              <w:rPr>
                <w:color w:val="0D0D0D" w:themeColor="text1" w:themeTint="F2"/>
                <w:spacing w:val="-5"/>
                <w:lang w:val="en-GB"/>
              </w:rPr>
              <w:t xml:space="preserve">by </w:t>
            </w:r>
            <w:r w:rsidRPr="00BC59FE">
              <w:rPr>
                <w:color w:val="0D0D0D" w:themeColor="text1" w:themeTint="F2"/>
                <w:spacing w:val="-5"/>
                <w:lang w:val="en-GB"/>
              </w:rPr>
              <w:t>260</w:t>
            </w:r>
            <w:r>
              <w:rPr>
                <w:color w:val="0D0D0D" w:themeColor="text1" w:themeTint="F2"/>
                <w:spacing w:val="-5"/>
                <w:lang w:val="en-GB"/>
              </w:rPr>
              <w:t>.</w:t>
            </w:r>
            <w:r w:rsidRPr="00BC59FE">
              <w:rPr>
                <w:color w:val="0D0D0D" w:themeColor="text1" w:themeTint="F2"/>
                <w:spacing w:val="-5"/>
                <w:lang w:val="en-GB"/>
              </w:rPr>
              <w:t>0</w:t>
            </w:r>
            <w:r>
              <w:rPr>
                <w:color w:val="0D0D0D" w:themeColor="text1" w:themeTint="F2"/>
                <w:spacing w:val="-5"/>
                <w:lang w:val="en-GB"/>
              </w:rPr>
              <w:t xml:space="preserve"> bn more year-on-year</w:t>
            </w:r>
            <w:r w:rsidRPr="00BC59FE">
              <w:rPr>
                <w:color w:val="0D0D0D" w:themeColor="text1" w:themeTint="F2"/>
                <w:spacing w:val="-5"/>
                <w:lang w:val="en-GB"/>
              </w:rPr>
              <w:t xml:space="preserve">. </w:t>
            </w:r>
            <w:r>
              <w:rPr>
                <w:color w:val="0D0D0D" w:themeColor="text1" w:themeTint="F2"/>
                <w:spacing w:val="-5"/>
                <w:lang w:val="en-GB"/>
              </w:rPr>
              <w:t xml:space="preserve">The indebtedness rate grew analogously from </w:t>
            </w:r>
            <w:r w:rsidRPr="00BC59FE">
              <w:rPr>
                <w:color w:val="0D0D0D" w:themeColor="text1" w:themeTint="F2"/>
                <w:spacing w:val="-5"/>
                <w:lang w:val="en-GB"/>
              </w:rPr>
              <w:t>38</w:t>
            </w:r>
            <w:r>
              <w:rPr>
                <w:color w:val="0D0D0D" w:themeColor="text1" w:themeTint="F2"/>
                <w:spacing w:val="-5"/>
                <w:lang w:val="en-GB"/>
              </w:rPr>
              <w:t>.</w:t>
            </w:r>
            <w:r w:rsidRPr="00BC59FE">
              <w:rPr>
                <w:color w:val="0D0D0D" w:themeColor="text1" w:themeTint="F2"/>
                <w:spacing w:val="-5"/>
                <w:lang w:val="en-GB"/>
              </w:rPr>
              <w:t xml:space="preserve">1% </w:t>
            </w:r>
            <w:r>
              <w:rPr>
                <w:color w:val="0D0D0D" w:themeColor="text1" w:themeTint="F2"/>
                <w:spacing w:val="-5"/>
                <w:lang w:val="en-GB"/>
              </w:rPr>
              <w:t xml:space="preserve">to </w:t>
            </w:r>
            <w:r w:rsidRPr="00BC59FE">
              <w:rPr>
                <w:color w:val="0D0D0D" w:themeColor="text1" w:themeTint="F2"/>
                <w:spacing w:val="-5"/>
                <w:lang w:val="en-GB"/>
              </w:rPr>
              <w:t>40</w:t>
            </w:r>
            <w:r>
              <w:rPr>
                <w:color w:val="0D0D0D" w:themeColor="text1" w:themeTint="F2"/>
                <w:spacing w:val="-5"/>
                <w:lang w:val="en-GB"/>
              </w:rPr>
              <w:t>.</w:t>
            </w:r>
            <w:r w:rsidRPr="00BC59FE">
              <w:rPr>
                <w:color w:val="0D0D0D" w:themeColor="text1" w:themeTint="F2"/>
                <w:spacing w:val="-5"/>
                <w:lang w:val="en-GB"/>
              </w:rPr>
              <w:t>5%</w:t>
            </w:r>
            <w:r>
              <w:rPr>
                <w:color w:val="0D0D0D" w:themeColor="text1" w:themeTint="F2"/>
                <w:spacing w:val="-5"/>
                <w:lang w:val="en-GB"/>
              </w:rPr>
              <w:t xml:space="preserve"> of GDP for the last year</w:t>
            </w:r>
            <w:r w:rsidRPr="00BC59FE">
              <w:rPr>
                <w:color w:val="0D0D0D" w:themeColor="text1" w:themeTint="F2"/>
                <w:spacing w:val="-5"/>
                <w:lang w:val="en-GB"/>
              </w:rPr>
              <w:t>.</w:t>
            </w:r>
            <w:r>
              <w:rPr>
                <w:color w:val="0D0D0D" w:themeColor="text1" w:themeTint="F2"/>
                <w:spacing w:val="-5"/>
                <w:lang w:val="en-GB"/>
              </w:rPr>
              <w:t xml:space="preserve"> The growth of indebtedness was subdued by the swift nominal strengthening of the GDP</w:t>
            </w:r>
            <w:r w:rsidRPr="00BC59FE">
              <w:rPr>
                <w:color w:val="0D0D0D" w:themeColor="text1" w:themeTint="F2"/>
                <w:spacing w:val="-5"/>
                <w:lang w:val="en-GB"/>
              </w:rPr>
              <w:t xml:space="preserve"> (</w:t>
            </w:r>
            <w:r>
              <w:rPr>
                <w:color w:val="0D0D0D" w:themeColor="text1" w:themeTint="F2"/>
                <w:spacing w:val="-5"/>
                <w:lang w:val="en-GB"/>
              </w:rPr>
              <w:t xml:space="preserve">contribution </w:t>
            </w:r>
            <w:r w:rsidRPr="00BC59FE">
              <w:rPr>
                <w:color w:val="0D0D0D" w:themeColor="text1" w:themeTint="F2"/>
                <w:spacing w:val="-5"/>
                <w:lang w:val="en-GB"/>
              </w:rPr>
              <w:t>–1</w:t>
            </w:r>
            <w:r>
              <w:rPr>
                <w:color w:val="0D0D0D" w:themeColor="text1" w:themeTint="F2"/>
                <w:spacing w:val="-5"/>
                <w:lang w:val="en-GB"/>
              </w:rPr>
              <w:t>.</w:t>
            </w:r>
            <w:r w:rsidRPr="00BC59FE">
              <w:rPr>
                <w:color w:val="0D0D0D" w:themeColor="text1" w:themeTint="F2"/>
                <w:spacing w:val="-5"/>
                <w:lang w:val="en-GB"/>
              </w:rPr>
              <w:t>9 p.</w:t>
            </w:r>
            <w:r>
              <w:rPr>
                <w:color w:val="0D0D0D" w:themeColor="text1" w:themeTint="F2"/>
                <w:spacing w:val="-5"/>
                <w:lang w:val="en-GB"/>
              </w:rPr>
              <w:t>p</w:t>
            </w:r>
            <w:r w:rsidRPr="00BC59FE">
              <w:rPr>
                <w:color w:val="0D0D0D" w:themeColor="text1" w:themeTint="F2"/>
                <w:spacing w:val="-5"/>
                <w:lang w:val="en-GB"/>
              </w:rPr>
              <w:t xml:space="preserve">.). </w:t>
            </w:r>
            <w:r>
              <w:rPr>
                <w:color w:val="0D0D0D" w:themeColor="text1" w:themeTint="F2"/>
                <w:spacing w:val="-5"/>
                <w:lang w:val="en-GB"/>
              </w:rPr>
              <w:t xml:space="preserve">The indebtedness rate </w:t>
            </w:r>
            <w:r w:rsidRPr="00BC59FE">
              <w:rPr>
                <w:color w:val="0D0D0D" w:themeColor="text1" w:themeTint="F2"/>
                <w:spacing w:val="-5"/>
                <w:lang w:val="en-GB"/>
              </w:rPr>
              <w:t xml:space="preserve">VI </w:t>
            </w:r>
            <w:r>
              <w:rPr>
                <w:color w:val="0D0D0D" w:themeColor="text1" w:themeTint="F2"/>
                <w:spacing w:val="-5"/>
                <w:lang w:val="en-GB"/>
              </w:rPr>
              <w:t xml:space="preserve">was </w:t>
            </w:r>
            <w:r w:rsidRPr="00BC59FE">
              <w:rPr>
                <w:color w:val="0D0D0D" w:themeColor="text1" w:themeTint="F2"/>
                <w:spacing w:val="-5"/>
                <w:lang w:val="en-GB"/>
              </w:rPr>
              <w:t>90</w:t>
            </w:r>
            <w:r>
              <w:rPr>
                <w:color w:val="0D0D0D" w:themeColor="text1" w:themeTint="F2"/>
                <w:spacing w:val="-5"/>
                <w:lang w:val="en-GB"/>
              </w:rPr>
              <w:t>.</w:t>
            </w:r>
            <w:r w:rsidRPr="00BC59FE">
              <w:rPr>
                <w:color w:val="0D0D0D" w:themeColor="text1" w:themeTint="F2"/>
                <w:spacing w:val="-5"/>
                <w:lang w:val="en-GB"/>
              </w:rPr>
              <w:t>1%</w:t>
            </w:r>
            <w:r>
              <w:rPr>
                <w:color w:val="0D0D0D" w:themeColor="text1" w:themeTint="F2"/>
                <w:spacing w:val="-5"/>
                <w:lang w:val="en-GB"/>
              </w:rPr>
              <w:t xml:space="preserve"> of GDP in the EU in Q3</w:t>
            </w:r>
            <w:r w:rsidRPr="00BC59FE">
              <w:rPr>
                <w:color w:val="0D0D0D" w:themeColor="text1" w:themeTint="F2"/>
                <w:spacing w:val="-5"/>
                <w:lang w:val="en-GB"/>
              </w:rPr>
              <w:t>,</w:t>
            </w:r>
            <w:r>
              <w:rPr>
                <w:color w:val="0D0D0D" w:themeColor="text1" w:themeTint="F2"/>
                <w:spacing w:val="-5"/>
                <w:lang w:val="en-GB"/>
              </w:rPr>
              <w:t xml:space="preserve"> it mildly decreased however in the quarter-on-quarter view for the second time in a row. The indebtedness rate rose in all Union states compared to the end of year 2019</w:t>
            </w:r>
            <w:r w:rsidRPr="00BC59FE">
              <w:rPr>
                <w:color w:val="0D0D0D" w:themeColor="text1" w:themeTint="F2"/>
                <w:spacing w:val="-5"/>
                <w:lang w:val="en-GB"/>
              </w:rPr>
              <w:t xml:space="preserve">, </w:t>
            </w:r>
            <w:r>
              <w:rPr>
                <w:color w:val="0D0D0D" w:themeColor="text1" w:themeTint="F2"/>
                <w:spacing w:val="-5"/>
                <w:lang w:val="en-GB"/>
              </w:rPr>
              <w:t xml:space="preserve">the most in countries of the South wing of the euro area </w:t>
            </w:r>
            <w:r w:rsidRPr="00BC59FE">
              <w:rPr>
                <w:color w:val="0D0D0D" w:themeColor="text1" w:themeTint="F2"/>
                <w:spacing w:val="-5"/>
                <w:lang w:val="en-GB"/>
              </w:rPr>
              <w:t>(</w:t>
            </w:r>
            <w:r>
              <w:rPr>
                <w:color w:val="0D0D0D" w:themeColor="text1" w:themeTint="F2"/>
                <w:spacing w:val="-5"/>
                <w:lang w:val="en-GB"/>
              </w:rPr>
              <w:t xml:space="preserve">e.g. in Spain from </w:t>
            </w:r>
            <w:r w:rsidRPr="00BC59FE">
              <w:rPr>
                <w:color w:val="0D0D0D" w:themeColor="text1" w:themeTint="F2"/>
                <w:spacing w:val="-5"/>
                <w:lang w:val="en-GB"/>
              </w:rPr>
              <w:t>95</w:t>
            </w:r>
            <w:r>
              <w:rPr>
                <w:color w:val="0D0D0D" w:themeColor="text1" w:themeTint="F2"/>
                <w:spacing w:val="-5"/>
                <w:lang w:val="en-GB"/>
              </w:rPr>
              <w:t>.</w:t>
            </w:r>
            <w:r w:rsidRPr="00BC59FE">
              <w:rPr>
                <w:color w:val="0D0D0D" w:themeColor="text1" w:themeTint="F2"/>
                <w:spacing w:val="-5"/>
                <w:lang w:val="en-GB"/>
              </w:rPr>
              <w:t>5%</w:t>
            </w:r>
            <w:r>
              <w:rPr>
                <w:color w:val="0D0D0D" w:themeColor="text1" w:themeTint="F2"/>
                <w:spacing w:val="-5"/>
                <w:lang w:val="en-GB"/>
              </w:rPr>
              <w:t xml:space="preserve"> to </w:t>
            </w:r>
            <w:r w:rsidRPr="00BC59FE">
              <w:rPr>
                <w:color w:val="0D0D0D" w:themeColor="text1" w:themeTint="F2"/>
                <w:spacing w:val="-5"/>
                <w:lang w:val="en-GB"/>
              </w:rPr>
              <w:t>121</w:t>
            </w:r>
            <w:r>
              <w:rPr>
                <w:color w:val="0D0D0D" w:themeColor="text1" w:themeTint="F2"/>
                <w:spacing w:val="-5"/>
                <w:lang w:val="en-GB"/>
              </w:rPr>
              <w:t>.</w:t>
            </w:r>
            <w:r w:rsidRPr="00BC59FE">
              <w:rPr>
                <w:color w:val="0D0D0D" w:themeColor="text1" w:themeTint="F2"/>
                <w:spacing w:val="-5"/>
                <w:lang w:val="en-GB"/>
              </w:rPr>
              <w:t>8%</w:t>
            </w:r>
            <w:r>
              <w:rPr>
                <w:color w:val="0D0D0D" w:themeColor="text1" w:themeTint="F2"/>
                <w:spacing w:val="-5"/>
                <w:lang w:val="en-GB"/>
              </w:rPr>
              <w:t xml:space="preserve"> of GDP</w:t>
            </w:r>
            <w:r w:rsidRPr="00BC59FE">
              <w:rPr>
                <w:color w:val="0D0D0D" w:themeColor="text1" w:themeTint="F2"/>
                <w:spacing w:val="-5"/>
                <w:lang w:val="en-GB"/>
              </w:rPr>
              <w:t>),</w:t>
            </w:r>
            <w:r>
              <w:rPr>
                <w:color w:val="0D0D0D" w:themeColor="text1" w:themeTint="F2"/>
                <w:spacing w:val="-5"/>
                <w:lang w:val="en-GB"/>
              </w:rPr>
              <w:t xml:space="preserve"> which except for Malta belonged in this respect to the most affected already before the onset of the pandemics. This increase was </w:t>
            </w:r>
            <w:r w:rsidRPr="00BC59FE">
              <w:rPr>
                <w:color w:val="0D0D0D" w:themeColor="text1" w:themeTint="F2"/>
                <w:spacing w:val="-5"/>
                <w:lang w:val="en-GB"/>
              </w:rPr>
              <w:t>12</w:t>
            </w:r>
            <w:r>
              <w:rPr>
                <w:color w:val="0D0D0D" w:themeColor="text1" w:themeTint="F2"/>
                <w:spacing w:val="-5"/>
                <w:lang w:val="en-GB"/>
              </w:rPr>
              <w:t>.</w:t>
            </w:r>
            <w:r w:rsidRPr="00BC59FE">
              <w:rPr>
                <w:color w:val="0D0D0D" w:themeColor="text1" w:themeTint="F2"/>
                <w:spacing w:val="-5"/>
                <w:lang w:val="en-GB"/>
              </w:rPr>
              <w:t>9 p.</w:t>
            </w:r>
            <w:r>
              <w:rPr>
                <w:color w:val="0D0D0D" w:themeColor="text1" w:themeTint="F2"/>
                <w:spacing w:val="-5"/>
                <w:lang w:val="en-GB"/>
              </w:rPr>
              <w:t>p</w:t>
            </w:r>
            <w:r w:rsidRPr="00BC59FE">
              <w:rPr>
                <w:color w:val="0D0D0D" w:themeColor="text1" w:themeTint="F2"/>
                <w:spacing w:val="-5"/>
                <w:lang w:val="en-GB"/>
              </w:rPr>
              <w:t>.</w:t>
            </w:r>
            <w:r>
              <w:rPr>
                <w:color w:val="0D0D0D" w:themeColor="text1" w:themeTint="F2"/>
                <w:spacing w:val="-5"/>
                <w:lang w:val="en-GB"/>
              </w:rPr>
              <w:t xml:space="preserve"> in the EU</w:t>
            </w:r>
            <w:r w:rsidRPr="00BC59FE">
              <w:rPr>
                <w:color w:val="0D0D0D" w:themeColor="text1" w:themeTint="F2"/>
                <w:spacing w:val="-5"/>
                <w:lang w:val="en-GB"/>
              </w:rPr>
              <w:t xml:space="preserve">, </w:t>
            </w:r>
            <w:r>
              <w:rPr>
                <w:color w:val="0D0D0D" w:themeColor="text1" w:themeTint="F2"/>
                <w:spacing w:val="-5"/>
                <w:lang w:val="en-GB"/>
              </w:rPr>
              <w:t xml:space="preserve">by </w:t>
            </w:r>
            <w:r w:rsidRPr="00BC59FE">
              <w:rPr>
                <w:color w:val="0D0D0D" w:themeColor="text1" w:themeTint="F2"/>
                <w:spacing w:val="-5"/>
                <w:lang w:val="en-GB"/>
              </w:rPr>
              <w:t>10</w:t>
            </w:r>
            <w:r>
              <w:rPr>
                <w:color w:val="0D0D0D" w:themeColor="text1" w:themeTint="F2"/>
                <w:spacing w:val="-5"/>
                <w:lang w:val="en-GB"/>
              </w:rPr>
              <w:t>.</w:t>
            </w:r>
            <w:r w:rsidRPr="00BC59FE">
              <w:rPr>
                <w:color w:val="0D0D0D" w:themeColor="text1" w:themeTint="F2"/>
                <w:spacing w:val="-5"/>
                <w:lang w:val="en-GB"/>
              </w:rPr>
              <w:t>5 p.</w:t>
            </w:r>
            <w:r>
              <w:rPr>
                <w:color w:val="0D0D0D" w:themeColor="text1" w:themeTint="F2"/>
                <w:spacing w:val="-5"/>
                <w:lang w:val="en-GB"/>
              </w:rPr>
              <w:t xml:space="preserve">p. in the CR – similarly to Germany or Poland. Only Ireland </w:t>
            </w:r>
            <w:r w:rsidRPr="00BC59FE">
              <w:rPr>
                <w:color w:val="0D0D0D" w:themeColor="text1" w:themeTint="F2"/>
                <w:spacing w:val="-5"/>
                <w:lang w:val="en-GB"/>
              </w:rPr>
              <w:t>(</w:t>
            </w:r>
            <w:r>
              <w:rPr>
                <w:color w:val="0D0D0D" w:themeColor="text1" w:themeTint="F2"/>
                <w:spacing w:val="-5"/>
                <w:lang w:val="en-GB"/>
              </w:rPr>
              <w:t xml:space="preserve">by </w:t>
            </w:r>
            <w:r w:rsidRPr="00BC59FE">
              <w:rPr>
                <w:color w:val="0D0D0D" w:themeColor="text1" w:themeTint="F2"/>
                <w:spacing w:val="-5"/>
                <w:lang w:val="en-GB"/>
              </w:rPr>
              <w:t>0</w:t>
            </w:r>
            <w:r>
              <w:rPr>
                <w:color w:val="0D0D0D" w:themeColor="text1" w:themeTint="F2"/>
                <w:spacing w:val="-5"/>
                <w:lang w:val="en-GB"/>
              </w:rPr>
              <w:t>.</w:t>
            </w:r>
            <w:r w:rsidRPr="00BC59FE">
              <w:rPr>
                <w:color w:val="0D0D0D" w:themeColor="text1" w:themeTint="F2"/>
                <w:spacing w:val="-5"/>
                <w:lang w:val="en-GB"/>
              </w:rPr>
              <w:t>4 p.</w:t>
            </w:r>
            <w:r>
              <w:rPr>
                <w:color w:val="0D0D0D" w:themeColor="text1" w:themeTint="F2"/>
                <w:spacing w:val="-5"/>
                <w:lang w:val="en-GB"/>
              </w:rPr>
              <w:t>p</w:t>
            </w:r>
            <w:r w:rsidRPr="00BC59FE">
              <w:rPr>
                <w:color w:val="0D0D0D" w:themeColor="text1" w:themeTint="F2"/>
                <w:spacing w:val="-5"/>
                <w:lang w:val="en-GB"/>
              </w:rPr>
              <w:t>.) a</w:t>
            </w:r>
            <w:r>
              <w:rPr>
                <w:color w:val="0D0D0D" w:themeColor="text1" w:themeTint="F2"/>
                <w:spacing w:val="-5"/>
                <w:lang w:val="en-GB"/>
              </w:rPr>
              <w:t xml:space="preserve">nd Sweden </w:t>
            </w:r>
            <w:r w:rsidRPr="00BC59FE">
              <w:rPr>
                <w:color w:val="0D0D0D" w:themeColor="text1" w:themeTint="F2"/>
                <w:spacing w:val="-5"/>
                <w:lang w:val="en-GB"/>
              </w:rPr>
              <w:t>(</w:t>
            </w:r>
            <w:r>
              <w:rPr>
                <w:color w:val="0D0D0D" w:themeColor="text1" w:themeTint="F2"/>
                <w:spacing w:val="-5"/>
                <w:lang w:val="en-GB"/>
              </w:rPr>
              <w:t xml:space="preserve">by </w:t>
            </w:r>
            <w:r w:rsidRPr="00BC59FE">
              <w:rPr>
                <w:color w:val="0D0D0D" w:themeColor="text1" w:themeTint="F2"/>
                <w:spacing w:val="-5"/>
                <w:lang w:val="en-GB"/>
              </w:rPr>
              <w:t>1</w:t>
            </w:r>
            <w:r>
              <w:rPr>
                <w:color w:val="0D0D0D" w:themeColor="text1" w:themeTint="F2"/>
                <w:spacing w:val="-5"/>
                <w:lang w:val="en-GB"/>
              </w:rPr>
              <w:t>.</w:t>
            </w:r>
            <w:r w:rsidRPr="00BC59FE">
              <w:rPr>
                <w:color w:val="0D0D0D" w:themeColor="text1" w:themeTint="F2"/>
                <w:spacing w:val="-5"/>
                <w:lang w:val="en-GB"/>
              </w:rPr>
              <w:t>2 p.</w:t>
            </w:r>
            <w:r>
              <w:rPr>
                <w:color w:val="0D0D0D" w:themeColor="text1" w:themeTint="F2"/>
                <w:spacing w:val="-5"/>
                <w:lang w:val="en-GB"/>
              </w:rPr>
              <w:t>p</w:t>
            </w:r>
            <w:r w:rsidRPr="00BC59FE">
              <w:rPr>
                <w:color w:val="0D0D0D" w:themeColor="text1" w:themeTint="F2"/>
                <w:spacing w:val="-5"/>
                <w:lang w:val="en-GB"/>
              </w:rPr>
              <w:t>.)</w:t>
            </w:r>
            <w:r>
              <w:rPr>
                <w:color w:val="0D0D0D" w:themeColor="text1" w:themeTint="F2"/>
                <w:spacing w:val="-5"/>
                <w:lang w:val="en-GB"/>
              </w:rPr>
              <w:t xml:space="preserve"> reported a minimum worsening and together with other eleven EU states kept their indebtedness below </w:t>
            </w:r>
            <w:r w:rsidRPr="00BC59FE">
              <w:rPr>
                <w:color w:val="0D0D0D" w:themeColor="text1" w:themeTint="F2"/>
                <w:spacing w:val="-5"/>
                <w:lang w:val="en-GB"/>
              </w:rPr>
              <w:t>60%</w:t>
            </w:r>
            <w:r>
              <w:rPr>
                <w:color w:val="0D0D0D" w:themeColor="text1" w:themeTint="F2"/>
                <w:spacing w:val="-5"/>
                <w:lang w:val="en-GB"/>
              </w:rPr>
              <w:t xml:space="preserve"> of GDP</w:t>
            </w:r>
            <w:r w:rsidRPr="00BC59FE">
              <w:rPr>
                <w:color w:val="0D0D0D" w:themeColor="text1" w:themeTint="F2"/>
                <w:spacing w:val="-5"/>
                <w:lang w:val="en-GB"/>
              </w:rPr>
              <w:t>.</w:t>
            </w:r>
          </w:p>
        </w:tc>
      </w:tr>
    </w:tbl>
    <w:p w14:paraId="5BAB8EA3" w14:textId="2CCF54AC" w:rsidR="000663F0" w:rsidRPr="00E42054" w:rsidRDefault="000663F0" w:rsidP="00AB3BA7">
      <w:pPr>
        <w:pStyle w:val="Nadpis11"/>
        <w:rPr>
          <w:b w:val="0"/>
          <w:sz w:val="2"/>
          <w:szCs w:val="2"/>
        </w:rPr>
      </w:pPr>
    </w:p>
    <w:sectPr w:rsidR="000663F0" w:rsidRPr="00E42054" w:rsidSect="00507116">
      <w:headerReference w:type="even" r:id="rId11"/>
      <w:headerReference w:type="default" r:id="rId12"/>
      <w:footerReference w:type="even" r:id="rId13"/>
      <w:footerReference w:type="default" r:id="rId14"/>
      <w:pgSz w:w="11906" w:h="16838" w:code="9"/>
      <w:pgMar w:top="1134" w:right="1134" w:bottom="1418" w:left="1134" w:header="680" w:footer="737" w:gutter="0"/>
      <w:pgNumType w:start="4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24FC6" w14:textId="77777777" w:rsidR="003B25E8" w:rsidRDefault="003B25E8" w:rsidP="00E71A58">
      <w:r>
        <w:separator/>
      </w:r>
    </w:p>
  </w:endnote>
  <w:endnote w:type="continuationSeparator" w:id="0">
    <w:p w14:paraId="2399456E" w14:textId="77777777" w:rsidR="003B25E8" w:rsidRDefault="003B25E8"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B6C8" w14:textId="67C07323" w:rsidR="007C581C" w:rsidRPr="00932443" w:rsidRDefault="007C581C" w:rsidP="00A418BC">
    <w:pPr>
      <w:pStyle w:val="Zpat"/>
      <w:rPr>
        <w:szCs w:val="16"/>
      </w:rPr>
    </w:pPr>
    <w:r>
      <w:rPr>
        <w:szCs w:val="16"/>
        <w:lang w:eastAsia="cs-CZ"/>
      </w:rPr>
      <w:drawing>
        <wp:anchor distT="0" distB="0" distL="114300" distR="114300" simplePos="0" relativeHeight="251667968" behindDoc="0" locked="0" layoutInCell="1" allowOverlap="1" wp14:anchorId="5009AFEB" wp14:editId="1EAEA9AF">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507116">
      <w:rPr>
        <w:szCs w:val="16"/>
      </w:rPr>
      <w:t>44</w:t>
    </w:r>
    <w:r w:rsidRPr="00932443">
      <w:rPr>
        <w:szCs w:val="16"/>
      </w:rPr>
      <w:fldChar w:fldCharType="end"/>
    </w:r>
    <w:r w:rsidRPr="00932443">
      <w:rPr>
        <w:szCs w:val="16"/>
      </w:rPr>
      <w:tab/>
    </w:r>
    <w:r>
      <w:rPr>
        <w:szCs w:val="16"/>
      </w:rPr>
      <w:t>year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AFAF" w14:textId="7DB83D88" w:rsidR="007C581C" w:rsidRPr="00932443" w:rsidRDefault="00E81D18" w:rsidP="00FA6CB6">
    <w:pPr>
      <w:pStyle w:val="Zpat"/>
      <w:rPr>
        <w:szCs w:val="16"/>
      </w:rPr>
    </w:pPr>
    <w:r>
      <w:rPr>
        <w:lang w:eastAsia="cs-CZ"/>
      </w:rPr>
      <w:drawing>
        <wp:anchor distT="0" distB="0" distL="114300" distR="114300" simplePos="0" relativeHeight="251670016" behindDoc="0" locked="0" layoutInCell="1" allowOverlap="1" wp14:anchorId="06D08D78" wp14:editId="29900516">
          <wp:simplePos x="0" y="0"/>
          <wp:positionH relativeFrom="margin">
            <wp:align>left</wp:align>
          </wp:positionH>
          <wp:positionV relativeFrom="paragraph">
            <wp:posOffset>-74428</wp:posOffset>
          </wp:positionV>
          <wp:extent cx="676910" cy="201930"/>
          <wp:effectExtent l="0" t="0" r="8890" b="7620"/>
          <wp:wrapNone/>
          <wp:docPr id="12" name="Picture 12" descr="CSU RGB E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EN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201930"/>
                  </a:xfrm>
                  <a:prstGeom prst="rect">
                    <a:avLst/>
                  </a:prstGeom>
                  <a:noFill/>
                  <a:ln>
                    <a:noFill/>
                  </a:ln>
                </pic:spPr>
              </pic:pic>
            </a:graphicData>
          </a:graphic>
          <wp14:sizeRelH relativeFrom="page">
            <wp14:pctWidth>0</wp14:pctWidth>
          </wp14:sizeRelH>
          <wp14:sizeRelV relativeFrom="page">
            <wp14:pctHeight>0</wp14:pctHeight>
          </wp14:sizeRelV>
        </wp:anchor>
      </w:drawing>
    </w:r>
    <w:r w:rsidR="007C581C" w:rsidRPr="00FA6CB6">
      <w:rPr>
        <w:szCs w:val="16"/>
      </w:rPr>
      <w:tab/>
    </w:r>
    <w:r w:rsidR="007C581C">
      <w:rPr>
        <w:szCs w:val="16"/>
      </w:rPr>
      <w:t>Year 2021</w:t>
    </w:r>
    <w:r w:rsidR="007C581C" w:rsidRPr="00932443">
      <w:rPr>
        <w:szCs w:val="16"/>
      </w:rPr>
      <w:tab/>
    </w:r>
    <w:r w:rsidR="007C581C" w:rsidRPr="00932443">
      <w:rPr>
        <w:rStyle w:val="ZpatChar"/>
        <w:szCs w:val="16"/>
      </w:rPr>
      <w:fldChar w:fldCharType="begin"/>
    </w:r>
    <w:r w:rsidR="007C581C" w:rsidRPr="00932443">
      <w:rPr>
        <w:rStyle w:val="ZpatChar"/>
        <w:szCs w:val="16"/>
      </w:rPr>
      <w:instrText>PAGE   \* MERGEFORMAT</w:instrText>
    </w:r>
    <w:r w:rsidR="007C581C" w:rsidRPr="00932443">
      <w:rPr>
        <w:rStyle w:val="ZpatChar"/>
        <w:szCs w:val="16"/>
      </w:rPr>
      <w:fldChar w:fldCharType="separate"/>
    </w:r>
    <w:r w:rsidR="00507116">
      <w:rPr>
        <w:rStyle w:val="ZpatChar"/>
        <w:szCs w:val="16"/>
      </w:rPr>
      <w:t>45</w:t>
    </w:r>
    <w:r w:rsidR="007C581C"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7B387" w14:textId="77777777" w:rsidR="003B25E8" w:rsidRDefault="003B25E8" w:rsidP="00A21B4D">
      <w:pPr>
        <w:spacing w:after="0"/>
      </w:pPr>
      <w:r>
        <w:separator/>
      </w:r>
    </w:p>
  </w:footnote>
  <w:footnote w:type="continuationSeparator" w:id="0">
    <w:p w14:paraId="0CCF44C8" w14:textId="77777777" w:rsidR="003B25E8" w:rsidRDefault="003B25E8" w:rsidP="00E71A58">
      <w:r>
        <w:continuationSeparator/>
      </w:r>
    </w:p>
  </w:footnote>
  <w:footnote w:id="1">
    <w:p w14:paraId="009AB0C5" w14:textId="7E103299" w:rsidR="007C581C" w:rsidRPr="003B7313" w:rsidRDefault="007C581C" w:rsidP="00144108">
      <w:pPr>
        <w:pStyle w:val="Textpoznpodarou"/>
        <w:jc w:val="both"/>
        <w:rPr>
          <w:spacing w:val="-3"/>
          <w:sz w:val="16"/>
          <w:szCs w:val="16"/>
          <w:lang w:val="en-GB"/>
        </w:rPr>
      </w:pPr>
      <w:r w:rsidRPr="004A27B5">
        <w:rPr>
          <w:rStyle w:val="Znakapoznpodarou"/>
          <w:spacing w:val="-3"/>
          <w:sz w:val="16"/>
          <w:szCs w:val="16"/>
        </w:rPr>
        <w:footnoteRef/>
      </w:r>
      <w:r w:rsidRPr="004A27B5">
        <w:rPr>
          <w:spacing w:val="-3"/>
          <w:sz w:val="16"/>
          <w:szCs w:val="16"/>
        </w:rPr>
        <w:t xml:space="preserve"> </w:t>
      </w:r>
      <w:r w:rsidRPr="003B7313">
        <w:rPr>
          <w:spacing w:val="-3"/>
          <w:sz w:val="16"/>
          <w:szCs w:val="16"/>
          <w:lang w:val="en-GB"/>
        </w:rPr>
        <w:t xml:space="preserve">Unless stated otherwise, </w:t>
      </w:r>
      <w:r w:rsidRPr="003B7313">
        <w:rPr>
          <w:sz w:val="16"/>
          <w:szCs w:val="16"/>
          <w:lang w:val="en-GB"/>
        </w:rPr>
        <w:t>all data related to the state budget stem from the data of the Ministry of Finance regarding the cash fulfilment</w:t>
      </w:r>
      <w:r w:rsidRPr="003B7313">
        <w:rPr>
          <w:rFonts w:cs="Arial"/>
          <w:color w:val="0D0D0D" w:themeColor="text1" w:themeTint="F2"/>
          <w:spacing w:val="-3"/>
          <w:sz w:val="16"/>
          <w:szCs w:val="16"/>
          <w:lang w:val="en-GB"/>
        </w:rPr>
        <w:t>.</w:t>
      </w:r>
    </w:p>
  </w:footnote>
  <w:footnote w:id="2">
    <w:p w14:paraId="497C13FD" w14:textId="4C781153" w:rsidR="007C581C" w:rsidRPr="00301FD5" w:rsidRDefault="007C581C" w:rsidP="00144108">
      <w:pPr>
        <w:pStyle w:val="Textpoznpodarou"/>
        <w:jc w:val="both"/>
        <w:rPr>
          <w:sz w:val="16"/>
          <w:szCs w:val="16"/>
          <w:lang w:val="en-GB"/>
        </w:rPr>
      </w:pPr>
      <w:r w:rsidRPr="003B7313">
        <w:rPr>
          <w:rStyle w:val="Znakapoznpodarou"/>
          <w:sz w:val="16"/>
          <w:szCs w:val="16"/>
          <w:lang w:val="en-GB"/>
        </w:rPr>
        <w:footnoteRef/>
      </w:r>
      <w:r w:rsidRPr="003B7313">
        <w:rPr>
          <w:sz w:val="16"/>
          <w:szCs w:val="16"/>
          <w:lang w:val="en-GB"/>
        </w:rPr>
        <w:t xml:space="preserve"> </w:t>
      </w:r>
      <w:r>
        <w:rPr>
          <w:spacing w:val="-2"/>
          <w:sz w:val="16"/>
          <w:szCs w:val="16"/>
          <w:lang w:val="en-GB"/>
        </w:rPr>
        <w:t>C</w:t>
      </w:r>
      <w:r>
        <w:rPr>
          <w:color w:val="0D0D0D" w:themeColor="text1" w:themeTint="F2"/>
          <w:spacing w:val="-2"/>
          <w:sz w:val="16"/>
          <w:szCs w:val="16"/>
          <w:lang w:val="en-GB"/>
        </w:rPr>
        <w:t>ompared to the budget anticipations (anchored in the amendment of the Act on the state budget for year 2021, effective as of 1</w:t>
      </w:r>
      <w:r w:rsidRPr="003B7313">
        <w:rPr>
          <w:color w:val="0D0D0D" w:themeColor="text1" w:themeTint="F2"/>
          <w:spacing w:val="-2"/>
          <w:sz w:val="16"/>
          <w:szCs w:val="16"/>
          <w:vertAlign w:val="superscript"/>
          <w:lang w:val="en-GB"/>
        </w:rPr>
        <w:t>st</w:t>
      </w:r>
      <w:r>
        <w:rPr>
          <w:color w:val="0D0D0D" w:themeColor="text1" w:themeTint="F2"/>
          <w:spacing w:val="-2"/>
          <w:sz w:val="16"/>
          <w:szCs w:val="16"/>
          <w:lang w:val="en-GB"/>
        </w:rPr>
        <w:t xml:space="preserve"> March 2021) it represented deficit lower by </w:t>
      </w:r>
      <w:r w:rsidRPr="00301FD5">
        <w:rPr>
          <w:sz w:val="16"/>
          <w:szCs w:val="16"/>
          <w:lang w:val="en-GB"/>
        </w:rPr>
        <w:t>80</w:t>
      </w:r>
      <w:r>
        <w:rPr>
          <w:sz w:val="16"/>
          <w:szCs w:val="16"/>
          <w:lang w:val="en-GB"/>
        </w:rPr>
        <w:t xml:space="preserve"> CZK bn</w:t>
      </w:r>
      <w:r w:rsidRPr="00301FD5">
        <w:rPr>
          <w:sz w:val="16"/>
          <w:szCs w:val="16"/>
          <w:lang w:val="en-GB"/>
        </w:rPr>
        <w:t xml:space="preserve">. </w:t>
      </w:r>
      <w:r>
        <w:rPr>
          <w:sz w:val="16"/>
          <w:szCs w:val="16"/>
          <w:lang w:val="en-GB"/>
        </w:rPr>
        <w:t>Mainly the higher than anticipated growth of the collection of direct taxes (especially the corporate tax</w:t>
      </w:r>
      <w:r w:rsidRPr="00301FD5">
        <w:rPr>
          <w:sz w:val="16"/>
          <w:szCs w:val="16"/>
          <w:lang w:val="en-GB"/>
        </w:rPr>
        <w:t>)</w:t>
      </w:r>
      <w:r>
        <w:rPr>
          <w:sz w:val="16"/>
          <w:szCs w:val="16"/>
          <w:lang w:val="en-GB"/>
        </w:rPr>
        <w:t xml:space="preserve"> stood behind it</w:t>
      </w:r>
      <w:r w:rsidRPr="00301FD5">
        <w:rPr>
          <w:sz w:val="16"/>
          <w:szCs w:val="16"/>
          <w:lang w:val="en-GB"/>
        </w:rPr>
        <w:t>.</w:t>
      </w:r>
    </w:p>
  </w:footnote>
  <w:footnote w:id="3">
    <w:p w14:paraId="3817A103" w14:textId="3725ABC9" w:rsidR="007C581C" w:rsidRPr="00301FD5" w:rsidRDefault="007C581C" w:rsidP="00144108">
      <w:pPr>
        <w:pStyle w:val="Textpoznpodarou"/>
        <w:jc w:val="both"/>
        <w:rPr>
          <w:sz w:val="16"/>
          <w:szCs w:val="16"/>
          <w:lang w:val="en-GB"/>
        </w:rPr>
      </w:pPr>
      <w:r w:rsidRPr="00301FD5">
        <w:rPr>
          <w:rStyle w:val="Znakapoznpodarou"/>
          <w:sz w:val="16"/>
          <w:szCs w:val="16"/>
          <w:lang w:val="en-GB"/>
        </w:rPr>
        <w:footnoteRef/>
      </w:r>
      <w:r w:rsidRPr="00301FD5">
        <w:rPr>
          <w:sz w:val="16"/>
          <w:szCs w:val="16"/>
          <w:lang w:val="en-GB"/>
        </w:rPr>
        <w:t xml:space="preserve"> </w:t>
      </w:r>
      <w:r>
        <w:rPr>
          <w:sz w:val="16"/>
          <w:szCs w:val="16"/>
          <w:lang w:val="en-GB"/>
        </w:rPr>
        <w:t xml:space="preserve">The cumulated SB deficit for the first five months of year </w:t>
      </w:r>
      <w:r w:rsidRPr="00301FD5">
        <w:rPr>
          <w:sz w:val="16"/>
          <w:szCs w:val="16"/>
          <w:lang w:val="en-GB"/>
        </w:rPr>
        <w:t>2021</w:t>
      </w:r>
      <w:r>
        <w:rPr>
          <w:sz w:val="16"/>
          <w:szCs w:val="16"/>
          <w:lang w:val="en-GB"/>
        </w:rPr>
        <w:t xml:space="preserve"> arrived at </w:t>
      </w:r>
      <w:r w:rsidRPr="00301FD5">
        <w:rPr>
          <w:sz w:val="16"/>
          <w:szCs w:val="16"/>
          <w:lang w:val="en-GB"/>
        </w:rPr>
        <w:t>255 </w:t>
      </w:r>
      <w:r>
        <w:rPr>
          <w:sz w:val="16"/>
          <w:szCs w:val="16"/>
          <w:lang w:val="en-GB"/>
        </w:rPr>
        <w:t>CZK bn</w:t>
      </w:r>
      <w:r w:rsidRPr="00301FD5">
        <w:rPr>
          <w:sz w:val="16"/>
          <w:szCs w:val="16"/>
          <w:lang w:val="en-GB"/>
        </w:rPr>
        <w:t>.</w:t>
      </w:r>
    </w:p>
  </w:footnote>
  <w:footnote w:id="4">
    <w:p w14:paraId="7D88B5B2" w14:textId="2E05ADBD" w:rsidR="007C581C" w:rsidRPr="00301FD5" w:rsidRDefault="007C581C" w:rsidP="00144108">
      <w:pPr>
        <w:pStyle w:val="Textpoznpodarou"/>
        <w:jc w:val="both"/>
        <w:rPr>
          <w:spacing w:val="-2"/>
          <w:sz w:val="16"/>
          <w:szCs w:val="16"/>
          <w:lang w:val="en-GB"/>
        </w:rPr>
      </w:pPr>
      <w:r w:rsidRPr="00301FD5">
        <w:rPr>
          <w:rStyle w:val="Znakapoznpodarou"/>
          <w:spacing w:val="-2"/>
          <w:sz w:val="16"/>
          <w:szCs w:val="16"/>
          <w:lang w:val="en-GB"/>
        </w:rPr>
        <w:footnoteRef/>
      </w:r>
      <w:r w:rsidRPr="00301FD5">
        <w:rPr>
          <w:spacing w:val="-2"/>
          <w:sz w:val="16"/>
          <w:szCs w:val="16"/>
          <w:lang w:val="en-GB"/>
        </w:rPr>
        <w:t xml:space="preserve"> </w:t>
      </w:r>
      <w:r>
        <w:rPr>
          <w:spacing w:val="-2"/>
          <w:sz w:val="16"/>
          <w:szCs w:val="16"/>
          <w:lang w:val="en-GB"/>
        </w:rPr>
        <w:t xml:space="preserve">Since January </w:t>
      </w:r>
      <w:r w:rsidRPr="00301FD5">
        <w:rPr>
          <w:sz w:val="16"/>
          <w:szCs w:val="16"/>
          <w:lang w:val="en-GB"/>
        </w:rPr>
        <w:t>2021</w:t>
      </w:r>
      <w:r>
        <w:rPr>
          <w:sz w:val="16"/>
          <w:szCs w:val="16"/>
          <w:lang w:val="en-GB"/>
        </w:rPr>
        <w:t xml:space="preserve">, the ratio of municipalities on the state-wide collection of shared taxes increased from </w:t>
      </w:r>
      <w:r w:rsidRPr="00301FD5">
        <w:rPr>
          <w:sz w:val="16"/>
          <w:szCs w:val="16"/>
          <w:lang w:val="en-GB"/>
        </w:rPr>
        <w:t>23</w:t>
      </w:r>
      <w:r>
        <w:rPr>
          <w:sz w:val="16"/>
          <w:szCs w:val="16"/>
          <w:lang w:val="en-GB"/>
        </w:rPr>
        <w:t>.</w:t>
      </w:r>
      <w:r w:rsidRPr="00301FD5">
        <w:rPr>
          <w:sz w:val="16"/>
          <w:szCs w:val="16"/>
          <w:lang w:val="en-GB"/>
        </w:rPr>
        <w:t>58%</w:t>
      </w:r>
      <w:r>
        <w:rPr>
          <w:sz w:val="16"/>
          <w:szCs w:val="16"/>
          <w:lang w:val="en-GB"/>
        </w:rPr>
        <w:t xml:space="preserve"> to </w:t>
      </w:r>
      <w:r w:rsidRPr="00301FD5">
        <w:rPr>
          <w:sz w:val="16"/>
          <w:szCs w:val="16"/>
          <w:lang w:val="en-GB"/>
        </w:rPr>
        <w:t>25</w:t>
      </w:r>
      <w:r>
        <w:rPr>
          <w:sz w:val="16"/>
          <w:szCs w:val="16"/>
          <w:lang w:val="en-GB"/>
        </w:rPr>
        <w:t>.</w:t>
      </w:r>
      <w:r w:rsidRPr="00301FD5">
        <w:rPr>
          <w:sz w:val="16"/>
          <w:szCs w:val="16"/>
          <w:lang w:val="en-GB"/>
        </w:rPr>
        <w:t xml:space="preserve">84% </w:t>
      </w:r>
      <w:r>
        <w:rPr>
          <w:sz w:val="16"/>
          <w:szCs w:val="16"/>
          <w:lang w:val="en-GB"/>
        </w:rPr>
        <w:t xml:space="preserve">and regions from </w:t>
      </w:r>
      <w:r w:rsidRPr="00301FD5">
        <w:rPr>
          <w:sz w:val="16"/>
          <w:szCs w:val="16"/>
          <w:lang w:val="en-GB"/>
        </w:rPr>
        <w:t>8</w:t>
      </w:r>
      <w:r>
        <w:rPr>
          <w:sz w:val="16"/>
          <w:szCs w:val="16"/>
          <w:lang w:val="en-GB"/>
        </w:rPr>
        <w:t>.</w:t>
      </w:r>
      <w:r w:rsidRPr="00301FD5">
        <w:rPr>
          <w:sz w:val="16"/>
          <w:szCs w:val="16"/>
          <w:lang w:val="en-GB"/>
        </w:rPr>
        <w:t xml:space="preserve">92% </w:t>
      </w:r>
      <w:r>
        <w:rPr>
          <w:sz w:val="16"/>
          <w:szCs w:val="16"/>
          <w:lang w:val="en-GB"/>
        </w:rPr>
        <w:t xml:space="preserve">to </w:t>
      </w:r>
      <w:r w:rsidRPr="00301FD5">
        <w:rPr>
          <w:sz w:val="16"/>
          <w:szCs w:val="16"/>
          <w:lang w:val="en-GB"/>
        </w:rPr>
        <w:t>9</w:t>
      </w:r>
      <w:r>
        <w:rPr>
          <w:sz w:val="16"/>
          <w:szCs w:val="16"/>
          <w:lang w:val="en-GB"/>
        </w:rPr>
        <w:t>.</w:t>
      </w:r>
      <w:r w:rsidRPr="00301FD5">
        <w:rPr>
          <w:sz w:val="16"/>
          <w:szCs w:val="16"/>
          <w:lang w:val="en-GB"/>
        </w:rPr>
        <w:t>78%. T</w:t>
      </w:r>
      <w:r>
        <w:rPr>
          <w:sz w:val="16"/>
          <w:szCs w:val="16"/>
          <w:lang w:val="en-GB"/>
        </w:rPr>
        <w:t xml:space="preserve">his increase represented according to the MF estimations an adverse impact on the annual SB tax collection in the amount of </w:t>
      </w:r>
      <w:r w:rsidRPr="00301FD5">
        <w:rPr>
          <w:sz w:val="16"/>
          <w:szCs w:val="16"/>
          <w:lang w:val="en-GB"/>
        </w:rPr>
        <w:t>27</w:t>
      </w:r>
      <w:r>
        <w:rPr>
          <w:sz w:val="16"/>
          <w:szCs w:val="16"/>
          <w:lang w:val="en-GB"/>
        </w:rPr>
        <w:t>.</w:t>
      </w:r>
      <w:r w:rsidRPr="00301FD5">
        <w:rPr>
          <w:sz w:val="16"/>
          <w:szCs w:val="16"/>
          <w:lang w:val="en-GB"/>
        </w:rPr>
        <w:t>4</w:t>
      </w:r>
      <w:r>
        <w:rPr>
          <w:sz w:val="16"/>
          <w:szCs w:val="16"/>
          <w:lang w:val="en-GB"/>
        </w:rPr>
        <w:t xml:space="preserve"> CZK bn</w:t>
      </w:r>
      <w:r w:rsidRPr="00301FD5">
        <w:rPr>
          <w:sz w:val="16"/>
          <w:szCs w:val="16"/>
          <w:lang w:val="en-GB"/>
        </w:rPr>
        <w:t>.</w:t>
      </w:r>
    </w:p>
  </w:footnote>
  <w:footnote w:id="5">
    <w:p w14:paraId="00AF640E" w14:textId="517A47CF" w:rsidR="007C581C" w:rsidRPr="00301FD5" w:rsidRDefault="007C581C" w:rsidP="00144108">
      <w:pPr>
        <w:pStyle w:val="Textpoznpodarou"/>
        <w:jc w:val="both"/>
        <w:rPr>
          <w:sz w:val="16"/>
          <w:szCs w:val="16"/>
          <w:lang w:val="en-GB"/>
        </w:rPr>
      </w:pPr>
      <w:r w:rsidRPr="00301FD5">
        <w:rPr>
          <w:rStyle w:val="Znakapoznpodarou"/>
          <w:sz w:val="16"/>
          <w:szCs w:val="16"/>
          <w:lang w:val="en-GB"/>
        </w:rPr>
        <w:footnoteRef/>
      </w:r>
      <w:r w:rsidRPr="00301FD5">
        <w:rPr>
          <w:sz w:val="16"/>
          <w:szCs w:val="16"/>
          <w:lang w:val="en-GB"/>
        </w:rPr>
        <w:t xml:space="preserve"> </w:t>
      </w:r>
      <w:r>
        <w:rPr>
          <w:sz w:val="16"/>
          <w:szCs w:val="16"/>
          <w:lang w:val="en-GB"/>
        </w:rPr>
        <w:t xml:space="preserve">Lowered rate </w:t>
      </w:r>
      <w:r w:rsidRPr="00301FD5">
        <w:rPr>
          <w:sz w:val="16"/>
          <w:szCs w:val="16"/>
          <w:lang w:val="en-GB"/>
        </w:rPr>
        <w:t>(</w:t>
      </w:r>
      <w:r>
        <w:rPr>
          <w:sz w:val="16"/>
          <w:szCs w:val="16"/>
          <w:lang w:val="en-GB"/>
        </w:rPr>
        <w:t xml:space="preserve">from </w:t>
      </w:r>
      <w:r w:rsidRPr="00301FD5">
        <w:rPr>
          <w:sz w:val="16"/>
          <w:szCs w:val="16"/>
          <w:lang w:val="en-GB"/>
        </w:rPr>
        <w:t>15%</w:t>
      </w:r>
      <w:r>
        <w:rPr>
          <w:sz w:val="16"/>
          <w:szCs w:val="16"/>
          <w:lang w:val="en-GB"/>
        </w:rPr>
        <w:t xml:space="preserve"> to </w:t>
      </w:r>
      <w:r w:rsidRPr="00301FD5">
        <w:rPr>
          <w:sz w:val="16"/>
          <w:szCs w:val="16"/>
          <w:lang w:val="en-GB"/>
        </w:rPr>
        <w:t xml:space="preserve">10%) </w:t>
      </w:r>
      <w:r>
        <w:rPr>
          <w:sz w:val="16"/>
          <w:szCs w:val="16"/>
          <w:lang w:val="en-GB"/>
        </w:rPr>
        <w:t xml:space="preserve">on food and accommodation and services, cultural and sport events, further also for example on water rate, sewer rate, drinking water or draught beer, was introduced starting May last year, resp. July. The VAT collection for year </w:t>
      </w:r>
      <w:r w:rsidRPr="00301FD5">
        <w:rPr>
          <w:sz w:val="16"/>
          <w:szCs w:val="16"/>
          <w:lang w:val="en-GB"/>
        </w:rPr>
        <w:t>2021</w:t>
      </w:r>
      <w:r>
        <w:rPr>
          <w:sz w:val="16"/>
          <w:szCs w:val="16"/>
          <w:lang w:val="en-GB"/>
        </w:rPr>
        <w:t xml:space="preserve"> was also mildly subdued by the temporary tax waiver for protective equipment </w:t>
      </w:r>
      <w:r w:rsidRPr="00301FD5">
        <w:rPr>
          <w:sz w:val="16"/>
          <w:szCs w:val="16"/>
          <w:lang w:val="en-GB"/>
        </w:rPr>
        <w:t>(</w:t>
      </w:r>
      <w:r>
        <w:rPr>
          <w:sz w:val="16"/>
          <w:szCs w:val="16"/>
          <w:lang w:val="en-GB"/>
        </w:rPr>
        <w:t>e.g. respirators</w:t>
      </w:r>
      <w:r w:rsidRPr="00301FD5">
        <w:rPr>
          <w:sz w:val="16"/>
          <w:szCs w:val="16"/>
          <w:lang w:val="en-GB"/>
        </w:rPr>
        <w:t>) a</w:t>
      </w:r>
      <w:r>
        <w:rPr>
          <w:sz w:val="16"/>
          <w:szCs w:val="16"/>
          <w:lang w:val="en-GB"/>
        </w:rPr>
        <w:t xml:space="preserve">nd for tests as well as vaccines associated with the </w:t>
      </w:r>
      <w:r w:rsidRPr="00301FD5">
        <w:rPr>
          <w:sz w:val="16"/>
          <w:szCs w:val="16"/>
          <w:lang w:val="en-GB"/>
        </w:rPr>
        <w:t>covid-19</w:t>
      </w:r>
      <w:r>
        <w:rPr>
          <w:sz w:val="16"/>
          <w:szCs w:val="16"/>
          <w:lang w:val="en-GB"/>
        </w:rPr>
        <w:t xml:space="preserve"> epidemy</w:t>
      </w:r>
      <w:r w:rsidRPr="00301FD5">
        <w:rPr>
          <w:sz w:val="16"/>
          <w:szCs w:val="16"/>
          <w:lang w:val="en-GB"/>
        </w:rPr>
        <w:t>.</w:t>
      </w:r>
    </w:p>
  </w:footnote>
  <w:footnote w:id="6">
    <w:p w14:paraId="639E2043" w14:textId="62BCD3BF" w:rsidR="007C581C" w:rsidRPr="00301FD5" w:rsidRDefault="007C581C" w:rsidP="00144108">
      <w:pPr>
        <w:pStyle w:val="Textpoznpodarou"/>
        <w:jc w:val="both"/>
        <w:rPr>
          <w:spacing w:val="-4"/>
          <w:sz w:val="16"/>
          <w:szCs w:val="16"/>
          <w:lang w:val="en-GB"/>
        </w:rPr>
      </w:pPr>
      <w:r w:rsidRPr="00301FD5">
        <w:rPr>
          <w:rStyle w:val="Znakapoznpodarou"/>
          <w:spacing w:val="-4"/>
          <w:sz w:val="16"/>
          <w:szCs w:val="16"/>
          <w:lang w:val="en-GB"/>
        </w:rPr>
        <w:footnoteRef/>
      </w:r>
      <w:r w:rsidRPr="00301FD5">
        <w:rPr>
          <w:spacing w:val="-4"/>
          <w:sz w:val="16"/>
          <w:szCs w:val="16"/>
          <w:lang w:val="en-GB"/>
        </w:rPr>
        <w:t xml:space="preserve"> </w:t>
      </w:r>
      <w:r>
        <w:rPr>
          <w:spacing w:val="-4"/>
          <w:sz w:val="16"/>
          <w:szCs w:val="16"/>
          <w:lang w:val="en-GB"/>
        </w:rPr>
        <w:t xml:space="preserve">SB collection of this tax fell by </w:t>
      </w:r>
      <w:r w:rsidRPr="00301FD5">
        <w:rPr>
          <w:spacing w:val="-4"/>
          <w:sz w:val="16"/>
          <w:szCs w:val="16"/>
          <w:lang w:val="en-GB"/>
        </w:rPr>
        <w:t>2</w:t>
      </w:r>
      <w:r>
        <w:rPr>
          <w:spacing w:val="-4"/>
          <w:sz w:val="16"/>
          <w:szCs w:val="16"/>
          <w:lang w:val="en-GB"/>
        </w:rPr>
        <w:t>.</w:t>
      </w:r>
      <w:r w:rsidRPr="00301FD5">
        <w:rPr>
          <w:spacing w:val="-4"/>
          <w:sz w:val="16"/>
          <w:szCs w:val="16"/>
          <w:lang w:val="en-GB"/>
        </w:rPr>
        <w:t>3</w:t>
      </w:r>
      <w:r>
        <w:rPr>
          <w:spacing w:val="-4"/>
          <w:sz w:val="16"/>
          <w:szCs w:val="16"/>
          <w:lang w:val="en-GB"/>
        </w:rPr>
        <w:t xml:space="preserve"> CZK bn </w:t>
      </w:r>
      <w:r w:rsidRPr="00301FD5">
        <w:rPr>
          <w:spacing w:val="-4"/>
          <w:sz w:val="16"/>
          <w:szCs w:val="16"/>
          <w:lang w:val="en-GB"/>
        </w:rPr>
        <w:t>(</w:t>
      </w:r>
      <w:r w:rsidRPr="00301FD5">
        <w:rPr>
          <w:color w:val="0D0D0D" w:themeColor="text1" w:themeTint="F2"/>
          <w:spacing w:val="-4"/>
          <w:sz w:val="16"/>
          <w:szCs w:val="16"/>
          <w:lang w:val="en-GB"/>
        </w:rPr>
        <w:t>–</w:t>
      </w:r>
      <w:r w:rsidRPr="00301FD5">
        <w:rPr>
          <w:spacing w:val="-4"/>
          <w:sz w:val="16"/>
          <w:szCs w:val="16"/>
          <w:lang w:val="en-GB"/>
        </w:rPr>
        <w:t>3</w:t>
      </w:r>
      <w:r>
        <w:rPr>
          <w:spacing w:val="-4"/>
          <w:sz w:val="16"/>
          <w:szCs w:val="16"/>
          <w:lang w:val="en-GB"/>
        </w:rPr>
        <w:t>.</w:t>
      </w:r>
      <w:r w:rsidRPr="00301FD5">
        <w:rPr>
          <w:spacing w:val="-4"/>
          <w:sz w:val="16"/>
          <w:szCs w:val="16"/>
          <w:lang w:val="en-GB"/>
        </w:rPr>
        <w:t>0%)</w:t>
      </w:r>
      <w:r>
        <w:rPr>
          <w:spacing w:val="-4"/>
          <w:sz w:val="16"/>
          <w:szCs w:val="16"/>
          <w:lang w:val="en-GB"/>
        </w:rPr>
        <w:t xml:space="preserve"> year-on-year last year</w:t>
      </w:r>
      <w:r w:rsidRPr="00301FD5">
        <w:rPr>
          <w:spacing w:val="-4"/>
          <w:sz w:val="16"/>
          <w:szCs w:val="16"/>
          <w:lang w:val="en-GB"/>
        </w:rPr>
        <w:t xml:space="preserve">, </w:t>
      </w:r>
      <w:r>
        <w:rPr>
          <w:spacing w:val="-4"/>
          <w:sz w:val="16"/>
          <w:szCs w:val="16"/>
          <w:lang w:val="en-GB"/>
        </w:rPr>
        <w:t xml:space="preserve">the lowering of the tariff itself led based on the MF estimation to decreased collection by </w:t>
      </w:r>
      <w:r w:rsidRPr="00301FD5">
        <w:rPr>
          <w:spacing w:val="-4"/>
          <w:sz w:val="16"/>
          <w:szCs w:val="16"/>
          <w:lang w:val="en-GB"/>
        </w:rPr>
        <w:t>4</w:t>
      </w:r>
      <w:r>
        <w:rPr>
          <w:spacing w:val="-4"/>
          <w:sz w:val="16"/>
          <w:szCs w:val="16"/>
          <w:lang w:val="en-GB"/>
        </w:rPr>
        <w:t>.</w:t>
      </w:r>
      <w:r w:rsidRPr="00301FD5">
        <w:rPr>
          <w:spacing w:val="-4"/>
          <w:sz w:val="16"/>
          <w:szCs w:val="16"/>
          <w:lang w:val="en-GB"/>
        </w:rPr>
        <w:t>7</w:t>
      </w:r>
      <w:r>
        <w:rPr>
          <w:spacing w:val="-4"/>
          <w:sz w:val="16"/>
          <w:szCs w:val="16"/>
          <w:lang w:val="en-GB"/>
        </w:rPr>
        <w:t xml:space="preserve"> bn</w:t>
      </w:r>
      <w:r w:rsidRPr="00301FD5">
        <w:rPr>
          <w:spacing w:val="-4"/>
          <w:sz w:val="16"/>
          <w:szCs w:val="16"/>
          <w:lang w:val="en-GB"/>
        </w:rPr>
        <w:t>.</w:t>
      </w:r>
    </w:p>
  </w:footnote>
  <w:footnote w:id="7">
    <w:p w14:paraId="44488681" w14:textId="6369412C" w:rsidR="007C581C" w:rsidRPr="007910A8" w:rsidRDefault="007C581C" w:rsidP="00144108">
      <w:pPr>
        <w:pStyle w:val="Textpoznpodarou"/>
        <w:jc w:val="both"/>
        <w:rPr>
          <w:sz w:val="16"/>
          <w:szCs w:val="16"/>
          <w:lang w:val="en-GB"/>
        </w:rPr>
      </w:pPr>
      <w:r w:rsidRPr="00301FD5">
        <w:rPr>
          <w:rStyle w:val="Znakapoznpodarou"/>
          <w:sz w:val="16"/>
          <w:szCs w:val="16"/>
          <w:lang w:val="en-GB"/>
        </w:rPr>
        <w:footnoteRef/>
      </w:r>
      <w:r w:rsidRPr="00301FD5">
        <w:rPr>
          <w:sz w:val="16"/>
          <w:szCs w:val="16"/>
          <w:lang w:val="en-GB"/>
        </w:rPr>
        <w:t xml:space="preserve"> </w:t>
      </w:r>
      <w:r w:rsidRPr="007910A8">
        <w:rPr>
          <w:sz w:val="16"/>
          <w:szCs w:val="16"/>
          <w:lang w:val="en-GB"/>
        </w:rPr>
        <w:t xml:space="preserve">According to the CZSO data, </w:t>
      </w:r>
      <w:r>
        <w:rPr>
          <w:sz w:val="16"/>
          <w:szCs w:val="16"/>
          <w:lang w:val="en-GB"/>
        </w:rPr>
        <w:t xml:space="preserve">the year-on-year consumption of diesel fuel increased in the CR from January till October </w:t>
      </w:r>
      <w:r w:rsidRPr="007910A8">
        <w:rPr>
          <w:sz w:val="16"/>
          <w:szCs w:val="16"/>
          <w:lang w:val="en-GB"/>
        </w:rPr>
        <w:t>202</w:t>
      </w:r>
      <w:r>
        <w:rPr>
          <w:sz w:val="16"/>
          <w:szCs w:val="16"/>
          <w:lang w:val="en-GB"/>
        </w:rPr>
        <w:t xml:space="preserve">1 year-on-year </w:t>
      </w:r>
      <w:r w:rsidRPr="007910A8">
        <w:rPr>
          <w:sz w:val="16"/>
          <w:szCs w:val="16"/>
          <w:lang w:val="en-GB"/>
        </w:rPr>
        <w:t>(+7</w:t>
      </w:r>
      <w:r>
        <w:rPr>
          <w:sz w:val="16"/>
          <w:szCs w:val="16"/>
          <w:lang w:val="en-GB"/>
        </w:rPr>
        <w:t>.</w:t>
      </w:r>
      <w:r w:rsidRPr="007910A8">
        <w:rPr>
          <w:sz w:val="16"/>
          <w:szCs w:val="16"/>
          <w:lang w:val="en-GB"/>
        </w:rPr>
        <w:t>1%) a</w:t>
      </w:r>
      <w:r>
        <w:rPr>
          <w:sz w:val="16"/>
          <w:szCs w:val="16"/>
          <w:lang w:val="en-GB"/>
        </w:rPr>
        <w:t xml:space="preserve">nd also the petrol by slower rate </w:t>
      </w:r>
      <w:r w:rsidRPr="007910A8">
        <w:rPr>
          <w:sz w:val="16"/>
          <w:szCs w:val="16"/>
          <w:lang w:val="en-GB"/>
        </w:rPr>
        <w:t>(+0</w:t>
      </w:r>
      <w:r>
        <w:rPr>
          <w:sz w:val="16"/>
          <w:szCs w:val="16"/>
          <w:lang w:val="en-GB"/>
        </w:rPr>
        <w:t>.</w:t>
      </w:r>
      <w:r w:rsidRPr="007910A8">
        <w:rPr>
          <w:sz w:val="16"/>
          <w:szCs w:val="16"/>
          <w:lang w:val="en-GB"/>
        </w:rPr>
        <w:t xml:space="preserve">9%). </w:t>
      </w:r>
      <w:r>
        <w:rPr>
          <w:sz w:val="16"/>
          <w:szCs w:val="16"/>
          <w:lang w:val="en-GB"/>
        </w:rPr>
        <w:t xml:space="preserve">Following the sharp dive during the year </w:t>
      </w:r>
      <w:r w:rsidRPr="007910A8">
        <w:rPr>
          <w:sz w:val="16"/>
          <w:szCs w:val="16"/>
          <w:lang w:val="en-GB"/>
        </w:rPr>
        <w:t>2020</w:t>
      </w:r>
      <w:r>
        <w:rPr>
          <w:sz w:val="16"/>
          <w:szCs w:val="16"/>
          <w:lang w:val="en-GB"/>
        </w:rPr>
        <w:t xml:space="preserve">, the consumption of kerosene in fact stagnated for the first ten months of the last year </w:t>
      </w:r>
      <w:r w:rsidRPr="007910A8">
        <w:rPr>
          <w:sz w:val="16"/>
          <w:szCs w:val="16"/>
          <w:lang w:val="en-GB"/>
        </w:rPr>
        <w:t>(</w:t>
      </w:r>
      <w:r w:rsidRPr="007910A8">
        <w:rPr>
          <w:color w:val="0D0D0D" w:themeColor="text1" w:themeTint="F2"/>
          <w:spacing w:val="-4"/>
          <w:sz w:val="16"/>
          <w:szCs w:val="16"/>
          <w:lang w:val="en-GB"/>
        </w:rPr>
        <w:t>–</w:t>
      </w:r>
      <w:r w:rsidRPr="007910A8">
        <w:rPr>
          <w:sz w:val="16"/>
          <w:szCs w:val="16"/>
          <w:lang w:val="en-GB"/>
        </w:rPr>
        <w:t>0</w:t>
      </w:r>
      <w:r>
        <w:rPr>
          <w:sz w:val="16"/>
          <w:szCs w:val="16"/>
          <w:lang w:val="en-GB"/>
        </w:rPr>
        <w:t>.</w:t>
      </w:r>
      <w:r w:rsidRPr="007910A8">
        <w:rPr>
          <w:sz w:val="16"/>
          <w:szCs w:val="16"/>
          <w:lang w:val="en-GB"/>
        </w:rPr>
        <w:t xml:space="preserve">7%). </w:t>
      </w:r>
      <w:r>
        <w:rPr>
          <w:sz w:val="16"/>
          <w:szCs w:val="16"/>
          <w:lang w:val="en-GB"/>
        </w:rPr>
        <w:t xml:space="preserve">In comparison to the pre-pandemic year </w:t>
      </w:r>
      <w:r w:rsidRPr="007910A8">
        <w:rPr>
          <w:sz w:val="16"/>
          <w:szCs w:val="16"/>
          <w:lang w:val="en-GB"/>
        </w:rPr>
        <w:t>2019</w:t>
      </w:r>
      <w:r>
        <w:rPr>
          <w:sz w:val="16"/>
          <w:szCs w:val="16"/>
          <w:lang w:val="en-GB"/>
        </w:rPr>
        <w:t xml:space="preserve"> however, the consumption of all main oil products still considerably lagged behind, except for diesel </w:t>
      </w:r>
      <w:r w:rsidRPr="007910A8">
        <w:rPr>
          <w:sz w:val="16"/>
          <w:szCs w:val="16"/>
          <w:lang w:val="en-GB"/>
        </w:rPr>
        <w:t>(+1</w:t>
      </w:r>
      <w:r>
        <w:rPr>
          <w:sz w:val="16"/>
          <w:szCs w:val="16"/>
          <w:lang w:val="en-GB"/>
        </w:rPr>
        <w:t>.</w:t>
      </w:r>
      <w:r w:rsidRPr="007910A8">
        <w:rPr>
          <w:sz w:val="16"/>
          <w:szCs w:val="16"/>
          <w:lang w:val="en-GB"/>
        </w:rPr>
        <w:t>8%).</w:t>
      </w:r>
    </w:p>
  </w:footnote>
  <w:footnote w:id="8">
    <w:p w14:paraId="2D5CD1D7" w14:textId="5592FB14" w:rsidR="007C581C" w:rsidRPr="007910A8" w:rsidRDefault="007C581C" w:rsidP="00144108">
      <w:pPr>
        <w:pStyle w:val="Textpoznpodarou"/>
        <w:jc w:val="both"/>
        <w:rPr>
          <w:sz w:val="16"/>
          <w:szCs w:val="16"/>
          <w:lang w:val="en-GB"/>
        </w:rPr>
      </w:pPr>
      <w:r w:rsidRPr="007910A8">
        <w:rPr>
          <w:rStyle w:val="Znakapoznpodarou"/>
          <w:sz w:val="16"/>
          <w:szCs w:val="16"/>
          <w:lang w:val="en-GB"/>
        </w:rPr>
        <w:footnoteRef/>
      </w:r>
      <w:r w:rsidRPr="007910A8">
        <w:rPr>
          <w:sz w:val="16"/>
          <w:szCs w:val="16"/>
          <w:lang w:val="en-GB"/>
        </w:rPr>
        <w:t xml:space="preserve"> </w:t>
      </w:r>
      <w:r>
        <w:rPr>
          <w:sz w:val="16"/>
          <w:szCs w:val="16"/>
          <w:lang w:val="en-GB"/>
        </w:rPr>
        <w:t xml:space="preserve">It presented mainly the waiver of the June advance payment for this tax </w:t>
      </w:r>
      <w:r w:rsidRPr="007910A8">
        <w:rPr>
          <w:spacing w:val="-2"/>
          <w:sz w:val="16"/>
          <w:szCs w:val="16"/>
          <w:lang w:val="en-GB"/>
        </w:rPr>
        <w:t>(</w:t>
      </w:r>
      <w:r>
        <w:rPr>
          <w:spacing w:val="-2"/>
          <w:sz w:val="16"/>
          <w:szCs w:val="16"/>
          <w:lang w:val="en-GB"/>
        </w:rPr>
        <w:t>with negative impact on the SB level collection in the amount of 13.5 CZK bn in year 2020</w:t>
      </w:r>
      <w:r w:rsidRPr="007910A8">
        <w:rPr>
          <w:spacing w:val="-2"/>
          <w:sz w:val="16"/>
          <w:szCs w:val="16"/>
          <w:lang w:val="en-GB"/>
        </w:rPr>
        <w:t>).</w:t>
      </w:r>
      <w:r>
        <w:rPr>
          <w:spacing w:val="-2"/>
          <w:sz w:val="16"/>
          <w:szCs w:val="16"/>
          <w:lang w:val="en-GB"/>
        </w:rPr>
        <w:t xml:space="preserve"> Part of the cancelled and unpaid June advance payment of year </w:t>
      </w:r>
      <w:r w:rsidRPr="007910A8">
        <w:rPr>
          <w:spacing w:val="-2"/>
          <w:sz w:val="16"/>
          <w:szCs w:val="16"/>
          <w:lang w:val="en-GB"/>
        </w:rPr>
        <w:t>2020</w:t>
      </w:r>
      <w:r>
        <w:rPr>
          <w:spacing w:val="-2"/>
          <w:sz w:val="16"/>
          <w:szCs w:val="16"/>
          <w:lang w:val="en-GB"/>
        </w:rPr>
        <w:t xml:space="preserve"> was paid last year in the tax realignment. </w:t>
      </w:r>
    </w:p>
  </w:footnote>
  <w:footnote w:id="9">
    <w:p w14:paraId="5CEAE9D0" w14:textId="6E81E7DF" w:rsidR="007C581C" w:rsidRPr="007910A8" w:rsidRDefault="007C581C" w:rsidP="00144108">
      <w:pPr>
        <w:pStyle w:val="Textpoznpodarou"/>
        <w:jc w:val="both"/>
        <w:rPr>
          <w:spacing w:val="-2"/>
          <w:sz w:val="16"/>
          <w:szCs w:val="16"/>
          <w:lang w:val="en-GB"/>
        </w:rPr>
      </w:pPr>
      <w:r w:rsidRPr="007910A8">
        <w:rPr>
          <w:rStyle w:val="Znakapoznpodarou"/>
          <w:spacing w:val="-2"/>
          <w:sz w:val="16"/>
          <w:szCs w:val="16"/>
          <w:lang w:val="en-GB"/>
        </w:rPr>
        <w:footnoteRef/>
      </w:r>
      <w:r w:rsidRPr="007910A8">
        <w:rPr>
          <w:spacing w:val="-2"/>
          <w:sz w:val="16"/>
          <w:szCs w:val="16"/>
          <w:lang w:val="en-GB"/>
        </w:rPr>
        <w:t xml:space="preserve"> T</w:t>
      </w:r>
      <w:r>
        <w:rPr>
          <w:spacing w:val="-2"/>
          <w:sz w:val="16"/>
          <w:szCs w:val="16"/>
          <w:lang w:val="en-GB"/>
        </w:rPr>
        <w:t>hey react to the worsened financial situation of businesses</w:t>
      </w:r>
      <w:r w:rsidRPr="007910A8">
        <w:rPr>
          <w:spacing w:val="-2"/>
          <w:sz w:val="16"/>
          <w:szCs w:val="16"/>
          <w:lang w:val="en-GB"/>
        </w:rPr>
        <w:t xml:space="preserve">. </w:t>
      </w:r>
      <w:r>
        <w:rPr>
          <w:spacing w:val="-2"/>
          <w:sz w:val="16"/>
          <w:szCs w:val="16"/>
          <w:lang w:val="en-GB"/>
        </w:rPr>
        <w:t xml:space="preserve">According to the MF estimations, these requests led to the decrease of the revenues from corporate tax into the SB by </w:t>
      </w:r>
      <w:r w:rsidRPr="007910A8">
        <w:rPr>
          <w:spacing w:val="-2"/>
          <w:sz w:val="16"/>
          <w:szCs w:val="16"/>
          <w:lang w:val="en-GB"/>
        </w:rPr>
        <w:t>6</w:t>
      </w:r>
      <w:r>
        <w:rPr>
          <w:spacing w:val="-2"/>
          <w:sz w:val="16"/>
          <w:szCs w:val="16"/>
          <w:lang w:val="en-GB"/>
        </w:rPr>
        <w:t>.</w:t>
      </w:r>
      <w:r w:rsidRPr="007910A8">
        <w:rPr>
          <w:spacing w:val="-2"/>
          <w:sz w:val="16"/>
          <w:szCs w:val="16"/>
          <w:lang w:val="en-GB"/>
        </w:rPr>
        <w:t>9</w:t>
      </w:r>
      <w:r>
        <w:rPr>
          <w:spacing w:val="-2"/>
          <w:sz w:val="16"/>
          <w:szCs w:val="16"/>
          <w:lang w:val="en-GB"/>
        </w:rPr>
        <w:t xml:space="preserve"> bn in year 2020</w:t>
      </w:r>
      <w:r w:rsidRPr="007910A8">
        <w:rPr>
          <w:spacing w:val="-2"/>
          <w:sz w:val="16"/>
          <w:szCs w:val="16"/>
          <w:lang w:val="en-GB"/>
        </w:rPr>
        <w:t xml:space="preserve">, </w:t>
      </w:r>
      <w:r>
        <w:rPr>
          <w:spacing w:val="-2"/>
          <w:sz w:val="16"/>
          <w:szCs w:val="16"/>
          <w:lang w:val="en-GB"/>
        </w:rPr>
        <w:t xml:space="preserve">by 22.1 bn in year </w:t>
      </w:r>
      <w:r w:rsidRPr="007910A8">
        <w:rPr>
          <w:spacing w:val="-2"/>
          <w:sz w:val="16"/>
          <w:szCs w:val="16"/>
          <w:lang w:val="en-GB"/>
        </w:rPr>
        <w:t>2021.</w:t>
      </w:r>
    </w:p>
  </w:footnote>
  <w:footnote w:id="10">
    <w:p w14:paraId="47C95365" w14:textId="77777777" w:rsidR="007C581C" w:rsidRPr="007910A8" w:rsidRDefault="007C581C" w:rsidP="00C024F0">
      <w:pPr>
        <w:pStyle w:val="Textpoznpodarou"/>
        <w:jc w:val="both"/>
        <w:rPr>
          <w:sz w:val="16"/>
          <w:szCs w:val="16"/>
          <w:lang w:val="en-GB"/>
        </w:rPr>
      </w:pPr>
      <w:r w:rsidRPr="007910A8">
        <w:rPr>
          <w:rStyle w:val="Znakapoznpodarou"/>
          <w:sz w:val="16"/>
          <w:szCs w:val="16"/>
          <w:lang w:val="en-GB"/>
        </w:rPr>
        <w:footnoteRef/>
      </w:r>
      <w:r w:rsidRPr="007910A8">
        <w:rPr>
          <w:sz w:val="16"/>
          <w:szCs w:val="16"/>
          <w:lang w:val="en-GB"/>
        </w:rPr>
        <w:t xml:space="preserve"> </w:t>
      </w:r>
      <w:r>
        <w:rPr>
          <w:sz w:val="16"/>
          <w:szCs w:val="16"/>
          <w:lang w:val="en-GB"/>
        </w:rPr>
        <w:t xml:space="preserve">SB revenue from this tax arrived at </w:t>
      </w:r>
      <w:r w:rsidRPr="007910A8">
        <w:rPr>
          <w:sz w:val="16"/>
          <w:szCs w:val="16"/>
          <w:lang w:val="en-GB"/>
        </w:rPr>
        <w:t>109</w:t>
      </w:r>
      <w:r>
        <w:rPr>
          <w:sz w:val="16"/>
          <w:szCs w:val="16"/>
          <w:lang w:val="en-GB"/>
        </w:rPr>
        <w:t>.</w:t>
      </w:r>
      <w:r w:rsidRPr="007910A8">
        <w:rPr>
          <w:sz w:val="16"/>
          <w:szCs w:val="16"/>
          <w:lang w:val="en-GB"/>
        </w:rPr>
        <w:t>1</w:t>
      </w:r>
      <w:r>
        <w:rPr>
          <w:sz w:val="16"/>
          <w:szCs w:val="16"/>
          <w:lang w:val="en-GB"/>
        </w:rPr>
        <w:t xml:space="preserve"> CZK bn last year, which was the least in the last six years. Still it presented result considerably exceeding the last year</w:t>
      </w:r>
      <w:r>
        <w:rPr>
          <w:sz w:val="16"/>
          <w:szCs w:val="16"/>
        </w:rPr>
        <w:t>‘</w:t>
      </w:r>
      <w:r>
        <w:rPr>
          <w:sz w:val="16"/>
          <w:szCs w:val="16"/>
          <w:lang w:val="en-US"/>
        </w:rPr>
        <w:t xml:space="preserve">s budget anticipation </w:t>
      </w:r>
      <w:r w:rsidRPr="007910A8">
        <w:rPr>
          <w:sz w:val="16"/>
          <w:szCs w:val="16"/>
          <w:lang w:val="en-GB"/>
        </w:rPr>
        <w:t>(</w:t>
      </w:r>
      <w:r>
        <w:rPr>
          <w:sz w:val="16"/>
          <w:szCs w:val="16"/>
          <w:lang w:val="en-GB"/>
        </w:rPr>
        <w:t>b</w:t>
      </w:r>
      <w:r>
        <w:rPr>
          <w:sz w:val="16"/>
          <w:szCs w:val="16"/>
        </w:rPr>
        <w:t xml:space="preserve">y </w:t>
      </w:r>
      <w:r w:rsidRPr="007E3F0E">
        <w:rPr>
          <w:sz w:val="16"/>
          <w:szCs w:val="16"/>
          <w:lang w:val="en-GB"/>
        </w:rPr>
        <w:t>more than 21 bn</w:t>
      </w:r>
      <w:r w:rsidRPr="007910A8">
        <w:rPr>
          <w:sz w:val="16"/>
          <w:szCs w:val="16"/>
          <w:lang w:val="en-GB"/>
        </w:rPr>
        <w:t>).</w:t>
      </w:r>
    </w:p>
  </w:footnote>
  <w:footnote w:id="11">
    <w:p w14:paraId="119126D5" w14:textId="77777777" w:rsidR="007C581C" w:rsidRPr="007910A8" w:rsidRDefault="007C581C" w:rsidP="00144108">
      <w:pPr>
        <w:pStyle w:val="Textpoznpodarou"/>
        <w:jc w:val="both"/>
        <w:rPr>
          <w:sz w:val="16"/>
          <w:szCs w:val="16"/>
          <w:lang w:val="en-GB"/>
        </w:rPr>
      </w:pPr>
      <w:r w:rsidRPr="007910A8">
        <w:rPr>
          <w:rStyle w:val="Znakapoznpodarou"/>
          <w:sz w:val="16"/>
          <w:szCs w:val="16"/>
          <w:lang w:val="en-GB"/>
        </w:rPr>
        <w:footnoteRef/>
      </w:r>
      <w:r w:rsidRPr="007910A8">
        <w:rPr>
          <w:sz w:val="16"/>
          <w:szCs w:val="16"/>
          <w:lang w:val="en-GB"/>
        </w:rPr>
        <w:t xml:space="preserve"> </w:t>
      </w:r>
      <w:r>
        <w:rPr>
          <w:sz w:val="16"/>
          <w:szCs w:val="16"/>
          <w:lang w:val="en-GB"/>
        </w:rPr>
        <w:t xml:space="preserve">Based on the MF calculations, it concerned at the SB level 16.1 CZK bn in year </w:t>
      </w:r>
      <w:r w:rsidRPr="007910A8">
        <w:rPr>
          <w:sz w:val="16"/>
          <w:szCs w:val="16"/>
          <w:lang w:val="en-GB"/>
        </w:rPr>
        <w:t>2020, 12</w:t>
      </w:r>
      <w:r>
        <w:rPr>
          <w:sz w:val="16"/>
          <w:szCs w:val="16"/>
          <w:lang w:val="en-GB"/>
        </w:rPr>
        <w:t>.</w:t>
      </w:r>
      <w:r w:rsidRPr="007910A8">
        <w:rPr>
          <w:sz w:val="16"/>
          <w:szCs w:val="16"/>
          <w:lang w:val="en-GB"/>
        </w:rPr>
        <w:t>1</w:t>
      </w:r>
      <w:r>
        <w:rPr>
          <w:sz w:val="16"/>
          <w:szCs w:val="16"/>
          <w:lang w:val="en-GB"/>
        </w:rPr>
        <w:t xml:space="preserve"> bn one year later. </w:t>
      </w:r>
    </w:p>
  </w:footnote>
  <w:footnote w:id="12">
    <w:p w14:paraId="42D49236" w14:textId="552E3921" w:rsidR="007C581C" w:rsidRPr="0005658B" w:rsidRDefault="007C581C" w:rsidP="00144108">
      <w:pPr>
        <w:pStyle w:val="Textpoznpodarou"/>
        <w:jc w:val="both"/>
        <w:rPr>
          <w:spacing w:val="-4"/>
          <w:sz w:val="16"/>
          <w:szCs w:val="16"/>
          <w:lang w:val="en-GB"/>
        </w:rPr>
      </w:pPr>
      <w:r w:rsidRPr="002940A2">
        <w:rPr>
          <w:rStyle w:val="Znakapoznpodarou"/>
          <w:spacing w:val="-4"/>
          <w:sz w:val="16"/>
          <w:szCs w:val="16"/>
        </w:rPr>
        <w:footnoteRef/>
      </w:r>
      <w:r w:rsidRPr="002940A2">
        <w:rPr>
          <w:spacing w:val="-4"/>
          <w:sz w:val="16"/>
          <w:szCs w:val="16"/>
        </w:rPr>
        <w:t xml:space="preserve"> </w:t>
      </w:r>
      <w:r w:rsidRPr="0005658B">
        <w:rPr>
          <w:spacing w:val="-4"/>
          <w:sz w:val="16"/>
          <w:szCs w:val="16"/>
          <w:lang w:val="en-GB"/>
        </w:rPr>
        <w:t xml:space="preserve">Total net revenues of the CR from the EU budget were gauged at 131.7 CZK bn last year and went down by nearly one tenth year-on-year. </w:t>
      </w:r>
      <w:r>
        <w:rPr>
          <w:spacing w:val="-4"/>
          <w:sz w:val="16"/>
          <w:szCs w:val="16"/>
          <w:lang w:val="en-GB"/>
        </w:rPr>
        <w:t xml:space="preserve">Weaker revenues from the Cohesion funds </w:t>
      </w:r>
      <w:r w:rsidRPr="0005658B">
        <w:rPr>
          <w:spacing w:val="-4"/>
          <w:sz w:val="16"/>
          <w:szCs w:val="16"/>
          <w:lang w:val="en-GB"/>
        </w:rPr>
        <w:t>(</w:t>
      </w:r>
      <w:r w:rsidRPr="0005658B">
        <w:rPr>
          <w:color w:val="0D0D0D" w:themeColor="text1" w:themeTint="F2"/>
          <w:spacing w:val="-4"/>
          <w:sz w:val="16"/>
          <w:szCs w:val="16"/>
          <w:lang w:val="en-GB"/>
        </w:rPr>
        <w:t>–</w:t>
      </w:r>
      <w:r w:rsidRPr="0005658B">
        <w:rPr>
          <w:spacing w:val="-4"/>
          <w:sz w:val="16"/>
          <w:szCs w:val="16"/>
          <w:lang w:val="en-GB"/>
        </w:rPr>
        <w:t>5</w:t>
      </w:r>
      <w:r>
        <w:rPr>
          <w:spacing w:val="-4"/>
          <w:sz w:val="16"/>
          <w:szCs w:val="16"/>
          <w:lang w:val="en-GB"/>
        </w:rPr>
        <w:t>.</w:t>
      </w:r>
      <w:r w:rsidRPr="0005658B">
        <w:rPr>
          <w:spacing w:val="-4"/>
          <w:sz w:val="16"/>
          <w:szCs w:val="16"/>
          <w:lang w:val="en-GB"/>
        </w:rPr>
        <w:t>8</w:t>
      </w:r>
      <w:r>
        <w:rPr>
          <w:spacing w:val="-4"/>
          <w:sz w:val="16"/>
          <w:szCs w:val="16"/>
          <w:lang w:val="en-GB"/>
        </w:rPr>
        <w:t xml:space="preserve"> CZK bn</w:t>
      </w:r>
      <w:r w:rsidRPr="0005658B">
        <w:rPr>
          <w:spacing w:val="-4"/>
          <w:sz w:val="16"/>
          <w:szCs w:val="16"/>
          <w:lang w:val="en-GB"/>
        </w:rPr>
        <w:t xml:space="preserve">, resp. </w:t>
      </w:r>
      <w:r w:rsidRPr="0005658B">
        <w:rPr>
          <w:color w:val="0D0D0D" w:themeColor="text1" w:themeTint="F2"/>
          <w:spacing w:val="-4"/>
          <w:sz w:val="16"/>
          <w:szCs w:val="16"/>
          <w:lang w:val="en-GB"/>
        </w:rPr>
        <w:t>–</w:t>
      </w:r>
      <w:r w:rsidRPr="0005658B">
        <w:rPr>
          <w:spacing w:val="-4"/>
          <w:sz w:val="16"/>
          <w:szCs w:val="16"/>
          <w:lang w:val="en-GB"/>
        </w:rPr>
        <w:t>19%) a</w:t>
      </w:r>
      <w:r>
        <w:rPr>
          <w:spacing w:val="-4"/>
          <w:sz w:val="16"/>
          <w:szCs w:val="16"/>
          <w:lang w:val="en-GB"/>
        </w:rPr>
        <w:t xml:space="preserve">nd from structural funds </w:t>
      </w:r>
      <w:r w:rsidRPr="0005658B">
        <w:rPr>
          <w:spacing w:val="-4"/>
          <w:sz w:val="16"/>
          <w:szCs w:val="16"/>
          <w:lang w:val="en-GB"/>
        </w:rPr>
        <w:t>(</w:t>
      </w:r>
      <w:r w:rsidRPr="0005658B">
        <w:rPr>
          <w:color w:val="0D0D0D" w:themeColor="text1" w:themeTint="F2"/>
          <w:spacing w:val="-4"/>
          <w:sz w:val="16"/>
          <w:szCs w:val="16"/>
          <w:lang w:val="en-GB"/>
        </w:rPr>
        <w:t>–</w:t>
      </w:r>
      <w:r w:rsidRPr="0005658B">
        <w:rPr>
          <w:spacing w:val="-4"/>
          <w:sz w:val="16"/>
          <w:szCs w:val="16"/>
          <w:lang w:val="en-GB"/>
        </w:rPr>
        <w:t>5</w:t>
      </w:r>
      <w:r>
        <w:rPr>
          <w:spacing w:val="-4"/>
          <w:sz w:val="16"/>
          <w:szCs w:val="16"/>
          <w:lang w:val="en-GB"/>
        </w:rPr>
        <w:t>.</w:t>
      </w:r>
      <w:r w:rsidRPr="0005658B">
        <w:rPr>
          <w:spacing w:val="-4"/>
          <w:sz w:val="16"/>
          <w:szCs w:val="16"/>
          <w:lang w:val="en-GB"/>
        </w:rPr>
        <w:t>6</w:t>
      </w:r>
      <w:r>
        <w:rPr>
          <w:spacing w:val="-4"/>
          <w:sz w:val="16"/>
          <w:szCs w:val="16"/>
          <w:lang w:val="en-GB"/>
        </w:rPr>
        <w:t xml:space="preserve"> bn</w:t>
      </w:r>
      <w:r w:rsidRPr="0005658B">
        <w:rPr>
          <w:spacing w:val="-4"/>
          <w:sz w:val="16"/>
          <w:szCs w:val="16"/>
          <w:lang w:val="en-GB"/>
        </w:rPr>
        <w:t xml:space="preserve">, </w:t>
      </w:r>
      <w:r w:rsidRPr="0005658B">
        <w:rPr>
          <w:color w:val="0D0D0D" w:themeColor="text1" w:themeTint="F2"/>
          <w:spacing w:val="-4"/>
          <w:sz w:val="16"/>
          <w:szCs w:val="16"/>
          <w:lang w:val="en-GB"/>
        </w:rPr>
        <w:t>–</w:t>
      </w:r>
      <w:r w:rsidRPr="0005658B">
        <w:rPr>
          <w:spacing w:val="-4"/>
          <w:sz w:val="16"/>
          <w:szCs w:val="16"/>
          <w:lang w:val="en-GB"/>
        </w:rPr>
        <w:t>7 %)</w:t>
      </w:r>
      <w:r>
        <w:rPr>
          <w:spacing w:val="-4"/>
          <w:sz w:val="16"/>
          <w:szCs w:val="16"/>
          <w:lang w:val="en-GB"/>
        </w:rPr>
        <w:t xml:space="preserve"> contributed the most</w:t>
      </w:r>
      <w:r w:rsidRPr="0005658B">
        <w:rPr>
          <w:spacing w:val="-4"/>
          <w:sz w:val="16"/>
          <w:szCs w:val="16"/>
          <w:lang w:val="en-GB"/>
        </w:rPr>
        <w:t xml:space="preserve">. </w:t>
      </w:r>
      <w:r>
        <w:rPr>
          <w:spacing w:val="-4"/>
          <w:sz w:val="16"/>
          <w:szCs w:val="16"/>
          <w:lang w:val="en-GB"/>
        </w:rPr>
        <w:t xml:space="preserve">Received direct payments into agriculture, which reached </w:t>
      </w:r>
      <w:r w:rsidRPr="0005658B">
        <w:rPr>
          <w:spacing w:val="-4"/>
          <w:sz w:val="16"/>
          <w:szCs w:val="16"/>
          <w:lang w:val="en-GB"/>
        </w:rPr>
        <w:t>21</w:t>
      </w:r>
      <w:r>
        <w:rPr>
          <w:spacing w:val="-4"/>
          <w:sz w:val="16"/>
          <w:szCs w:val="16"/>
          <w:lang w:val="en-GB"/>
        </w:rPr>
        <w:t>.</w:t>
      </w:r>
      <w:r w:rsidRPr="0005658B">
        <w:rPr>
          <w:spacing w:val="-4"/>
          <w:sz w:val="16"/>
          <w:szCs w:val="16"/>
          <w:lang w:val="en-GB"/>
        </w:rPr>
        <w:t>8</w:t>
      </w:r>
      <w:r>
        <w:rPr>
          <w:spacing w:val="-4"/>
          <w:sz w:val="16"/>
          <w:szCs w:val="16"/>
          <w:lang w:val="en-GB"/>
        </w:rPr>
        <w:t xml:space="preserve"> CZK bn and dropped only by </w:t>
      </w:r>
      <w:r w:rsidRPr="0005658B">
        <w:rPr>
          <w:spacing w:val="-4"/>
          <w:sz w:val="16"/>
          <w:szCs w:val="16"/>
          <w:lang w:val="en-GB"/>
        </w:rPr>
        <w:t>4%</w:t>
      </w:r>
      <w:r>
        <w:rPr>
          <w:spacing w:val="-4"/>
          <w:sz w:val="16"/>
          <w:szCs w:val="16"/>
          <w:lang w:val="en-GB"/>
        </w:rPr>
        <w:t xml:space="preserve"> year-on-year, remained on the contrary relatively stable</w:t>
      </w:r>
      <w:r w:rsidRPr="0005658B">
        <w:rPr>
          <w:spacing w:val="-4"/>
          <w:sz w:val="16"/>
          <w:szCs w:val="16"/>
          <w:lang w:val="en-GB"/>
        </w:rPr>
        <w:t xml:space="preserve">. </w:t>
      </w:r>
      <w:r>
        <w:rPr>
          <w:spacing w:val="-4"/>
          <w:sz w:val="16"/>
          <w:szCs w:val="16"/>
          <w:lang w:val="en-GB"/>
        </w:rPr>
        <w:t xml:space="preserve">The CR stayed in the position of significant net recipient from the EU funds </w:t>
      </w:r>
      <w:r w:rsidRPr="0005658B">
        <w:rPr>
          <w:spacing w:val="-4"/>
          <w:sz w:val="16"/>
          <w:szCs w:val="16"/>
          <w:lang w:val="en-GB"/>
        </w:rPr>
        <w:t>(+65</w:t>
      </w:r>
      <w:r>
        <w:rPr>
          <w:spacing w:val="-4"/>
          <w:sz w:val="16"/>
          <w:szCs w:val="16"/>
          <w:lang w:val="en-GB"/>
        </w:rPr>
        <w:t>.</w:t>
      </w:r>
      <w:r w:rsidRPr="0005658B">
        <w:rPr>
          <w:spacing w:val="-4"/>
          <w:sz w:val="16"/>
          <w:szCs w:val="16"/>
          <w:lang w:val="en-GB"/>
        </w:rPr>
        <w:t>3</w:t>
      </w:r>
      <w:r>
        <w:rPr>
          <w:spacing w:val="-4"/>
          <w:sz w:val="16"/>
          <w:szCs w:val="16"/>
          <w:lang w:val="en-GB"/>
        </w:rPr>
        <w:t xml:space="preserve"> CZK bn</w:t>
      </w:r>
      <w:r w:rsidRPr="0005658B">
        <w:rPr>
          <w:spacing w:val="-4"/>
          <w:sz w:val="16"/>
          <w:szCs w:val="16"/>
          <w:lang w:val="en-GB"/>
        </w:rPr>
        <w:t>),</w:t>
      </w:r>
      <w:r>
        <w:rPr>
          <w:spacing w:val="-4"/>
          <w:sz w:val="16"/>
          <w:szCs w:val="16"/>
          <w:lang w:val="en-GB"/>
        </w:rPr>
        <w:t xml:space="preserve"> despite the fact that the payments of the CR into the EU budget increased by one tenth against the year </w:t>
      </w:r>
      <w:r w:rsidRPr="0005658B">
        <w:rPr>
          <w:spacing w:val="-4"/>
          <w:sz w:val="16"/>
          <w:szCs w:val="16"/>
          <w:lang w:val="en-GB"/>
        </w:rPr>
        <w:t>2020</w:t>
      </w:r>
      <w:r>
        <w:rPr>
          <w:spacing w:val="-4"/>
          <w:sz w:val="16"/>
          <w:szCs w:val="16"/>
          <w:lang w:val="en-GB"/>
        </w:rPr>
        <w:t xml:space="preserve"> </w:t>
      </w:r>
      <w:r w:rsidRPr="0005658B">
        <w:rPr>
          <w:spacing w:val="-4"/>
          <w:sz w:val="16"/>
          <w:szCs w:val="16"/>
          <w:lang w:val="en-GB"/>
        </w:rPr>
        <w:t>(</w:t>
      </w:r>
      <w:r>
        <w:rPr>
          <w:spacing w:val="-4"/>
          <w:sz w:val="16"/>
          <w:szCs w:val="16"/>
          <w:lang w:val="en-GB"/>
        </w:rPr>
        <w:t>besides other things also due to the expansion of volume of the EU budget as well as due to the covid crisis</w:t>
      </w:r>
      <w:r w:rsidRPr="0005658B">
        <w:rPr>
          <w:spacing w:val="-4"/>
          <w:sz w:val="16"/>
          <w:szCs w:val="16"/>
          <w:lang w:val="en-GB"/>
        </w:rPr>
        <w:t xml:space="preserve">). </w:t>
      </w:r>
      <w:r>
        <w:rPr>
          <w:spacing w:val="-4"/>
          <w:sz w:val="16"/>
          <w:szCs w:val="16"/>
          <w:lang w:val="en-GB"/>
        </w:rPr>
        <w:t xml:space="preserve">After adding the revenues from the new EU tool to the support of recovery, which the CR utilises in the National recovery plan, the net positive position of the CR towards the EU would approach </w:t>
      </w:r>
      <w:r w:rsidRPr="0005658B">
        <w:rPr>
          <w:spacing w:val="-4"/>
          <w:sz w:val="16"/>
          <w:szCs w:val="16"/>
          <w:lang w:val="en-GB"/>
        </w:rPr>
        <w:t>90</w:t>
      </w:r>
      <w:r>
        <w:rPr>
          <w:spacing w:val="-4"/>
          <w:sz w:val="16"/>
          <w:szCs w:val="16"/>
          <w:lang w:val="en-GB"/>
        </w:rPr>
        <w:t xml:space="preserve"> CZK bn last year </w:t>
      </w:r>
      <w:r w:rsidRPr="0005658B">
        <w:rPr>
          <w:spacing w:val="-4"/>
          <w:sz w:val="16"/>
          <w:szCs w:val="16"/>
          <w:lang w:val="en-GB"/>
        </w:rPr>
        <w:t>a</w:t>
      </w:r>
      <w:r>
        <w:rPr>
          <w:spacing w:val="-4"/>
          <w:sz w:val="16"/>
          <w:szCs w:val="16"/>
          <w:lang w:val="en-GB"/>
        </w:rPr>
        <w:t xml:space="preserve">nd slightly thus overtook the value from year </w:t>
      </w:r>
      <w:r w:rsidRPr="0005658B">
        <w:rPr>
          <w:spacing w:val="-4"/>
          <w:sz w:val="16"/>
          <w:szCs w:val="16"/>
          <w:lang w:val="en-GB"/>
        </w:rPr>
        <w:t xml:space="preserve">2019, </w:t>
      </w:r>
      <w:r>
        <w:rPr>
          <w:spacing w:val="-4"/>
          <w:sz w:val="16"/>
          <w:szCs w:val="16"/>
          <w:lang w:val="en-GB"/>
        </w:rPr>
        <w:t>which was the second highest in the history of the CR membership in the Union</w:t>
      </w:r>
      <w:r w:rsidRPr="0005658B">
        <w:rPr>
          <w:spacing w:val="-4"/>
          <w:sz w:val="16"/>
          <w:szCs w:val="16"/>
          <w:lang w:val="en-GB"/>
        </w:rPr>
        <w:t>.</w:t>
      </w:r>
    </w:p>
  </w:footnote>
  <w:footnote w:id="13">
    <w:p w14:paraId="6FF9FF6D" w14:textId="53CA6569" w:rsidR="007C581C" w:rsidRPr="0005658B" w:rsidRDefault="007C581C" w:rsidP="00144108">
      <w:pPr>
        <w:pStyle w:val="Textpoznpodarou"/>
        <w:jc w:val="both"/>
        <w:rPr>
          <w:color w:val="0D0D0D" w:themeColor="text1" w:themeTint="F2"/>
          <w:spacing w:val="-4"/>
          <w:sz w:val="16"/>
          <w:szCs w:val="16"/>
          <w:lang w:val="en-GB"/>
        </w:rPr>
      </w:pPr>
      <w:r w:rsidRPr="0005658B">
        <w:rPr>
          <w:rStyle w:val="Znakapoznpodarou"/>
          <w:spacing w:val="-4"/>
          <w:sz w:val="16"/>
          <w:szCs w:val="16"/>
          <w:lang w:val="en-GB"/>
        </w:rPr>
        <w:footnoteRef/>
      </w:r>
      <w:r w:rsidRPr="0005658B">
        <w:rPr>
          <w:spacing w:val="-4"/>
          <w:sz w:val="16"/>
          <w:szCs w:val="16"/>
          <w:lang w:val="en-GB"/>
        </w:rPr>
        <w:t xml:space="preserve"> </w:t>
      </w:r>
      <w:r>
        <w:rPr>
          <w:spacing w:val="-4"/>
          <w:sz w:val="16"/>
          <w:szCs w:val="16"/>
          <w:lang w:val="en-GB"/>
        </w:rPr>
        <w:t xml:space="preserve">It concerned mainly the compensation of part of wages and compulsory payments withing the program </w:t>
      </w:r>
      <w:r w:rsidRPr="0005658B">
        <w:rPr>
          <w:color w:val="0D0D0D" w:themeColor="text1" w:themeTint="F2"/>
          <w:spacing w:val="-4"/>
          <w:sz w:val="16"/>
          <w:szCs w:val="16"/>
          <w:lang w:val="en-GB"/>
        </w:rPr>
        <w:t xml:space="preserve">Antivirus A, A+ </w:t>
      </w:r>
      <w:r>
        <w:rPr>
          <w:color w:val="0D0D0D" w:themeColor="text1" w:themeTint="F2"/>
          <w:spacing w:val="-4"/>
          <w:sz w:val="16"/>
          <w:szCs w:val="16"/>
          <w:lang w:val="en-GB"/>
        </w:rPr>
        <w:t xml:space="preserve">and </w:t>
      </w:r>
      <w:r w:rsidRPr="0005658B">
        <w:rPr>
          <w:color w:val="0D0D0D" w:themeColor="text1" w:themeTint="F2"/>
          <w:spacing w:val="-4"/>
          <w:sz w:val="16"/>
          <w:szCs w:val="16"/>
          <w:lang w:val="en-GB"/>
        </w:rPr>
        <w:t>B (25</w:t>
      </w:r>
      <w:r>
        <w:rPr>
          <w:color w:val="0D0D0D" w:themeColor="text1" w:themeTint="F2"/>
          <w:spacing w:val="-4"/>
          <w:sz w:val="16"/>
          <w:szCs w:val="16"/>
          <w:lang w:val="en-GB"/>
        </w:rPr>
        <w:t>.</w:t>
      </w:r>
      <w:r w:rsidRPr="0005658B">
        <w:rPr>
          <w:color w:val="0D0D0D" w:themeColor="text1" w:themeTint="F2"/>
          <w:spacing w:val="-4"/>
          <w:sz w:val="16"/>
          <w:szCs w:val="16"/>
          <w:lang w:val="en-GB"/>
        </w:rPr>
        <w:t>8</w:t>
      </w:r>
      <w:r>
        <w:rPr>
          <w:color w:val="0D0D0D" w:themeColor="text1" w:themeTint="F2"/>
          <w:spacing w:val="-4"/>
          <w:sz w:val="16"/>
          <w:szCs w:val="16"/>
          <w:lang w:val="en-GB"/>
        </w:rPr>
        <w:t xml:space="preserve"> CZK bn paid out from the SB in year 2021</w:t>
      </w:r>
      <w:r w:rsidRPr="0005658B">
        <w:rPr>
          <w:color w:val="0D0D0D" w:themeColor="text1" w:themeTint="F2"/>
          <w:spacing w:val="-4"/>
          <w:sz w:val="16"/>
          <w:szCs w:val="16"/>
          <w:lang w:val="en-GB"/>
        </w:rPr>
        <w:t>) a</w:t>
      </w:r>
      <w:r>
        <w:rPr>
          <w:color w:val="0D0D0D" w:themeColor="text1" w:themeTint="F2"/>
          <w:spacing w:val="-4"/>
          <w:sz w:val="16"/>
          <w:szCs w:val="16"/>
          <w:lang w:val="en-GB"/>
        </w:rPr>
        <w:t xml:space="preserve">nd special programs on the direct support of affected sectors of the economy, e.g. in the area of food services, tourism, culture, education, sport, transportation, agriculture and food industry </w:t>
      </w:r>
      <w:r w:rsidRPr="0005658B">
        <w:rPr>
          <w:color w:val="0D0D0D" w:themeColor="text1" w:themeTint="F2"/>
          <w:spacing w:val="-4"/>
          <w:sz w:val="16"/>
          <w:szCs w:val="16"/>
          <w:lang w:val="en-GB"/>
        </w:rPr>
        <w:t>(</w:t>
      </w:r>
      <w:r>
        <w:rPr>
          <w:color w:val="0D0D0D" w:themeColor="text1" w:themeTint="F2"/>
          <w:spacing w:val="-4"/>
          <w:sz w:val="16"/>
          <w:szCs w:val="16"/>
          <w:lang w:val="en-GB"/>
        </w:rPr>
        <w:t xml:space="preserve">including newer programs </w:t>
      </w:r>
      <w:r w:rsidRPr="0005658B">
        <w:rPr>
          <w:color w:val="0D0D0D" w:themeColor="text1" w:themeTint="F2"/>
          <w:spacing w:val="-4"/>
          <w:sz w:val="16"/>
          <w:szCs w:val="16"/>
          <w:lang w:val="en-GB"/>
        </w:rPr>
        <w:t xml:space="preserve">COVID 2021, COVID </w:t>
      </w:r>
      <w:r>
        <w:rPr>
          <w:color w:val="0D0D0D" w:themeColor="text1" w:themeTint="F2"/>
          <w:spacing w:val="-4"/>
          <w:sz w:val="16"/>
          <w:szCs w:val="16"/>
          <w:lang w:val="en-GB"/>
        </w:rPr>
        <w:t>Rent</w:t>
      </w:r>
      <w:r w:rsidRPr="0005658B">
        <w:rPr>
          <w:color w:val="0D0D0D" w:themeColor="text1" w:themeTint="F2"/>
          <w:spacing w:val="-4"/>
          <w:sz w:val="16"/>
          <w:szCs w:val="16"/>
          <w:lang w:val="en-GB"/>
        </w:rPr>
        <w:t>, COVID</w:t>
      </w:r>
      <w:r>
        <w:rPr>
          <w:color w:val="0D0D0D" w:themeColor="text1" w:themeTint="F2"/>
          <w:spacing w:val="-4"/>
          <w:sz w:val="16"/>
          <w:szCs w:val="16"/>
          <w:lang w:val="en-GB"/>
        </w:rPr>
        <w:t xml:space="preserve"> costs not covered</w:t>
      </w:r>
      <w:r w:rsidRPr="0005658B">
        <w:rPr>
          <w:color w:val="0D0D0D" w:themeColor="text1" w:themeTint="F2"/>
          <w:spacing w:val="-4"/>
          <w:sz w:val="16"/>
          <w:szCs w:val="16"/>
          <w:lang w:val="en-GB"/>
        </w:rPr>
        <w:t>),</w:t>
      </w:r>
      <w:r>
        <w:rPr>
          <w:color w:val="0D0D0D" w:themeColor="text1" w:themeTint="F2"/>
          <w:spacing w:val="-4"/>
          <w:sz w:val="16"/>
          <w:szCs w:val="16"/>
          <w:lang w:val="en-GB"/>
        </w:rPr>
        <w:t xml:space="preserve"> in the total amount of </w:t>
      </w:r>
      <w:r w:rsidRPr="0005658B">
        <w:rPr>
          <w:color w:val="0D0D0D" w:themeColor="text1" w:themeTint="F2"/>
          <w:spacing w:val="-4"/>
          <w:sz w:val="16"/>
          <w:szCs w:val="16"/>
          <w:lang w:val="en-GB"/>
        </w:rPr>
        <w:t>38</w:t>
      </w:r>
      <w:r>
        <w:rPr>
          <w:color w:val="0D0D0D" w:themeColor="text1" w:themeTint="F2"/>
          <w:spacing w:val="-4"/>
          <w:sz w:val="16"/>
          <w:szCs w:val="16"/>
          <w:lang w:val="en-GB"/>
        </w:rPr>
        <w:t>.</w:t>
      </w:r>
      <w:r w:rsidRPr="0005658B">
        <w:rPr>
          <w:color w:val="0D0D0D" w:themeColor="text1" w:themeTint="F2"/>
          <w:spacing w:val="-4"/>
          <w:sz w:val="16"/>
          <w:szCs w:val="16"/>
          <w:lang w:val="en-GB"/>
        </w:rPr>
        <w:t>5</w:t>
      </w:r>
      <w:r>
        <w:rPr>
          <w:color w:val="0D0D0D" w:themeColor="text1" w:themeTint="F2"/>
          <w:spacing w:val="-4"/>
          <w:sz w:val="16"/>
          <w:szCs w:val="16"/>
          <w:lang w:val="en-GB"/>
        </w:rPr>
        <w:t xml:space="preserve"> bn.</w:t>
      </w:r>
      <w:r w:rsidRPr="0005658B">
        <w:rPr>
          <w:color w:val="0D0D0D" w:themeColor="text1" w:themeTint="F2"/>
          <w:spacing w:val="-4"/>
          <w:sz w:val="16"/>
          <w:szCs w:val="16"/>
          <w:lang w:val="en-GB"/>
        </w:rPr>
        <w:t xml:space="preserve"> </w:t>
      </w:r>
      <w:r>
        <w:rPr>
          <w:color w:val="0D0D0D" w:themeColor="text1" w:themeTint="F2"/>
          <w:spacing w:val="-4"/>
          <w:sz w:val="16"/>
          <w:szCs w:val="16"/>
          <w:lang w:val="en-GB"/>
        </w:rPr>
        <w:t xml:space="preserve">Further, it was higher expenditures in health care, especially strengthened payments of the state per so called state insured person </w:t>
      </w:r>
      <w:r w:rsidRPr="0005658B">
        <w:rPr>
          <w:color w:val="0D0D0D" w:themeColor="text1" w:themeTint="F2"/>
          <w:spacing w:val="-4"/>
          <w:sz w:val="16"/>
          <w:szCs w:val="16"/>
          <w:lang w:val="en-GB"/>
        </w:rPr>
        <w:t>(50</w:t>
      </w:r>
      <w:r>
        <w:rPr>
          <w:color w:val="0D0D0D" w:themeColor="text1" w:themeTint="F2"/>
          <w:spacing w:val="-4"/>
          <w:sz w:val="16"/>
          <w:szCs w:val="16"/>
          <w:lang w:val="en-GB"/>
        </w:rPr>
        <w:t>.</w:t>
      </w:r>
      <w:r w:rsidRPr="0005658B">
        <w:rPr>
          <w:color w:val="0D0D0D" w:themeColor="text1" w:themeTint="F2"/>
          <w:spacing w:val="-4"/>
          <w:sz w:val="16"/>
          <w:szCs w:val="16"/>
          <w:lang w:val="en-GB"/>
        </w:rPr>
        <w:t>0</w:t>
      </w:r>
      <w:r>
        <w:rPr>
          <w:color w:val="0D0D0D" w:themeColor="text1" w:themeTint="F2"/>
          <w:spacing w:val="-4"/>
          <w:sz w:val="16"/>
          <w:szCs w:val="16"/>
          <w:lang w:val="en-GB"/>
        </w:rPr>
        <w:t xml:space="preserve"> bn</w:t>
      </w:r>
      <w:r w:rsidRPr="0005658B">
        <w:rPr>
          <w:color w:val="0D0D0D" w:themeColor="text1" w:themeTint="F2"/>
          <w:spacing w:val="-4"/>
          <w:sz w:val="16"/>
          <w:szCs w:val="16"/>
          <w:lang w:val="en-GB"/>
        </w:rPr>
        <w:t xml:space="preserve">), </w:t>
      </w:r>
      <w:r>
        <w:rPr>
          <w:color w:val="0D0D0D" w:themeColor="text1" w:themeTint="F2"/>
          <w:spacing w:val="-4"/>
          <w:sz w:val="16"/>
          <w:szCs w:val="16"/>
          <w:lang w:val="en-GB"/>
        </w:rPr>
        <w:t xml:space="preserve">heightened personal costs of workers in health and social care </w:t>
      </w:r>
      <w:r w:rsidRPr="0005658B">
        <w:rPr>
          <w:color w:val="0D0D0D" w:themeColor="text1" w:themeTint="F2"/>
          <w:spacing w:val="-4"/>
          <w:sz w:val="16"/>
          <w:szCs w:val="16"/>
          <w:lang w:val="en-GB"/>
        </w:rPr>
        <w:t>(16</w:t>
      </w:r>
      <w:r>
        <w:rPr>
          <w:color w:val="0D0D0D" w:themeColor="text1" w:themeTint="F2"/>
          <w:spacing w:val="-4"/>
          <w:sz w:val="16"/>
          <w:szCs w:val="16"/>
          <w:lang w:val="en-GB"/>
        </w:rPr>
        <w:t>.</w:t>
      </w:r>
      <w:r w:rsidRPr="0005658B">
        <w:rPr>
          <w:color w:val="0D0D0D" w:themeColor="text1" w:themeTint="F2"/>
          <w:spacing w:val="-4"/>
          <w:sz w:val="16"/>
          <w:szCs w:val="16"/>
          <w:lang w:val="en-GB"/>
        </w:rPr>
        <w:t>8</w:t>
      </w:r>
      <w:r>
        <w:rPr>
          <w:color w:val="0D0D0D" w:themeColor="text1" w:themeTint="F2"/>
          <w:spacing w:val="-4"/>
          <w:sz w:val="16"/>
          <w:szCs w:val="16"/>
          <w:lang w:val="en-GB"/>
        </w:rPr>
        <w:t xml:space="preserve"> bn</w:t>
      </w:r>
      <w:r w:rsidRPr="0005658B">
        <w:rPr>
          <w:color w:val="0D0D0D" w:themeColor="text1" w:themeTint="F2"/>
          <w:spacing w:val="-4"/>
          <w:sz w:val="16"/>
          <w:szCs w:val="16"/>
          <w:lang w:val="en-GB"/>
        </w:rPr>
        <w:t xml:space="preserve">), </w:t>
      </w:r>
      <w:r>
        <w:rPr>
          <w:color w:val="0D0D0D" w:themeColor="text1" w:themeTint="F2"/>
          <w:spacing w:val="-4"/>
          <w:sz w:val="16"/>
          <w:szCs w:val="16"/>
          <w:lang w:val="en-GB"/>
        </w:rPr>
        <w:t xml:space="preserve">purchases of protective equipment including vaccines </w:t>
      </w:r>
      <w:r w:rsidRPr="0005658B">
        <w:rPr>
          <w:color w:val="0D0D0D" w:themeColor="text1" w:themeTint="F2"/>
          <w:spacing w:val="-4"/>
          <w:sz w:val="16"/>
          <w:szCs w:val="16"/>
          <w:lang w:val="en-GB"/>
        </w:rPr>
        <w:t>(7</w:t>
      </w:r>
      <w:r>
        <w:rPr>
          <w:color w:val="0D0D0D" w:themeColor="text1" w:themeTint="F2"/>
          <w:spacing w:val="-4"/>
          <w:sz w:val="16"/>
          <w:szCs w:val="16"/>
          <w:lang w:val="en-GB"/>
        </w:rPr>
        <w:t>.</w:t>
      </w:r>
      <w:r w:rsidRPr="0005658B">
        <w:rPr>
          <w:color w:val="0D0D0D" w:themeColor="text1" w:themeTint="F2"/>
          <w:spacing w:val="-4"/>
          <w:sz w:val="16"/>
          <w:szCs w:val="16"/>
          <w:lang w:val="en-GB"/>
        </w:rPr>
        <w:t>9</w:t>
      </w:r>
      <w:r>
        <w:rPr>
          <w:color w:val="0D0D0D" w:themeColor="text1" w:themeTint="F2"/>
          <w:spacing w:val="-4"/>
          <w:sz w:val="16"/>
          <w:szCs w:val="16"/>
          <w:lang w:val="en-GB"/>
        </w:rPr>
        <w:t xml:space="preserve"> bn</w:t>
      </w:r>
      <w:r w:rsidRPr="0005658B">
        <w:rPr>
          <w:color w:val="0D0D0D" w:themeColor="text1" w:themeTint="F2"/>
          <w:spacing w:val="-4"/>
          <w:sz w:val="16"/>
          <w:szCs w:val="16"/>
          <w:lang w:val="en-GB"/>
        </w:rPr>
        <w:t>) a</w:t>
      </w:r>
      <w:r>
        <w:rPr>
          <w:color w:val="0D0D0D" w:themeColor="text1" w:themeTint="F2"/>
          <w:spacing w:val="-4"/>
          <w:sz w:val="16"/>
          <w:szCs w:val="16"/>
          <w:lang w:val="en-GB"/>
        </w:rPr>
        <w:t xml:space="preserve">nd finally also the heightened expenditures on some social benefits </w:t>
      </w:r>
      <w:r w:rsidRPr="0005658B">
        <w:rPr>
          <w:color w:val="0D0D0D" w:themeColor="text1" w:themeTint="F2"/>
          <w:spacing w:val="-4"/>
          <w:sz w:val="16"/>
          <w:szCs w:val="16"/>
          <w:lang w:val="en-GB"/>
        </w:rPr>
        <w:t xml:space="preserve">– </w:t>
      </w:r>
      <w:r>
        <w:rPr>
          <w:color w:val="0D0D0D" w:themeColor="text1" w:themeTint="F2"/>
          <w:spacing w:val="-4"/>
          <w:sz w:val="16"/>
          <w:szCs w:val="16"/>
          <w:lang w:val="en-GB"/>
        </w:rPr>
        <w:t xml:space="preserve">care benefits, extraordinary benefit for employees in the quarantine or isolation </w:t>
      </w:r>
      <w:r w:rsidRPr="0005658B">
        <w:rPr>
          <w:color w:val="0D0D0D" w:themeColor="text1" w:themeTint="F2"/>
          <w:spacing w:val="-4"/>
          <w:sz w:val="16"/>
          <w:szCs w:val="16"/>
          <w:lang w:val="en-GB"/>
        </w:rPr>
        <w:t>(5</w:t>
      </w:r>
      <w:r>
        <w:rPr>
          <w:color w:val="0D0D0D" w:themeColor="text1" w:themeTint="F2"/>
          <w:spacing w:val="-4"/>
          <w:sz w:val="16"/>
          <w:szCs w:val="16"/>
          <w:lang w:val="en-GB"/>
        </w:rPr>
        <w:t>.</w:t>
      </w:r>
      <w:r w:rsidRPr="0005658B">
        <w:rPr>
          <w:color w:val="0D0D0D" w:themeColor="text1" w:themeTint="F2"/>
          <w:spacing w:val="-4"/>
          <w:sz w:val="16"/>
          <w:szCs w:val="16"/>
          <w:lang w:val="en-GB"/>
        </w:rPr>
        <w:t>9</w:t>
      </w:r>
      <w:r>
        <w:rPr>
          <w:color w:val="0D0D0D" w:themeColor="text1" w:themeTint="F2"/>
          <w:spacing w:val="-4"/>
          <w:sz w:val="16"/>
          <w:szCs w:val="16"/>
          <w:lang w:val="en-GB"/>
        </w:rPr>
        <w:t xml:space="preserve"> bn</w:t>
      </w:r>
      <w:r w:rsidRPr="0005658B">
        <w:rPr>
          <w:color w:val="0D0D0D" w:themeColor="text1" w:themeTint="F2"/>
          <w:spacing w:val="-4"/>
          <w:sz w:val="16"/>
          <w:szCs w:val="16"/>
          <w:lang w:val="en-GB"/>
        </w:rPr>
        <w:t>).</w:t>
      </w:r>
    </w:p>
    <w:p w14:paraId="64C8E252" w14:textId="18FA4233" w:rsidR="007C581C" w:rsidRPr="00186D4B" w:rsidRDefault="007C581C" w:rsidP="00144108">
      <w:pPr>
        <w:pStyle w:val="Textpoznpodarou"/>
        <w:jc w:val="both"/>
        <w:rPr>
          <w:color w:val="0D0D0D" w:themeColor="text1" w:themeTint="F2"/>
          <w:spacing w:val="-4"/>
          <w:sz w:val="16"/>
          <w:szCs w:val="16"/>
          <w:lang w:val="en-GB"/>
        </w:rPr>
      </w:pPr>
      <w:r>
        <w:rPr>
          <w:color w:val="0D0D0D" w:themeColor="text1" w:themeTint="F2"/>
          <w:spacing w:val="-4"/>
          <w:sz w:val="16"/>
          <w:szCs w:val="16"/>
          <w:lang w:val="en-GB"/>
        </w:rPr>
        <w:t xml:space="preserve">Majority from the given data increased compared to year </w:t>
      </w:r>
      <w:r w:rsidRPr="0005658B">
        <w:rPr>
          <w:color w:val="0D0D0D" w:themeColor="text1" w:themeTint="F2"/>
          <w:spacing w:val="-4"/>
          <w:sz w:val="16"/>
          <w:szCs w:val="16"/>
          <w:lang w:val="en-GB"/>
        </w:rPr>
        <w:t xml:space="preserve">2020. </w:t>
      </w:r>
      <w:r>
        <w:rPr>
          <w:color w:val="0D0D0D" w:themeColor="text1" w:themeTint="F2"/>
          <w:spacing w:val="-4"/>
          <w:sz w:val="16"/>
          <w:szCs w:val="16"/>
          <w:lang w:val="en-GB"/>
        </w:rPr>
        <w:t>Care benefits, purchases of protective equipment and hospital debt elimination</w:t>
      </w:r>
      <w:r w:rsidRPr="00186D4B">
        <w:rPr>
          <w:color w:val="0D0D0D" w:themeColor="text1" w:themeTint="F2"/>
          <w:spacing w:val="-4"/>
          <w:sz w:val="16"/>
          <w:szCs w:val="16"/>
          <w:lang w:val="en-GB"/>
        </w:rPr>
        <w:t>.</w:t>
      </w:r>
    </w:p>
  </w:footnote>
  <w:footnote w:id="14">
    <w:p w14:paraId="099F4905" w14:textId="620BBF75" w:rsidR="007C581C" w:rsidRPr="0058075B" w:rsidRDefault="007C581C" w:rsidP="00144108">
      <w:pPr>
        <w:pStyle w:val="Textpoznpodarou"/>
        <w:rPr>
          <w:spacing w:val="-2"/>
          <w:sz w:val="16"/>
          <w:szCs w:val="16"/>
          <w:lang w:val="en-GB"/>
        </w:rPr>
      </w:pPr>
      <w:r w:rsidRPr="00813E8A">
        <w:rPr>
          <w:rStyle w:val="Znakapoznpodarou"/>
          <w:spacing w:val="-2"/>
          <w:sz w:val="16"/>
          <w:szCs w:val="16"/>
        </w:rPr>
        <w:footnoteRef/>
      </w:r>
      <w:r w:rsidRPr="00813E8A">
        <w:rPr>
          <w:spacing w:val="-2"/>
          <w:sz w:val="16"/>
          <w:szCs w:val="16"/>
        </w:rPr>
        <w:t xml:space="preserve"> </w:t>
      </w:r>
      <w:r w:rsidRPr="0058075B">
        <w:rPr>
          <w:spacing w:val="-2"/>
          <w:sz w:val="16"/>
          <w:szCs w:val="16"/>
          <w:lang w:val="en-GB"/>
        </w:rPr>
        <w:t>It reflects the approved increase of pedagogical as well as non-pedagogical workers year-on-year last year (by 9%, resp. 4</w:t>
      </w:r>
      <w:r>
        <w:rPr>
          <w:spacing w:val="-2"/>
          <w:sz w:val="16"/>
          <w:szCs w:val="16"/>
          <w:lang w:val="en-GB"/>
        </w:rPr>
        <w:t>.</w:t>
      </w:r>
      <w:r w:rsidRPr="0058075B">
        <w:rPr>
          <w:spacing w:val="-2"/>
          <w:sz w:val="16"/>
          <w:szCs w:val="16"/>
          <w:lang w:val="en-GB"/>
        </w:rPr>
        <w:t>3%).</w:t>
      </w:r>
    </w:p>
  </w:footnote>
  <w:footnote w:id="15">
    <w:p w14:paraId="3EC10781" w14:textId="1053438D" w:rsidR="007C581C" w:rsidRPr="0058075B" w:rsidRDefault="007C581C" w:rsidP="00144108">
      <w:pPr>
        <w:pStyle w:val="Textpoznpodarou"/>
        <w:rPr>
          <w:sz w:val="16"/>
          <w:szCs w:val="16"/>
          <w:lang w:val="en-GB"/>
        </w:rPr>
      </w:pPr>
      <w:r w:rsidRPr="0058075B">
        <w:rPr>
          <w:rStyle w:val="Znakapoznpodarou"/>
          <w:spacing w:val="-2"/>
          <w:sz w:val="16"/>
          <w:szCs w:val="16"/>
          <w:lang w:val="en-GB"/>
        </w:rPr>
        <w:footnoteRef/>
      </w:r>
      <w:r w:rsidRPr="0058075B">
        <w:rPr>
          <w:spacing w:val="-2"/>
          <w:sz w:val="16"/>
          <w:szCs w:val="16"/>
          <w:lang w:val="en-GB"/>
        </w:rPr>
        <w:t xml:space="preserve"> </w:t>
      </w:r>
      <w:r>
        <w:rPr>
          <w:spacing w:val="-2"/>
          <w:sz w:val="16"/>
          <w:szCs w:val="16"/>
          <w:lang w:val="en-GB"/>
        </w:rPr>
        <w:t xml:space="preserve">These expenditures do not contain expenditures on servicing the state debt and also in the latest years marginal item of expenditures on implementing the guarantees. </w:t>
      </w:r>
    </w:p>
  </w:footnote>
  <w:footnote w:id="16">
    <w:p w14:paraId="0E49ACAB" w14:textId="20FEC04C" w:rsidR="007C581C" w:rsidRPr="0058075B" w:rsidRDefault="007C581C" w:rsidP="00144108">
      <w:pPr>
        <w:pStyle w:val="Textpoznpodarou"/>
        <w:rPr>
          <w:sz w:val="16"/>
          <w:szCs w:val="16"/>
          <w:lang w:val="en-GB"/>
        </w:rPr>
      </w:pPr>
      <w:r w:rsidRPr="0058075B">
        <w:rPr>
          <w:rStyle w:val="Znakapoznpodarou"/>
          <w:sz w:val="16"/>
          <w:szCs w:val="16"/>
          <w:lang w:val="en-GB"/>
        </w:rPr>
        <w:footnoteRef/>
      </w:r>
      <w:r w:rsidRPr="0058075B">
        <w:rPr>
          <w:sz w:val="16"/>
          <w:szCs w:val="16"/>
          <w:lang w:val="en-GB"/>
        </w:rPr>
        <w:t xml:space="preserve"> </w:t>
      </w:r>
      <w:r>
        <w:rPr>
          <w:sz w:val="16"/>
          <w:szCs w:val="16"/>
          <w:lang w:val="en-GB"/>
        </w:rPr>
        <w:t xml:space="preserve">The proportion of social benefits on all SB expenditures decreased for the fifth year in a row year-on-year </w:t>
      </w:r>
      <w:r w:rsidRPr="0058075B">
        <w:rPr>
          <w:spacing w:val="-5"/>
          <w:sz w:val="16"/>
          <w:szCs w:val="16"/>
          <w:lang w:val="en-GB"/>
        </w:rPr>
        <w:t>(</w:t>
      </w:r>
      <w:r>
        <w:rPr>
          <w:spacing w:val="-5"/>
          <w:sz w:val="16"/>
          <w:szCs w:val="16"/>
          <w:lang w:val="en-GB"/>
        </w:rPr>
        <w:t xml:space="preserve">to </w:t>
      </w:r>
      <w:r w:rsidRPr="0058075B">
        <w:rPr>
          <w:spacing w:val="-5"/>
          <w:sz w:val="16"/>
          <w:szCs w:val="16"/>
          <w:lang w:val="en-GB"/>
        </w:rPr>
        <w:t>36</w:t>
      </w:r>
      <w:r>
        <w:rPr>
          <w:spacing w:val="-5"/>
          <w:sz w:val="16"/>
          <w:szCs w:val="16"/>
          <w:lang w:val="en-GB"/>
        </w:rPr>
        <w:t>.</w:t>
      </w:r>
      <w:r w:rsidRPr="0058075B">
        <w:rPr>
          <w:spacing w:val="-5"/>
          <w:sz w:val="16"/>
          <w:szCs w:val="16"/>
          <w:lang w:val="en-GB"/>
        </w:rPr>
        <w:t>3%, minimum</w:t>
      </w:r>
      <w:r>
        <w:rPr>
          <w:spacing w:val="-5"/>
          <w:sz w:val="16"/>
          <w:szCs w:val="16"/>
          <w:lang w:val="en-GB"/>
        </w:rPr>
        <w:t xml:space="preserve"> in the comparable series after year </w:t>
      </w:r>
      <w:r w:rsidRPr="0058075B">
        <w:rPr>
          <w:spacing w:val="-5"/>
          <w:sz w:val="16"/>
          <w:szCs w:val="16"/>
          <w:lang w:val="en-GB"/>
        </w:rPr>
        <w:t>2011).</w:t>
      </w:r>
    </w:p>
  </w:footnote>
  <w:footnote w:id="17">
    <w:p w14:paraId="3B71D691" w14:textId="17855BAF" w:rsidR="007C581C" w:rsidRPr="0058075B" w:rsidRDefault="007C581C" w:rsidP="00144108">
      <w:pPr>
        <w:pStyle w:val="Textpoznpodarou"/>
        <w:rPr>
          <w:sz w:val="16"/>
          <w:szCs w:val="16"/>
          <w:lang w:val="en-GB"/>
        </w:rPr>
      </w:pPr>
      <w:r w:rsidRPr="0058075B">
        <w:rPr>
          <w:rStyle w:val="Znakapoznpodarou"/>
          <w:sz w:val="16"/>
          <w:szCs w:val="16"/>
          <w:lang w:val="en-GB"/>
        </w:rPr>
        <w:footnoteRef/>
      </w:r>
      <w:r w:rsidRPr="0058075B">
        <w:rPr>
          <w:sz w:val="16"/>
          <w:szCs w:val="16"/>
          <w:lang w:val="en-GB"/>
        </w:rPr>
        <w:t xml:space="preserve"> </w:t>
      </w:r>
      <w:r>
        <w:rPr>
          <w:sz w:val="16"/>
          <w:szCs w:val="16"/>
          <w:lang w:val="en-GB"/>
        </w:rPr>
        <w:t xml:space="preserve">Introduction of crisis care benefit </w:t>
      </w:r>
      <w:r w:rsidRPr="0058075B">
        <w:rPr>
          <w:sz w:val="16"/>
          <w:szCs w:val="16"/>
          <w:lang w:val="en-GB"/>
        </w:rPr>
        <w:t>(</w:t>
      </w:r>
      <w:r>
        <w:rPr>
          <w:sz w:val="16"/>
          <w:szCs w:val="16"/>
          <w:lang w:val="en-GB"/>
        </w:rPr>
        <w:t>associated with the home care for the children for the reason of forced shutdown of schools or the quarantine</w:t>
      </w:r>
      <w:r w:rsidRPr="0058075B">
        <w:rPr>
          <w:sz w:val="16"/>
          <w:szCs w:val="16"/>
          <w:lang w:val="en-GB"/>
        </w:rPr>
        <w:t>),</w:t>
      </w:r>
      <w:r>
        <w:rPr>
          <w:sz w:val="16"/>
          <w:szCs w:val="16"/>
          <w:lang w:val="en-GB"/>
        </w:rPr>
        <w:t xml:space="preserve"> increase of the parental allowance and faster rate of the pension adjustment were mainly reflected in the high growth</w:t>
      </w:r>
      <w:r w:rsidRPr="0058075B">
        <w:rPr>
          <w:sz w:val="16"/>
          <w:szCs w:val="16"/>
          <w:lang w:val="en-GB"/>
        </w:rPr>
        <w:t>.</w:t>
      </w:r>
    </w:p>
  </w:footnote>
  <w:footnote w:id="18">
    <w:p w14:paraId="1941463B" w14:textId="6F236A1B" w:rsidR="007C581C" w:rsidRPr="0058075B" w:rsidRDefault="007C581C" w:rsidP="00144108">
      <w:pPr>
        <w:pStyle w:val="Textpoznpodarou"/>
        <w:rPr>
          <w:sz w:val="16"/>
          <w:szCs w:val="16"/>
          <w:lang w:val="en-GB"/>
        </w:rPr>
      </w:pPr>
      <w:r w:rsidRPr="0058075B">
        <w:rPr>
          <w:rStyle w:val="Znakapoznpodarou"/>
          <w:sz w:val="16"/>
          <w:szCs w:val="16"/>
          <w:lang w:val="en-GB"/>
        </w:rPr>
        <w:footnoteRef/>
      </w:r>
      <w:r w:rsidRPr="0058075B">
        <w:rPr>
          <w:sz w:val="16"/>
          <w:szCs w:val="16"/>
          <w:lang w:val="en-GB"/>
        </w:rPr>
        <w:t xml:space="preserve"> </w:t>
      </w:r>
      <w:r>
        <w:rPr>
          <w:sz w:val="16"/>
          <w:szCs w:val="16"/>
          <w:lang w:val="en-GB"/>
        </w:rPr>
        <w:t xml:space="preserve">The contribution was </w:t>
      </w:r>
      <w:r w:rsidRPr="0058075B">
        <w:rPr>
          <w:sz w:val="16"/>
          <w:szCs w:val="16"/>
          <w:lang w:val="en-GB"/>
        </w:rPr>
        <w:t>5</w:t>
      </w:r>
      <w:r>
        <w:rPr>
          <w:sz w:val="16"/>
          <w:szCs w:val="16"/>
          <w:lang w:val="en-GB"/>
        </w:rPr>
        <w:t xml:space="preserve"> CZK thousand and meant increase of total expenditures for the SB by nearly </w:t>
      </w:r>
      <w:r w:rsidRPr="0058075B">
        <w:rPr>
          <w:sz w:val="16"/>
          <w:szCs w:val="16"/>
          <w:lang w:val="en-GB"/>
        </w:rPr>
        <w:t>15 </w:t>
      </w:r>
      <w:r>
        <w:rPr>
          <w:sz w:val="16"/>
          <w:szCs w:val="16"/>
          <w:lang w:val="en-GB"/>
        </w:rPr>
        <w:t>CZK bn</w:t>
      </w:r>
      <w:r w:rsidRPr="0058075B">
        <w:rPr>
          <w:sz w:val="16"/>
          <w:szCs w:val="16"/>
          <w:lang w:val="en-GB"/>
        </w:rPr>
        <w:t xml:space="preserve">. </w:t>
      </w:r>
      <w:r>
        <w:rPr>
          <w:sz w:val="16"/>
          <w:szCs w:val="16"/>
          <w:lang w:val="en-GB"/>
        </w:rPr>
        <w:t xml:space="preserve">From January till November </w:t>
      </w:r>
      <w:r w:rsidRPr="0058075B">
        <w:rPr>
          <w:sz w:val="16"/>
          <w:szCs w:val="16"/>
          <w:lang w:val="en-GB"/>
        </w:rPr>
        <w:t>2021</w:t>
      </w:r>
      <w:r>
        <w:rPr>
          <w:sz w:val="16"/>
          <w:szCs w:val="16"/>
          <w:lang w:val="en-GB"/>
        </w:rPr>
        <w:t xml:space="preserve">, the year-on-year growth of expenditures on pensions equalled </w:t>
      </w:r>
      <w:r w:rsidRPr="0058075B">
        <w:rPr>
          <w:sz w:val="16"/>
          <w:szCs w:val="16"/>
          <w:lang w:val="en-GB"/>
        </w:rPr>
        <w:t>5</w:t>
      </w:r>
      <w:r>
        <w:rPr>
          <w:sz w:val="16"/>
          <w:szCs w:val="16"/>
          <w:lang w:val="en-GB"/>
        </w:rPr>
        <w:t>.</w:t>
      </w:r>
      <w:r w:rsidRPr="0058075B">
        <w:rPr>
          <w:sz w:val="16"/>
          <w:szCs w:val="16"/>
          <w:lang w:val="en-GB"/>
        </w:rPr>
        <w:t>4% a</w:t>
      </w:r>
      <w:r>
        <w:rPr>
          <w:sz w:val="16"/>
          <w:szCs w:val="16"/>
          <w:lang w:val="en-GB"/>
        </w:rPr>
        <w:t xml:space="preserve">nd reflected for the major part the effect of the commons pensions adjustment. </w:t>
      </w:r>
    </w:p>
  </w:footnote>
  <w:footnote w:id="19">
    <w:p w14:paraId="782FF8D5" w14:textId="3BDA5B83" w:rsidR="007C581C" w:rsidRPr="0058075B" w:rsidRDefault="007C581C" w:rsidP="00144108">
      <w:pPr>
        <w:pStyle w:val="Textpoznpodarou"/>
        <w:jc w:val="both"/>
        <w:rPr>
          <w:spacing w:val="-4"/>
          <w:sz w:val="16"/>
          <w:szCs w:val="16"/>
          <w:lang w:val="en-GB"/>
        </w:rPr>
      </w:pPr>
      <w:r w:rsidRPr="0058075B">
        <w:rPr>
          <w:rStyle w:val="Znakapoznpodarou"/>
          <w:spacing w:val="-4"/>
          <w:sz w:val="16"/>
          <w:szCs w:val="16"/>
          <w:lang w:val="en-GB"/>
        </w:rPr>
        <w:footnoteRef/>
      </w:r>
      <w:r w:rsidRPr="0058075B">
        <w:rPr>
          <w:spacing w:val="-4"/>
          <w:sz w:val="16"/>
          <w:szCs w:val="16"/>
          <w:lang w:val="en-GB"/>
        </w:rPr>
        <w:t xml:space="preserve"> </w:t>
      </w:r>
      <w:r>
        <w:rPr>
          <w:spacing w:val="-4"/>
          <w:sz w:val="16"/>
          <w:szCs w:val="16"/>
          <w:lang w:val="en-GB"/>
        </w:rPr>
        <w:t>The volume of collected insurance was negatively marked by the cancellation of minimal advance payments for self-employed persons in both Q2 and Q3 and also by the waiver of insurance paid by the employer (</w:t>
      </w:r>
      <w:r w:rsidRPr="0058075B">
        <w:rPr>
          <w:spacing w:val="-4"/>
          <w:sz w:val="16"/>
          <w:szCs w:val="16"/>
          <w:lang w:val="en-GB"/>
        </w:rPr>
        <w:t>program Antivirus C).</w:t>
      </w:r>
    </w:p>
  </w:footnote>
  <w:footnote w:id="20">
    <w:p w14:paraId="6369F472" w14:textId="18C56C5A" w:rsidR="007C581C" w:rsidRPr="0058075B" w:rsidRDefault="007C581C" w:rsidP="00144108">
      <w:pPr>
        <w:pStyle w:val="Textpoznpodarou"/>
        <w:jc w:val="both"/>
        <w:rPr>
          <w:spacing w:val="-4"/>
          <w:lang w:val="en-GB"/>
        </w:rPr>
      </w:pPr>
      <w:r w:rsidRPr="0058075B">
        <w:rPr>
          <w:rStyle w:val="Znakapoznpodarou"/>
          <w:spacing w:val="-4"/>
          <w:sz w:val="16"/>
          <w:szCs w:val="16"/>
          <w:lang w:val="en-GB"/>
        </w:rPr>
        <w:footnoteRef/>
      </w:r>
      <w:r w:rsidRPr="0058075B">
        <w:rPr>
          <w:spacing w:val="-4"/>
          <w:sz w:val="16"/>
          <w:szCs w:val="16"/>
          <w:lang w:val="en-GB"/>
        </w:rPr>
        <w:t xml:space="preserve"> </w:t>
      </w:r>
      <w:r>
        <w:rPr>
          <w:spacing w:val="-4"/>
          <w:sz w:val="16"/>
          <w:szCs w:val="16"/>
          <w:lang w:val="en-GB"/>
        </w:rPr>
        <w:t xml:space="preserve">It is expressed as a difference between revenues and expenditures on pensions from the SB budget. Costs of management of the pension insurance system </w:t>
      </w:r>
      <w:r>
        <w:rPr>
          <w:rFonts w:cs="Arial"/>
          <w:color w:val="0D0D0D" w:themeColor="text1" w:themeTint="F2"/>
          <w:spacing w:val="-4"/>
          <w:sz w:val="16"/>
          <w:szCs w:val="16"/>
          <w:lang w:val="en-GB"/>
        </w:rPr>
        <w:t>are not included in the expenditures</w:t>
      </w:r>
      <w:r w:rsidRPr="0058075B">
        <w:rPr>
          <w:rFonts w:cs="Arial"/>
          <w:color w:val="0D0D0D" w:themeColor="text1" w:themeTint="F2"/>
          <w:spacing w:val="-4"/>
          <w:sz w:val="16"/>
          <w:szCs w:val="16"/>
          <w:lang w:val="en-GB"/>
        </w:rPr>
        <w:t>.</w:t>
      </w:r>
    </w:p>
  </w:footnote>
  <w:footnote w:id="21">
    <w:p w14:paraId="72D396FF" w14:textId="7713745F" w:rsidR="007C581C" w:rsidRPr="0058075B" w:rsidRDefault="007C581C" w:rsidP="00144108">
      <w:pPr>
        <w:pStyle w:val="Textpoznpodarou"/>
        <w:jc w:val="both"/>
        <w:rPr>
          <w:spacing w:val="-2"/>
          <w:sz w:val="16"/>
          <w:szCs w:val="16"/>
          <w:lang w:val="en-GB"/>
        </w:rPr>
      </w:pPr>
      <w:r w:rsidRPr="0058075B">
        <w:rPr>
          <w:rStyle w:val="Znakapoznpodarou"/>
          <w:spacing w:val="-2"/>
          <w:sz w:val="16"/>
          <w:szCs w:val="16"/>
          <w:lang w:val="en-GB"/>
        </w:rPr>
        <w:footnoteRef/>
      </w:r>
      <w:r w:rsidRPr="0058075B">
        <w:rPr>
          <w:spacing w:val="-2"/>
          <w:sz w:val="16"/>
          <w:szCs w:val="16"/>
          <w:lang w:val="en-GB"/>
        </w:rPr>
        <w:t xml:space="preserve"> </w:t>
      </w:r>
      <w:r>
        <w:rPr>
          <w:spacing w:val="-2"/>
          <w:sz w:val="16"/>
          <w:szCs w:val="16"/>
          <w:lang w:val="en-GB"/>
        </w:rPr>
        <w:t xml:space="preserve">From </w:t>
      </w:r>
      <w:r w:rsidRPr="0058075B">
        <w:rPr>
          <w:spacing w:val="-2"/>
          <w:sz w:val="16"/>
          <w:szCs w:val="16"/>
          <w:lang w:val="en-GB"/>
        </w:rPr>
        <w:t>1</w:t>
      </w:r>
      <w:r w:rsidRPr="006B4CBF">
        <w:rPr>
          <w:spacing w:val="-2"/>
          <w:sz w:val="16"/>
          <w:szCs w:val="16"/>
          <w:vertAlign w:val="superscript"/>
          <w:lang w:val="en-GB"/>
        </w:rPr>
        <w:t>st</w:t>
      </w:r>
      <w:r>
        <w:rPr>
          <w:spacing w:val="-2"/>
          <w:sz w:val="16"/>
          <w:szCs w:val="16"/>
          <w:lang w:val="en-GB"/>
        </w:rPr>
        <w:t xml:space="preserve"> July </w:t>
      </w:r>
      <w:r w:rsidRPr="0058075B">
        <w:rPr>
          <w:spacing w:val="-2"/>
          <w:sz w:val="16"/>
          <w:szCs w:val="16"/>
          <w:lang w:val="en-GB"/>
        </w:rPr>
        <w:t>2021</w:t>
      </w:r>
      <w:r>
        <w:rPr>
          <w:spacing w:val="-2"/>
          <w:sz w:val="16"/>
          <w:szCs w:val="16"/>
          <w:lang w:val="en-GB"/>
        </w:rPr>
        <w:t xml:space="preserve">, the limit of the determinate income for drawing was raised </w:t>
      </w:r>
      <w:r w:rsidRPr="0058075B">
        <w:rPr>
          <w:spacing w:val="-2"/>
          <w:sz w:val="16"/>
          <w:szCs w:val="16"/>
          <w:lang w:val="en-GB"/>
        </w:rPr>
        <w:t>(</w:t>
      </w:r>
      <w:r>
        <w:rPr>
          <w:spacing w:val="-2"/>
          <w:sz w:val="16"/>
          <w:szCs w:val="16"/>
          <w:lang w:val="en-GB"/>
        </w:rPr>
        <w:t xml:space="preserve">from </w:t>
      </w:r>
      <w:r w:rsidRPr="0058075B">
        <w:rPr>
          <w:spacing w:val="-2"/>
          <w:sz w:val="16"/>
          <w:szCs w:val="16"/>
          <w:lang w:val="en-GB"/>
        </w:rPr>
        <w:t>2</w:t>
      </w:r>
      <w:r>
        <w:rPr>
          <w:spacing w:val="-2"/>
          <w:sz w:val="16"/>
          <w:szCs w:val="16"/>
          <w:lang w:val="en-GB"/>
        </w:rPr>
        <w:t>.</w:t>
      </w:r>
      <w:r w:rsidRPr="0058075B">
        <w:rPr>
          <w:spacing w:val="-2"/>
          <w:sz w:val="16"/>
          <w:szCs w:val="16"/>
          <w:lang w:val="en-GB"/>
        </w:rPr>
        <w:t xml:space="preserve">7- </w:t>
      </w:r>
      <w:r>
        <w:rPr>
          <w:spacing w:val="-2"/>
          <w:sz w:val="16"/>
          <w:szCs w:val="16"/>
          <w:lang w:val="en-GB"/>
        </w:rPr>
        <w:t xml:space="preserve">to </w:t>
      </w:r>
      <w:r w:rsidRPr="0058075B">
        <w:rPr>
          <w:spacing w:val="-2"/>
          <w:sz w:val="16"/>
          <w:szCs w:val="16"/>
          <w:lang w:val="en-GB"/>
        </w:rPr>
        <w:t>3</w:t>
      </w:r>
      <w:r>
        <w:rPr>
          <w:spacing w:val="-2"/>
          <w:sz w:val="16"/>
          <w:szCs w:val="16"/>
          <w:lang w:val="en-GB"/>
        </w:rPr>
        <w:t>.</w:t>
      </w:r>
      <w:r w:rsidRPr="0058075B">
        <w:rPr>
          <w:spacing w:val="-2"/>
          <w:sz w:val="16"/>
          <w:szCs w:val="16"/>
          <w:lang w:val="en-GB"/>
        </w:rPr>
        <w:t>4</w:t>
      </w:r>
      <w:r>
        <w:rPr>
          <w:spacing w:val="-2"/>
          <w:sz w:val="16"/>
          <w:szCs w:val="16"/>
          <w:lang w:val="en-GB"/>
        </w:rPr>
        <w:t>times of the family minimum subsistence level</w:t>
      </w:r>
      <w:r w:rsidRPr="0058075B">
        <w:rPr>
          <w:spacing w:val="-2"/>
          <w:sz w:val="16"/>
          <w:szCs w:val="16"/>
          <w:lang w:val="en-GB"/>
        </w:rPr>
        <w:t xml:space="preserve">) </w:t>
      </w:r>
      <w:r>
        <w:rPr>
          <w:spacing w:val="-2"/>
          <w:sz w:val="16"/>
          <w:szCs w:val="16"/>
          <w:lang w:val="en-GB"/>
        </w:rPr>
        <w:t xml:space="preserve">as well as the adjustment of the size of the allowance </w:t>
      </w:r>
      <w:r w:rsidRPr="0058075B">
        <w:rPr>
          <w:spacing w:val="-2"/>
          <w:sz w:val="16"/>
          <w:szCs w:val="16"/>
          <w:lang w:val="en-GB"/>
        </w:rPr>
        <w:t>(</w:t>
      </w:r>
      <w:r>
        <w:rPr>
          <w:spacing w:val="-2"/>
          <w:sz w:val="16"/>
          <w:szCs w:val="16"/>
          <w:lang w:val="en-GB"/>
        </w:rPr>
        <w:t xml:space="preserve">by </w:t>
      </w:r>
      <w:r w:rsidRPr="0058075B">
        <w:rPr>
          <w:spacing w:val="-2"/>
          <w:sz w:val="16"/>
          <w:szCs w:val="16"/>
          <w:lang w:val="en-GB"/>
        </w:rPr>
        <w:t>26%)</w:t>
      </w:r>
      <w:r w:rsidRPr="0058075B">
        <w:rPr>
          <w:spacing w:val="-3"/>
          <w:sz w:val="16"/>
          <w:szCs w:val="16"/>
          <w:lang w:val="en-GB"/>
        </w:rPr>
        <w:t>.</w:t>
      </w:r>
    </w:p>
  </w:footnote>
  <w:footnote w:id="22">
    <w:p w14:paraId="3A54AFD2" w14:textId="780F296A" w:rsidR="007C581C" w:rsidRPr="00186D4B" w:rsidRDefault="007C581C" w:rsidP="00144108">
      <w:pPr>
        <w:spacing w:after="0"/>
        <w:rPr>
          <w:sz w:val="16"/>
          <w:szCs w:val="16"/>
          <w:lang w:val="en-GB"/>
        </w:rPr>
      </w:pPr>
      <w:r w:rsidRPr="00720F42">
        <w:rPr>
          <w:rStyle w:val="Znakapoznpodarou"/>
          <w:sz w:val="16"/>
          <w:szCs w:val="16"/>
        </w:rPr>
        <w:footnoteRef/>
      </w:r>
      <w:r w:rsidRPr="00720F42">
        <w:rPr>
          <w:sz w:val="16"/>
          <w:szCs w:val="16"/>
        </w:rPr>
        <w:t xml:space="preserve"> </w:t>
      </w:r>
      <w:r w:rsidRPr="00186D4B">
        <w:rPr>
          <w:sz w:val="16"/>
          <w:szCs w:val="16"/>
          <w:lang w:val="en-GB"/>
        </w:rPr>
        <w:t xml:space="preserve">It corresponds to the balance of the budget chapter State debt. </w:t>
      </w:r>
    </w:p>
  </w:footnote>
  <w:footnote w:id="23">
    <w:p w14:paraId="5DE9D671" w14:textId="398B2361" w:rsidR="007C581C" w:rsidRPr="00186D4B" w:rsidRDefault="007C581C" w:rsidP="00840714">
      <w:pPr>
        <w:pStyle w:val="Textpoznpodarou"/>
        <w:jc w:val="both"/>
        <w:rPr>
          <w:lang w:val="en-GB"/>
        </w:rPr>
      </w:pPr>
      <w:r w:rsidRPr="008C2F4A">
        <w:rPr>
          <w:rStyle w:val="Znakapoznpodarou"/>
          <w:sz w:val="16"/>
          <w:szCs w:val="16"/>
        </w:rPr>
        <w:footnoteRef/>
      </w:r>
      <w:r w:rsidRPr="008C2F4A">
        <w:rPr>
          <w:sz w:val="16"/>
          <w:szCs w:val="16"/>
        </w:rPr>
        <w:t xml:space="preserve"> </w:t>
      </w:r>
      <w:r w:rsidRPr="0005658B">
        <w:rPr>
          <w:sz w:val="16"/>
          <w:szCs w:val="16"/>
          <w:lang w:val="en-GB"/>
        </w:rPr>
        <w:t>Data regarding the budget of the government institutions in the CR for Q4 2021 as well as the whole last year will be published by the CZSO on 1</w:t>
      </w:r>
      <w:r w:rsidRPr="0005658B">
        <w:rPr>
          <w:sz w:val="16"/>
          <w:szCs w:val="16"/>
          <w:vertAlign w:val="superscript"/>
          <w:lang w:val="en-GB"/>
        </w:rPr>
        <w:t>st</w:t>
      </w:r>
      <w:r w:rsidRPr="0005658B">
        <w:rPr>
          <w:sz w:val="16"/>
          <w:szCs w:val="16"/>
          <w:lang w:val="en-GB"/>
        </w:rPr>
        <w:t xml:space="preserve"> April 2022, Eurostat for its member states subsequently on 22</w:t>
      </w:r>
      <w:r w:rsidRPr="0005658B">
        <w:rPr>
          <w:sz w:val="16"/>
          <w:szCs w:val="16"/>
          <w:vertAlign w:val="superscript"/>
          <w:lang w:val="en-GB"/>
        </w:rPr>
        <w:t>nd</w:t>
      </w:r>
      <w:r w:rsidRPr="0005658B">
        <w:rPr>
          <w:sz w:val="16"/>
          <w:szCs w:val="16"/>
          <w:lang w:val="en-GB"/>
        </w:rPr>
        <w:t xml:space="preserve"> April. More detailed assessment of the domestic development for Q3 is contained in the publication</w:t>
      </w:r>
      <w:r>
        <w:rPr>
          <w:sz w:val="16"/>
          <w:szCs w:val="16"/>
          <w:lang w:val="en-GB"/>
        </w:rPr>
        <w:t xml:space="preserve"> Sector Account Analysis</w:t>
      </w:r>
      <w:r w:rsidRPr="00186D4B">
        <w:rPr>
          <w:sz w:val="16"/>
          <w:szCs w:val="16"/>
          <w:lang w:val="en-GB"/>
        </w:rPr>
        <w:t>:</w:t>
      </w:r>
    </w:p>
    <w:p w14:paraId="6ED48E01" w14:textId="77777777" w:rsidR="007C581C" w:rsidRPr="00186D4B" w:rsidRDefault="003B25E8" w:rsidP="00144108">
      <w:pPr>
        <w:pStyle w:val="Textpoznpodarou"/>
        <w:rPr>
          <w:sz w:val="16"/>
          <w:szCs w:val="16"/>
          <w:lang w:val="en-GB"/>
        </w:rPr>
      </w:pPr>
      <w:hyperlink r:id="rId1" w:history="1">
        <w:r w:rsidR="007C581C" w:rsidRPr="00186D4B">
          <w:rPr>
            <w:rStyle w:val="Hypertextovodkaz"/>
            <w:sz w:val="16"/>
            <w:szCs w:val="16"/>
            <w:lang w:val="en-GB"/>
          </w:rPr>
          <w:t>https://www.czso.cz/csu/czso/cri/analyza-ctvrtletnich-sektorovych-uctu-3-ctvrtleti-2021</w:t>
        </w:r>
      </w:hyperlink>
    </w:p>
  </w:footnote>
  <w:footnote w:id="24">
    <w:p w14:paraId="6B58BE36" w14:textId="700F8A22" w:rsidR="007C581C" w:rsidRPr="00186D4B" w:rsidRDefault="007C581C" w:rsidP="00144108">
      <w:pPr>
        <w:pStyle w:val="Textpoznpodarou"/>
        <w:rPr>
          <w:spacing w:val="-2"/>
          <w:sz w:val="16"/>
          <w:szCs w:val="16"/>
          <w:lang w:val="en-GB"/>
        </w:rPr>
      </w:pPr>
      <w:r w:rsidRPr="00186D4B">
        <w:rPr>
          <w:rStyle w:val="Znakapoznpodarou"/>
          <w:spacing w:val="-2"/>
          <w:sz w:val="16"/>
          <w:szCs w:val="16"/>
          <w:lang w:val="en-GB"/>
        </w:rPr>
        <w:footnoteRef/>
      </w:r>
      <w:r w:rsidRPr="00186D4B">
        <w:rPr>
          <w:spacing w:val="-2"/>
          <w:sz w:val="16"/>
          <w:szCs w:val="16"/>
          <w:lang w:val="en-GB"/>
        </w:rPr>
        <w:t xml:space="preserve"> </w:t>
      </w:r>
      <w:r>
        <w:rPr>
          <w:spacing w:val="-2"/>
          <w:sz w:val="16"/>
          <w:szCs w:val="16"/>
          <w:lang w:val="en-GB"/>
        </w:rPr>
        <w:t xml:space="preserve">Without Italy, Croatia and Cyprus, where the seasonally data were not available.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94A67" w14:textId="2A94712D" w:rsidR="007C581C" w:rsidRPr="00504720" w:rsidRDefault="007C581C" w:rsidP="00937AE2">
    <w:pPr>
      <w:pStyle w:val="Zhlav"/>
      <w:rPr>
        <w:lang w:val="en-GB"/>
      </w:rPr>
    </w:pPr>
    <w:r w:rsidRPr="00504720">
      <w:rPr>
        <w:lang w:val="en-GB"/>
      </w:rPr>
      <w:t>The Czech Economy Development</w:t>
    </w:r>
  </w:p>
  <w:p w14:paraId="3E881AB3" w14:textId="77777777" w:rsidR="007C581C" w:rsidRPr="006F5416" w:rsidRDefault="007C581C"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2D3DB" w14:textId="728CD1F5" w:rsidR="007C581C" w:rsidRPr="00504720" w:rsidRDefault="007C581C" w:rsidP="00937AE2">
    <w:pPr>
      <w:pStyle w:val="Zhlav"/>
      <w:rPr>
        <w:lang w:val="en-GB"/>
      </w:rPr>
    </w:pPr>
    <w:r w:rsidRPr="00504720">
      <w:rPr>
        <w:lang w:val="en-GB"/>
      </w:rPr>
      <w:t>The Czech Economy Development</w:t>
    </w:r>
  </w:p>
  <w:p w14:paraId="57266714" w14:textId="77777777" w:rsidR="007C581C" w:rsidRPr="006F5416" w:rsidRDefault="007C581C"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D55121"/>
    <w:multiLevelType w:val="hybridMultilevel"/>
    <w:tmpl w:val="338E27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4"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2"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6"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8E301A"/>
    <w:multiLevelType w:val="hybridMultilevel"/>
    <w:tmpl w:val="1A92D7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26"/>
  </w:num>
  <w:num w:numId="14">
    <w:abstractNumId w:val="13"/>
  </w:num>
  <w:num w:numId="15">
    <w:abstractNumId w:val="19"/>
  </w:num>
  <w:num w:numId="16">
    <w:abstractNumId w:val="15"/>
  </w:num>
  <w:num w:numId="17">
    <w:abstractNumId w:val="27"/>
  </w:num>
  <w:num w:numId="18">
    <w:abstractNumId w:val="20"/>
  </w:num>
  <w:num w:numId="19">
    <w:abstractNumId w:val="28"/>
  </w:num>
  <w:num w:numId="20">
    <w:abstractNumId w:val="29"/>
  </w:num>
  <w:num w:numId="21">
    <w:abstractNumId w:val="25"/>
  </w:num>
  <w:num w:numId="22">
    <w:abstractNumId w:val="18"/>
  </w:num>
  <w:num w:numId="23">
    <w:abstractNumId w:val="16"/>
  </w:num>
  <w:num w:numId="24">
    <w:abstractNumId w:val="17"/>
  </w:num>
  <w:num w:numId="25">
    <w:abstractNumId w:val="12"/>
  </w:num>
  <w:num w:numId="26">
    <w:abstractNumId w:val="22"/>
  </w:num>
  <w:num w:numId="27">
    <w:abstractNumId w:val="21"/>
  </w:num>
  <w:num w:numId="28">
    <w:abstractNumId w:val="10"/>
  </w:num>
  <w:num w:numId="29">
    <w:abstractNumId w:val="29"/>
  </w:num>
  <w:num w:numId="30">
    <w:abstractNumId w:val="23"/>
  </w:num>
  <w:num w:numId="31">
    <w:abstractNumId w:val="1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31A"/>
    <w:rsid w:val="000005AF"/>
    <w:rsid w:val="00000B55"/>
    <w:rsid w:val="0000209D"/>
    <w:rsid w:val="0000232E"/>
    <w:rsid w:val="00002566"/>
    <w:rsid w:val="0000370A"/>
    <w:rsid w:val="00003849"/>
    <w:rsid w:val="00003F5C"/>
    <w:rsid w:val="00004D5A"/>
    <w:rsid w:val="00005613"/>
    <w:rsid w:val="0000567F"/>
    <w:rsid w:val="000056D5"/>
    <w:rsid w:val="00005D9E"/>
    <w:rsid w:val="000063D5"/>
    <w:rsid w:val="00006625"/>
    <w:rsid w:val="00006ABD"/>
    <w:rsid w:val="00006B67"/>
    <w:rsid w:val="00006C0B"/>
    <w:rsid w:val="000073A0"/>
    <w:rsid w:val="0000767A"/>
    <w:rsid w:val="00007ABE"/>
    <w:rsid w:val="00010256"/>
    <w:rsid w:val="00010702"/>
    <w:rsid w:val="00010816"/>
    <w:rsid w:val="00010A2C"/>
    <w:rsid w:val="00010A36"/>
    <w:rsid w:val="000110E8"/>
    <w:rsid w:val="0001128E"/>
    <w:rsid w:val="00011912"/>
    <w:rsid w:val="00011BFC"/>
    <w:rsid w:val="000129B7"/>
    <w:rsid w:val="00012A35"/>
    <w:rsid w:val="00012F79"/>
    <w:rsid w:val="0001387D"/>
    <w:rsid w:val="00014ED0"/>
    <w:rsid w:val="00015657"/>
    <w:rsid w:val="00016420"/>
    <w:rsid w:val="00016BDB"/>
    <w:rsid w:val="00017945"/>
    <w:rsid w:val="00017B01"/>
    <w:rsid w:val="000200BE"/>
    <w:rsid w:val="000205D1"/>
    <w:rsid w:val="00020F22"/>
    <w:rsid w:val="0002195D"/>
    <w:rsid w:val="00021F9B"/>
    <w:rsid w:val="000221DD"/>
    <w:rsid w:val="000228AE"/>
    <w:rsid w:val="000233D1"/>
    <w:rsid w:val="000234D6"/>
    <w:rsid w:val="00023D29"/>
    <w:rsid w:val="00024219"/>
    <w:rsid w:val="00024348"/>
    <w:rsid w:val="00026109"/>
    <w:rsid w:val="00026389"/>
    <w:rsid w:val="0002669F"/>
    <w:rsid w:val="000279A9"/>
    <w:rsid w:val="000279E5"/>
    <w:rsid w:val="00027EF4"/>
    <w:rsid w:val="000305E0"/>
    <w:rsid w:val="00031AE0"/>
    <w:rsid w:val="00031BB2"/>
    <w:rsid w:val="000322EF"/>
    <w:rsid w:val="00033FCD"/>
    <w:rsid w:val="000348AF"/>
    <w:rsid w:val="00034B70"/>
    <w:rsid w:val="00034DF7"/>
    <w:rsid w:val="00034E68"/>
    <w:rsid w:val="000350C8"/>
    <w:rsid w:val="00036195"/>
    <w:rsid w:val="00037362"/>
    <w:rsid w:val="000374B2"/>
    <w:rsid w:val="000376C0"/>
    <w:rsid w:val="000403A7"/>
    <w:rsid w:val="00040632"/>
    <w:rsid w:val="00041AFC"/>
    <w:rsid w:val="00041CEC"/>
    <w:rsid w:val="00041D02"/>
    <w:rsid w:val="00042596"/>
    <w:rsid w:val="00042A4A"/>
    <w:rsid w:val="00044183"/>
    <w:rsid w:val="0004431D"/>
    <w:rsid w:val="0004443E"/>
    <w:rsid w:val="00044AAC"/>
    <w:rsid w:val="0004694F"/>
    <w:rsid w:val="00046F2F"/>
    <w:rsid w:val="00047AD4"/>
    <w:rsid w:val="00047D54"/>
    <w:rsid w:val="0005054A"/>
    <w:rsid w:val="00050CD8"/>
    <w:rsid w:val="00051506"/>
    <w:rsid w:val="000522E4"/>
    <w:rsid w:val="00053713"/>
    <w:rsid w:val="0005434E"/>
    <w:rsid w:val="0005480E"/>
    <w:rsid w:val="00055CB6"/>
    <w:rsid w:val="0005658B"/>
    <w:rsid w:val="000572DD"/>
    <w:rsid w:val="00057B1E"/>
    <w:rsid w:val="0006033F"/>
    <w:rsid w:val="000610E1"/>
    <w:rsid w:val="000616AD"/>
    <w:rsid w:val="00061E88"/>
    <w:rsid w:val="000622A6"/>
    <w:rsid w:val="000627BD"/>
    <w:rsid w:val="0006286E"/>
    <w:rsid w:val="00062D70"/>
    <w:rsid w:val="00062EC5"/>
    <w:rsid w:val="00062F22"/>
    <w:rsid w:val="00063975"/>
    <w:rsid w:val="00063CEA"/>
    <w:rsid w:val="0006444D"/>
    <w:rsid w:val="000645FC"/>
    <w:rsid w:val="0006533F"/>
    <w:rsid w:val="00065348"/>
    <w:rsid w:val="0006551C"/>
    <w:rsid w:val="00065A75"/>
    <w:rsid w:val="000663F0"/>
    <w:rsid w:val="00066558"/>
    <w:rsid w:val="000668F1"/>
    <w:rsid w:val="000671DB"/>
    <w:rsid w:val="000672E3"/>
    <w:rsid w:val="000676FF"/>
    <w:rsid w:val="00067982"/>
    <w:rsid w:val="00070A87"/>
    <w:rsid w:val="000712B3"/>
    <w:rsid w:val="00071A7C"/>
    <w:rsid w:val="00071E38"/>
    <w:rsid w:val="00072FF5"/>
    <w:rsid w:val="00073A5A"/>
    <w:rsid w:val="000743F9"/>
    <w:rsid w:val="0007474E"/>
    <w:rsid w:val="00074988"/>
    <w:rsid w:val="0007512B"/>
    <w:rsid w:val="00075551"/>
    <w:rsid w:val="000767F5"/>
    <w:rsid w:val="00076D90"/>
    <w:rsid w:val="00077FF0"/>
    <w:rsid w:val="0008115C"/>
    <w:rsid w:val="00081A55"/>
    <w:rsid w:val="0008263E"/>
    <w:rsid w:val="00082BA0"/>
    <w:rsid w:val="00082C19"/>
    <w:rsid w:val="00082F89"/>
    <w:rsid w:val="000837CD"/>
    <w:rsid w:val="000838A0"/>
    <w:rsid w:val="000842E9"/>
    <w:rsid w:val="00084BFF"/>
    <w:rsid w:val="00085185"/>
    <w:rsid w:val="00085395"/>
    <w:rsid w:val="00086896"/>
    <w:rsid w:val="0008695E"/>
    <w:rsid w:val="00086AC1"/>
    <w:rsid w:val="00086D19"/>
    <w:rsid w:val="00087634"/>
    <w:rsid w:val="00087F2B"/>
    <w:rsid w:val="00090694"/>
    <w:rsid w:val="00090EE2"/>
    <w:rsid w:val="00090FC6"/>
    <w:rsid w:val="000913B1"/>
    <w:rsid w:val="0009290F"/>
    <w:rsid w:val="00093241"/>
    <w:rsid w:val="00093532"/>
    <w:rsid w:val="00093868"/>
    <w:rsid w:val="00094A84"/>
    <w:rsid w:val="00095025"/>
    <w:rsid w:val="00095135"/>
    <w:rsid w:val="00095B8B"/>
    <w:rsid w:val="0009626E"/>
    <w:rsid w:val="0009644D"/>
    <w:rsid w:val="00097191"/>
    <w:rsid w:val="000974D1"/>
    <w:rsid w:val="00097784"/>
    <w:rsid w:val="0009799E"/>
    <w:rsid w:val="000A07CB"/>
    <w:rsid w:val="000A0BC0"/>
    <w:rsid w:val="000A1077"/>
    <w:rsid w:val="000A1183"/>
    <w:rsid w:val="000A12ED"/>
    <w:rsid w:val="000A1973"/>
    <w:rsid w:val="000A1D49"/>
    <w:rsid w:val="000A1F6A"/>
    <w:rsid w:val="000A2065"/>
    <w:rsid w:val="000A212B"/>
    <w:rsid w:val="000A242D"/>
    <w:rsid w:val="000A256D"/>
    <w:rsid w:val="000A2643"/>
    <w:rsid w:val="000A2E5F"/>
    <w:rsid w:val="000A337A"/>
    <w:rsid w:val="000A3A2C"/>
    <w:rsid w:val="000A3D9E"/>
    <w:rsid w:val="000A4A54"/>
    <w:rsid w:val="000A4ED9"/>
    <w:rsid w:val="000A5DB7"/>
    <w:rsid w:val="000A6753"/>
    <w:rsid w:val="000A6D94"/>
    <w:rsid w:val="000A7377"/>
    <w:rsid w:val="000A74A4"/>
    <w:rsid w:val="000A775A"/>
    <w:rsid w:val="000A7FF4"/>
    <w:rsid w:val="000B03CC"/>
    <w:rsid w:val="000B2BA8"/>
    <w:rsid w:val="000B4212"/>
    <w:rsid w:val="000B5C9C"/>
    <w:rsid w:val="000B67B7"/>
    <w:rsid w:val="000B7141"/>
    <w:rsid w:val="000C0CA6"/>
    <w:rsid w:val="000C0EA8"/>
    <w:rsid w:val="000C13A2"/>
    <w:rsid w:val="000C1C5A"/>
    <w:rsid w:val="000C21E7"/>
    <w:rsid w:val="000C23EC"/>
    <w:rsid w:val="000C26A2"/>
    <w:rsid w:val="000C290E"/>
    <w:rsid w:val="000C30C3"/>
    <w:rsid w:val="000C3408"/>
    <w:rsid w:val="000C35AB"/>
    <w:rsid w:val="000C3F7B"/>
    <w:rsid w:val="000C3FD8"/>
    <w:rsid w:val="000C4093"/>
    <w:rsid w:val="000C4769"/>
    <w:rsid w:val="000C4D56"/>
    <w:rsid w:val="000C5DFA"/>
    <w:rsid w:val="000C6AFD"/>
    <w:rsid w:val="000C6C90"/>
    <w:rsid w:val="000C72B7"/>
    <w:rsid w:val="000D009F"/>
    <w:rsid w:val="000D0236"/>
    <w:rsid w:val="000D0237"/>
    <w:rsid w:val="000D0A26"/>
    <w:rsid w:val="000D0B8E"/>
    <w:rsid w:val="000D13CB"/>
    <w:rsid w:val="000D2196"/>
    <w:rsid w:val="000D2312"/>
    <w:rsid w:val="000D296A"/>
    <w:rsid w:val="000D3058"/>
    <w:rsid w:val="000D310A"/>
    <w:rsid w:val="000D3EF4"/>
    <w:rsid w:val="000D4761"/>
    <w:rsid w:val="000D4DC0"/>
    <w:rsid w:val="000D55BA"/>
    <w:rsid w:val="000D5637"/>
    <w:rsid w:val="000D5A03"/>
    <w:rsid w:val="000D5ED3"/>
    <w:rsid w:val="000D6AAF"/>
    <w:rsid w:val="000D6D7C"/>
    <w:rsid w:val="000D6F4E"/>
    <w:rsid w:val="000D6FDA"/>
    <w:rsid w:val="000D7082"/>
    <w:rsid w:val="000D73BB"/>
    <w:rsid w:val="000D79D1"/>
    <w:rsid w:val="000E0E96"/>
    <w:rsid w:val="000E298B"/>
    <w:rsid w:val="000E2C7D"/>
    <w:rsid w:val="000E3E56"/>
    <w:rsid w:val="000E440D"/>
    <w:rsid w:val="000E4AC5"/>
    <w:rsid w:val="000E6253"/>
    <w:rsid w:val="000E6AC4"/>
    <w:rsid w:val="000E6E4D"/>
    <w:rsid w:val="000E6FBD"/>
    <w:rsid w:val="000E6FCB"/>
    <w:rsid w:val="000F090B"/>
    <w:rsid w:val="000F0C1C"/>
    <w:rsid w:val="000F3669"/>
    <w:rsid w:val="000F3F3B"/>
    <w:rsid w:val="000F4721"/>
    <w:rsid w:val="000F47E8"/>
    <w:rsid w:val="000F70E4"/>
    <w:rsid w:val="000F76EA"/>
    <w:rsid w:val="00100A8B"/>
    <w:rsid w:val="00100F5C"/>
    <w:rsid w:val="00100FB5"/>
    <w:rsid w:val="00101CDA"/>
    <w:rsid w:val="00102037"/>
    <w:rsid w:val="00102D7B"/>
    <w:rsid w:val="00103378"/>
    <w:rsid w:val="00103DCB"/>
    <w:rsid w:val="00104C4C"/>
    <w:rsid w:val="00105015"/>
    <w:rsid w:val="001055D2"/>
    <w:rsid w:val="001057C2"/>
    <w:rsid w:val="0010591C"/>
    <w:rsid w:val="00105B6B"/>
    <w:rsid w:val="00105C5C"/>
    <w:rsid w:val="00107124"/>
    <w:rsid w:val="00107243"/>
    <w:rsid w:val="0011038E"/>
    <w:rsid w:val="00110978"/>
    <w:rsid w:val="0011127D"/>
    <w:rsid w:val="00111573"/>
    <w:rsid w:val="00111B33"/>
    <w:rsid w:val="001125EF"/>
    <w:rsid w:val="00112CAB"/>
    <w:rsid w:val="0011440C"/>
    <w:rsid w:val="001145F6"/>
    <w:rsid w:val="00114C33"/>
    <w:rsid w:val="00116D3F"/>
    <w:rsid w:val="00117474"/>
    <w:rsid w:val="00117623"/>
    <w:rsid w:val="00117FEA"/>
    <w:rsid w:val="001200CF"/>
    <w:rsid w:val="001208E3"/>
    <w:rsid w:val="00120D71"/>
    <w:rsid w:val="00121609"/>
    <w:rsid w:val="0012192F"/>
    <w:rsid w:val="00122994"/>
    <w:rsid w:val="00123204"/>
    <w:rsid w:val="001239D6"/>
    <w:rsid w:val="00124B46"/>
    <w:rsid w:val="001257BE"/>
    <w:rsid w:val="001257E0"/>
    <w:rsid w:val="00125D20"/>
    <w:rsid w:val="00125D69"/>
    <w:rsid w:val="00125FB3"/>
    <w:rsid w:val="0012799C"/>
    <w:rsid w:val="00127BC2"/>
    <w:rsid w:val="00127E15"/>
    <w:rsid w:val="00130ADC"/>
    <w:rsid w:val="00130D9F"/>
    <w:rsid w:val="00132C4D"/>
    <w:rsid w:val="00133FC1"/>
    <w:rsid w:val="00134659"/>
    <w:rsid w:val="00135111"/>
    <w:rsid w:val="00135F31"/>
    <w:rsid w:val="001368DC"/>
    <w:rsid w:val="00136A6F"/>
    <w:rsid w:val="00136C1A"/>
    <w:rsid w:val="001405FA"/>
    <w:rsid w:val="00140D1A"/>
    <w:rsid w:val="00141184"/>
    <w:rsid w:val="001411A4"/>
    <w:rsid w:val="00141315"/>
    <w:rsid w:val="00141AA0"/>
    <w:rsid w:val="001425C3"/>
    <w:rsid w:val="0014262D"/>
    <w:rsid w:val="00142B29"/>
    <w:rsid w:val="00144108"/>
    <w:rsid w:val="00144588"/>
    <w:rsid w:val="001447DD"/>
    <w:rsid w:val="00145358"/>
    <w:rsid w:val="001459BC"/>
    <w:rsid w:val="00150333"/>
    <w:rsid w:val="00150ECA"/>
    <w:rsid w:val="00151707"/>
    <w:rsid w:val="00152C86"/>
    <w:rsid w:val="00152F4F"/>
    <w:rsid w:val="0015329F"/>
    <w:rsid w:val="001544A1"/>
    <w:rsid w:val="0015462F"/>
    <w:rsid w:val="00154DAC"/>
    <w:rsid w:val="001553B8"/>
    <w:rsid w:val="001554C2"/>
    <w:rsid w:val="00156CA1"/>
    <w:rsid w:val="00156D21"/>
    <w:rsid w:val="001571C0"/>
    <w:rsid w:val="0015753D"/>
    <w:rsid w:val="00157984"/>
    <w:rsid w:val="00157CC9"/>
    <w:rsid w:val="001603C1"/>
    <w:rsid w:val="001604A9"/>
    <w:rsid w:val="00160C21"/>
    <w:rsid w:val="001612F4"/>
    <w:rsid w:val="00161553"/>
    <w:rsid w:val="0016216F"/>
    <w:rsid w:val="0016256B"/>
    <w:rsid w:val="00162F81"/>
    <w:rsid w:val="00163793"/>
    <w:rsid w:val="00164CA1"/>
    <w:rsid w:val="00165313"/>
    <w:rsid w:val="00165DF4"/>
    <w:rsid w:val="0016623D"/>
    <w:rsid w:val="00167485"/>
    <w:rsid w:val="001679F5"/>
    <w:rsid w:val="00167AD0"/>
    <w:rsid w:val="00167B92"/>
    <w:rsid w:val="00167CB9"/>
    <w:rsid w:val="00167DD8"/>
    <w:rsid w:val="001705AD"/>
    <w:rsid w:val="001706D6"/>
    <w:rsid w:val="001714F2"/>
    <w:rsid w:val="001719C1"/>
    <w:rsid w:val="00171FEA"/>
    <w:rsid w:val="00173622"/>
    <w:rsid w:val="001751DC"/>
    <w:rsid w:val="0017580C"/>
    <w:rsid w:val="00175B9F"/>
    <w:rsid w:val="001762F4"/>
    <w:rsid w:val="00176664"/>
    <w:rsid w:val="00176D0A"/>
    <w:rsid w:val="001777BA"/>
    <w:rsid w:val="00181029"/>
    <w:rsid w:val="00181BBC"/>
    <w:rsid w:val="0018385F"/>
    <w:rsid w:val="00183BCF"/>
    <w:rsid w:val="00184017"/>
    <w:rsid w:val="001843D0"/>
    <w:rsid w:val="001847BB"/>
    <w:rsid w:val="00184B08"/>
    <w:rsid w:val="00184C25"/>
    <w:rsid w:val="00185010"/>
    <w:rsid w:val="00185C22"/>
    <w:rsid w:val="00185CB1"/>
    <w:rsid w:val="0018690D"/>
    <w:rsid w:val="00186BA9"/>
    <w:rsid w:val="00186D4B"/>
    <w:rsid w:val="00187D50"/>
    <w:rsid w:val="0019196C"/>
    <w:rsid w:val="001926A9"/>
    <w:rsid w:val="00192D81"/>
    <w:rsid w:val="00192E0C"/>
    <w:rsid w:val="00192F05"/>
    <w:rsid w:val="00193706"/>
    <w:rsid w:val="0019448A"/>
    <w:rsid w:val="00194729"/>
    <w:rsid w:val="00194850"/>
    <w:rsid w:val="00195234"/>
    <w:rsid w:val="00196016"/>
    <w:rsid w:val="001960FD"/>
    <w:rsid w:val="00196117"/>
    <w:rsid w:val="001977EB"/>
    <w:rsid w:val="00197A70"/>
    <w:rsid w:val="00197C0F"/>
    <w:rsid w:val="00197D0E"/>
    <w:rsid w:val="001A0487"/>
    <w:rsid w:val="001A0675"/>
    <w:rsid w:val="001A0A37"/>
    <w:rsid w:val="001A1529"/>
    <w:rsid w:val="001A1EED"/>
    <w:rsid w:val="001A1F68"/>
    <w:rsid w:val="001A21FA"/>
    <w:rsid w:val="001A4D7C"/>
    <w:rsid w:val="001A4EF0"/>
    <w:rsid w:val="001A552F"/>
    <w:rsid w:val="001A70B1"/>
    <w:rsid w:val="001A7388"/>
    <w:rsid w:val="001B0738"/>
    <w:rsid w:val="001B07F9"/>
    <w:rsid w:val="001B1235"/>
    <w:rsid w:val="001B158D"/>
    <w:rsid w:val="001B2CA9"/>
    <w:rsid w:val="001B3110"/>
    <w:rsid w:val="001B3E38"/>
    <w:rsid w:val="001B40F5"/>
    <w:rsid w:val="001B4729"/>
    <w:rsid w:val="001B494B"/>
    <w:rsid w:val="001B4F0E"/>
    <w:rsid w:val="001B5922"/>
    <w:rsid w:val="001B5F40"/>
    <w:rsid w:val="001B61EC"/>
    <w:rsid w:val="001B6310"/>
    <w:rsid w:val="001B63A8"/>
    <w:rsid w:val="001B6C09"/>
    <w:rsid w:val="001B6E12"/>
    <w:rsid w:val="001B7320"/>
    <w:rsid w:val="001B752A"/>
    <w:rsid w:val="001C05CD"/>
    <w:rsid w:val="001C064B"/>
    <w:rsid w:val="001C082B"/>
    <w:rsid w:val="001C0F17"/>
    <w:rsid w:val="001C1B24"/>
    <w:rsid w:val="001C1B66"/>
    <w:rsid w:val="001C1BB5"/>
    <w:rsid w:val="001C2732"/>
    <w:rsid w:val="001C2EB2"/>
    <w:rsid w:val="001C31A2"/>
    <w:rsid w:val="001C351D"/>
    <w:rsid w:val="001C3794"/>
    <w:rsid w:val="001C4A56"/>
    <w:rsid w:val="001C4B8F"/>
    <w:rsid w:val="001C4BB8"/>
    <w:rsid w:val="001C4FD0"/>
    <w:rsid w:val="001C544D"/>
    <w:rsid w:val="001C547D"/>
    <w:rsid w:val="001C5E46"/>
    <w:rsid w:val="001C6594"/>
    <w:rsid w:val="001C673E"/>
    <w:rsid w:val="001C6B3B"/>
    <w:rsid w:val="001C7A26"/>
    <w:rsid w:val="001C7E3F"/>
    <w:rsid w:val="001D02D7"/>
    <w:rsid w:val="001D0EF1"/>
    <w:rsid w:val="001D129C"/>
    <w:rsid w:val="001D22C2"/>
    <w:rsid w:val="001D2C99"/>
    <w:rsid w:val="001D386E"/>
    <w:rsid w:val="001D3B75"/>
    <w:rsid w:val="001D3D68"/>
    <w:rsid w:val="001D452E"/>
    <w:rsid w:val="001D54C1"/>
    <w:rsid w:val="001D556E"/>
    <w:rsid w:val="001D5DF2"/>
    <w:rsid w:val="001D6175"/>
    <w:rsid w:val="001D68B2"/>
    <w:rsid w:val="001D7A6E"/>
    <w:rsid w:val="001D7EFD"/>
    <w:rsid w:val="001D7F60"/>
    <w:rsid w:val="001E085B"/>
    <w:rsid w:val="001E149B"/>
    <w:rsid w:val="001E15CB"/>
    <w:rsid w:val="001E3306"/>
    <w:rsid w:val="001E3A13"/>
    <w:rsid w:val="001E504C"/>
    <w:rsid w:val="001E509E"/>
    <w:rsid w:val="001E56AC"/>
    <w:rsid w:val="001E5A17"/>
    <w:rsid w:val="001E6525"/>
    <w:rsid w:val="001E74C5"/>
    <w:rsid w:val="001F1236"/>
    <w:rsid w:val="001F1536"/>
    <w:rsid w:val="001F2F90"/>
    <w:rsid w:val="001F3BF9"/>
    <w:rsid w:val="001F3E54"/>
    <w:rsid w:val="001F4597"/>
    <w:rsid w:val="001F4826"/>
    <w:rsid w:val="001F4933"/>
    <w:rsid w:val="001F4C16"/>
    <w:rsid w:val="001F59C8"/>
    <w:rsid w:val="001F5A16"/>
    <w:rsid w:val="001F6CD3"/>
    <w:rsid w:val="001F75DA"/>
    <w:rsid w:val="001F7CE0"/>
    <w:rsid w:val="00200085"/>
    <w:rsid w:val="00203332"/>
    <w:rsid w:val="00203418"/>
    <w:rsid w:val="00203CD5"/>
    <w:rsid w:val="00203D8F"/>
    <w:rsid w:val="00203DA4"/>
    <w:rsid w:val="00203F9B"/>
    <w:rsid w:val="0020446B"/>
    <w:rsid w:val="00204563"/>
    <w:rsid w:val="00204D3D"/>
    <w:rsid w:val="00204EA6"/>
    <w:rsid w:val="00205186"/>
    <w:rsid w:val="00206516"/>
    <w:rsid w:val="00206E75"/>
    <w:rsid w:val="002070CF"/>
    <w:rsid w:val="002071D5"/>
    <w:rsid w:val="00207F4E"/>
    <w:rsid w:val="002111E5"/>
    <w:rsid w:val="0021149E"/>
    <w:rsid w:val="002118B9"/>
    <w:rsid w:val="002125EB"/>
    <w:rsid w:val="00213691"/>
    <w:rsid w:val="002142C0"/>
    <w:rsid w:val="00214CFF"/>
    <w:rsid w:val="00215602"/>
    <w:rsid w:val="00216E10"/>
    <w:rsid w:val="00217C5B"/>
    <w:rsid w:val="00220A43"/>
    <w:rsid w:val="0022139E"/>
    <w:rsid w:val="00222729"/>
    <w:rsid w:val="0022287B"/>
    <w:rsid w:val="002228DB"/>
    <w:rsid w:val="00223185"/>
    <w:rsid w:val="00223264"/>
    <w:rsid w:val="002233D6"/>
    <w:rsid w:val="0022441D"/>
    <w:rsid w:val="00224574"/>
    <w:rsid w:val="00224E3F"/>
    <w:rsid w:val="00225000"/>
    <w:rsid w:val="00225255"/>
    <w:rsid w:val="002252E0"/>
    <w:rsid w:val="00225560"/>
    <w:rsid w:val="002255F6"/>
    <w:rsid w:val="00226032"/>
    <w:rsid w:val="0022738D"/>
    <w:rsid w:val="00227605"/>
    <w:rsid w:val="00227850"/>
    <w:rsid w:val="00227A53"/>
    <w:rsid w:val="00227C6C"/>
    <w:rsid w:val="00227E2E"/>
    <w:rsid w:val="00227F53"/>
    <w:rsid w:val="00230C6E"/>
    <w:rsid w:val="00230E21"/>
    <w:rsid w:val="00231066"/>
    <w:rsid w:val="002316A8"/>
    <w:rsid w:val="00231859"/>
    <w:rsid w:val="002320C9"/>
    <w:rsid w:val="0023288F"/>
    <w:rsid w:val="0023359B"/>
    <w:rsid w:val="00233603"/>
    <w:rsid w:val="002340EF"/>
    <w:rsid w:val="00234B82"/>
    <w:rsid w:val="0023640D"/>
    <w:rsid w:val="00236443"/>
    <w:rsid w:val="00236700"/>
    <w:rsid w:val="00236B3A"/>
    <w:rsid w:val="00237C8B"/>
    <w:rsid w:val="002401A3"/>
    <w:rsid w:val="00240391"/>
    <w:rsid w:val="00240AF3"/>
    <w:rsid w:val="002418D5"/>
    <w:rsid w:val="00241A9F"/>
    <w:rsid w:val="00241B06"/>
    <w:rsid w:val="0024224D"/>
    <w:rsid w:val="002426C9"/>
    <w:rsid w:val="0024343A"/>
    <w:rsid w:val="002434D1"/>
    <w:rsid w:val="002436BA"/>
    <w:rsid w:val="002438DC"/>
    <w:rsid w:val="00244652"/>
    <w:rsid w:val="00244A15"/>
    <w:rsid w:val="002452D9"/>
    <w:rsid w:val="00245800"/>
    <w:rsid w:val="002468FB"/>
    <w:rsid w:val="00247319"/>
    <w:rsid w:val="0024799E"/>
    <w:rsid w:val="00247E60"/>
    <w:rsid w:val="002511CC"/>
    <w:rsid w:val="00251496"/>
    <w:rsid w:val="002515B3"/>
    <w:rsid w:val="00251B08"/>
    <w:rsid w:val="00251C53"/>
    <w:rsid w:val="00252465"/>
    <w:rsid w:val="00252AB9"/>
    <w:rsid w:val="002532B1"/>
    <w:rsid w:val="00253C0F"/>
    <w:rsid w:val="00254C1C"/>
    <w:rsid w:val="002558C1"/>
    <w:rsid w:val="00256207"/>
    <w:rsid w:val="002575F3"/>
    <w:rsid w:val="002577BB"/>
    <w:rsid w:val="002603E1"/>
    <w:rsid w:val="002605FE"/>
    <w:rsid w:val="0026120E"/>
    <w:rsid w:val="002613D4"/>
    <w:rsid w:val="002617EE"/>
    <w:rsid w:val="00262582"/>
    <w:rsid w:val="0026291D"/>
    <w:rsid w:val="00262CF3"/>
    <w:rsid w:val="00263F44"/>
    <w:rsid w:val="00264309"/>
    <w:rsid w:val="00264992"/>
    <w:rsid w:val="00264B4F"/>
    <w:rsid w:val="0026564B"/>
    <w:rsid w:val="00265C83"/>
    <w:rsid w:val="00265E85"/>
    <w:rsid w:val="0026718D"/>
    <w:rsid w:val="00267B49"/>
    <w:rsid w:val="00267C51"/>
    <w:rsid w:val="002700D9"/>
    <w:rsid w:val="0027025F"/>
    <w:rsid w:val="002709CC"/>
    <w:rsid w:val="00270D25"/>
    <w:rsid w:val="00271022"/>
    <w:rsid w:val="00271465"/>
    <w:rsid w:val="00271A07"/>
    <w:rsid w:val="00271E47"/>
    <w:rsid w:val="0027217A"/>
    <w:rsid w:val="002721F5"/>
    <w:rsid w:val="00272DF4"/>
    <w:rsid w:val="00273A9F"/>
    <w:rsid w:val="002744B9"/>
    <w:rsid w:val="00275062"/>
    <w:rsid w:val="0027563A"/>
    <w:rsid w:val="00275758"/>
    <w:rsid w:val="0027583D"/>
    <w:rsid w:val="00275DEF"/>
    <w:rsid w:val="002763A2"/>
    <w:rsid w:val="00276B33"/>
    <w:rsid w:val="00277669"/>
    <w:rsid w:val="002803A5"/>
    <w:rsid w:val="00280ACB"/>
    <w:rsid w:val="002812E3"/>
    <w:rsid w:val="00282AD4"/>
    <w:rsid w:val="0028341F"/>
    <w:rsid w:val="002837AE"/>
    <w:rsid w:val="00283C13"/>
    <w:rsid w:val="00283F7B"/>
    <w:rsid w:val="0028431A"/>
    <w:rsid w:val="002853FA"/>
    <w:rsid w:val="00285412"/>
    <w:rsid w:val="00286220"/>
    <w:rsid w:val="0029110B"/>
    <w:rsid w:val="00291640"/>
    <w:rsid w:val="0029237E"/>
    <w:rsid w:val="00292997"/>
    <w:rsid w:val="00293D24"/>
    <w:rsid w:val="0029507A"/>
    <w:rsid w:val="0029509B"/>
    <w:rsid w:val="0029588F"/>
    <w:rsid w:val="00295E96"/>
    <w:rsid w:val="00297256"/>
    <w:rsid w:val="00297A5C"/>
    <w:rsid w:val="00297D51"/>
    <w:rsid w:val="002A0122"/>
    <w:rsid w:val="002A016B"/>
    <w:rsid w:val="002A16D4"/>
    <w:rsid w:val="002A1E4F"/>
    <w:rsid w:val="002A230C"/>
    <w:rsid w:val="002A2AF7"/>
    <w:rsid w:val="002A3209"/>
    <w:rsid w:val="002A38F3"/>
    <w:rsid w:val="002A3EA2"/>
    <w:rsid w:val="002A51AC"/>
    <w:rsid w:val="002A532A"/>
    <w:rsid w:val="002A5846"/>
    <w:rsid w:val="002A5D97"/>
    <w:rsid w:val="002A603E"/>
    <w:rsid w:val="002A63B9"/>
    <w:rsid w:val="002A7089"/>
    <w:rsid w:val="002B0692"/>
    <w:rsid w:val="002B1619"/>
    <w:rsid w:val="002B3EF4"/>
    <w:rsid w:val="002B4845"/>
    <w:rsid w:val="002B5567"/>
    <w:rsid w:val="002B5812"/>
    <w:rsid w:val="002B72AA"/>
    <w:rsid w:val="002C1110"/>
    <w:rsid w:val="002C1BC2"/>
    <w:rsid w:val="002C1BD3"/>
    <w:rsid w:val="002C1F09"/>
    <w:rsid w:val="002C22A4"/>
    <w:rsid w:val="002C2583"/>
    <w:rsid w:val="002C260B"/>
    <w:rsid w:val="002C27A6"/>
    <w:rsid w:val="002C31E4"/>
    <w:rsid w:val="002C398D"/>
    <w:rsid w:val="002C3D02"/>
    <w:rsid w:val="002C40D2"/>
    <w:rsid w:val="002C43BD"/>
    <w:rsid w:val="002C5245"/>
    <w:rsid w:val="002C564A"/>
    <w:rsid w:val="002C59D8"/>
    <w:rsid w:val="002C5B25"/>
    <w:rsid w:val="002C5FEB"/>
    <w:rsid w:val="002C6494"/>
    <w:rsid w:val="002D05CB"/>
    <w:rsid w:val="002D0E59"/>
    <w:rsid w:val="002D1F41"/>
    <w:rsid w:val="002D2C4F"/>
    <w:rsid w:val="002D39E0"/>
    <w:rsid w:val="002D3EBB"/>
    <w:rsid w:val="002D455C"/>
    <w:rsid w:val="002D6066"/>
    <w:rsid w:val="002D6A4C"/>
    <w:rsid w:val="002E02A1"/>
    <w:rsid w:val="002E06F7"/>
    <w:rsid w:val="002E196A"/>
    <w:rsid w:val="002E1B00"/>
    <w:rsid w:val="002E1F8A"/>
    <w:rsid w:val="002E20C7"/>
    <w:rsid w:val="002E20CD"/>
    <w:rsid w:val="002E222E"/>
    <w:rsid w:val="002E25FF"/>
    <w:rsid w:val="002E28D8"/>
    <w:rsid w:val="002E3638"/>
    <w:rsid w:val="002E37D1"/>
    <w:rsid w:val="002E3BEE"/>
    <w:rsid w:val="002E4E4C"/>
    <w:rsid w:val="002E4EA7"/>
    <w:rsid w:val="002E5846"/>
    <w:rsid w:val="002E792B"/>
    <w:rsid w:val="002E7AEB"/>
    <w:rsid w:val="002E7B79"/>
    <w:rsid w:val="002F1B09"/>
    <w:rsid w:val="002F1D56"/>
    <w:rsid w:val="002F1DCB"/>
    <w:rsid w:val="002F1DE4"/>
    <w:rsid w:val="002F1F85"/>
    <w:rsid w:val="002F311F"/>
    <w:rsid w:val="002F333D"/>
    <w:rsid w:val="002F351A"/>
    <w:rsid w:val="002F46D6"/>
    <w:rsid w:val="002F498A"/>
    <w:rsid w:val="002F4AD8"/>
    <w:rsid w:val="002F5285"/>
    <w:rsid w:val="002F5820"/>
    <w:rsid w:val="002F64BB"/>
    <w:rsid w:val="002F7611"/>
    <w:rsid w:val="002F7756"/>
    <w:rsid w:val="002F7D9B"/>
    <w:rsid w:val="00300900"/>
    <w:rsid w:val="00300C31"/>
    <w:rsid w:val="00300E74"/>
    <w:rsid w:val="003017EC"/>
    <w:rsid w:val="00301FB5"/>
    <w:rsid w:val="00301FD5"/>
    <w:rsid w:val="00302165"/>
    <w:rsid w:val="00302D5A"/>
    <w:rsid w:val="00303BB4"/>
    <w:rsid w:val="00304771"/>
    <w:rsid w:val="00304F9C"/>
    <w:rsid w:val="003052D4"/>
    <w:rsid w:val="00305863"/>
    <w:rsid w:val="003060E9"/>
    <w:rsid w:val="00306C5B"/>
    <w:rsid w:val="00307529"/>
    <w:rsid w:val="00307DB3"/>
    <w:rsid w:val="00307ED2"/>
    <w:rsid w:val="0031076D"/>
    <w:rsid w:val="0031169A"/>
    <w:rsid w:val="00311AA6"/>
    <w:rsid w:val="00311C4D"/>
    <w:rsid w:val="003121AB"/>
    <w:rsid w:val="00314585"/>
    <w:rsid w:val="00315169"/>
    <w:rsid w:val="003153C8"/>
    <w:rsid w:val="00315524"/>
    <w:rsid w:val="00315561"/>
    <w:rsid w:val="00316B3D"/>
    <w:rsid w:val="0032058C"/>
    <w:rsid w:val="003208D0"/>
    <w:rsid w:val="003209D6"/>
    <w:rsid w:val="003217B9"/>
    <w:rsid w:val="00321924"/>
    <w:rsid w:val="00321AF1"/>
    <w:rsid w:val="00321EB6"/>
    <w:rsid w:val="003220A5"/>
    <w:rsid w:val="003238E0"/>
    <w:rsid w:val="00323A1C"/>
    <w:rsid w:val="00323A2F"/>
    <w:rsid w:val="003242F7"/>
    <w:rsid w:val="003247E1"/>
    <w:rsid w:val="00324B59"/>
    <w:rsid w:val="00325E46"/>
    <w:rsid w:val="0032656E"/>
    <w:rsid w:val="0032788F"/>
    <w:rsid w:val="0033117D"/>
    <w:rsid w:val="003313AD"/>
    <w:rsid w:val="00332190"/>
    <w:rsid w:val="00332A98"/>
    <w:rsid w:val="003334BD"/>
    <w:rsid w:val="00333973"/>
    <w:rsid w:val="00333CD0"/>
    <w:rsid w:val="0033448D"/>
    <w:rsid w:val="00334AD2"/>
    <w:rsid w:val="00334CB6"/>
    <w:rsid w:val="00335FA6"/>
    <w:rsid w:val="0033709C"/>
    <w:rsid w:val="003370C5"/>
    <w:rsid w:val="003373C6"/>
    <w:rsid w:val="0033753A"/>
    <w:rsid w:val="003378EB"/>
    <w:rsid w:val="00340BF3"/>
    <w:rsid w:val="00341D26"/>
    <w:rsid w:val="00341D2E"/>
    <w:rsid w:val="00341F05"/>
    <w:rsid w:val="00341FFE"/>
    <w:rsid w:val="00342521"/>
    <w:rsid w:val="0034335E"/>
    <w:rsid w:val="00344668"/>
    <w:rsid w:val="00344940"/>
    <w:rsid w:val="00346234"/>
    <w:rsid w:val="003462D9"/>
    <w:rsid w:val="0034723F"/>
    <w:rsid w:val="00347247"/>
    <w:rsid w:val="003474B6"/>
    <w:rsid w:val="00347A07"/>
    <w:rsid w:val="00347DD4"/>
    <w:rsid w:val="00350728"/>
    <w:rsid w:val="00352B43"/>
    <w:rsid w:val="00352C28"/>
    <w:rsid w:val="00353A0B"/>
    <w:rsid w:val="00354D85"/>
    <w:rsid w:val="00354F89"/>
    <w:rsid w:val="0035506D"/>
    <w:rsid w:val="00360663"/>
    <w:rsid w:val="0036077F"/>
    <w:rsid w:val="00360C86"/>
    <w:rsid w:val="00360F7A"/>
    <w:rsid w:val="00360FBC"/>
    <w:rsid w:val="00361537"/>
    <w:rsid w:val="00361FB7"/>
    <w:rsid w:val="0036242A"/>
    <w:rsid w:val="00362581"/>
    <w:rsid w:val="00362C23"/>
    <w:rsid w:val="00362DCA"/>
    <w:rsid w:val="00362E90"/>
    <w:rsid w:val="00363AD0"/>
    <w:rsid w:val="00364B62"/>
    <w:rsid w:val="00364FA0"/>
    <w:rsid w:val="003657F3"/>
    <w:rsid w:val="00365844"/>
    <w:rsid w:val="0036624C"/>
    <w:rsid w:val="00367F84"/>
    <w:rsid w:val="0037076B"/>
    <w:rsid w:val="003712BC"/>
    <w:rsid w:val="00372164"/>
    <w:rsid w:val="003734C8"/>
    <w:rsid w:val="003738BD"/>
    <w:rsid w:val="00374263"/>
    <w:rsid w:val="003744AA"/>
    <w:rsid w:val="003746F0"/>
    <w:rsid w:val="00374A20"/>
    <w:rsid w:val="00374E21"/>
    <w:rsid w:val="0037537A"/>
    <w:rsid w:val="00377B2E"/>
    <w:rsid w:val="0038079A"/>
    <w:rsid w:val="003808C1"/>
    <w:rsid w:val="003810F0"/>
    <w:rsid w:val="00381548"/>
    <w:rsid w:val="003815D4"/>
    <w:rsid w:val="003818DC"/>
    <w:rsid w:val="003823C4"/>
    <w:rsid w:val="00382513"/>
    <w:rsid w:val="00383388"/>
    <w:rsid w:val="003834F8"/>
    <w:rsid w:val="003838D0"/>
    <w:rsid w:val="003840C2"/>
    <w:rsid w:val="00384327"/>
    <w:rsid w:val="00384A89"/>
    <w:rsid w:val="00384E6A"/>
    <w:rsid w:val="00385086"/>
    <w:rsid w:val="00385D98"/>
    <w:rsid w:val="003863EB"/>
    <w:rsid w:val="00390306"/>
    <w:rsid w:val="003908A6"/>
    <w:rsid w:val="0039109D"/>
    <w:rsid w:val="00391527"/>
    <w:rsid w:val="00391989"/>
    <w:rsid w:val="00391A6C"/>
    <w:rsid w:val="003927F6"/>
    <w:rsid w:val="0039398D"/>
    <w:rsid w:val="003939DA"/>
    <w:rsid w:val="00393B3F"/>
    <w:rsid w:val="003962AB"/>
    <w:rsid w:val="00396739"/>
    <w:rsid w:val="003978B1"/>
    <w:rsid w:val="003A04F6"/>
    <w:rsid w:val="003A0837"/>
    <w:rsid w:val="003A2B4D"/>
    <w:rsid w:val="003A2D12"/>
    <w:rsid w:val="003A2EBA"/>
    <w:rsid w:val="003A45E3"/>
    <w:rsid w:val="003A46A0"/>
    <w:rsid w:val="003A46B8"/>
    <w:rsid w:val="003A478C"/>
    <w:rsid w:val="003A4A32"/>
    <w:rsid w:val="003A4A38"/>
    <w:rsid w:val="003A4EF2"/>
    <w:rsid w:val="003A5525"/>
    <w:rsid w:val="003A5889"/>
    <w:rsid w:val="003A5C8C"/>
    <w:rsid w:val="003A6B38"/>
    <w:rsid w:val="003A6B83"/>
    <w:rsid w:val="003A6C97"/>
    <w:rsid w:val="003A722F"/>
    <w:rsid w:val="003A7373"/>
    <w:rsid w:val="003A76A7"/>
    <w:rsid w:val="003A7D09"/>
    <w:rsid w:val="003B039F"/>
    <w:rsid w:val="003B0DF4"/>
    <w:rsid w:val="003B1AC5"/>
    <w:rsid w:val="003B1F9D"/>
    <w:rsid w:val="003B2249"/>
    <w:rsid w:val="003B25E8"/>
    <w:rsid w:val="003B2A8D"/>
    <w:rsid w:val="003B2AD1"/>
    <w:rsid w:val="003B2D2E"/>
    <w:rsid w:val="003B376A"/>
    <w:rsid w:val="003B461F"/>
    <w:rsid w:val="003B483F"/>
    <w:rsid w:val="003B4998"/>
    <w:rsid w:val="003B5A32"/>
    <w:rsid w:val="003B5B59"/>
    <w:rsid w:val="003B6D10"/>
    <w:rsid w:val="003B709D"/>
    <w:rsid w:val="003B7313"/>
    <w:rsid w:val="003B7B50"/>
    <w:rsid w:val="003C0B07"/>
    <w:rsid w:val="003C2CE7"/>
    <w:rsid w:val="003C2DB8"/>
    <w:rsid w:val="003C3490"/>
    <w:rsid w:val="003C3608"/>
    <w:rsid w:val="003C3AE8"/>
    <w:rsid w:val="003C3D2C"/>
    <w:rsid w:val="003C4014"/>
    <w:rsid w:val="003C4E13"/>
    <w:rsid w:val="003C58A5"/>
    <w:rsid w:val="003C6221"/>
    <w:rsid w:val="003C63D7"/>
    <w:rsid w:val="003C68CC"/>
    <w:rsid w:val="003C7E62"/>
    <w:rsid w:val="003D12B9"/>
    <w:rsid w:val="003D1E7A"/>
    <w:rsid w:val="003D242B"/>
    <w:rsid w:val="003D2492"/>
    <w:rsid w:val="003D29AA"/>
    <w:rsid w:val="003D2A99"/>
    <w:rsid w:val="003D34DA"/>
    <w:rsid w:val="003D472E"/>
    <w:rsid w:val="003D6920"/>
    <w:rsid w:val="003D7E94"/>
    <w:rsid w:val="003E0249"/>
    <w:rsid w:val="003E0487"/>
    <w:rsid w:val="003E08A4"/>
    <w:rsid w:val="003E1EF8"/>
    <w:rsid w:val="003E2DFB"/>
    <w:rsid w:val="003E4466"/>
    <w:rsid w:val="003E4C91"/>
    <w:rsid w:val="003E52D8"/>
    <w:rsid w:val="003E55D6"/>
    <w:rsid w:val="003E62F1"/>
    <w:rsid w:val="003E6DEE"/>
    <w:rsid w:val="003E6F84"/>
    <w:rsid w:val="003F313C"/>
    <w:rsid w:val="003F33B1"/>
    <w:rsid w:val="003F33B9"/>
    <w:rsid w:val="003F37FC"/>
    <w:rsid w:val="003F3E76"/>
    <w:rsid w:val="003F4318"/>
    <w:rsid w:val="003F4B2C"/>
    <w:rsid w:val="003F551C"/>
    <w:rsid w:val="003F626D"/>
    <w:rsid w:val="003F69BC"/>
    <w:rsid w:val="003F6B37"/>
    <w:rsid w:val="003F72ED"/>
    <w:rsid w:val="003F7D23"/>
    <w:rsid w:val="00400050"/>
    <w:rsid w:val="004002C8"/>
    <w:rsid w:val="00400468"/>
    <w:rsid w:val="0040099D"/>
    <w:rsid w:val="004016CB"/>
    <w:rsid w:val="00401B23"/>
    <w:rsid w:val="00402ADB"/>
    <w:rsid w:val="0040368D"/>
    <w:rsid w:val="00403D1D"/>
    <w:rsid w:val="00403F57"/>
    <w:rsid w:val="004046BD"/>
    <w:rsid w:val="00404BAB"/>
    <w:rsid w:val="00405318"/>
    <w:rsid w:val="004059D2"/>
    <w:rsid w:val="004060C9"/>
    <w:rsid w:val="004066D0"/>
    <w:rsid w:val="00406C2E"/>
    <w:rsid w:val="00406CDA"/>
    <w:rsid w:val="00406EB0"/>
    <w:rsid w:val="00407711"/>
    <w:rsid w:val="004079BA"/>
    <w:rsid w:val="00407C13"/>
    <w:rsid w:val="004103F6"/>
    <w:rsid w:val="00410638"/>
    <w:rsid w:val="00410D65"/>
    <w:rsid w:val="00412511"/>
    <w:rsid w:val="004125C2"/>
    <w:rsid w:val="00412DFA"/>
    <w:rsid w:val="00413465"/>
    <w:rsid w:val="004135F4"/>
    <w:rsid w:val="00413DBE"/>
    <w:rsid w:val="004149AC"/>
    <w:rsid w:val="0041501E"/>
    <w:rsid w:val="00415452"/>
    <w:rsid w:val="004159C3"/>
    <w:rsid w:val="00415A57"/>
    <w:rsid w:val="0041664E"/>
    <w:rsid w:val="00416DAC"/>
    <w:rsid w:val="00417849"/>
    <w:rsid w:val="00420880"/>
    <w:rsid w:val="00421179"/>
    <w:rsid w:val="00423623"/>
    <w:rsid w:val="0042470E"/>
    <w:rsid w:val="00424877"/>
    <w:rsid w:val="00425352"/>
    <w:rsid w:val="00425EC2"/>
    <w:rsid w:val="00426C99"/>
    <w:rsid w:val="00430C96"/>
    <w:rsid w:val="0043174F"/>
    <w:rsid w:val="00431BFF"/>
    <w:rsid w:val="00432199"/>
    <w:rsid w:val="0043271A"/>
    <w:rsid w:val="00432A58"/>
    <w:rsid w:val="004331C3"/>
    <w:rsid w:val="00433BC4"/>
    <w:rsid w:val="00433C17"/>
    <w:rsid w:val="00434617"/>
    <w:rsid w:val="00434DE9"/>
    <w:rsid w:val="00435051"/>
    <w:rsid w:val="00435C69"/>
    <w:rsid w:val="004360F5"/>
    <w:rsid w:val="004360FB"/>
    <w:rsid w:val="00436A40"/>
    <w:rsid w:val="00437CED"/>
    <w:rsid w:val="004407BF"/>
    <w:rsid w:val="00440900"/>
    <w:rsid w:val="0044121D"/>
    <w:rsid w:val="00441BF6"/>
    <w:rsid w:val="00441D2B"/>
    <w:rsid w:val="00441F8B"/>
    <w:rsid w:val="00442085"/>
    <w:rsid w:val="0044279E"/>
    <w:rsid w:val="00442990"/>
    <w:rsid w:val="004429BC"/>
    <w:rsid w:val="004441A0"/>
    <w:rsid w:val="0044546A"/>
    <w:rsid w:val="00445861"/>
    <w:rsid w:val="00445A8E"/>
    <w:rsid w:val="00446D44"/>
    <w:rsid w:val="00447735"/>
    <w:rsid w:val="0045078A"/>
    <w:rsid w:val="0045086D"/>
    <w:rsid w:val="00450DAB"/>
    <w:rsid w:val="00450F53"/>
    <w:rsid w:val="0045125B"/>
    <w:rsid w:val="00451E25"/>
    <w:rsid w:val="00451EF1"/>
    <w:rsid w:val="00452E60"/>
    <w:rsid w:val="0045321B"/>
    <w:rsid w:val="0045412A"/>
    <w:rsid w:val="00455F84"/>
    <w:rsid w:val="00456FE5"/>
    <w:rsid w:val="00457490"/>
    <w:rsid w:val="0045786C"/>
    <w:rsid w:val="00457953"/>
    <w:rsid w:val="004604D8"/>
    <w:rsid w:val="00460656"/>
    <w:rsid w:val="00460FB3"/>
    <w:rsid w:val="00463D3C"/>
    <w:rsid w:val="00464851"/>
    <w:rsid w:val="004649C1"/>
    <w:rsid w:val="00464AF9"/>
    <w:rsid w:val="00466359"/>
    <w:rsid w:val="00466595"/>
    <w:rsid w:val="00466B3E"/>
    <w:rsid w:val="0046746A"/>
    <w:rsid w:val="00467B14"/>
    <w:rsid w:val="004701E1"/>
    <w:rsid w:val="004707FE"/>
    <w:rsid w:val="0047080E"/>
    <w:rsid w:val="00470EDC"/>
    <w:rsid w:val="00472418"/>
    <w:rsid w:val="0047276D"/>
    <w:rsid w:val="00472AF6"/>
    <w:rsid w:val="00473482"/>
    <w:rsid w:val="00474310"/>
    <w:rsid w:val="00474646"/>
    <w:rsid w:val="00474A04"/>
    <w:rsid w:val="00474B3D"/>
    <w:rsid w:val="00476240"/>
    <w:rsid w:val="00476439"/>
    <w:rsid w:val="00476450"/>
    <w:rsid w:val="004769BF"/>
    <w:rsid w:val="004769E1"/>
    <w:rsid w:val="0047735C"/>
    <w:rsid w:val="004776BC"/>
    <w:rsid w:val="00477820"/>
    <w:rsid w:val="00477B96"/>
    <w:rsid w:val="00477DB5"/>
    <w:rsid w:val="00480802"/>
    <w:rsid w:val="00480BAE"/>
    <w:rsid w:val="00480D7F"/>
    <w:rsid w:val="0048139F"/>
    <w:rsid w:val="00481C74"/>
    <w:rsid w:val="00481E40"/>
    <w:rsid w:val="00482405"/>
    <w:rsid w:val="004826A7"/>
    <w:rsid w:val="0048368C"/>
    <w:rsid w:val="0048372F"/>
    <w:rsid w:val="00483A0C"/>
    <w:rsid w:val="004841CC"/>
    <w:rsid w:val="00484ECE"/>
    <w:rsid w:val="00485E82"/>
    <w:rsid w:val="00486132"/>
    <w:rsid w:val="004867CC"/>
    <w:rsid w:val="0048686D"/>
    <w:rsid w:val="00486A4D"/>
    <w:rsid w:val="004915CB"/>
    <w:rsid w:val="004924DC"/>
    <w:rsid w:val="00492879"/>
    <w:rsid w:val="004933FF"/>
    <w:rsid w:val="00493E85"/>
    <w:rsid w:val="00495145"/>
    <w:rsid w:val="0049531F"/>
    <w:rsid w:val="00496EC3"/>
    <w:rsid w:val="004979A5"/>
    <w:rsid w:val="00497FD4"/>
    <w:rsid w:val="004A0144"/>
    <w:rsid w:val="004A036E"/>
    <w:rsid w:val="004A0498"/>
    <w:rsid w:val="004A0597"/>
    <w:rsid w:val="004A06B0"/>
    <w:rsid w:val="004A0D0E"/>
    <w:rsid w:val="004A127D"/>
    <w:rsid w:val="004A14E4"/>
    <w:rsid w:val="004A204E"/>
    <w:rsid w:val="004A26A5"/>
    <w:rsid w:val="004A27F0"/>
    <w:rsid w:val="004A3212"/>
    <w:rsid w:val="004A37CD"/>
    <w:rsid w:val="004A40D9"/>
    <w:rsid w:val="004A49A5"/>
    <w:rsid w:val="004A4BE6"/>
    <w:rsid w:val="004A4F8A"/>
    <w:rsid w:val="004A52AB"/>
    <w:rsid w:val="004A5494"/>
    <w:rsid w:val="004A5A24"/>
    <w:rsid w:val="004A5AC1"/>
    <w:rsid w:val="004A5D4E"/>
    <w:rsid w:val="004A61C5"/>
    <w:rsid w:val="004A62A0"/>
    <w:rsid w:val="004A77DF"/>
    <w:rsid w:val="004B1417"/>
    <w:rsid w:val="004B305C"/>
    <w:rsid w:val="004B31B8"/>
    <w:rsid w:val="004B339A"/>
    <w:rsid w:val="004B4C83"/>
    <w:rsid w:val="004B55B7"/>
    <w:rsid w:val="004B5BFA"/>
    <w:rsid w:val="004B619E"/>
    <w:rsid w:val="004B6468"/>
    <w:rsid w:val="004B67FC"/>
    <w:rsid w:val="004B6EF8"/>
    <w:rsid w:val="004B7125"/>
    <w:rsid w:val="004B756A"/>
    <w:rsid w:val="004B7FB1"/>
    <w:rsid w:val="004C0B3F"/>
    <w:rsid w:val="004C0F87"/>
    <w:rsid w:val="004C258C"/>
    <w:rsid w:val="004C25F9"/>
    <w:rsid w:val="004C2794"/>
    <w:rsid w:val="004C2BB6"/>
    <w:rsid w:val="004C2C2D"/>
    <w:rsid w:val="004C3027"/>
    <w:rsid w:val="004C32A9"/>
    <w:rsid w:val="004C384C"/>
    <w:rsid w:val="004C3867"/>
    <w:rsid w:val="004C3DB0"/>
    <w:rsid w:val="004C439A"/>
    <w:rsid w:val="004C4720"/>
    <w:rsid w:val="004C4CD0"/>
    <w:rsid w:val="004C5060"/>
    <w:rsid w:val="004C5165"/>
    <w:rsid w:val="004C589C"/>
    <w:rsid w:val="004C5AE8"/>
    <w:rsid w:val="004C6E0E"/>
    <w:rsid w:val="004C70DC"/>
    <w:rsid w:val="004D0211"/>
    <w:rsid w:val="004D0794"/>
    <w:rsid w:val="004D10DE"/>
    <w:rsid w:val="004D2D31"/>
    <w:rsid w:val="004D2DBD"/>
    <w:rsid w:val="004D2E03"/>
    <w:rsid w:val="004D3296"/>
    <w:rsid w:val="004D4056"/>
    <w:rsid w:val="004D42F8"/>
    <w:rsid w:val="004D45B7"/>
    <w:rsid w:val="004D4CB0"/>
    <w:rsid w:val="004D57FF"/>
    <w:rsid w:val="004D5ACB"/>
    <w:rsid w:val="004D5B0F"/>
    <w:rsid w:val="004D7626"/>
    <w:rsid w:val="004E10D9"/>
    <w:rsid w:val="004E186A"/>
    <w:rsid w:val="004E1A40"/>
    <w:rsid w:val="004E200A"/>
    <w:rsid w:val="004E23FC"/>
    <w:rsid w:val="004E2409"/>
    <w:rsid w:val="004E261D"/>
    <w:rsid w:val="004E36CA"/>
    <w:rsid w:val="004E3927"/>
    <w:rsid w:val="004E3B7F"/>
    <w:rsid w:val="004E3C34"/>
    <w:rsid w:val="004E57BF"/>
    <w:rsid w:val="004E5F41"/>
    <w:rsid w:val="004E6011"/>
    <w:rsid w:val="004E6DE6"/>
    <w:rsid w:val="004E765E"/>
    <w:rsid w:val="004E7815"/>
    <w:rsid w:val="004F06F5"/>
    <w:rsid w:val="004F12A4"/>
    <w:rsid w:val="004F253F"/>
    <w:rsid w:val="004F33A0"/>
    <w:rsid w:val="004F3873"/>
    <w:rsid w:val="004F3BD2"/>
    <w:rsid w:val="004F3D93"/>
    <w:rsid w:val="004F3ECA"/>
    <w:rsid w:val="004F46ED"/>
    <w:rsid w:val="004F49A3"/>
    <w:rsid w:val="004F4C99"/>
    <w:rsid w:val="004F5226"/>
    <w:rsid w:val="004F5358"/>
    <w:rsid w:val="004F6484"/>
    <w:rsid w:val="004F6539"/>
    <w:rsid w:val="004F665D"/>
    <w:rsid w:val="004F7395"/>
    <w:rsid w:val="00503D54"/>
    <w:rsid w:val="00504720"/>
    <w:rsid w:val="005048E2"/>
    <w:rsid w:val="00504A69"/>
    <w:rsid w:val="00505FAA"/>
    <w:rsid w:val="00505FC8"/>
    <w:rsid w:val="00506603"/>
    <w:rsid w:val="0050689D"/>
    <w:rsid w:val="00506F4A"/>
    <w:rsid w:val="00507032"/>
    <w:rsid w:val="00507116"/>
    <w:rsid w:val="00507216"/>
    <w:rsid w:val="005077F5"/>
    <w:rsid w:val="005108C0"/>
    <w:rsid w:val="0051094F"/>
    <w:rsid w:val="00511217"/>
    <w:rsid w:val="00511873"/>
    <w:rsid w:val="00511BAF"/>
    <w:rsid w:val="00512461"/>
    <w:rsid w:val="00512585"/>
    <w:rsid w:val="00512A2F"/>
    <w:rsid w:val="005136FA"/>
    <w:rsid w:val="00513B7E"/>
    <w:rsid w:val="00513E9D"/>
    <w:rsid w:val="0051475D"/>
    <w:rsid w:val="00514B11"/>
    <w:rsid w:val="00515485"/>
    <w:rsid w:val="00515BE9"/>
    <w:rsid w:val="00515C74"/>
    <w:rsid w:val="0051630F"/>
    <w:rsid w:val="005169D3"/>
    <w:rsid w:val="005170C3"/>
    <w:rsid w:val="00517113"/>
    <w:rsid w:val="0052007E"/>
    <w:rsid w:val="00521CAD"/>
    <w:rsid w:val="0052200D"/>
    <w:rsid w:val="00522425"/>
    <w:rsid w:val="005224F8"/>
    <w:rsid w:val="00522A1B"/>
    <w:rsid w:val="00522E01"/>
    <w:rsid w:val="0052337A"/>
    <w:rsid w:val="00523908"/>
    <w:rsid w:val="00524385"/>
    <w:rsid w:val="005246BE"/>
    <w:rsid w:val="00525137"/>
    <w:rsid w:val="005251DD"/>
    <w:rsid w:val="0052762C"/>
    <w:rsid w:val="0053012B"/>
    <w:rsid w:val="005301A6"/>
    <w:rsid w:val="00530A68"/>
    <w:rsid w:val="00530AD4"/>
    <w:rsid w:val="0053129F"/>
    <w:rsid w:val="005318C3"/>
    <w:rsid w:val="00531C5A"/>
    <w:rsid w:val="00532CE7"/>
    <w:rsid w:val="00532D8B"/>
    <w:rsid w:val="0053324C"/>
    <w:rsid w:val="005337A1"/>
    <w:rsid w:val="00533A8D"/>
    <w:rsid w:val="00533D9E"/>
    <w:rsid w:val="00534A28"/>
    <w:rsid w:val="00535018"/>
    <w:rsid w:val="0053595E"/>
    <w:rsid w:val="00537571"/>
    <w:rsid w:val="00540056"/>
    <w:rsid w:val="005410E2"/>
    <w:rsid w:val="00541508"/>
    <w:rsid w:val="00541AE3"/>
    <w:rsid w:val="005431E6"/>
    <w:rsid w:val="00543498"/>
    <w:rsid w:val="00544011"/>
    <w:rsid w:val="00544BE5"/>
    <w:rsid w:val="005453A3"/>
    <w:rsid w:val="005455F6"/>
    <w:rsid w:val="00545631"/>
    <w:rsid w:val="0054582F"/>
    <w:rsid w:val="00546FC7"/>
    <w:rsid w:val="005500F9"/>
    <w:rsid w:val="00550160"/>
    <w:rsid w:val="005508EB"/>
    <w:rsid w:val="005519E2"/>
    <w:rsid w:val="00552152"/>
    <w:rsid w:val="0055230D"/>
    <w:rsid w:val="005523A8"/>
    <w:rsid w:val="00552796"/>
    <w:rsid w:val="00552F2C"/>
    <w:rsid w:val="00553A25"/>
    <w:rsid w:val="005547EB"/>
    <w:rsid w:val="00554863"/>
    <w:rsid w:val="005555E0"/>
    <w:rsid w:val="00555713"/>
    <w:rsid w:val="0055599F"/>
    <w:rsid w:val="00556621"/>
    <w:rsid w:val="00556D68"/>
    <w:rsid w:val="0055707B"/>
    <w:rsid w:val="005570D6"/>
    <w:rsid w:val="00557B02"/>
    <w:rsid w:val="00557E0E"/>
    <w:rsid w:val="00557E45"/>
    <w:rsid w:val="00560C41"/>
    <w:rsid w:val="00560CAC"/>
    <w:rsid w:val="00561F44"/>
    <w:rsid w:val="00562B4D"/>
    <w:rsid w:val="00562DB1"/>
    <w:rsid w:val="00563EB8"/>
    <w:rsid w:val="005647BF"/>
    <w:rsid w:val="00564AF1"/>
    <w:rsid w:val="00564EEE"/>
    <w:rsid w:val="005655DB"/>
    <w:rsid w:val="00565E88"/>
    <w:rsid w:val="00567339"/>
    <w:rsid w:val="005678EE"/>
    <w:rsid w:val="00567910"/>
    <w:rsid w:val="00570270"/>
    <w:rsid w:val="00570464"/>
    <w:rsid w:val="00570BC3"/>
    <w:rsid w:val="0057182A"/>
    <w:rsid w:val="00571E59"/>
    <w:rsid w:val="00572079"/>
    <w:rsid w:val="00572900"/>
    <w:rsid w:val="005731CA"/>
    <w:rsid w:val="00573343"/>
    <w:rsid w:val="00573602"/>
    <w:rsid w:val="0057364B"/>
    <w:rsid w:val="00574773"/>
    <w:rsid w:val="005761EC"/>
    <w:rsid w:val="00577C07"/>
    <w:rsid w:val="00577DB1"/>
    <w:rsid w:val="0058075B"/>
    <w:rsid w:val="00580AD3"/>
    <w:rsid w:val="00580DE7"/>
    <w:rsid w:val="00580E89"/>
    <w:rsid w:val="005810E1"/>
    <w:rsid w:val="005820CD"/>
    <w:rsid w:val="005823F4"/>
    <w:rsid w:val="00582530"/>
    <w:rsid w:val="00583BDD"/>
    <w:rsid w:val="00583E52"/>
    <w:rsid w:val="00583FFD"/>
    <w:rsid w:val="00584252"/>
    <w:rsid w:val="005848DD"/>
    <w:rsid w:val="0058519A"/>
    <w:rsid w:val="005856BD"/>
    <w:rsid w:val="00585983"/>
    <w:rsid w:val="00586BCA"/>
    <w:rsid w:val="00587038"/>
    <w:rsid w:val="005877E0"/>
    <w:rsid w:val="00590608"/>
    <w:rsid w:val="00590B28"/>
    <w:rsid w:val="005911BE"/>
    <w:rsid w:val="00591273"/>
    <w:rsid w:val="00591E9E"/>
    <w:rsid w:val="005927A4"/>
    <w:rsid w:val="00593152"/>
    <w:rsid w:val="00593319"/>
    <w:rsid w:val="00593389"/>
    <w:rsid w:val="00593407"/>
    <w:rsid w:val="00593FE6"/>
    <w:rsid w:val="005956A3"/>
    <w:rsid w:val="00595958"/>
    <w:rsid w:val="00595CAB"/>
    <w:rsid w:val="0059622E"/>
    <w:rsid w:val="00597671"/>
    <w:rsid w:val="00597BBF"/>
    <w:rsid w:val="00597E79"/>
    <w:rsid w:val="005A0463"/>
    <w:rsid w:val="005A0948"/>
    <w:rsid w:val="005A0A03"/>
    <w:rsid w:val="005A0F21"/>
    <w:rsid w:val="005A10F2"/>
    <w:rsid w:val="005A16C0"/>
    <w:rsid w:val="005A2156"/>
    <w:rsid w:val="005A21E0"/>
    <w:rsid w:val="005A28FF"/>
    <w:rsid w:val="005A2C09"/>
    <w:rsid w:val="005A3778"/>
    <w:rsid w:val="005A37B0"/>
    <w:rsid w:val="005A3DF8"/>
    <w:rsid w:val="005A5549"/>
    <w:rsid w:val="005A566A"/>
    <w:rsid w:val="005A7756"/>
    <w:rsid w:val="005A7ABD"/>
    <w:rsid w:val="005A7CF8"/>
    <w:rsid w:val="005B0EDA"/>
    <w:rsid w:val="005B121D"/>
    <w:rsid w:val="005B26B0"/>
    <w:rsid w:val="005B418A"/>
    <w:rsid w:val="005B41C9"/>
    <w:rsid w:val="005B44E6"/>
    <w:rsid w:val="005B4853"/>
    <w:rsid w:val="005B4FC7"/>
    <w:rsid w:val="005B6CA1"/>
    <w:rsid w:val="005B770C"/>
    <w:rsid w:val="005C016A"/>
    <w:rsid w:val="005C06ED"/>
    <w:rsid w:val="005C0CE1"/>
    <w:rsid w:val="005C11B8"/>
    <w:rsid w:val="005C216C"/>
    <w:rsid w:val="005C2609"/>
    <w:rsid w:val="005C2B30"/>
    <w:rsid w:val="005C32E1"/>
    <w:rsid w:val="005C412B"/>
    <w:rsid w:val="005C431E"/>
    <w:rsid w:val="005C43EC"/>
    <w:rsid w:val="005C45DD"/>
    <w:rsid w:val="005C4704"/>
    <w:rsid w:val="005C4CB1"/>
    <w:rsid w:val="005C6558"/>
    <w:rsid w:val="005D2FD8"/>
    <w:rsid w:val="005D3F06"/>
    <w:rsid w:val="005D4B73"/>
    <w:rsid w:val="005D5645"/>
    <w:rsid w:val="005D5802"/>
    <w:rsid w:val="005D5AA9"/>
    <w:rsid w:val="005D66E6"/>
    <w:rsid w:val="005D703F"/>
    <w:rsid w:val="005D7119"/>
    <w:rsid w:val="005D76C8"/>
    <w:rsid w:val="005D7890"/>
    <w:rsid w:val="005E021D"/>
    <w:rsid w:val="005E19C1"/>
    <w:rsid w:val="005E2194"/>
    <w:rsid w:val="005E24F0"/>
    <w:rsid w:val="005E30A8"/>
    <w:rsid w:val="005E3113"/>
    <w:rsid w:val="005E3515"/>
    <w:rsid w:val="005E36FE"/>
    <w:rsid w:val="005E3F66"/>
    <w:rsid w:val="005E490F"/>
    <w:rsid w:val="005E4BC9"/>
    <w:rsid w:val="005E5314"/>
    <w:rsid w:val="005E6D0F"/>
    <w:rsid w:val="005E7C78"/>
    <w:rsid w:val="005F04A7"/>
    <w:rsid w:val="005F114F"/>
    <w:rsid w:val="005F1255"/>
    <w:rsid w:val="005F18C5"/>
    <w:rsid w:val="005F2463"/>
    <w:rsid w:val="005F2A08"/>
    <w:rsid w:val="005F353D"/>
    <w:rsid w:val="005F36CC"/>
    <w:rsid w:val="005F3EB1"/>
    <w:rsid w:val="005F40CA"/>
    <w:rsid w:val="005F413E"/>
    <w:rsid w:val="005F466B"/>
    <w:rsid w:val="005F46D8"/>
    <w:rsid w:val="005F480F"/>
    <w:rsid w:val="005F5469"/>
    <w:rsid w:val="005F5B50"/>
    <w:rsid w:val="005F63F3"/>
    <w:rsid w:val="005F66F0"/>
    <w:rsid w:val="005F6D7F"/>
    <w:rsid w:val="005F7174"/>
    <w:rsid w:val="00600FFC"/>
    <w:rsid w:val="0060120D"/>
    <w:rsid w:val="006017C1"/>
    <w:rsid w:val="00601ADE"/>
    <w:rsid w:val="00601EEF"/>
    <w:rsid w:val="0060255A"/>
    <w:rsid w:val="0060279D"/>
    <w:rsid w:val="00602998"/>
    <w:rsid w:val="00602EB3"/>
    <w:rsid w:val="0060384A"/>
    <w:rsid w:val="00603DC9"/>
    <w:rsid w:val="00604307"/>
    <w:rsid w:val="006044A3"/>
    <w:rsid w:val="0060487F"/>
    <w:rsid w:val="00604EAD"/>
    <w:rsid w:val="0060513F"/>
    <w:rsid w:val="00605A97"/>
    <w:rsid w:val="006065E2"/>
    <w:rsid w:val="0060694B"/>
    <w:rsid w:val="006104FB"/>
    <w:rsid w:val="0061176D"/>
    <w:rsid w:val="0061200F"/>
    <w:rsid w:val="00612756"/>
    <w:rsid w:val="00612A2F"/>
    <w:rsid w:val="00612AAE"/>
    <w:rsid w:val="00612B07"/>
    <w:rsid w:val="00612FD9"/>
    <w:rsid w:val="0061333D"/>
    <w:rsid w:val="006139E0"/>
    <w:rsid w:val="00614D35"/>
    <w:rsid w:val="006156B4"/>
    <w:rsid w:val="00615DAF"/>
    <w:rsid w:val="00616254"/>
    <w:rsid w:val="0061672A"/>
    <w:rsid w:val="00616E05"/>
    <w:rsid w:val="00617985"/>
    <w:rsid w:val="00620B77"/>
    <w:rsid w:val="0062131B"/>
    <w:rsid w:val="00621E26"/>
    <w:rsid w:val="006224EA"/>
    <w:rsid w:val="0062263A"/>
    <w:rsid w:val="006227DF"/>
    <w:rsid w:val="006236C8"/>
    <w:rsid w:val="00624093"/>
    <w:rsid w:val="00624B45"/>
    <w:rsid w:val="00625A84"/>
    <w:rsid w:val="0062604A"/>
    <w:rsid w:val="00626079"/>
    <w:rsid w:val="00627A5F"/>
    <w:rsid w:val="006301D2"/>
    <w:rsid w:val="00631698"/>
    <w:rsid w:val="006319BC"/>
    <w:rsid w:val="00631E44"/>
    <w:rsid w:val="006344C3"/>
    <w:rsid w:val="006347C6"/>
    <w:rsid w:val="00634C57"/>
    <w:rsid w:val="00634CE7"/>
    <w:rsid w:val="00634DCA"/>
    <w:rsid w:val="006350D5"/>
    <w:rsid w:val="0063642C"/>
    <w:rsid w:val="006365C6"/>
    <w:rsid w:val="006369CC"/>
    <w:rsid w:val="006376B3"/>
    <w:rsid w:val="00637858"/>
    <w:rsid w:val="006404A7"/>
    <w:rsid w:val="00640A38"/>
    <w:rsid w:val="00640E6B"/>
    <w:rsid w:val="00641787"/>
    <w:rsid w:val="0064179B"/>
    <w:rsid w:val="0064200D"/>
    <w:rsid w:val="00642489"/>
    <w:rsid w:val="006425DA"/>
    <w:rsid w:val="00644055"/>
    <w:rsid w:val="00644137"/>
    <w:rsid w:val="0064478C"/>
    <w:rsid w:val="00645160"/>
    <w:rsid w:val="006451E4"/>
    <w:rsid w:val="0064527F"/>
    <w:rsid w:val="0064574B"/>
    <w:rsid w:val="0064587C"/>
    <w:rsid w:val="00645B33"/>
    <w:rsid w:val="006516CB"/>
    <w:rsid w:val="00652165"/>
    <w:rsid w:val="00652E30"/>
    <w:rsid w:val="00653BD0"/>
    <w:rsid w:val="00654110"/>
    <w:rsid w:val="00655BD0"/>
    <w:rsid w:val="00656C5D"/>
    <w:rsid w:val="00656CFB"/>
    <w:rsid w:val="00656D25"/>
    <w:rsid w:val="00657E87"/>
    <w:rsid w:val="00660D2D"/>
    <w:rsid w:val="00661C41"/>
    <w:rsid w:val="00661EC9"/>
    <w:rsid w:val="00662469"/>
    <w:rsid w:val="0066411C"/>
    <w:rsid w:val="00664205"/>
    <w:rsid w:val="00664647"/>
    <w:rsid w:val="00664803"/>
    <w:rsid w:val="0066502F"/>
    <w:rsid w:val="006653CC"/>
    <w:rsid w:val="00665455"/>
    <w:rsid w:val="006657AF"/>
    <w:rsid w:val="00665982"/>
    <w:rsid w:val="00665BA4"/>
    <w:rsid w:val="00666479"/>
    <w:rsid w:val="00666B00"/>
    <w:rsid w:val="00666BF3"/>
    <w:rsid w:val="00667203"/>
    <w:rsid w:val="00667856"/>
    <w:rsid w:val="00667AF2"/>
    <w:rsid w:val="00667F1B"/>
    <w:rsid w:val="00670489"/>
    <w:rsid w:val="006710C9"/>
    <w:rsid w:val="00671D85"/>
    <w:rsid w:val="006723AD"/>
    <w:rsid w:val="00672586"/>
    <w:rsid w:val="006741CD"/>
    <w:rsid w:val="00674B62"/>
    <w:rsid w:val="00674D89"/>
    <w:rsid w:val="0067514E"/>
    <w:rsid w:val="00675E37"/>
    <w:rsid w:val="006762B5"/>
    <w:rsid w:val="0067635D"/>
    <w:rsid w:val="0067657E"/>
    <w:rsid w:val="00676736"/>
    <w:rsid w:val="006769A4"/>
    <w:rsid w:val="006769C6"/>
    <w:rsid w:val="00676D76"/>
    <w:rsid w:val="00676F9F"/>
    <w:rsid w:val="00677519"/>
    <w:rsid w:val="00677591"/>
    <w:rsid w:val="00677594"/>
    <w:rsid w:val="00677FA3"/>
    <w:rsid w:val="0068032F"/>
    <w:rsid w:val="00680443"/>
    <w:rsid w:val="00680D37"/>
    <w:rsid w:val="0068174E"/>
    <w:rsid w:val="00681DCE"/>
    <w:rsid w:val="00682110"/>
    <w:rsid w:val="0068260E"/>
    <w:rsid w:val="00683EB8"/>
    <w:rsid w:val="006846B3"/>
    <w:rsid w:val="00684851"/>
    <w:rsid w:val="00684B9B"/>
    <w:rsid w:val="00684D59"/>
    <w:rsid w:val="00684E25"/>
    <w:rsid w:val="006858A4"/>
    <w:rsid w:val="00685C08"/>
    <w:rsid w:val="00686718"/>
    <w:rsid w:val="00686BFA"/>
    <w:rsid w:val="00686DED"/>
    <w:rsid w:val="00686F03"/>
    <w:rsid w:val="006875A0"/>
    <w:rsid w:val="006878C6"/>
    <w:rsid w:val="00687D27"/>
    <w:rsid w:val="00687D2B"/>
    <w:rsid w:val="006904BB"/>
    <w:rsid w:val="00691943"/>
    <w:rsid w:val="0069225B"/>
    <w:rsid w:val="00693550"/>
    <w:rsid w:val="00694622"/>
    <w:rsid w:val="00695065"/>
    <w:rsid w:val="00695BEF"/>
    <w:rsid w:val="00696225"/>
    <w:rsid w:val="00696251"/>
    <w:rsid w:val="006963A7"/>
    <w:rsid w:val="006966C7"/>
    <w:rsid w:val="006968C1"/>
    <w:rsid w:val="006977F6"/>
    <w:rsid w:val="00697A13"/>
    <w:rsid w:val="00697FFC"/>
    <w:rsid w:val="006A01C3"/>
    <w:rsid w:val="006A08CE"/>
    <w:rsid w:val="006A0DD4"/>
    <w:rsid w:val="006A109C"/>
    <w:rsid w:val="006A209C"/>
    <w:rsid w:val="006A4E91"/>
    <w:rsid w:val="006A5F4B"/>
    <w:rsid w:val="006A6114"/>
    <w:rsid w:val="006A6565"/>
    <w:rsid w:val="006A6A4C"/>
    <w:rsid w:val="006A7665"/>
    <w:rsid w:val="006A7691"/>
    <w:rsid w:val="006A7EE2"/>
    <w:rsid w:val="006B0514"/>
    <w:rsid w:val="006B0F92"/>
    <w:rsid w:val="006B2785"/>
    <w:rsid w:val="006B27C7"/>
    <w:rsid w:val="006B344A"/>
    <w:rsid w:val="006B4CBF"/>
    <w:rsid w:val="006B502E"/>
    <w:rsid w:val="006B58C9"/>
    <w:rsid w:val="006B60ED"/>
    <w:rsid w:val="006B6CC5"/>
    <w:rsid w:val="006B6D3E"/>
    <w:rsid w:val="006B74AC"/>
    <w:rsid w:val="006B78D8"/>
    <w:rsid w:val="006B79EA"/>
    <w:rsid w:val="006B79EE"/>
    <w:rsid w:val="006C0C5D"/>
    <w:rsid w:val="006C113F"/>
    <w:rsid w:val="006C123E"/>
    <w:rsid w:val="006C15A1"/>
    <w:rsid w:val="006C1752"/>
    <w:rsid w:val="006C1BF0"/>
    <w:rsid w:val="006C1DDC"/>
    <w:rsid w:val="006C28CA"/>
    <w:rsid w:val="006C2BBF"/>
    <w:rsid w:val="006C2FBD"/>
    <w:rsid w:val="006C3336"/>
    <w:rsid w:val="006C3495"/>
    <w:rsid w:val="006C4355"/>
    <w:rsid w:val="006C4587"/>
    <w:rsid w:val="006C469D"/>
    <w:rsid w:val="006C46B5"/>
    <w:rsid w:val="006C484F"/>
    <w:rsid w:val="006C52EC"/>
    <w:rsid w:val="006C5506"/>
    <w:rsid w:val="006C56D4"/>
    <w:rsid w:val="006C6681"/>
    <w:rsid w:val="006C683C"/>
    <w:rsid w:val="006C6924"/>
    <w:rsid w:val="006C6C1E"/>
    <w:rsid w:val="006C7076"/>
    <w:rsid w:val="006C7AEC"/>
    <w:rsid w:val="006C7CA6"/>
    <w:rsid w:val="006D18B3"/>
    <w:rsid w:val="006D1E89"/>
    <w:rsid w:val="006D26CE"/>
    <w:rsid w:val="006D317E"/>
    <w:rsid w:val="006D3E8A"/>
    <w:rsid w:val="006D47D9"/>
    <w:rsid w:val="006D61F6"/>
    <w:rsid w:val="006D6CE9"/>
    <w:rsid w:val="006E0095"/>
    <w:rsid w:val="006E1081"/>
    <w:rsid w:val="006E1332"/>
    <w:rsid w:val="006E19CB"/>
    <w:rsid w:val="006E1DF6"/>
    <w:rsid w:val="006E279A"/>
    <w:rsid w:val="006E313B"/>
    <w:rsid w:val="006E34B2"/>
    <w:rsid w:val="006E3A45"/>
    <w:rsid w:val="006E3AB8"/>
    <w:rsid w:val="006E4078"/>
    <w:rsid w:val="006E51C4"/>
    <w:rsid w:val="006E53AD"/>
    <w:rsid w:val="006E58CB"/>
    <w:rsid w:val="006E6A93"/>
    <w:rsid w:val="006E7227"/>
    <w:rsid w:val="006E761A"/>
    <w:rsid w:val="006F0646"/>
    <w:rsid w:val="006F0741"/>
    <w:rsid w:val="006F1C27"/>
    <w:rsid w:val="006F1F09"/>
    <w:rsid w:val="006F2992"/>
    <w:rsid w:val="006F2A65"/>
    <w:rsid w:val="006F3DD6"/>
    <w:rsid w:val="006F40DF"/>
    <w:rsid w:val="006F42BB"/>
    <w:rsid w:val="006F438E"/>
    <w:rsid w:val="006F440B"/>
    <w:rsid w:val="006F48A3"/>
    <w:rsid w:val="006F4DA4"/>
    <w:rsid w:val="006F5416"/>
    <w:rsid w:val="006F624B"/>
    <w:rsid w:val="006F6D87"/>
    <w:rsid w:val="006F6FF2"/>
    <w:rsid w:val="006F79FB"/>
    <w:rsid w:val="007008A9"/>
    <w:rsid w:val="00700E8A"/>
    <w:rsid w:val="00701373"/>
    <w:rsid w:val="00701C0D"/>
    <w:rsid w:val="00701C1E"/>
    <w:rsid w:val="0070398A"/>
    <w:rsid w:val="00705242"/>
    <w:rsid w:val="007055E0"/>
    <w:rsid w:val="007056ED"/>
    <w:rsid w:val="00705F4E"/>
    <w:rsid w:val="0070658E"/>
    <w:rsid w:val="007065C5"/>
    <w:rsid w:val="007068E1"/>
    <w:rsid w:val="00706AA0"/>
    <w:rsid w:val="00706AD4"/>
    <w:rsid w:val="00707150"/>
    <w:rsid w:val="007118D5"/>
    <w:rsid w:val="007124D7"/>
    <w:rsid w:val="007129DE"/>
    <w:rsid w:val="00712C20"/>
    <w:rsid w:val="00713549"/>
    <w:rsid w:val="007140BE"/>
    <w:rsid w:val="007147AB"/>
    <w:rsid w:val="00714D3E"/>
    <w:rsid w:val="00715502"/>
    <w:rsid w:val="00715D01"/>
    <w:rsid w:val="00715E4D"/>
    <w:rsid w:val="00715F12"/>
    <w:rsid w:val="0071677A"/>
    <w:rsid w:val="007168F1"/>
    <w:rsid w:val="00716F48"/>
    <w:rsid w:val="007170FB"/>
    <w:rsid w:val="00717114"/>
    <w:rsid w:val="0071779F"/>
    <w:rsid w:val="007202BD"/>
    <w:rsid w:val="00720310"/>
    <w:rsid w:val="00720D7A"/>
    <w:rsid w:val="007210D0"/>
    <w:rsid w:val="007211F5"/>
    <w:rsid w:val="007213C3"/>
    <w:rsid w:val="00721601"/>
    <w:rsid w:val="00722777"/>
    <w:rsid w:val="00723435"/>
    <w:rsid w:val="00723436"/>
    <w:rsid w:val="00723EFB"/>
    <w:rsid w:val="007240E2"/>
    <w:rsid w:val="007243A2"/>
    <w:rsid w:val="0072454C"/>
    <w:rsid w:val="00725647"/>
    <w:rsid w:val="0072583E"/>
    <w:rsid w:val="00725BB5"/>
    <w:rsid w:val="00727240"/>
    <w:rsid w:val="00727C02"/>
    <w:rsid w:val="0073008E"/>
    <w:rsid w:val="00730A8B"/>
    <w:rsid w:val="00730AE8"/>
    <w:rsid w:val="00730DA9"/>
    <w:rsid w:val="00730F1B"/>
    <w:rsid w:val="0073186D"/>
    <w:rsid w:val="00731D3A"/>
    <w:rsid w:val="00732258"/>
    <w:rsid w:val="0073261D"/>
    <w:rsid w:val="0073333D"/>
    <w:rsid w:val="007343D9"/>
    <w:rsid w:val="00734F71"/>
    <w:rsid w:val="00735301"/>
    <w:rsid w:val="00735448"/>
    <w:rsid w:val="00736BB4"/>
    <w:rsid w:val="00736F07"/>
    <w:rsid w:val="007377BD"/>
    <w:rsid w:val="00737DEC"/>
    <w:rsid w:val="0074004D"/>
    <w:rsid w:val="00740DDF"/>
    <w:rsid w:val="00741493"/>
    <w:rsid w:val="007434E5"/>
    <w:rsid w:val="0074499B"/>
    <w:rsid w:val="007450BF"/>
    <w:rsid w:val="00746F45"/>
    <w:rsid w:val="007471A1"/>
    <w:rsid w:val="007477BD"/>
    <w:rsid w:val="007477DA"/>
    <w:rsid w:val="00747EE9"/>
    <w:rsid w:val="00750275"/>
    <w:rsid w:val="007520B6"/>
    <w:rsid w:val="00752180"/>
    <w:rsid w:val="00752323"/>
    <w:rsid w:val="00752330"/>
    <w:rsid w:val="007532B7"/>
    <w:rsid w:val="00753630"/>
    <w:rsid w:val="0075399B"/>
    <w:rsid w:val="00753CAB"/>
    <w:rsid w:val="00754A70"/>
    <w:rsid w:val="00754BC9"/>
    <w:rsid w:val="00755202"/>
    <w:rsid w:val="00755D3A"/>
    <w:rsid w:val="007562AA"/>
    <w:rsid w:val="007563D7"/>
    <w:rsid w:val="00757241"/>
    <w:rsid w:val="0075751D"/>
    <w:rsid w:val="0075763E"/>
    <w:rsid w:val="007578D3"/>
    <w:rsid w:val="00757A01"/>
    <w:rsid w:val="007602CF"/>
    <w:rsid w:val="00760391"/>
    <w:rsid w:val="007607E0"/>
    <w:rsid w:val="007609C6"/>
    <w:rsid w:val="00760B2F"/>
    <w:rsid w:val="007615F3"/>
    <w:rsid w:val="0076175D"/>
    <w:rsid w:val="00761CB5"/>
    <w:rsid w:val="007629D5"/>
    <w:rsid w:val="007635F8"/>
    <w:rsid w:val="00763B85"/>
    <w:rsid w:val="00764231"/>
    <w:rsid w:val="00764974"/>
    <w:rsid w:val="00764D17"/>
    <w:rsid w:val="00764D18"/>
    <w:rsid w:val="0076521E"/>
    <w:rsid w:val="00765BCC"/>
    <w:rsid w:val="0076600D"/>
    <w:rsid w:val="007661E9"/>
    <w:rsid w:val="0076636A"/>
    <w:rsid w:val="00766460"/>
    <w:rsid w:val="00767062"/>
    <w:rsid w:val="00767601"/>
    <w:rsid w:val="00767777"/>
    <w:rsid w:val="00770CFC"/>
    <w:rsid w:val="0077130E"/>
    <w:rsid w:val="007715EE"/>
    <w:rsid w:val="00771972"/>
    <w:rsid w:val="00772279"/>
    <w:rsid w:val="00772DAB"/>
    <w:rsid w:val="00772FF9"/>
    <w:rsid w:val="0077348B"/>
    <w:rsid w:val="007743DB"/>
    <w:rsid w:val="0077463E"/>
    <w:rsid w:val="00774D2C"/>
    <w:rsid w:val="0077605B"/>
    <w:rsid w:val="00776169"/>
    <w:rsid w:val="00776527"/>
    <w:rsid w:val="00777040"/>
    <w:rsid w:val="00777CE6"/>
    <w:rsid w:val="00777D57"/>
    <w:rsid w:val="007800BC"/>
    <w:rsid w:val="00780EF1"/>
    <w:rsid w:val="00781A91"/>
    <w:rsid w:val="00781AD3"/>
    <w:rsid w:val="00781F36"/>
    <w:rsid w:val="00783576"/>
    <w:rsid w:val="00785778"/>
    <w:rsid w:val="00785EC7"/>
    <w:rsid w:val="00786C87"/>
    <w:rsid w:val="0078755E"/>
    <w:rsid w:val="007877C9"/>
    <w:rsid w:val="00790764"/>
    <w:rsid w:val="0079085F"/>
    <w:rsid w:val="00790943"/>
    <w:rsid w:val="00790E96"/>
    <w:rsid w:val="00791005"/>
    <w:rsid w:val="007910A8"/>
    <w:rsid w:val="007918DF"/>
    <w:rsid w:val="00793D78"/>
    <w:rsid w:val="0079420B"/>
    <w:rsid w:val="0079453C"/>
    <w:rsid w:val="00794677"/>
    <w:rsid w:val="00794827"/>
    <w:rsid w:val="00795759"/>
    <w:rsid w:val="00795C29"/>
    <w:rsid w:val="007A011D"/>
    <w:rsid w:val="007A170B"/>
    <w:rsid w:val="007A1D4F"/>
    <w:rsid w:val="007A20EB"/>
    <w:rsid w:val="007A26FD"/>
    <w:rsid w:val="007A282C"/>
    <w:rsid w:val="007A293C"/>
    <w:rsid w:val="007A2A3A"/>
    <w:rsid w:val="007A33E2"/>
    <w:rsid w:val="007A3CAF"/>
    <w:rsid w:val="007A4664"/>
    <w:rsid w:val="007A4782"/>
    <w:rsid w:val="007A4E9B"/>
    <w:rsid w:val="007A50A1"/>
    <w:rsid w:val="007A516D"/>
    <w:rsid w:val="007A5E65"/>
    <w:rsid w:val="007A65E1"/>
    <w:rsid w:val="007A6AAA"/>
    <w:rsid w:val="007A7033"/>
    <w:rsid w:val="007A714A"/>
    <w:rsid w:val="007A775D"/>
    <w:rsid w:val="007B04B0"/>
    <w:rsid w:val="007B04C6"/>
    <w:rsid w:val="007B0834"/>
    <w:rsid w:val="007B0E83"/>
    <w:rsid w:val="007B11FA"/>
    <w:rsid w:val="007B1396"/>
    <w:rsid w:val="007B16D6"/>
    <w:rsid w:val="007B2011"/>
    <w:rsid w:val="007B2BC5"/>
    <w:rsid w:val="007B2CFE"/>
    <w:rsid w:val="007B309B"/>
    <w:rsid w:val="007B309E"/>
    <w:rsid w:val="007B3D5E"/>
    <w:rsid w:val="007B3DCB"/>
    <w:rsid w:val="007B5725"/>
    <w:rsid w:val="007B5C1F"/>
    <w:rsid w:val="007B6689"/>
    <w:rsid w:val="007B6747"/>
    <w:rsid w:val="007B6F72"/>
    <w:rsid w:val="007B74AA"/>
    <w:rsid w:val="007C10BD"/>
    <w:rsid w:val="007C162D"/>
    <w:rsid w:val="007C1F0C"/>
    <w:rsid w:val="007C1FFB"/>
    <w:rsid w:val="007C2B93"/>
    <w:rsid w:val="007C2D94"/>
    <w:rsid w:val="007C3418"/>
    <w:rsid w:val="007C4A6B"/>
    <w:rsid w:val="007C4CDC"/>
    <w:rsid w:val="007C57FA"/>
    <w:rsid w:val="007C581C"/>
    <w:rsid w:val="007C5A80"/>
    <w:rsid w:val="007C5F92"/>
    <w:rsid w:val="007C6227"/>
    <w:rsid w:val="007C6BBD"/>
    <w:rsid w:val="007C6D89"/>
    <w:rsid w:val="007C6F5E"/>
    <w:rsid w:val="007C7C2B"/>
    <w:rsid w:val="007C7C8E"/>
    <w:rsid w:val="007D0382"/>
    <w:rsid w:val="007D0F6B"/>
    <w:rsid w:val="007D14FE"/>
    <w:rsid w:val="007D1A1F"/>
    <w:rsid w:val="007D1AA7"/>
    <w:rsid w:val="007D1D38"/>
    <w:rsid w:val="007D213B"/>
    <w:rsid w:val="007D2E18"/>
    <w:rsid w:val="007D40DF"/>
    <w:rsid w:val="007D42E5"/>
    <w:rsid w:val="007D4458"/>
    <w:rsid w:val="007D5F38"/>
    <w:rsid w:val="007D6AF9"/>
    <w:rsid w:val="007E051D"/>
    <w:rsid w:val="007E0535"/>
    <w:rsid w:val="007E07F2"/>
    <w:rsid w:val="007E0D4A"/>
    <w:rsid w:val="007E1041"/>
    <w:rsid w:val="007E1788"/>
    <w:rsid w:val="007E1EE3"/>
    <w:rsid w:val="007E239D"/>
    <w:rsid w:val="007E29B4"/>
    <w:rsid w:val="007E2F12"/>
    <w:rsid w:val="007E3F0E"/>
    <w:rsid w:val="007E435A"/>
    <w:rsid w:val="007E445C"/>
    <w:rsid w:val="007E49F7"/>
    <w:rsid w:val="007E4AC8"/>
    <w:rsid w:val="007E4C70"/>
    <w:rsid w:val="007E5B5F"/>
    <w:rsid w:val="007E5CF0"/>
    <w:rsid w:val="007E5ECB"/>
    <w:rsid w:val="007E69C6"/>
    <w:rsid w:val="007E78B6"/>
    <w:rsid w:val="007E7E61"/>
    <w:rsid w:val="007F0845"/>
    <w:rsid w:val="007F0873"/>
    <w:rsid w:val="007F20F3"/>
    <w:rsid w:val="007F22F1"/>
    <w:rsid w:val="007F2353"/>
    <w:rsid w:val="007F2390"/>
    <w:rsid w:val="007F2CAC"/>
    <w:rsid w:val="007F2F8E"/>
    <w:rsid w:val="007F4740"/>
    <w:rsid w:val="007F595A"/>
    <w:rsid w:val="007F5C38"/>
    <w:rsid w:val="007F708D"/>
    <w:rsid w:val="007F7E3F"/>
    <w:rsid w:val="0080001B"/>
    <w:rsid w:val="008006B3"/>
    <w:rsid w:val="00800B63"/>
    <w:rsid w:val="0080127B"/>
    <w:rsid w:val="0080158A"/>
    <w:rsid w:val="00801CCF"/>
    <w:rsid w:val="00801E13"/>
    <w:rsid w:val="00803008"/>
    <w:rsid w:val="00803069"/>
    <w:rsid w:val="00803230"/>
    <w:rsid w:val="008032D9"/>
    <w:rsid w:val="0080346B"/>
    <w:rsid w:val="00804155"/>
    <w:rsid w:val="00804C9F"/>
    <w:rsid w:val="0080559E"/>
    <w:rsid w:val="00805AF3"/>
    <w:rsid w:val="00806C9C"/>
    <w:rsid w:val="0080734C"/>
    <w:rsid w:val="00807C82"/>
    <w:rsid w:val="00807D2B"/>
    <w:rsid w:val="008117CC"/>
    <w:rsid w:val="00811FF8"/>
    <w:rsid w:val="008130D2"/>
    <w:rsid w:val="0081335A"/>
    <w:rsid w:val="00813D58"/>
    <w:rsid w:val="00813DCA"/>
    <w:rsid w:val="008161A6"/>
    <w:rsid w:val="008165B8"/>
    <w:rsid w:val="00816905"/>
    <w:rsid w:val="00816D98"/>
    <w:rsid w:val="00816E42"/>
    <w:rsid w:val="00817040"/>
    <w:rsid w:val="00817A17"/>
    <w:rsid w:val="00817EC1"/>
    <w:rsid w:val="0082112D"/>
    <w:rsid w:val="00821624"/>
    <w:rsid w:val="00821FF6"/>
    <w:rsid w:val="008223DB"/>
    <w:rsid w:val="00822574"/>
    <w:rsid w:val="00822910"/>
    <w:rsid w:val="00822980"/>
    <w:rsid w:val="00822F08"/>
    <w:rsid w:val="00824BA6"/>
    <w:rsid w:val="00825C4D"/>
    <w:rsid w:val="00826A08"/>
    <w:rsid w:val="00826AC0"/>
    <w:rsid w:val="00827186"/>
    <w:rsid w:val="00827C8E"/>
    <w:rsid w:val="00830569"/>
    <w:rsid w:val="00830AEA"/>
    <w:rsid w:val="00830E86"/>
    <w:rsid w:val="0083143E"/>
    <w:rsid w:val="008315B8"/>
    <w:rsid w:val="008315D5"/>
    <w:rsid w:val="00831CDE"/>
    <w:rsid w:val="00831F2B"/>
    <w:rsid w:val="008320CF"/>
    <w:rsid w:val="008324A3"/>
    <w:rsid w:val="00832F77"/>
    <w:rsid w:val="008337D4"/>
    <w:rsid w:val="00834304"/>
    <w:rsid w:val="00834FAA"/>
    <w:rsid w:val="00835026"/>
    <w:rsid w:val="008354FB"/>
    <w:rsid w:val="00835FF1"/>
    <w:rsid w:val="00836086"/>
    <w:rsid w:val="00836096"/>
    <w:rsid w:val="0083630F"/>
    <w:rsid w:val="00836A06"/>
    <w:rsid w:val="00836C91"/>
    <w:rsid w:val="008374BC"/>
    <w:rsid w:val="008379D6"/>
    <w:rsid w:val="00837E48"/>
    <w:rsid w:val="00840293"/>
    <w:rsid w:val="008402AD"/>
    <w:rsid w:val="00840714"/>
    <w:rsid w:val="008407EA"/>
    <w:rsid w:val="008408D4"/>
    <w:rsid w:val="00840A91"/>
    <w:rsid w:val="008417B5"/>
    <w:rsid w:val="00841901"/>
    <w:rsid w:val="008458BD"/>
    <w:rsid w:val="00845CE4"/>
    <w:rsid w:val="00846121"/>
    <w:rsid w:val="008461C2"/>
    <w:rsid w:val="008462F1"/>
    <w:rsid w:val="008466C6"/>
    <w:rsid w:val="0084708F"/>
    <w:rsid w:val="008477C8"/>
    <w:rsid w:val="008478A6"/>
    <w:rsid w:val="008502F6"/>
    <w:rsid w:val="0085036C"/>
    <w:rsid w:val="00850E83"/>
    <w:rsid w:val="0085114D"/>
    <w:rsid w:val="008514DE"/>
    <w:rsid w:val="00851F47"/>
    <w:rsid w:val="008520A8"/>
    <w:rsid w:val="0085220A"/>
    <w:rsid w:val="00852217"/>
    <w:rsid w:val="00852421"/>
    <w:rsid w:val="008525EE"/>
    <w:rsid w:val="00853282"/>
    <w:rsid w:val="0085334C"/>
    <w:rsid w:val="00854291"/>
    <w:rsid w:val="00855408"/>
    <w:rsid w:val="00855D03"/>
    <w:rsid w:val="00856D65"/>
    <w:rsid w:val="00856FA4"/>
    <w:rsid w:val="00860D79"/>
    <w:rsid w:val="008616E4"/>
    <w:rsid w:val="00861816"/>
    <w:rsid w:val="00861B41"/>
    <w:rsid w:val="00861B9F"/>
    <w:rsid w:val="00861BE3"/>
    <w:rsid w:val="008625D3"/>
    <w:rsid w:val="00862C0A"/>
    <w:rsid w:val="00863434"/>
    <w:rsid w:val="0086344F"/>
    <w:rsid w:val="008641AC"/>
    <w:rsid w:val="00864FA4"/>
    <w:rsid w:val="00865E4C"/>
    <w:rsid w:val="00866074"/>
    <w:rsid w:val="00867546"/>
    <w:rsid w:val="0086796D"/>
    <w:rsid w:val="00867DAB"/>
    <w:rsid w:val="0087000B"/>
    <w:rsid w:val="008701E4"/>
    <w:rsid w:val="008704E9"/>
    <w:rsid w:val="008708AD"/>
    <w:rsid w:val="00870ECD"/>
    <w:rsid w:val="0087187B"/>
    <w:rsid w:val="00872F5D"/>
    <w:rsid w:val="0087347C"/>
    <w:rsid w:val="008734E7"/>
    <w:rsid w:val="0087368D"/>
    <w:rsid w:val="008740CC"/>
    <w:rsid w:val="0087442A"/>
    <w:rsid w:val="00874FE8"/>
    <w:rsid w:val="00875A32"/>
    <w:rsid w:val="00876086"/>
    <w:rsid w:val="00876651"/>
    <w:rsid w:val="00876E83"/>
    <w:rsid w:val="008772BC"/>
    <w:rsid w:val="00880299"/>
    <w:rsid w:val="00880A0E"/>
    <w:rsid w:val="008817FE"/>
    <w:rsid w:val="00881CD7"/>
    <w:rsid w:val="0088220D"/>
    <w:rsid w:val="00882911"/>
    <w:rsid w:val="00882F6E"/>
    <w:rsid w:val="00883202"/>
    <w:rsid w:val="00884E02"/>
    <w:rsid w:val="0088502B"/>
    <w:rsid w:val="00885BC2"/>
    <w:rsid w:val="00885D40"/>
    <w:rsid w:val="008873D4"/>
    <w:rsid w:val="00890CB1"/>
    <w:rsid w:val="00891EDF"/>
    <w:rsid w:val="00892872"/>
    <w:rsid w:val="0089296D"/>
    <w:rsid w:val="00893E85"/>
    <w:rsid w:val="00893EBE"/>
    <w:rsid w:val="00894031"/>
    <w:rsid w:val="00894C5D"/>
    <w:rsid w:val="008952FE"/>
    <w:rsid w:val="00895508"/>
    <w:rsid w:val="008967E9"/>
    <w:rsid w:val="00896A5C"/>
    <w:rsid w:val="008972D2"/>
    <w:rsid w:val="0089754C"/>
    <w:rsid w:val="008A0659"/>
    <w:rsid w:val="008A0ADD"/>
    <w:rsid w:val="008A0D27"/>
    <w:rsid w:val="008A0E38"/>
    <w:rsid w:val="008A1A3B"/>
    <w:rsid w:val="008A1C59"/>
    <w:rsid w:val="008A1F51"/>
    <w:rsid w:val="008A37E2"/>
    <w:rsid w:val="008A388E"/>
    <w:rsid w:val="008A394E"/>
    <w:rsid w:val="008A3CBA"/>
    <w:rsid w:val="008A4B59"/>
    <w:rsid w:val="008A569C"/>
    <w:rsid w:val="008A5BFA"/>
    <w:rsid w:val="008A63E1"/>
    <w:rsid w:val="008A66B7"/>
    <w:rsid w:val="008A68BB"/>
    <w:rsid w:val="008A6AA5"/>
    <w:rsid w:val="008A7127"/>
    <w:rsid w:val="008B0CBA"/>
    <w:rsid w:val="008B0FD5"/>
    <w:rsid w:val="008B2639"/>
    <w:rsid w:val="008B3537"/>
    <w:rsid w:val="008B3690"/>
    <w:rsid w:val="008B391B"/>
    <w:rsid w:val="008B3A80"/>
    <w:rsid w:val="008B3AEC"/>
    <w:rsid w:val="008B3C07"/>
    <w:rsid w:val="008B3F7B"/>
    <w:rsid w:val="008B43CA"/>
    <w:rsid w:val="008B5324"/>
    <w:rsid w:val="008B5C99"/>
    <w:rsid w:val="008B6106"/>
    <w:rsid w:val="008B7C02"/>
    <w:rsid w:val="008B7D2B"/>
    <w:rsid w:val="008B7EF9"/>
    <w:rsid w:val="008C0049"/>
    <w:rsid w:val="008C0314"/>
    <w:rsid w:val="008C0A2C"/>
    <w:rsid w:val="008C0E88"/>
    <w:rsid w:val="008C1537"/>
    <w:rsid w:val="008C1717"/>
    <w:rsid w:val="008C17B6"/>
    <w:rsid w:val="008C17F0"/>
    <w:rsid w:val="008C1D39"/>
    <w:rsid w:val="008C209F"/>
    <w:rsid w:val="008C3B05"/>
    <w:rsid w:val="008C4B50"/>
    <w:rsid w:val="008C5A37"/>
    <w:rsid w:val="008C7569"/>
    <w:rsid w:val="008C786A"/>
    <w:rsid w:val="008C79C3"/>
    <w:rsid w:val="008D006F"/>
    <w:rsid w:val="008D033D"/>
    <w:rsid w:val="008D04A7"/>
    <w:rsid w:val="008D0DBD"/>
    <w:rsid w:val="008D117E"/>
    <w:rsid w:val="008D127E"/>
    <w:rsid w:val="008D1CA8"/>
    <w:rsid w:val="008D1E0A"/>
    <w:rsid w:val="008D1E6A"/>
    <w:rsid w:val="008D2407"/>
    <w:rsid w:val="008D29A4"/>
    <w:rsid w:val="008D2A16"/>
    <w:rsid w:val="008D2AEC"/>
    <w:rsid w:val="008D3295"/>
    <w:rsid w:val="008D33F5"/>
    <w:rsid w:val="008D35E4"/>
    <w:rsid w:val="008D3ACD"/>
    <w:rsid w:val="008D5CFF"/>
    <w:rsid w:val="008D62D6"/>
    <w:rsid w:val="008D6B82"/>
    <w:rsid w:val="008D6C3A"/>
    <w:rsid w:val="008D70E2"/>
    <w:rsid w:val="008D7710"/>
    <w:rsid w:val="008D77D6"/>
    <w:rsid w:val="008E0001"/>
    <w:rsid w:val="008E039E"/>
    <w:rsid w:val="008E0AE5"/>
    <w:rsid w:val="008E0D78"/>
    <w:rsid w:val="008E1491"/>
    <w:rsid w:val="008E19AF"/>
    <w:rsid w:val="008E1FD8"/>
    <w:rsid w:val="008E292B"/>
    <w:rsid w:val="008E2C57"/>
    <w:rsid w:val="008E3174"/>
    <w:rsid w:val="008E31FF"/>
    <w:rsid w:val="008E3287"/>
    <w:rsid w:val="008E38E4"/>
    <w:rsid w:val="008E3DFA"/>
    <w:rsid w:val="008E51EB"/>
    <w:rsid w:val="008E5746"/>
    <w:rsid w:val="008E5F94"/>
    <w:rsid w:val="008E6DCB"/>
    <w:rsid w:val="008E6F06"/>
    <w:rsid w:val="008E7000"/>
    <w:rsid w:val="008E723E"/>
    <w:rsid w:val="008E7B8E"/>
    <w:rsid w:val="008E7FC9"/>
    <w:rsid w:val="008F0107"/>
    <w:rsid w:val="008F029B"/>
    <w:rsid w:val="008F0589"/>
    <w:rsid w:val="008F1DA0"/>
    <w:rsid w:val="008F2A5D"/>
    <w:rsid w:val="008F2BC7"/>
    <w:rsid w:val="008F3636"/>
    <w:rsid w:val="008F3FC9"/>
    <w:rsid w:val="008F509F"/>
    <w:rsid w:val="008F5383"/>
    <w:rsid w:val="008F585B"/>
    <w:rsid w:val="008F69C3"/>
    <w:rsid w:val="008F7FB0"/>
    <w:rsid w:val="009003A8"/>
    <w:rsid w:val="009005E4"/>
    <w:rsid w:val="00900977"/>
    <w:rsid w:val="009021DA"/>
    <w:rsid w:val="00902442"/>
    <w:rsid w:val="00902500"/>
    <w:rsid w:val="0090250E"/>
    <w:rsid w:val="00902EFF"/>
    <w:rsid w:val="00903A0D"/>
    <w:rsid w:val="00903A8E"/>
    <w:rsid w:val="0090432C"/>
    <w:rsid w:val="00904AFB"/>
    <w:rsid w:val="00904F96"/>
    <w:rsid w:val="00904FA3"/>
    <w:rsid w:val="009052A3"/>
    <w:rsid w:val="00905314"/>
    <w:rsid w:val="009056D7"/>
    <w:rsid w:val="00905B8D"/>
    <w:rsid w:val="00906401"/>
    <w:rsid w:val="009065CB"/>
    <w:rsid w:val="009067EA"/>
    <w:rsid w:val="00906B79"/>
    <w:rsid w:val="00906E5F"/>
    <w:rsid w:val="0090786F"/>
    <w:rsid w:val="00907F11"/>
    <w:rsid w:val="0091001E"/>
    <w:rsid w:val="00910C18"/>
    <w:rsid w:val="009110F7"/>
    <w:rsid w:val="009112E3"/>
    <w:rsid w:val="0091155E"/>
    <w:rsid w:val="00911619"/>
    <w:rsid w:val="00911A66"/>
    <w:rsid w:val="00912437"/>
    <w:rsid w:val="00912A92"/>
    <w:rsid w:val="00912FCB"/>
    <w:rsid w:val="00913237"/>
    <w:rsid w:val="0091476D"/>
    <w:rsid w:val="00915D07"/>
    <w:rsid w:val="009162AE"/>
    <w:rsid w:val="00917251"/>
    <w:rsid w:val="0091728D"/>
    <w:rsid w:val="0092036B"/>
    <w:rsid w:val="009203CC"/>
    <w:rsid w:val="00920B7E"/>
    <w:rsid w:val="00920D6A"/>
    <w:rsid w:val="00920EC4"/>
    <w:rsid w:val="0092180B"/>
    <w:rsid w:val="00921F14"/>
    <w:rsid w:val="0092292F"/>
    <w:rsid w:val="00922D28"/>
    <w:rsid w:val="0092303E"/>
    <w:rsid w:val="009234E1"/>
    <w:rsid w:val="00923CB0"/>
    <w:rsid w:val="00923D8C"/>
    <w:rsid w:val="00924871"/>
    <w:rsid w:val="00924AC8"/>
    <w:rsid w:val="00925429"/>
    <w:rsid w:val="00925615"/>
    <w:rsid w:val="0092597A"/>
    <w:rsid w:val="00926520"/>
    <w:rsid w:val="00926CF0"/>
    <w:rsid w:val="00926FBD"/>
    <w:rsid w:val="009273A9"/>
    <w:rsid w:val="00927FD6"/>
    <w:rsid w:val="00930251"/>
    <w:rsid w:val="0093033E"/>
    <w:rsid w:val="009305FC"/>
    <w:rsid w:val="00930FB1"/>
    <w:rsid w:val="0093139F"/>
    <w:rsid w:val="00931903"/>
    <w:rsid w:val="00931D3C"/>
    <w:rsid w:val="00932097"/>
    <w:rsid w:val="00932443"/>
    <w:rsid w:val="00932782"/>
    <w:rsid w:val="009328EE"/>
    <w:rsid w:val="00932B32"/>
    <w:rsid w:val="00932DB3"/>
    <w:rsid w:val="0093305E"/>
    <w:rsid w:val="00933F4A"/>
    <w:rsid w:val="009341F1"/>
    <w:rsid w:val="00934FF2"/>
    <w:rsid w:val="009358D7"/>
    <w:rsid w:val="00935BD4"/>
    <w:rsid w:val="00935DFE"/>
    <w:rsid w:val="00935F70"/>
    <w:rsid w:val="0093648B"/>
    <w:rsid w:val="00937017"/>
    <w:rsid w:val="009373B2"/>
    <w:rsid w:val="00937AE2"/>
    <w:rsid w:val="0094061F"/>
    <w:rsid w:val="00940F0F"/>
    <w:rsid w:val="00941912"/>
    <w:rsid w:val="0094416B"/>
    <w:rsid w:val="0094427A"/>
    <w:rsid w:val="009449C6"/>
    <w:rsid w:val="00944C7C"/>
    <w:rsid w:val="00945245"/>
    <w:rsid w:val="00945523"/>
    <w:rsid w:val="0094590F"/>
    <w:rsid w:val="00947B6E"/>
    <w:rsid w:val="00950921"/>
    <w:rsid w:val="00951A1F"/>
    <w:rsid w:val="00951D68"/>
    <w:rsid w:val="00951E5B"/>
    <w:rsid w:val="00952050"/>
    <w:rsid w:val="00952315"/>
    <w:rsid w:val="009523D9"/>
    <w:rsid w:val="00952B7B"/>
    <w:rsid w:val="0095357B"/>
    <w:rsid w:val="009538B3"/>
    <w:rsid w:val="00954F39"/>
    <w:rsid w:val="009555FD"/>
    <w:rsid w:val="0095639D"/>
    <w:rsid w:val="0095664B"/>
    <w:rsid w:val="009568DC"/>
    <w:rsid w:val="00956912"/>
    <w:rsid w:val="00957140"/>
    <w:rsid w:val="00957445"/>
    <w:rsid w:val="0095759C"/>
    <w:rsid w:val="009579E0"/>
    <w:rsid w:val="009611FD"/>
    <w:rsid w:val="009618EE"/>
    <w:rsid w:val="00961DDD"/>
    <w:rsid w:val="009624D2"/>
    <w:rsid w:val="009628D9"/>
    <w:rsid w:val="00962D60"/>
    <w:rsid w:val="009636BE"/>
    <w:rsid w:val="009637AE"/>
    <w:rsid w:val="00963A06"/>
    <w:rsid w:val="00963D65"/>
    <w:rsid w:val="00964068"/>
    <w:rsid w:val="009640F6"/>
    <w:rsid w:val="0096469D"/>
    <w:rsid w:val="00964776"/>
    <w:rsid w:val="00964A4E"/>
    <w:rsid w:val="00964B35"/>
    <w:rsid w:val="009651C7"/>
    <w:rsid w:val="0096547B"/>
    <w:rsid w:val="00965797"/>
    <w:rsid w:val="00965A10"/>
    <w:rsid w:val="00965AD0"/>
    <w:rsid w:val="00966781"/>
    <w:rsid w:val="009670A3"/>
    <w:rsid w:val="009674BE"/>
    <w:rsid w:val="00967DBA"/>
    <w:rsid w:val="00970FB5"/>
    <w:rsid w:val="00971710"/>
    <w:rsid w:val="00971B87"/>
    <w:rsid w:val="00971C77"/>
    <w:rsid w:val="0097203A"/>
    <w:rsid w:val="00972835"/>
    <w:rsid w:val="00972FCD"/>
    <w:rsid w:val="00973324"/>
    <w:rsid w:val="009736DF"/>
    <w:rsid w:val="0097386E"/>
    <w:rsid w:val="009741AE"/>
    <w:rsid w:val="009741FC"/>
    <w:rsid w:val="00974782"/>
    <w:rsid w:val="00974923"/>
    <w:rsid w:val="0097527D"/>
    <w:rsid w:val="00975909"/>
    <w:rsid w:val="00975BAF"/>
    <w:rsid w:val="00977C3D"/>
    <w:rsid w:val="009805C9"/>
    <w:rsid w:val="00980D3D"/>
    <w:rsid w:val="0098103E"/>
    <w:rsid w:val="0098157D"/>
    <w:rsid w:val="00983101"/>
    <w:rsid w:val="00983E41"/>
    <w:rsid w:val="009845E1"/>
    <w:rsid w:val="009848AF"/>
    <w:rsid w:val="00984D1B"/>
    <w:rsid w:val="009854B3"/>
    <w:rsid w:val="00986246"/>
    <w:rsid w:val="00986841"/>
    <w:rsid w:val="00987A30"/>
    <w:rsid w:val="00990257"/>
    <w:rsid w:val="00990312"/>
    <w:rsid w:val="0099045F"/>
    <w:rsid w:val="0099182E"/>
    <w:rsid w:val="00991A2D"/>
    <w:rsid w:val="00991D45"/>
    <w:rsid w:val="00992AC0"/>
    <w:rsid w:val="00992BB3"/>
    <w:rsid w:val="00992CF3"/>
    <w:rsid w:val="00993194"/>
    <w:rsid w:val="0099321E"/>
    <w:rsid w:val="009937B7"/>
    <w:rsid w:val="00994171"/>
    <w:rsid w:val="00994868"/>
    <w:rsid w:val="00994976"/>
    <w:rsid w:val="00994D28"/>
    <w:rsid w:val="00994F2C"/>
    <w:rsid w:val="00995720"/>
    <w:rsid w:val="009957CC"/>
    <w:rsid w:val="0099596C"/>
    <w:rsid w:val="00995D25"/>
    <w:rsid w:val="009968D6"/>
    <w:rsid w:val="00997953"/>
    <w:rsid w:val="00997D55"/>
    <w:rsid w:val="009A096C"/>
    <w:rsid w:val="009A0BFF"/>
    <w:rsid w:val="009A10A0"/>
    <w:rsid w:val="009A1CAB"/>
    <w:rsid w:val="009A2359"/>
    <w:rsid w:val="009A24F1"/>
    <w:rsid w:val="009A27E0"/>
    <w:rsid w:val="009A2A2E"/>
    <w:rsid w:val="009A4D57"/>
    <w:rsid w:val="009A51A5"/>
    <w:rsid w:val="009A5309"/>
    <w:rsid w:val="009A60C7"/>
    <w:rsid w:val="009A60D1"/>
    <w:rsid w:val="009A6225"/>
    <w:rsid w:val="009A64F5"/>
    <w:rsid w:val="009B00D2"/>
    <w:rsid w:val="009B039B"/>
    <w:rsid w:val="009B05B3"/>
    <w:rsid w:val="009B0A5E"/>
    <w:rsid w:val="009B0CAF"/>
    <w:rsid w:val="009B0ED1"/>
    <w:rsid w:val="009B1324"/>
    <w:rsid w:val="009B1601"/>
    <w:rsid w:val="009B2558"/>
    <w:rsid w:val="009B284F"/>
    <w:rsid w:val="009B3764"/>
    <w:rsid w:val="009B3840"/>
    <w:rsid w:val="009B52AC"/>
    <w:rsid w:val="009B553D"/>
    <w:rsid w:val="009B59EA"/>
    <w:rsid w:val="009B66CE"/>
    <w:rsid w:val="009B6FD3"/>
    <w:rsid w:val="009B72BE"/>
    <w:rsid w:val="009B78A4"/>
    <w:rsid w:val="009B7A4F"/>
    <w:rsid w:val="009B7CFC"/>
    <w:rsid w:val="009B7DB2"/>
    <w:rsid w:val="009C03DB"/>
    <w:rsid w:val="009C15AF"/>
    <w:rsid w:val="009C1750"/>
    <w:rsid w:val="009C2E29"/>
    <w:rsid w:val="009C3E8F"/>
    <w:rsid w:val="009C554B"/>
    <w:rsid w:val="009C5E83"/>
    <w:rsid w:val="009C667A"/>
    <w:rsid w:val="009C7126"/>
    <w:rsid w:val="009C719E"/>
    <w:rsid w:val="009C7799"/>
    <w:rsid w:val="009D07A9"/>
    <w:rsid w:val="009D0AE2"/>
    <w:rsid w:val="009D0D9F"/>
    <w:rsid w:val="009D0EBB"/>
    <w:rsid w:val="009D2C46"/>
    <w:rsid w:val="009D3081"/>
    <w:rsid w:val="009D3ACD"/>
    <w:rsid w:val="009D3FA4"/>
    <w:rsid w:val="009D4254"/>
    <w:rsid w:val="009D4F21"/>
    <w:rsid w:val="009D587D"/>
    <w:rsid w:val="009D6D47"/>
    <w:rsid w:val="009D7731"/>
    <w:rsid w:val="009D7BFB"/>
    <w:rsid w:val="009E1120"/>
    <w:rsid w:val="009E1393"/>
    <w:rsid w:val="009E1922"/>
    <w:rsid w:val="009E1A3D"/>
    <w:rsid w:val="009E35E6"/>
    <w:rsid w:val="009E3A31"/>
    <w:rsid w:val="009E4080"/>
    <w:rsid w:val="009E4715"/>
    <w:rsid w:val="009E484D"/>
    <w:rsid w:val="009E4A58"/>
    <w:rsid w:val="009E4F3B"/>
    <w:rsid w:val="009E5273"/>
    <w:rsid w:val="009E57A8"/>
    <w:rsid w:val="009E5B85"/>
    <w:rsid w:val="009E5DDB"/>
    <w:rsid w:val="009E7BC6"/>
    <w:rsid w:val="009F150E"/>
    <w:rsid w:val="009F1CA6"/>
    <w:rsid w:val="009F1F7E"/>
    <w:rsid w:val="009F2921"/>
    <w:rsid w:val="009F2A54"/>
    <w:rsid w:val="009F42CF"/>
    <w:rsid w:val="009F4982"/>
    <w:rsid w:val="009F4CA7"/>
    <w:rsid w:val="009F4F6A"/>
    <w:rsid w:val="009F4F95"/>
    <w:rsid w:val="009F55BA"/>
    <w:rsid w:val="009F7D36"/>
    <w:rsid w:val="009F7D61"/>
    <w:rsid w:val="00A00E71"/>
    <w:rsid w:val="00A0187B"/>
    <w:rsid w:val="00A01A7C"/>
    <w:rsid w:val="00A02E8B"/>
    <w:rsid w:val="00A0306F"/>
    <w:rsid w:val="00A03511"/>
    <w:rsid w:val="00A03B10"/>
    <w:rsid w:val="00A03E2E"/>
    <w:rsid w:val="00A04616"/>
    <w:rsid w:val="00A04717"/>
    <w:rsid w:val="00A05D8F"/>
    <w:rsid w:val="00A05EE4"/>
    <w:rsid w:val="00A06545"/>
    <w:rsid w:val="00A06F99"/>
    <w:rsid w:val="00A07CD3"/>
    <w:rsid w:val="00A1040E"/>
    <w:rsid w:val="00A1053B"/>
    <w:rsid w:val="00A10D66"/>
    <w:rsid w:val="00A113A4"/>
    <w:rsid w:val="00A14114"/>
    <w:rsid w:val="00A15804"/>
    <w:rsid w:val="00A16413"/>
    <w:rsid w:val="00A16545"/>
    <w:rsid w:val="00A16A1A"/>
    <w:rsid w:val="00A16A9F"/>
    <w:rsid w:val="00A16AED"/>
    <w:rsid w:val="00A16BD3"/>
    <w:rsid w:val="00A16C37"/>
    <w:rsid w:val="00A16E1D"/>
    <w:rsid w:val="00A171D5"/>
    <w:rsid w:val="00A17A15"/>
    <w:rsid w:val="00A17A37"/>
    <w:rsid w:val="00A17D5B"/>
    <w:rsid w:val="00A2016A"/>
    <w:rsid w:val="00A201E1"/>
    <w:rsid w:val="00A20FE1"/>
    <w:rsid w:val="00A21647"/>
    <w:rsid w:val="00A21B4D"/>
    <w:rsid w:val="00A22073"/>
    <w:rsid w:val="00A2214A"/>
    <w:rsid w:val="00A221E5"/>
    <w:rsid w:val="00A223E0"/>
    <w:rsid w:val="00A22959"/>
    <w:rsid w:val="00A23158"/>
    <w:rsid w:val="00A232D7"/>
    <w:rsid w:val="00A23847"/>
    <w:rsid w:val="00A23E43"/>
    <w:rsid w:val="00A24726"/>
    <w:rsid w:val="00A24DEB"/>
    <w:rsid w:val="00A24ED9"/>
    <w:rsid w:val="00A251DB"/>
    <w:rsid w:val="00A25216"/>
    <w:rsid w:val="00A2597D"/>
    <w:rsid w:val="00A25FAC"/>
    <w:rsid w:val="00A2628E"/>
    <w:rsid w:val="00A266BF"/>
    <w:rsid w:val="00A26777"/>
    <w:rsid w:val="00A2731E"/>
    <w:rsid w:val="00A309AC"/>
    <w:rsid w:val="00A30F65"/>
    <w:rsid w:val="00A3279E"/>
    <w:rsid w:val="00A33DB1"/>
    <w:rsid w:val="00A33EEB"/>
    <w:rsid w:val="00A340F5"/>
    <w:rsid w:val="00A35900"/>
    <w:rsid w:val="00A36581"/>
    <w:rsid w:val="00A36F76"/>
    <w:rsid w:val="00A4027D"/>
    <w:rsid w:val="00A40EAC"/>
    <w:rsid w:val="00A418BC"/>
    <w:rsid w:val="00A419FF"/>
    <w:rsid w:val="00A41C73"/>
    <w:rsid w:val="00A41FCF"/>
    <w:rsid w:val="00A42936"/>
    <w:rsid w:val="00A43B21"/>
    <w:rsid w:val="00A43CF8"/>
    <w:rsid w:val="00A43DF2"/>
    <w:rsid w:val="00A445A8"/>
    <w:rsid w:val="00A44B0D"/>
    <w:rsid w:val="00A44D21"/>
    <w:rsid w:val="00A45087"/>
    <w:rsid w:val="00A452F3"/>
    <w:rsid w:val="00A45489"/>
    <w:rsid w:val="00A45858"/>
    <w:rsid w:val="00A45CED"/>
    <w:rsid w:val="00A465E9"/>
    <w:rsid w:val="00A46650"/>
    <w:rsid w:val="00A46670"/>
    <w:rsid w:val="00A46702"/>
    <w:rsid w:val="00A468E7"/>
    <w:rsid w:val="00A46DE0"/>
    <w:rsid w:val="00A478BA"/>
    <w:rsid w:val="00A50D73"/>
    <w:rsid w:val="00A50F40"/>
    <w:rsid w:val="00A518BB"/>
    <w:rsid w:val="00A51C60"/>
    <w:rsid w:val="00A52A88"/>
    <w:rsid w:val="00A52CAD"/>
    <w:rsid w:val="00A52F34"/>
    <w:rsid w:val="00A53FC7"/>
    <w:rsid w:val="00A55569"/>
    <w:rsid w:val="00A566A0"/>
    <w:rsid w:val="00A601E7"/>
    <w:rsid w:val="00A60AC1"/>
    <w:rsid w:val="00A61210"/>
    <w:rsid w:val="00A61990"/>
    <w:rsid w:val="00A626FF"/>
    <w:rsid w:val="00A62CE1"/>
    <w:rsid w:val="00A6335D"/>
    <w:rsid w:val="00A65469"/>
    <w:rsid w:val="00A65528"/>
    <w:rsid w:val="00A655D3"/>
    <w:rsid w:val="00A662D9"/>
    <w:rsid w:val="00A6630C"/>
    <w:rsid w:val="00A6741E"/>
    <w:rsid w:val="00A67E29"/>
    <w:rsid w:val="00A7016A"/>
    <w:rsid w:val="00A7018D"/>
    <w:rsid w:val="00A7074A"/>
    <w:rsid w:val="00A70794"/>
    <w:rsid w:val="00A7191D"/>
    <w:rsid w:val="00A722F9"/>
    <w:rsid w:val="00A72D42"/>
    <w:rsid w:val="00A73998"/>
    <w:rsid w:val="00A746C9"/>
    <w:rsid w:val="00A74C2A"/>
    <w:rsid w:val="00A74C60"/>
    <w:rsid w:val="00A75E40"/>
    <w:rsid w:val="00A76818"/>
    <w:rsid w:val="00A77A5D"/>
    <w:rsid w:val="00A77D1D"/>
    <w:rsid w:val="00A77E6B"/>
    <w:rsid w:val="00A81652"/>
    <w:rsid w:val="00A82BF0"/>
    <w:rsid w:val="00A82C91"/>
    <w:rsid w:val="00A83150"/>
    <w:rsid w:val="00A8331C"/>
    <w:rsid w:val="00A83398"/>
    <w:rsid w:val="00A83D6E"/>
    <w:rsid w:val="00A83FD5"/>
    <w:rsid w:val="00A84763"/>
    <w:rsid w:val="00A8521A"/>
    <w:rsid w:val="00A857C0"/>
    <w:rsid w:val="00A85ACB"/>
    <w:rsid w:val="00A90335"/>
    <w:rsid w:val="00A9092B"/>
    <w:rsid w:val="00A90F2C"/>
    <w:rsid w:val="00A90FED"/>
    <w:rsid w:val="00A91482"/>
    <w:rsid w:val="00A9189D"/>
    <w:rsid w:val="00A91E71"/>
    <w:rsid w:val="00A91F03"/>
    <w:rsid w:val="00A925B1"/>
    <w:rsid w:val="00A92A3E"/>
    <w:rsid w:val="00A934F9"/>
    <w:rsid w:val="00A934FB"/>
    <w:rsid w:val="00A940E3"/>
    <w:rsid w:val="00A94983"/>
    <w:rsid w:val="00A9532C"/>
    <w:rsid w:val="00A95F1A"/>
    <w:rsid w:val="00A96116"/>
    <w:rsid w:val="00A9614E"/>
    <w:rsid w:val="00A96422"/>
    <w:rsid w:val="00A96C0F"/>
    <w:rsid w:val="00A97075"/>
    <w:rsid w:val="00AA0E80"/>
    <w:rsid w:val="00AA16F4"/>
    <w:rsid w:val="00AA17CD"/>
    <w:rsid w:val="00AA1D85"/>
    <w:rsid w:val="00AA212B"/>
    <w:rsid w:val="00AA212F"/>
    <w:rsid w:val="00AA26A9"/>
    <w:rsid w:val="00AA2996"/>
    <w:rsid w:val="00AA2AF4"/>
    <w:rsid w:val="00AA3F1D"/>
    <w:rsid w:val="00AA4282"/>
    <w:rsid w:val="00AA43F2"/>
    <w:rsid w:val="00AA4790"/>
    <w:rsid w:val="00AA52BF"/>
    <w:rsid w:val="00AA559A"/>
    <w:rsid w:val="00AA570E"/>
    <w:rsid w:val="00AA6C31"/>
    <w:rsid w:val="00AA7752"/>
    <w:rsid w:val="00AA7CAD"/>
    <w:rsid w:val="00AA7CE8"/>
    <w:rsid w:val="00AA7FEB"/>
    <w:rsid w:val="00AB1457"/>
    <w:rsid w:val="00AB2AF1"/>
    <w:rsid w:val="00AB32CB"/>
    <w:rsid w:val="00AB3AD7"/>
    <w:rsid w:val="00AB3BA7"/>
    <w:rsid w:val="00AB3EC7"/>
    <w:rsid w:val="00AB5A64"/>
    <w:rsid w:val="00AB5CA1"/>
    <w:rsid w:val="00AB6456"/>
    <w:rsid w:val="00AB75C5"/>
    <w:rsid w:val="00AC044E"/>
    <w:rsid w:val="00AC0580"/>
    <w:rsid w:val="00AC2118"/>
    <w:rsid w:val="00AC2395"/>
    <w:rsid w:val="00AC2960"/>
    <w:rsid w:val="00AC2AC4"/>
    <w:rsid w:val="00AC3B41"/>
    <w:rsid w:val="00AC4284"/>
    <w:rsid w:val="00AC45BD"/>
    <w:rsid w:val="00AC50BB"/>
    <w:rsid w:val="00AC5256"/>
    <w:rsid w:val="00AC5726"/>
    <w:rsid w:val="00AC673A"/>
    <w:rsid w:val="00AC7578"/>
    <w:rsid w:val="00AC78F1"/>
    <w:rsid w:val="00AC7ACA"/>
    <w:rsid w:val="00AD0996"/>
    <w:rsid w:val="00AD0B22"/>
    <w:rsid w:val="00AD0EE7"/>
    <w:rsid w:val="00AD168E"/>
    <w:rsid w:val="00AD306C"/>
    <w:rsid w:val="00AD44CD"/>
    <w:rsid w:val="00AD5AD2"/>
    <w:rsid w:val="00AD6462"/>
    <w:rsid w:val="00AD66C5"/>
    <w:rsid w:val="00AD68C4"/>
    <w:rsid w:val="00AD71F9"/>
    <w:rsid w:val="00AE009C"/>
    <w:rsid w:val="00AE06C5"/>
    <w:rsid w:val="00AE09B3"/>
    <w:rsid w:val="00AE1A83"/>
    <w:rsid w:val="00AE30BE"/>
    <w:rsid w:val="00AE3E6A"/>
    <w:rsid w:val="00AE417E"/>
    <w:rsid w:val="00AE552C"/>
    <w:rsid w:val="00AE56EE"/>
    <w:rsid w:val="00AE6414"/>
    <w:rsid w:val="00AE68C1"/>
    <w:rsid w:val="00AE7269"/>
    <w:rsid w:val="00AE74E0"/>
    <w:rsid w:val="00AE797C"/>
    <w:rsid w:val="00AE7CE7"/>
    <w:rsid w:val="00AE7FAB"/>
    <w:rsid w:val="00AF0DE4"/>
    <w:rsid w:val="00AF12A0"/>
    <w:rsid w:val="00AF1866"/>
    <w:rsid w:val="00AF1E87"/>
    <w:rsid w:val="00AF2BB0"/>
    <w:rsid w:val="00AF436B"/>
    <w:rsid w:val="00AF5131"/>
    <w:rsid w:val="00AF5179"/>
    <w:rsid w:val="00AF5CC2"/>
    <w:rsid w:val="00AF6776"/>
    <w:rsid w:val="00AF6F98"/>
    <w:rsid w:val="00AF7277"/>
    <w:rsid w:val="00B00550"/>
    <w:rsid w:val="00B00875"/>
    <w:rsid w:val="00B00913"/>
    <w:rsid w:val="00B01310"/>
    <w:rsid w:val="00B01593"/>
    <w:rsid w:val="00B01D0F"/>
    <w:rsid w:val="00B01FF9"/>
    <w:rsid w:val="00B023F2"/>
    <w:rsid w:val="00B026FE"/>
    <w:rsid w:val="00B0271F"/>
    <w:rsid w:val="00B03591"/>
    <w:rsid w:val="00B038CA"/>
    <w:rsid w:val="00B041B3"/>
    <w:rsid w:val="00B0467A"/>
    <w:rsid w:val="00B05F00"/>
    <w:rsid w:val="00B06602"/>
    <w:rsid w:val="00B06DB4"/>
    <w:rsid w:val="00B0750D"/>
    <w:rsid w:val="00B07850"/>
    <w:rsid w:val="00B0799C"/>
    <w:rsid w:val="00B102CE"/>
    <w:rsid w:val="00B10A4D"/>
    <w:rsid w:val="00B10C90"/>
    <w:rsid w:val="00B10DFD"/>
    <w:rsid w:val="00B11002"/>
    <w:rsid w:val="00B1114F"/>
    <w:rsid w:val="00B11712"/>
    <w:rsid w:val="00B121B2"/>
    <w:rsid w:val="00B131B1"/>
    <w:rsid w:val="00B133AE"/>
    <w:rsid w:val="00B141B6"/>
    <w:rsid w:val="00B14BC1"/>
    <w:rsid w:val="00B154DE"/>
    <w:rsid w:val="00B162C3"/>
    <w:rsid w:val="00B16DD1"/>
    <w:rsid w:val="00B16EB8"/>
    <w:rsid w:val="00B1700A"/>
    <w:rsid w:val="00B177DF"/>
    <w:rsid w:val="00B17E6E"/>
    <w:rsid w:val="00B17E71"/>
    <w:rsid w:val="00B17FDE"/>
    <w:rsid w:val="00B20632"/>
    <w:rsid w:val="00B2379C"/>
    <w:rsid w:val="00B23D5D"/>
    <w:rsid w:val="00B23E6E"/>
    <w:rsid w:val="00B2450C"/>
    <w:rsid w:val="00B2598C"/>
    <w:rsid w:val="00B26608"/>
    <w:rsid w:val="00B2687D"/>
    <w:rsid w:val="00B271AB"/>
    <w:rsid w:val="00B27BDF"/>
    <w:rsid w:val="00B30ACB"/>
    <w:rsid w:val="00B3108D"/>
    <w:rsid w:val="00B32DDB"/>
    <w:rsid w:val="00B32F57"/>
    <w:rsid w:val="00B3345C"/>
    <w:rsid w:val="00B3385E"/>
    <w:rsid w:val="00B34255"/>
    <w:rsid w:val="00B342DE"/>
    <w:rsid w:val="00B343C4"/>
    <w:rsid w:val="00B34528"/>
    <w:rsid w:val="00B34750"/>
    <w:rsid w:val="00B34CC9"/>
    <w:rsid w:val="00B34CDA"/>
    <w:rsid w:val="00B3563B"/>
    <w:rsid w:val="00B36327"/>
    <w:rsid w:val="00B36BDC"/>
    <w:rsid w:val="00B37387"/>
    <w:rsid w:val="00B37D3A"/>
    <w:rsid w:val="00B37D96"/>
    <w:rsid w:val="00B402FC"/>
    <w:rsid w:val="00B410B8"/>
    <w:rsid w:val="00B422E2"/>
    <w:rsid w:val="00B42517"/>
    <w:rsid w:val="00B42D5F"/>
    <w:rsid w:val="00B43216"/>
    <w:rsid w:val="00B439DA"/>
    <w:rsid w:val="00B4411A"/>
    <w:rsid w:val="00B44A29"/>
    <w:rsid w:val="00B44BD5"/>
    <w:rsid w:val="00B45304"/>
    <w:rsid w:val="00B45DA6"/>
    <w:rsid w:val="00B45FE8"/>
    <w:rsid w:val="00B46604"/>
    <w:rsid w:val="00B47089"/>
    <w:rsid w:val="00B47587"/>
    <w:rsid w:val="00B4776F"/>
    <w:rsid w:val="00B5150A"/>
    <w:rsid w:val="00B52151"/>
    <w:rsid w:val="00B530CD"/>
    <w:rsid w:val="00B53639"/>
    <w:rsid w:val="00B53C7D"/>
    <w:rsid w:val="00B53E56"/>
    <w:rsid w:val="00B55311"/>
    <w:rsid w:val="00B55A97"/>
    <w:rsid w:val="00B55F5E"/>
    <w:rsid w:val="00B5601B"/>
    <w:rsid w:val="00B5642C"/>
    <w:rsid w:val="00B5658D"/>
    <w:rsid w:val="00B56B6F"/>
    <w:rsid w:val="00B5752E"/>
    <w:rsid w:val="00B57F25"/>
    <w:rsid w:val="00B57FF9"/>
    <w:rsid w:val="00B60AC1"/>
    <w:rsid w:val="00B61FF6"/>
    <w:rsid w:val="00B62316"/>
    <w:rsid w:val="00B62E55"/>
    <w:rsid w:val="00B63A11"/>
    <w:rsid w:val="00B64425"/>
    <w:rsid w:val="00B64C24"/>
    <w:rsid w:val="00B65CEF"/>
    <w:rsid w:val="00B6608F"/>
    <w:rsid w:val="00B67749"/>
    <w:rsid w:val="00B679FB"/>
    <w:rsid w:val="00B70E48"/>
    <w:rsid w:val="00B7188C"/>
    <w:rsid w:val="00B71FBF"/>
    <w:rsid w:val="00B734A0"/>
    <w:rsid w:val="00B73A14"/>
    <w:rsid w:val="00B748BD"/>
    <w:rsid w:val="00B76100"/>
    <w:rsid w:val="00B761FC"/>
    <w:rsid w:val="00B7620F"/>
    <w:rsid w:val="00B7680F"/>
    <w:rsid w:val="00B76B48"/>
    <w:rsid w:val="00B76D1E"/>
    <w:rsid w:val="00B77117"/>
    <w:rsid w:val="00B77543"/>
    <w:rsid w:val="00B77584"/>
    <w:rsid w:val="00B77E34"/>
    <w:rsid w:val="00B80BC9"/>
    <w:rsid w:val="00B80D89"/>
    <w:rsid w:val="00B80EC6"/>
    <w:rsid w:val="00B81288"/>
    <w:rsid w:val="00B816E5"/>
    <w:rsid w:val="00B81D70"/>
    <w:rsid w:val="00B833B9"/>
    <w:rsid w:val="00B838BC"/>
    <w:rsid w:val="00B83AAF"/>
    <w:rsid w:val="00B83E07"/>
    <w:rsid w:val="00B84CF6"/>
    <w:rsid w:val="00B85016"/>
    <w:rsid w:val="00B8561A"/>
    <w:rsid w:val="00B865FC"/>
    <w:rsid w:val="00B86628"/>
    <w:rsid w:val="00B86643"/>
    <w:rsid w:val="00B868F7"/>
    <w:rsid w:val="00B869B1"/>
    <w:rsid w:val="00B86EB1"/>
    <w:rsid w:val="00B871A7"/>
    <w:rsid w:val="00B90131"/>
    <w:rsid w:val="00B92951"/>
    <w:rsid w:val="00B92D1D"/>
    <w:rsid w:val="00B92D7E"/>
    <w:rsid w:val="00B930CE"/>
    <w:rsid w:val="00B935CC"/>
    <w:rsid w:val="00B938C5"/>
    <w:rsid w:val="00B940A8"/>
    <w:rsid w:val="00B9554A"/>
    <w:rsid w:val="00B95940"/>
    <w:rsid w:val="00B95ACA"/>
    <w:rsid w:val="00B95CD4"/>
    <w:rsid w:val="00B9619C"/>
    <w:rsid w:val="00B96AC3"/>
    <w:rsid w:val="00B96D74"/>
    <w:rsid w:val="00B9720E"/>
    <w:rsid w:val="00B97ACC"/>
    <w:rsid w:val="00B97FE2"/>
    <w:rsid w:val="00BA0E0B"/>
    <w:rsid w:val="00BA201A"/>
    <w:rsid w:val="00BA21DF"/>
    <w:rsid w:val="00BA246A"/>
    <w:rsid w:val="00BA361D"/>
    <w:rsid w:val="00BA3787"/>
    <w:rsid w:val="00BA3ECA"/>
    <w:rsid w:val="00BA403A"/>
    <w:rsid w:val="00BA46E8"/>
    <w:rsid w:val="00BA4AE9"/>
    <w:rsid w:val="00BA4E19"/>
    <w:rsid w:val="00BA6436"/>
    <w:rsid w:val="00BA64F2"/>
    <w:rsid w:val="00BA684E"/>
    <w:rsid w:val="00BA6C2B"/>
    <w:rsid w:val="00BA7B64"/>
    <w:rsid w:val="00BB02A3"/>
    <w:rsid w:val="00BB0351"/>
    <w:rsid w:val="00BB15C3"/>
    <w:rsid w:val="00BB1AF4"/>
    <w:rsid w:val="00BB2202"/>
    <w:rsid w:val="00BB3C6B"/>
    <w:rsid w:val="00BB3FD6"/>
    <w:rsid w:val="00BB453F"/>
    <w:rsid w:val="00BB46F3"/>
    <w:rsid w:val="00BB4A71"/>
    <w:rsid w:val="00BB4CB1"/>
    <w:rsid w:val="00BB4F98"/>
    <w:rsid w:val="00BB50C0"/>
    <w:rsid w:val="00BB5AB2"/>
    <w:rsid w:val="00BB5ABF"/>
    <w:rsid w:val="00BB657B"/>
    <w:rsid w:val="00BB6EA2"/>
    <w:rsid w:val="00BB76F3"/>
    <w:rsid w:val="00BB7B5B"/>
    <w:rsid w:val="00BB7EB1"/>
    <w:rsid w:val="00BC003F"/>
    <w:rsid w:val="00BC0930"/>
    <w:rsid w:val="00BC327F"/>
    <w:rsid w:val="00BC3512"/>
    <w:rsid w:val="00BC4B35"/>
    <w:rsid w:val="00BC50BE"/>
    <w:rsid w:val="00BC5332"/>
    <w:rsid w:val="00BC5715"/>
    <w:rsid w:val="00BC59FE"/>
    <w:rsid w:val="00BC5C12"/>
    <w:rsid w:val="00BC641B"/>
    <w:rsid w:val="00BC7154"/>
    <w:rsid w:val="00BC731E"/>
    <w:rsid w:val="00BC7614"/>
    <w:rsid w:val="00BD041B"/>
    <w:rsid w:val="00BD111B"/>
    <w:rsid w:val="00BD25BB"/>
    <w:rsid w:val="00BD2AF8"/>
    <w:rsid w:val="00BD366B"/>
    <w:rsid w:val="00BD3C09"/>
    <w:rsid w:val="00BD410B"/>
    <w:rsid w:val="00BD4A73"/>
    <w:rsid w:val="00BD4EDD"/>
    <w:rsid w:val="00BD4EF4"/>
    <w:rsid w:val="00BD6659"/>
    <w:rsid w:val="00BD6C75"/>
    <w:rsid w:val="00BD6D50"/>
    <w:rsid w:val="00BD7105"/>
    <w:rsid w:val="00BD73D2"/>
    <w:rsid w:val="00BD74E3"/>
    <w:rsid w:val="00BD7821"/>
    <w:rsid w:val="00BE0AD1"/>
    <w:rsid w:val="00BE0EF9"/>
    <w:rsid w:val="00BE10A1"/>
    <w:rsid w:val="00BE115B"/>
    <w:rsid w:val="00BE18B9"/>
    <w:rsid w:val="00BE190A"/>
    <w:rsid w:val="00BE2495"/>
    <w:rsid w:val="00BE24DD"/>
    <w:rsid w:val="00BE386D"/>
    <w:rsid w:val="00BE4DA9"/>
    <w:rsid w:val="00BE511E"/>
    <w:rsid w:val="00BE54BF"/>
    <w:rsid w:val="00BE557B"/>
    <w:rsid w:val="00BE5F23"/>
    <w:rsid w:val="00BE67AA"/>
    <w:rsid w:val="00BE6BAC"/>
    <w:rsid w:val="00BE7F5F"/>
    <w:rsid w:val="00BF02C8"/>
    <w:rsid w:val="00BF1578"/>
    <w:rsid w:val="00BF15CA"/>
    <w:rsid w:val="00BF1D12"/>
    <w:rsid w:val="00BF1D3A"/>
    <w:rsid w:val="00BF2B5B"/>
    <w:rsid w:val="00BF2D41"/>
    <w:rsid w:val="00BF3274"/>
    <w:rsid w:val="00BF32DC"/>
    <w:rsid w:val="00BF35C9"/>
    <w:rsid w:val="00BF4308"/>
    <w:rsid w:val="00BF4329"/>
    <w:rsid w:val="00BF4E43"/>
    <w:rsid w:val="00BF5C4C"/>
    <w:rsid w:val="00BF77FC"/>
    <w:rsid w:val="00C006D6"/>
    <w:rsid w:val="00C00BD7"/>
    <w:rsid w:val="00C00D3A"/>
    <w:rsid w:val="00C01410"/>
    <w:rsid w:val="00C024F0"/>
    <w:rsid w:val="00C02704"/>
    <w:rsid w:val="00C02B16"/>
    <w:rsid w:val="00C02D23"/>
    <w:rsid w:val="00C03D4D"/>
    <w:rsid w:val="00C044F4"/>
    <w:rsid w:val="00C04B78"/>
    <w:rsid w:val="00C052AA"/>
    <w:rsid w:val="00C06EE3"/>
    <w:rsid w:val="00C06F2F"/>
    <w:rsid w:val="00C07279"/>
    <w:rsid w:val="00C07749"/>
    <w:rsid w:val="00C07AD5"/>
    <w:rsid w:val="00C07C67"/>
    <w:rsid w:val="00C108C5"/>
    <w:rsid w:val="00C10950"/>
    <w:rsid w:val="00C110EA"/>
    <w:rsid w:val="00C11244"/>
    <w:rsid w:val="00C11D48"/>
    <w:rsid w:val="00C121E8"/>
    <w:rsid w:val="00C12304"/>
    <w:rsid w:val="00C12316"/>
    <w:rsid w:val="00C1246C"/>
    <w:rsid w:val="00C12FCC"/>
    <w:rsid w:val="00C139A8"/>
    <w:rsid w:val="00C1493E"/>
    <w:rsid w:val="00C15DBD"/>
    <w:rsid w:val="00C161C5"/>
    <w:rsid w:val="00C16556"/>
    <w:rsid w:val="00C167E9"/>
    <w:rsid w:val="00C172F7"/>
    <w:rsid w:val="00C2010D"/>
    <w:rsid w:val="00C20A61"/>
    <w:rsid w:val="00C20CB5"/>
    <w:rsid w:val="00C21382"/>
    <w:rsid w:val="00C21430"/>
    <w:rsid w:val="00C216DF"/>
    <w:rsid w:val="00C21E61"/>
    <w:rsid w:val="00C21F94"/>
    <w:rsid w:val="00C221B9"/>
    <w:rsid w:val="00C224BD"/>
    <w:rsid w:val="00C234DB"/>
    <w:rsid w:val="00C23909"/>
    <w:rsid w:val="00C23C5C"/>
    <w:rsid w:val="00C23F90"/>
    <w:rsid w:val="00C2479A"/>
    <w:rsid w:val="00C24903"/>
    <w:rsid w:val="00C2590D"/>
    <w:rsid w:val="00C25D9C"/>
    <w:rsid w:val="00C27913"/>
    <w:rsid w:val="00C27FA7"/>
    <w:rsid w:val="00C300E2"/>
    <w:rsid w:val="00C31F21"/>
    <w:rsid w:val="00C323C4"/>
    <w:rsid w:val="00C32631"/>
    <w:rsid w:val="00C33301"/>
    <w:rsid w:val="00C33311"/>
    <w:rsid w:val="00C33B68"/>
    <w:rsid w:val="00C33F7D"/>
    <w:rsid w:val="00C34AD4"/>
    <w:rsid w:val="00C35570"/>
    <w:rsid w:val="00C35A2A"/>
    <w:rsid w:val="00C36A79"/>
    <w:rsid w:val="00C37491"/>
    <w:rsid w:val="00C401A9"/>
    <w:rsid w:val="00C401D2"/>
    <w:rsid w:val="00C4031A"/>
    <w:rsid w:val="00C405D4"/>
    <w:rsid w:val="00C419D5"/>
    <w:rsid w:val="00C41D54"/>
    <w:rsid w:val="00C42EBB"/>
    <w:rsid w:val="00C43766"/>
    <w:rsid w:val="00C4513B"/>
    <w:rsid w:val="00C459E9"/>
    <w:rsid w:val="00C475E8"/>
    <w:rsid w:val="00C50E79"/>
    <w:rsid w:val="00C5197D"/>
    <w:rsid w:val="00C525FB"/>
    <w:rsid w:val="00C5390B"/>
    <w:rsid w:val="00C54257"/>
    <w:rsid w:val="00C54697"/>
    <w:rsid w:val="00C550CE"/>
    <w:rsid w:val="00C553A5"/>
    <w:rsid w:val="00C55402"/>
    <w:rsid w:val="00C55AC4"/>
    <w:rsid w:val="00C5603B"/>
    <w:rsid w:val="00C601AA"/>
    <w:rsid w:val="00C60AE3"/>
    <w:rsid w:val="00C61F47"/>
    <w:rsid w:val="00C62828"/>
    <w:rsid w:val="00C63B51"/>
    <w:rsid w:val="00C659B4"/>
    <w:rsid w:val="00C672C1"/>
    <w:rsid w:val="00C706D2"/>
    <w:rsid w:val="00C715CC"/>
    <w:rsid w:val="00C719A3"/>
    <w:rsid w:val="00C71D2F"/>
    <w:rsid w:val="00C72984"/>
    <w:rsid w:val="00C73885"/>
    <w:rsid w:val="00C73C93"/>
    <w:rsid w:val="00C7435A"/>
    <w:rsid w:val="00C747B1"/>
    <w:rsid w:val="00C75510"/>
    <w:rsid w:val="00C755F9"/>
    <w:rsid w:val="00C75752"/>
    <w:rsid w:val="00C75B60"/>
    <w:rsid w:val="00C761EC"/>
    <w:rsid w:val="00C770C9"/>
    <w:rsid w:val="00C81070"/>
    <w:rsid w:val="00C8174E"/>
    <w:rsid w:val="00C82191"/>
    <w:rsid w:val="00C83134"/>
    <w:rsid w:val="00C831E7"/>
    <w:rsid w:val="00C832F3"/>
    <w:rsid w:val="00C84307"/>
    <w:rsid w:val="00C845A4"/>
    <w:rsid w:val="00C85545"/>
    <w:rsid w:val="00C855B5"/>
    <w:rsid w:val="00C85F0E"/>
    <w:rsid w:val="00C867F9"/>
    <w:rsid w:val="00C872AA"/>
    <w:rsid w:val="00C87C6B"/>
    <w:rsid w:val="00C90357"/>
    <w:rsid w:val="00C90CF4"/>
    <w:rsid w:val="00C91C20"/>
    <w:rsid w:val="00C922DE"/>
    <w:rsid w:val="00C92843"/>
    <w:rsid w:val="00C92EB6"/>
    <w:rsid w:val="00C93389"/>
    <w:rsid w:val="00C948E6"/>
    <w:rsid w:val="00C94CDD"/>
    <w:rsid w:val="00C95123"/>
    <w:rsid w:val="00C97588"/>
    <w:rsid w:val="00C976DD"/>
    <w:rsid w:val="00CA0346"/>
    <w:rsid w:val="00CA0DA1"/>
    <w:rsid w:val="00CA1454"/>
    <w:rsid w:val="00CA1BD6"/>
    <w:rsid w:val="00CA2201"/>
    <w:rsid w:val="00CA37FF"/>
    <w:rsid w:val="00CA423A"/>
    <w:rsid w:val="00CA47BC"/>
    <w:rsid w:val="00CA4D42"/>
    <w:rsid w:val="00CA5EAD"/>
    <w:rsid w:val="00CA669C"/>
    <w:rsid w:val="00CA6AB4"/>
    <w:rsid w:val="00CA6BE6"/>
    <w:rsid w:val="00CA7255"/>
    <w:rsid w:val="00CA749B"/>
    <w:rsid w:val="00CB111E"/>
    <w:rsid w:val="00CB1857"/>
    <w:rsid w:val="00CB1BEE"/>
    <w:rsid w:val="00CB2351"/>
    <w:rsid w:val="00CB4022"/>
    <w:rsid w:val="00CB4930"/>
    <w:rsid w:val="00CB4BA9"/>
    <w:rsid w:val="00CB4C63"/>
    <w:rsid w:val="00CB5A48"/>
    <w:rsid w:val="00CB5E10"/>
    <w:rsid w:val="00CB613B"/>
    <w:rsid w:val="00CB6152"/>
    <w:rsid w:val="00CB64E1"/>
    <w:rsid w:val="00CB6C6F"/>
    <w:rsid w:val="00CB6E4D"/>
    <w:rsid w:val="00CC009B"/>
    <w:rsid w:val="00CC0834"/>
    <w:rsid w:val="00CC0AEA"/>
    <w:rsid w:val="00CC1B66"/>
    <w:rsid w:val="00CC20FE"/>
    <w:rsid w:val="00CC225C"/>
    <w:rsid w:val="00CC2E7D"/>
    <w:rsid w:val="00CC4408"/>
    <w:rsid w:val="00CC5875"/>
    <w:rsid w:val="00CC5BE8"/>
    <w:rsid w:val="00CC612B"/>
    <w:rsid w:val="00CC655F"/>
    <w:rsid w:val="00CC66F9"/>
    <w:rsid w:val="00CC6BB7"/>
    <w:rsid w:val="00CC6C2A"/>
    <w:rsid w:val="00CC6C3D"/>
    <w:rsid w:val="00CC6FE5"/>
    <w:rsid w:val="00CC7458"/>
    <w:rsid w:val="00CC76BD"/>
    <w:rsid w:val="00CC7A87"/>
    <w:rsid w:val="00CD08BF"/>
    <w:rsid w:val="00CD0D6B"/>
    <w:rsid w:val="00CD1024"/>
    <w:rsid w:val="00CD1060"/>
    <w:rsid w:val="00CD10A5"/>
    <w:rsid w:val="00CD1129"/>
    <w:rsid w:val="00CD1A80"/>
    <w:rsid w:val="00CD1CB5"/>
    <w:rsid w:val="00CD2076"/>
    <w:rsid w:val="00CD24CE"/>
    <w:rsid w:val="00CD29B5"/>
    <w:rsid w:val="00CD2B78"/>
    <w:rsid w:val="00CD3866"/>
    <w:rsid w:val="00CD3FAB"/>
    <w:rsid w:val="00CD52EB"/>
    <w:rsid w:val="00CD5456"/>
    <w:rsid w:val="00CD5C3E"/>
    <w:rsid w:val="00CD5C57"/>
    <w:rsid w:val="00CD6331"/>
    <w:rsid w:val="00CD6C09"/>
    <w:rsid w:val="00CD7E9E"/>
    <w:rsid w:val="00CE14BE"/>
    <w:rsid w:val="00CE17A4"/>
    <w:rsid w:val="00CE1BA9"/>
    <w:rsid w:val="00CE2D8F"/>
    <w:rsid w:val="00CE3532"/>
    <w:rsid w:val="00CE3695"/>
    <w:rsid w:val="00CE3E48"/>
    <w:rsid w:val="00CE46C0"/>
    <w:rsid w:val="00CE47B8"/>
    <w:rsid w:val="00CE54FD"/>
    <w:rsid w:val="00CE5C92"/>
    <w:rsid w:val="00CE62FA"/>
    <w:rsid w:val="00CE670B"/>
    <w:rsid w:val="00CE6833"/>
    <w:rsid w:val="00CE7FE1"/>
    <w:rsid w:val="00CF020B"/>
    <w:rsid w:val="00CF060D"/>
    <w:rsid w:val="00CF112D"/>
    <w:rsid w:val="00CF1183"/>
    <w:rsid w:val="00CF15BF"/>
    <w:rsid w:val="00CF284E"/>
    <w:rsid w:val="00CF2E4D"/>
    <w:rsid w:val="00CF4205"/>
    <w:rsid w:val="00CF4908"/>
    <w:rsid w:val="00CF51EC"/>
    <w:rsid w:val="00CF545D"/>
    <w:rsid w:val="00CF5873"/>
    <w:rsid w:val="00CF60B8"/>
    <w:rsid w:val="00CF6AB7"/>
    <w:rsid w:val="00CF73AE"/>
    <w:rsid w:val="00CF7514"/>
    <w:rsid w:val="00CF7777"/>
    <w:rsid w:val="00CF7897"/>
    <w:rsid w:val="00D00007"/>
    <w:rsid w:val="00D0085A"/>
    <w:rsid w:val="00D0197F"/>
    <w:rsid w:val="00D01B31"/>
    <w:rsid w:val="00D0242D"/>
    <w:rsid w:val="00D02716"/>
    <w:rsid w:val="00D02AA9"/>
    <w:rsid w:val="00D03A72"/>
    <w:rsid w:val="00D040DD"/>
    <w:rsid w:val="00D04134"/>
    <w:rsid w:val="00D04E27"/>
    <w:rsid w:val="00D05C65"/>
    <w:rsid w:val="00D06B56"/>
    <w:rsid w:val="00D06D68"/>
    <w:rsid w:val="00D075BE"/>
    <w:rsid w:val="00D07AFF"/>
    <w:rsid w:val="00D10C15"/>
    <w:rsid w:val="00D11011"/>
    <w:rsid w:val="00D11476"/>
    <w:rsid w:val="00D11E98"/>
    <w:rsid w:val="00D12C25"/>
    <w:rsid w:val="00D133B4"/>
    <w:rsid w:val="00D13986"/>
    <w:rsid w:val="00D13F3E"/>
    <w:rsid w:val="00D14262"/>
    <w:rsid w:val="00D14930"/>
    <w:rsid w:val="00D14C5B"/>
    <w:rsid w:val="00D15FED"/>
    <w:rsid w:val="00D16712"/>
    <w:rsid w:val="00D17137"/>
    <w:rsid w:val="00D17884"/>
    <w:rsid w:val="00D214EF"/>
    <w:rsid w:val="00D215B0"/>
    <w:rsid w:val="00D21D6D"/>
    <w:rsid w:val="00D21D83"/>
    <w:rsid w:val="00D2240D"/>
    <w:rsid w:val="00D22A47"/>
    <w:rsid w:val="00D235B7"/>
    <w:rsid w:val="00D23A99"/>
    <w:rsid w:val="00D23FAE"/>
    <w:rsid w:val="00D25F28"/>
    <w:rsid w:val="00D26071"/>
    <w:rsid w:val="00D260C7"/>
    <w:rsid w:val="00D269B9"/>
    <w:rsid w:val="00D27973"/>
    <w:rsid w:val="00D27F3A"/>
    <w:rsid w:val="00D31537"/>
    <w:rsid w:val="00D31E1E"/>
    <w:rsid w:val="00D322A0"/>
    <w:rsid w:val="00D32824"/>
    <w:rsid w:val="00D334E2"/>
    <w:rsid w:val="00D350B1"/>
    <w:rsid w:val="00D35AD6"/>
    <w:rsid w:val="00D35BBB"/>
    <w:rsid w:val="00D35E1A"/>
    <w:rsid w:val="00D36B0A"/>
    <w:rsid w:val="00D36DFB"/>
    <w:rsid w:val="00D36E1C"/>
    <w:rsid w:val="00D373AF"/>
    <w:rsid w:val="00D40556"/>
    <w:rsid w:val="00D41F74"/>
    <w:rsid w:val="00D428C8"/>
    <w:rsid w:val="00D43034"/>
    <w:rsid w:val="00D43857"/>
    <w:rsid w:val="00D43ED2"/>
    <w:rsid w:val="00D447AE"/>
    <w:rsid w:val="00D50F46"/>
    <w:rsid w:val="00D51ABF"/>
    <w:rsid w:val="00D533C4"/>
    <w:rsid w:val="00D5384E"/>
    <w:rsid w:val="00D544E7"/>
    <w:rsid w:val="00D5499F"/>
    <w:rsid w:val="00D5560A"/>
    <w:rsid w:val="00D56916"/>
    <w:rsid w:val="00D56FBF"/>
    <w:rsid w:val="00D57677"/>
    <w:rsid w:val="00D576E0"/>
    <w:rsid w:val="00D5781F"/>
    <w:rsid w:val="00D6014A"/>
    <w:rsid w:val="00D60415"/>
    <w:rsid w:val="00D60674"/>
    <w:rsid w:val="00D60BE8"/>
    <w:rsid w:val="00D60E3C"/>
    <w:rsid w:val="00D60FA7"/>
    <w:rsid w:val="00D61FAB"/>
    <w:rsid w:val="00D63BE5"/>
    <w:rsid w:val="00D6475F"/>
    <w:rsid w:val="00D65528"/>
    <w:rsid w:val="00D655D4"/>
    <w:rsid w:val="00D66223"/>
    <w:rsid w:val="00D667B8"/>
    <w:rsid w:val="00D67D55"/>
    <w:rsid w:val="00D70289"/>
    <w:rsid w:val="00D7041F"/>
    <w:rsid w:val="00D70822"/>
    <w:rsid w:val="00D72076"/>
    <w:rsid w:val="00D721B4"/>
    <w:rsid w:val="00D726A9"/>
    <w:rsid w:val="00D72DBA"/>
    <w:rsid w:val="00D73223"/>
    <w:rsid w:val="00D743E0"/>
    <w:rsid w:val="00D7469D"/>
    <w:rsid w:val="00D7490C"/>
    <w:rsid w:val="00D75AC1"/>
    <w:rsid w:val="00D77252"/>
    <w:rsid w:val="00D8084C"/>
    <w:rsid w:val="00D81809"/>
    <w:rsid w:val="00D81E79"/>
    <w:rsid w:val="00D82EF1"/>
    <w:rsid w:val="00D83937"/>
    <w:rsid w:val="00D84CC9"/>
    <w:rsid w:val="00D84F43"/>
    <w:rsid w:val="00D85114"/>
    <w:rsid w:val="00D85821"/>
    <w:rsid w:val="00D8598C"/>
    <w:rsid w:val="00D87C06"/>
    <w:rsid w:val="00D915EA"/>
    <w:rsid w:val="00D919ED"/>
    <w:rsid w:val="00D922A1"/>
    <w:rsid w:val="00D922F4"/>
    <w:rsid w:val="00D928BE"/>
    <w:rsid w:val="00D931D5"/>
    <w:rsid w:val="00D932B8"/>
    <w:rsid w:val="00D95302"/>
    <w:rsid w:val="00D95889"/>
    <w:rsid w:val="00D95B60"/>
    <w:rsid w:val="00D95C5D"/>
    <w:rsid w:val="00D96515"/>
    <w:rsid w:val="00D97D00"/>
    <w:rsid w:val="00DA096C"/>
    <w:rsid w:val="00DA1AB6"/>
    <w:rsid w:val="00DA21B0"/>
    <w:rsid w:val="00DA2E65"/>
    <w:rsid w:val="00DA37DE"/>
    <w:rsid w:val="00DA3ADF"/>
    <w:rsid w:val="00DA4174"/>
    <w:rsid w:val="00DA47DC"/>
    <w:rsid w:val="00DA544C"/>
    <w:rsid w:val="00DA5F8E"/>
    <w:rsid w:val="00DA6364"/>
    <w:rsid w:val="00DA7114"/>
    <w:rsid w:val="00DA7C0C"/>
    <w:rsid w:val="00DA7E2F"/>
    <w:rsid w:val="00DB03DD"/>
    <w:rsid w:val="00DB08A9"/>
    <w:rsid w:val="00DB0B33"/>
    <w:rsid w:val="00DB0FD9"/>
    <w:rsid w:val="00DB2DFA"/>
    <w:rsid w:val="00DB2EC8"/>
    <w:rsid w:val="00DB321D"/>
    <w:rsid w:val="00DB459B"/>
    <w:rsid w:val="00DB47FD"/>
    <w:rsid w:val="00DB5E3A"/>
    <w:rsid w:val="00DB5E9A"/>
    <w:rsid w:val="00DB613B"/>
    <w:rsid w:val="00DB657E"/>
    <w:rsid w:val="00DB67EA"/>
    <w:rsid w:val="00DB7342"/>
    <w:rsid w:val="00DB7489"/>
    <w:rsid w:val="00DB7E0D"/>
    <w:rsid w:val="00DC0CBB"/>
    <w:rsid w:val="00DC17D0"/>
    <w:rsid w:val="00DC1E5D"/>
    <w:rsid w:val="00DC21F3"/>
    <w:rsid w:val="00DC25AB"/>
    <w:rsid w:val="00DC2B41"/>
    <w:rsid w:val="00DC2EA7"/>
    <w:rsid w:val="00DC3128"/>
    <w:rsid w:val="00DC435B"/>
    <w:rsid w:val="00DC4AC4"/>
    <w:rsid w:val="00DC4FD0"/>
    <w:rsid w:val="00DC53D8"/>
    <w:rsid w:val="00DC56FE"/>
    <w:rsid w:val="00DC5B3B"/>
    <w:rsid w:val="00DC6C2D"/>
    <w:rsid w:val="00DC7B1A"/>
    <w:rsid w:val="00DC7F51"/>
    <w:rsid w:val="00DD04B0"/>
    <w:rsid w:val="00DD0C95"/>
    <w:rsid w:val="00DD129F"/>
    <w:rsid w:val="00DD13FC"/>
    <w:rsid w:val="00DD1A3F"/>
    <w:rsid w:val="00DD29B5"/>
    <w:rsid w:val="00DD32DD"/>
    <w:rsid w:val="00DD33E8"/>
    <w:rsid w:val="00DD5287"/>
    <w:rsid w:val="00DD5B36"/>
    <w:rsid w:val="00DD6DAD"/>
    <w:rsid w:val="00DD7849"/>
    <w:rsid w:val="00DE03DE"/>
    <w:rsid w:val="00DE0D8B"/>
    <w:rsid w:val="00DE1237"/>
    <w:rsid w:val="00DE140F"/>
    <w:rsid w:val="00DE17E9"/>
    <w:rsid w:val="00DE1CEC"/>
    <w:rsid w:val="00DE2491"/>
    <w:rsid w:val="00DE277A"/>
    <w:rsid w:val="00DE3E5D"/>
    <w:rsid w:val="00DE450F"/>
    <w:rsid w:val="00DE4865"/>
    <w:rsid w:val="00DE5CA6"/>
    <w:rsid w:val="00DE5E55"/>
    <w:rsid w:val="00DE7156"/>
    <w:rsid w:val="00DE7AC8"/>
    <w:rsid w:val="00DF0714"/>
    <w:rsid w:val="00DF0830"/>
    <w:rsid w:val="00DF199C"/>
    <w:rsid w:val="00DF2AD9"/>
    <w:rsid w:val="00DF2C5D"/>
    <w:rsid w:val="00DF3643"/>
    <w:rsid w:val="00DF42FF"/>
    <w:rsid w:val="00DF4369"/>
    <w:rsid w:val="00DF4423"/>
    <w:rsid w:val="00DF4ADF"/>
    <w:rsid w:val="00DF57D6"/>
    <w:rsid w:val="00DF5D1E"/>
    <w:rsid w:val="00DF63E3"/>
    <w:rsid w:val="00DF77E4"/>
    <w:rsid w:val="00DF7F88"/>
    <w:rsid w:val="00E00B88"/>
    <w:rsid w:val="00E01C0E"/>
    <w:rsid w:val="00E0368F"/>
    <w:rsid w:val="00E03D73"/>
    <w:rsid w:val="00E03E1E"/>
    <w:rsid w:val="00E03F9A"/>
    <w:rsid w:val="00E040DA"/>
    <w:rsid w:val="00E04694"/>
    <w:rsid w:val="00E1168B"/>
    <w:rsid w:val="00E11F8B"/>
    <w:rsid w:val="00E12191"/>
    <w:rsid w:val="00E129E7"/>
    <w:rsid w:val="00E12ABE"/>
    <w:rsid w:val="00E12B1E"/>
    <w:rsid w:val="00E135EB"/>
    <w:rsid w:val="00E13995"/>
    <w:rsid w:val="00E1444C"/>
    <w:rsid w:val="00E14544"/>
    <w:rsid w:val="00E17262"/>
    <w:rsid w:val="00E1742F"/>
    <w:rsid w:val="00E17F36"/>
    <w:rsid w:val="00E20016"/>
    <w:rsid w:val="00E2009B"/>
    <w:rsid w:val="00E20BB9"/>
    <w:rsid w:val="00E20BCC"/>
    <w:rsid w:val="00E20D05"/>
    <w:rsid w:val="00E21E9A"/>
    <w:rsid w:val="00E2251C"/>
    <w:rsid w:val="00E2363D"/>
    <w:rsid w:val="00E23C6A"/>
    <w:rsid w:val="00E2484B"/>
    <w:rsid w:val="00E25391"/>
    <w:rsid w:val="00E253A2"/>
    <w:rsid w:val="00E260F6"/>
    <w:rsid w:val="00E267F2"/>
    <w:rsid w:val="00E27127"/>
    <w:rsid w:val="00E27233"/>
    <w:rsid w:val="00E274BB"/>
    <w:rsid w:val="00E30F15"/>
    <w:rsid w:val="00E31771"/>
    <w:rsid w:val="00E3186D"/>
    <w:rsid w:val="00E31A3E"/>
    <w:rsid w:val="00E3205D"/>
    <w:rsid w:val="00E32080"/>
    <w:rsid w:val="00E32778"/>
    <w:rsid w:val="00E3309D"/>
    <w:rsid w:val="00E34E3F"/>
    <w:rsid w:val="00E350B1"/>
    <w:rsid w:val="00E35A53"/>
    <w:rsid w:val="00E35AA3"/>
    <w:rsid w:val="00E3634A"/>
    <w:rsid w:val="00E3656B"/>
    <w:rsid w:val="00E37069"/>
    <w:rsid w:val="00E3712B"/>
    <w:rsid w:val="00E371BE"/>
    <w:rsid w:val="00E3724A"/>
    <w:rsid w:val="00E378B1"/>
    <w:rsid w:val="00E417BE"/>
    <w:rsid w:val="00E41B25"/>
    <w:rsid w:val="00E41CD5"/>
    <w:rsid w:val="00E42054"/>
    <w:rsid w:val="00E4335A"/>
    <w:rsid w:val="00E4372D"/>
    <w:rsid w:val="00E43A9E"/>
    <w:rsid w:val="00E44243"/>
    <w:rsid w:val="00E453F9"/>
    <w:rsid w:val="00E45D7D"/>
    <w:rsid w:val="00E4623F"/>
    <w:rsid w:val="00E4665D"/>
    <w:rsid w:val="00E469FC"/>
    <w:rsid w:val="00E47854"/>
    <w:rsid w:val="00E478E2"/>
    <w:rsid w:val="00E47EBA"/>
    <w:rsid w:val="00E50156"/>
    <w:rsid w:val="00E504EB"/>
    <w:rsid w:val="00E5076C"/>
    <w:rsid w:val="00E50D2E"/>
    <w:rsid w:val="00E50D7D"/>
    <w:rsid w:val="00E51229"/>
    <w:rsid w:val="00E51EF0"/>
    <w:rsid w:val="00E53470"/>
    <w:rsid w:val="00E5368D"/>
    <w:rsid w:val="00E539F6"/>
    <w:rsid w:val="00E54698"/>
    <w:rsid w:val="00E54BE9"/>
    <w:rsid w:val="00E54FB4"/>
    <w:rsid w:val="00E5539A"/>
    <w:rsid w:val="00E55791"/>
    <w:rsid w:val="00E55E1A"/>
    <w:rsid w:val="00E578A2"/>
    <w:rsid w:val="00E579ED"/>
    <w:rsid w:val="00E60043"/>
    <w:rsid w:val="00E61740"/>
    <w:rsid w:val="00E617A3"/>
    <w:rsid w:val="00E61EB5"/>
    <w:rsid w:val="00E6324D"/>
    <w:rsid w:val="00E65084"/>
    <w:rsid w:val="00E6519D"/>
    <w:rsid w:val="00E65683"/>
    <w:rsid w:val="00E66062"/>
    <w:rsid w:val="00E6660E"/>
    <w:rsid w:val="00E66768"/>
    <w:rsid w:val="00E67305"/>
    <w:rsid w:val="00E67696"/>
    <w:rsid w:val="00E709AF"/>
    <w:rsid w:val="00E70C5F"/>
    <w:rsid w:val="00E71009"/>
    <w:rsid w:val="00E713E6"/>
    <w:rsid w:val="00E71A58"/>
    <w:rsid w:val="00E728D7"/>
    <w:rsid w:val="00E72A26"/>
    <w:rsid w:val="00E72A7A"/>
    <w:rsid w:val="00E7335A"/>
    <w:rsid w:val="00E736CE"/>
    <w:rsid w:val="00E73986"/>
    <w:rsid w:val="00E73B5E"/>
    <w:rsid w:val="00E7467D"/>
    <w:rsid w:val="00E747DC"/>
    <w:rsid w:val="00E74A2D"/>
    <w:rsid w:val="00E75597"/>
    <w:rsid w:val="00E75C94"/>
    <w:rsid w:val="00E76A08"/>
    <w:rsid w:val="00E76B9B"/>
    <w:rsid w:val="00E76E61"/>
    <w:rsid w:val="00E76EE4"/>
    <w:rsid w:val="00E77B7A"/>
    <w:rsid w:val="00E77CC0"/>
    <w:rsid w:val="00E80B3D"/>
    <w:rsid w:val="00E80CA3"/>
    <w:rsid w:val="00E81D18"/>
    <w:rsid w:val="00E81D99"/>
    <w:rsid w:val="00E82618"/>
    <w:rsid w:val="00E82A42"/>
    <w:rsid w:val="00E84E09"/>
    <w:rsid w:val="00E852EE"/>
    <w:rsid w:val="00E86E5D"/>
    <w:rsid w:val="00E87CE2"/>
    <w:rsid w:val="00E90CA8"/>
    <w:rsid w:val="00E911C6"/>
    <w:rsid w:val="00E91794"/>
    <w:rsid w:val="00E918E3"/>
    <w:rsid w:val="00E930A1"/>
    <w:rsid w:val="00E93820"/>
    <w:rsid w:val="00E94A86"/>
    <w:rsid w:val="00E94DD2"/>
    <w:rsid w:val="00E951AB"/>
    <w:rsid w:val="00E953F6"/>
    <w:rsid w:val="00E96143"/>
    <w:rsid w:val="00E96833"/>
    <w:rsid w:val="00E96F8D"/>
    <w:rsid w:val="00E97506"/>
    <w:rsid w:val="00E97BB5"/>
    <w:rsid w:val="00E97D5B"/>
    <w:rsid w:val="00E97F14"/>
    <w:rsid w:val="00EA0467"/>
    <w:rsid w:val="00EA0C68"/>
    <w:rsid w:val="00EA0E39"/>
    <w:rsid w:val="00EA1D0E"/>
    <w:rsid w:val="00EA1EC5"/>
    <w:rsid w:val="00EA2072"/>
    <w:rsid w:val="00EA2691"/>
    <w:rsid w:val="00EA2841"/>
    <w:rsid w:val="00EA32BC"/>
    <w:rsid w:val="00EA35A7"/>
    <w:rsid w:val="00EA3B32"/>
    <w:rsid w:val="00EA3CEB"/>
    <w:rsid w:val="00EA3D05"/>
    <w:rsid w:val="00EA4222"/>
    <w:rsid w:val="00EA4402"/>
    <w:rsid w:val="00EA46EA"/>
    <w:rsid w:val="00EA4B8D"/>
    <w:rsid w:val="00EA513E"/>
    <w:rsid w:val="00EA601A"/>
    <w:rsid w:val="00EA70BC"/>
    <w:rsid w:val="00EA7419"/>
    <w:rsid w:val="00EB0AD5"/>
    <w:rsid w:val="00EB0E32"/>
    <w:rsid w:val="00EB1520"/>
    <w:rsid w:val="00EB3882"/>
    <w:rsid w:val="00EB3E60"/>
    <w:rsid w:val="00EB4511"/>
    <w:rsid w:val="00EB48D7"/>
    <w:rsid w:val="00EB49F1"/>
    <w:rsid w:val="00EB4A8E"/>
    <w:rsid w:val="00EB4BC5"/>
    <w:rsid w:val="00EB5BF7"/>
    <w:rsid w:val="00EB5E79"/>
    <w:rsid w:val="00EB61F4"/>
    <w:rsid w:val="00EB6FAC"/>
    <w:rsid w:val="00EB7BAC"/>
    <w:rsid w:val="00EB7CC9"/>
    <w:rsid w:val="00EC03D7"/>
    <w:rsid w:val="00EC12F5"/>
    <w:rsid w:val="00EC13A7"/>
    <w:rsid w:val="00EC2EB6"/>
    <w:rsid w:val="00EC4CA3"/>
    <w:rsid w:val="00EC4FFF"/>
    <w:rsid w:val="00EC5517"/>
    <w:rsid w:val="00EC6E8C"/>
    <w:rsid w:val="00ED0EF0"/>
    <w:rsid w:val="00ED0F1A"/>
    <w:rsid w:val="00ED12B9"/>
    <w:rsid w:val="00ED16B8"/>
    <w:rsid w:val="00ED1959"/>
    <w:rsid w:val="00ED1A00"/>
    <w:rsid w:val="00ED1DF0"/>
    <w:rsid w:val="00ED1ED0"/>
    <w:rsid w:val="00ED2386"/>
    <w:rsid w:val="00ED2EA1"/>
    <w:rsid w:val="00ED3851"/>
    <w:rsid w:val="00ED3E51"/>
    <w:rsid w:val="00ED3F10"/>
    <w:rsid w:val="00ED3F9B"/>
    <w:rsid w:val="00ED4D04"/>
    <w:rsid w:val="00ED566D"/>
    <w:rsid w:val="00ED5907"/>
    <w:rsid w:val="00ED5F5B"/>
    <w:rsid w:val="00ED62C6"/>
    <w:rsid w:val="00ED6491"/>
    <w:rsid w:val="00ED64C1"/>
    <w:rsid w:val="00ED781F"/>
    <w:rsid w:val="00EE0A20"/>
    <w:rsid w:val="00EE0E7E"/>
    <w:rsid w:val="00EE249F"/>
    <w:rsid w:val="00EE2EB4"/>
    <w:rsid w:val="00EE3446"/>
    <w:rsid w:val="00EE3E78"/>
    <w:rsid w:val="00EE41FD"/>
    <w:rsid w:val="00EE460E"/>
    <w:rsid w:val="00EE4B1B"/>
    <w:rsid w:val="00EE5FBA"/>
    <w:rsid w:val="00EE64BA"/>
    <w:rsid w:val="00EE6680"/>
    <w:rsid w:val="00EE6E06"/>
    <w:rsid w:val="00EE7179"/>
    <w:rsid w:val="00EF072A"/>
    <w:rsid w:val="00EF0D90"/>
    <w:rsid w:val="00EF150D"/>
    <w:rsid w:val="00EF1F5A"/>
    <w:rsid w:val="00EF23B5"/>
    <w:rsid w:val="00EF326A"/>
    <w:rsid w:val="00EF3898"/>
    <w:rsid w:val="00EF39FD"/>
    <w:rsid w:val="00EF47BF"/>
    <w:rsid w:val="00EF48DC"/>
    <w:rsid w:val="00EF52F7"/>
    <w:rsid w:val="00EF55AD"/>
    <w:rsid w:val="00EF59B1"/>
    <w:rsid w:val="00EF5A13"/>
    <w:rsid w:val="00EF5FF9"/>
    <w:rsid w:val="00EF77D4"/>
    <w:rsid w:val="00EF7CC7"/>
    <w:rsid w:val="00F00535"/>
    <w:rsid w:val="00F00853"/>
    <w:rsid w:val="00F00866"/>
    <w:rsid w:val="00F00EC8"/>
    <w:rsid w:val="00F0160B"/>
    <w:rsid w:val="00F0193E"/>
    <w:rsid w:val="00F01C0D"/>
    <w:rsid w:val="00F03E2F"/>
    <w:rsid w:val="00F03F8D"/>
    <w:rsid w:val="00F04811"/>
    <w:rsid w:val="00F0488C"/>
    <w:rsid w:val="00F04BDB"/>
    <w:rsid w:val="00F07174"/>
    <w:rsid w:val="00F073ED"/>
    <w:rsid w:val="00F07C4C"/>
    <w:rsid w:val="00F10BA4"/>
    <w:rsid w:val="00F10F11"/>
    <w:rsid w:val="00F11159"/>
    <w:rsid w:val="00F11379"/>
    <w:rsid w:val="00F115E4"/>
    <w:rsid w:val="00F11AC4"/>
    <w:rsid w:val="00F120A5"/>
    <w:rsid w:val="00F12CFB"/>
    <w:rsid w:val="00F13897"/>
    <w:rsid w:val="00F13E60"/>
    <w:rsid w:val="00F13FDB"/>
    <w:rsid w:val="00F14C88"/>
    <w:rsid w:val="00F1533F"/>
    <w:rsid w:val="00F15AAA"/>
    <w:rsid w:val="00F15BEF"/>
    <w:rsid w:val="00F15C73"/>
    <w:rsid w:val="00F17898"/>
    <w:rsid w:val="00F20134"/>
    <w:rsid w:val="00F204BF"/>
    <w:rsid w:val="00F207C2"/>
    <w:rsid w:val="00F21337"/>
    <w:rsid w:val="00F219A1"/>
    <w:rsid w:val="00F21E3B"/>
    <w:rsid w:val="00F23C06"/>
    <w:rsid w:val="00F23E20"/>
    <w:rsid w:val="00F24407"/>
    <w:rsid w:val="00F24756"/>
    <w:rsid w:val="00F24FAA"/>
    <w:rsid w:val="00F25040"/>
    <w:rsid w:val="00F27071"/>
    <w:rsid w:val="00F27331"/>
    <w:rsid w:val="00F276D3"/>
    <w:rsid w:val="00F27EE5"/>
    <w:rsid w:val="00F27FB1"/>
    <w:rsid w:val="00F27FD6"/>
    <w:rsid w:val="00F307CB"/>
    <w:rsid w:val="00F30C0C"/>
    <w:rsid w:val="00F30C65"/>
    <w:rsid w:val="00F31A67"/>
    <w:rsid w:val="00F31B27"/>
    <w:rsid w:val="00F321D2"/>
    <w:rsid w:val="00F32649"/>
    <w:rsid w:val="00F33523"/>
    <w:rsid w:val="00F3364D"/>
    <w:rsid w:val="00F33914"/>
    <w:rsid w:val="00F349BF"/>
    <w:rsid w:val="00F34AF4"/>
    <w:rsid w:val="00F34DDC"/>
    <w:rsid w:val="00F352C5"/>
    <w:rsid w:val="00F36191"/>
    <w:rsid w:val="00F3629F"/>
    <w:rsid w:val="00F36DF3"/>
    <w:rsid w:val="00F37362"/>
    <w:rsid w:val="00F37EDC"/>
    <w:rsid w:val="00F437CC"/>
    <w:rsid w:val="00F44537"/>
    <w:rsid w:val="00F45EEF"/>
    <w:rsid w:val="00F46185"/>
    <w:rsid w:val="00F46423"/>
    <w:rsid w:val="00F4696A"/>
    <w:rsid w:val="00F47067"/>
    <w:rsid w:val="00F47234"/>
    <w:rsid w:val="00F47C48"/>
    <w:rsid w:val="00F51ADD"/>
    <w:rsid w:val="00F525AB"/>
    <w:rsid w:val="00F525EB"/>
    <w:rsid w:val="00F529FB"/>
    <w:rsid w:val="00F52CB5"/>
    <w:rsid w:val="00F53378"/>
    <w:rsid w:val="00F53A68"/>
    <w:rsid w:val="00F53E9C"/>
    <w:rsid w:val="00F54934"/>
    <w:rsid w:val="00F54F86"/>
    <w:rsid w:val="00F55A92"/>
    <w:rsid w:val="00F5615B"/>
    <w:rsid w:val="00F56700"/>
    <w:rsid w:val="00F575D3"/>
    <w:rsid w:val="00F57A76"/>
    <w:rsid w:val="00F57D57"/>
    <w:rsid w:val="00F6178B"/>
    <w:rsid w:val="00F62701"/>
    <w:rsid w:val="00F62BFF"/>
    <w:rsid w:val="00F62CCE"/>
    <w:rsid w:val="00F63092"/>
    <w:rsid w:val="00F63AAE"/>
    <w:rsid w:val="00F63DDE"/>
    <w:rsid w:val="00F63FB7"/>
    <w:rsid w:val="00F6421B"/>
    <w:rsid w:val="00F647F1"/>
    <w:rsid w:val="00F649D2"/>
    <w:rsid w:val="00F64C00"/>
    <w:rsid w:val="00F64D5A"/>
    <w:rsid w:val="00F6602B"/>
    <w:rsid w:val="00F6741E"/>
    <w:rsid w:val="00F6799D"/>
    <w:rsid w:val="00F7150B"/>
    <w:rsid w:val="00F717E4"/>
    <w:rsid w:val="00F71DE6"/>
    <w:rsid w:val="00F72C90"/>
    <w:rsid w:val="00F72D71"/>
    <w:rsid w:val="00F7381C"/>
    <w:rsid w:val="00F73A0C"/>
    <w:rsid w:val="00F752DC"/>
    <w:rsid w:val="00F7549F"/>
    <w:rsid w:val="00F756DB"/>
    <w:rsid w:val="00F766BE"/>
    <w:rsid w:val="00F767A8"/>
    <w:rsid w:val="00F77590"/>
    <w:rsid w:val="00F77A50"/>
    <w:rsid w:val="00F8046A"/>
    <w:rsid w:val="00F82670"/>
    <w:rsid w:val="00F82D14"/>
    <w:rsid w:val="00F84123"/>
    <w:rsid w:val="00F84593"/>
    <w:rsid w:val="00F84E7D"/>
    <w:rsid w:val="00F85066"/>
    <w:rsid w:val="00F8663C"/>
    <w:rsid w:val="00F87A4D"/>
    <w:rsid w:val="00F91B66"/>
    <w:rsid w:val="00F93688"/>
    <w:rsid w:val="00F939F3"/>
    <w:rsid w:val="00F93C6E"/>
    <w:rsid w:val="00F93F2C"/>
    <w:rsid w:val="00F94882"/>
    <w:rsid w:val="00F962AD"/>
    <w:rsid w:val="00F9644E"/>
    <w:rsid w:val="00F96E43"/>
    <w:rsid w:val="00FA0105"/>
    <w:rsid w:val="00FA05A0"/>
    <w:rsid w:val="00FA0AEF"/>
    <w:rsid w:val="00FA0EB0"/>
    <w:rsid w:val="00FA17CC"/>
    <w:rsid w:val="00FA1A7F"/>
    <w:rsid w:val="00FA1CFE"/>
    <w:rsid w:val="00FA1F01"/>
    <w:rsid w:val="00FA26DF"/>
    <w:rsid w:val="00FA32BC"/>
    <w:rsid w:val="00FA3FA8"/>
    <w:rsid w:val="00FA4059"/>
    <w:rsid w:val="00FA4574"/>
    <w:rsid w:val="00FA48A4"/>
    <w:rsid w:val="00FA4CB7"/>
    <w:rsid w:val="00FA5112"/>
    <w:rsid w:val="00FA5526"/>
    <w:rsid w:val="00FA5D4D"/>
    <w:rsid w:val="00FA6CB6"/>
    <w:rsid w:val="00FA70D3"/>
    <w:rsid w:val="00FA70F9"/>
    <w:rsid w:val="00FA7AD7"/>
    <w:rsid w:val="00FA7AEC"/>
    <w:rsid w:val="00FB00D6"/>
    <w:rsid w:val="00FB0AEA"/>
    <w:rsid w:val="00FB0EE2"/>
    <w:rsid w:val="00FB1A79"/>
    <w:rsid w:val="00FB208B"/>
    <w:rsid w:val="00FB2B2D"/>
    <w:rsid w:val="00FB346E"/>
    <w:rsid w:val="00FB35D1"/>
    <w:rsid w:val="00FB4932"/>
    <w:rsid w:val="00FB542E"/>
    <w:rsid w:val="00FB5580"/>
    <w:rsid w:val="00FB564F"/>
    <w:rsid w:val="00FB79BB"/>
    <w:rsid w:val="00FB7DBB"/>
    <w:rsid w:val="00FC04A1"/>
    <w:rsid w:val="00FC05F8"/>
    <w:rsid w:val="00FC077B"/>
    <w:rsid w:val="00FC0950"/>
    <w:rsid w:val="00FC0E5F"/>
    <w:rsid w:val="00FC1070"/>
    <w:rsid w:val="00FC1266"/>
    <w:rsid w:val="00FC1A95"/>
    <w:rsid w:val="00FC1ED4"/>
    <w:rsid w:val="00FC3BEC"/>
    <w:rsid w:val="00FC440B"/>
    <w:rsid w:val="00FC56DE"/>
    <w:rsid w:val="00FC61B5"/>
    <w:rsid w:val="00FC63D9"/>
    <w:rsid w:val="00FC64DE"/>
    <w:rsid w:val="00FC6785"/>
    <w:rsid w:val="00FC684B"/>
    <w:rsid w:val="00FC79D0"/>
    <w:rsid w:val="00FC7D98"/>
    <w:rsid w:val="00FD1135"/>
    <w:rsid w:val="00FD3265"/>
    <w:rsid w:val="00FD3CF7"/>
    <w:rsid w:val="00FD4124"/>
    <w:rsid w:val="00FD41A0"/>
    <w:rsid w:val="00FD4916"/>
    <w:rsid w:val="00FD4D12"/>
    <w:rsid w:val="00FD4DC7"/>
    <w:rsid w:val="00FD4F73"/>
    <w:rsid w:val="00FD595E"/>
    <w:rsid w:val="00FD66A4"/>
    <w:rsid w:val="00FD75AC"/>
    <w:rsid w:val="00FD75D3"/>
    <w:rsid w:val="00FD7802"/>
    <w:rsid w:val="00FD7D3B"/>
    <w:rsid w:val="00FE263A"/>
    <w:rsid w:val="00FE27C7"/>
    <w:rsid w:val="00FE2C7E"/>
    <w:rsid w:val="00FE2F78"/>
    <w:rsid w:val="00FE3137"/>
    <w:rsid w:val="00FE346B"/>
    <w:rsid w:val="00FE346F"/>
    <w:rsid w:val="00FE3E07"/>
    <w:rsid w:val="00FE431E"/>
    <w:rsid w:val="00FE460E"/>
    <w:rsid w:val="00FE48E4"/>
    <w:rsid w:val="00FE5466"/>
    <w:rsid w:val="00FE634C"/>
    <w:rsid w:val="00FE6E69"/>
    <w:rsid w:val="00FE6F59"/>
    <w:rsid w:val="00FF01B6"/>
    <w:rsid w:val="00FF0989"/>
    <w:rsid w:val="00FF1136"/>
    <w:rsid w:val="00FF38A4"/>
    <w:rsid w:val="00FF3D76"/>
    <w:rsid w:val="00FF4E35"/>
    <w:rsid w:val="00FF5838"/>
    <w:rsid w:val="00FF596B"/>
    <w:rsid w:val="00FF5B8C"/>
    <w:rsid w:val="00FF63E6"/>
    <w:rsid w:val="00FF72DC"/>
    <w:rsid w:val="00FF7B9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D395025"/>
  <w15:docId w15:val="{65A7C2A9-88C6-491F-A56E-5229398B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unhideWhenUsed/>
    <w:rsid w:val="00E76E61"/>
    <w:pPr>
      <w:spacing w:line="240" w:lineRule="auto"/>
    </w:pPr>
    <w:rPr>
      <w:szCs w:val="20"/>
    </w:rPr>
  </w:style>
  <w:style w:type="character" w:customStyle="1" w:styleId="TextkomenteChar">
    <w:name w:val="Text komentáře Char"/>
    <w:basedOn w:val="Standardnpsmoodstavce"/>
    <w:link w:val="Textkomente"/>
    <w:uiPriority w:val="99"/>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 w:type="paragraph" w:styleId="Normlnweb">
    <w:name w:val="Normal (Web)"/>
    <w:basedOn w:val="Normln"/>
    <w:uiPriority w:val="99"/>
    <w:semiHidden/>
    <w:unhideWhenUsed/>
    <w:rsid w:val="00F77A50"/>
    <w:pPr>
      <w:spacing w:before="100" w:beforeAutospacing="1" w:after="100" w:afterAutospacing="1" w:line="240" w:lineRule="auto"/>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94332598">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354504476">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18414763">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898828998">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395809952">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66510082">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606382679">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644652621">
      <w:bodyDiv w:val="1"/>
      <w:marLeft w:val="0"/>
      <w:marRight w:val="0"/>
      <w:marTop w:val="0"/>
      <w:marBottom w:val="0"/>
      <w:divBdr>
        <w:top w:val="none" w:sz="0" w:space="0" w:color="auto"/>
        <w:left w:val="none" w:sz="0" w:space="0" w:color="auto"/>
        <w:bottom w:val="none" w:sz="0" w:space="0" w:color="auto"/>
        <w:right w:val="none" w:sz="0" w:space="0" w:color="auto"/>
      </w:divBdr>
    </w:div>
    <w:div w:id="1658848773">
      <w:bodyDiv w:val="1"/>
      <w:marLeft w:val="0"/>
      <w:marRight w:val="0"/>
      <w:marTop w:val="0"/>
      <w:marBottom w:val="0"/>
      <w:divBdr>
        <w:top w:val="none" w:sz="0" w:space="0" w:color="auto"/>
        <w:left w:val="none" w:sz="0" w:space="0" w:color="auto"/>
        <w:bottom w:val="none" w:sz="0" w:space="0" w:color="auto"/>
        <w:right w:val="none" w:sz="0" w:space="0" w:color="auto"/>
      </w:divBdr>
    </w:div>
    <w:div w:id="1820418877">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099517120">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zso.cz/csu/czso/cri/analyza-ctvrtletnich-sektorovych-uctu-3-ctvrtleti-202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kamenicky3604\Documents\JKAM%20CSU\PUBLIKACE\PUBLIKACE\2021\Qmakro\ENGL-celorok-2020\ENGL-Grafy-st&#225;tn&#237;%20rozpo&#269;et-rok.20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kamenicky3604\Documents\JKAM%20CSU\PUBLIKACE\PUBLIKACE\2021\Qmakro\ENGL-celorok-2020\ENGL-Grafy-st&#225;tn&#237;%20rozpo&#269;et-rok.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935993017189728E-2"/>
          <c:y val="1.7107238390107405E-2"/>
          <c:w val="0.83559968783080529"/>
          <c:h val="0.82188956339158548"/>
        </c:manualLayout>
      </c:layout>
      <c:barChart>
        <c:barDir val="col"/>
        <c:grouping val="clustered"/>
        <c:varyColors val="0"/>
        <c:ser>
          <c:idx val="2"/>
          <c:order val="4"/>
          <c:tx>
            <c:strRef>
              <c:f>'GRAF-1-Státní rozpočet-příjmy'!$A$40</c:f>
              <c:strCache>
                <c:ptCount val="1"/>
                <c:pt idx="0">
                  <c:v>State budget balance (right axis)</c:v>
                </c:pt>
              </c:strCache>
            </c:strRef>
          </c:tx>
          <c:spPr>
            <a:solidFill>
              <a:sysClr val="window" lastClr="FFFFFF">
                <a:lumMod val="75000"/>
              </a:sysClr>
            </a:solidFill>
          </c:spPr>
          <c:invertIfNegative val="0"/>
          <c:cat>
            <c:strRef>
              <c:f>'GRAF-1-Státní rozpočet-příjmy'!$E$34:$R$35</c:f>
              <c:strCach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strCache>
            </c:strRef>
          </c:cat>
          <c:val>
            <c:numRef>
              <c:f>'GRAF-1-Státní rozpočet-příjmy'!$E$40:$R$40</c:f>
              <c:numCache>
                <c:formatCode>#\ ##0.0</c:formatCode>
                <c:ptCount val="14"/>
                <c:pt idx="0">
                  <c:v>-20.003</c:v>
                </c:pt>
                <c:pt idx="1">
                  <c:v>-192.39400000000001</c:v>
                </c:pt>
                <c:pt idx="2">
                  <c:v>-156.416</c:v>
                </c:pt>
                <c:pt idx="3">
                  <c:v>-142.77099999999999</c:v>
                </c:pt>
                <c:pt idx="4">
                  <c:v>-101</c:v>
                </c:pt>
                <c:pt idx="5">
                  <c:v>-81.263999999999996</c:v>
                </c:pt>
                <c:pt idx="6">
                  <c:v>-77.78</c:v>
                </c:pt>
                <c:pt idx="7">
                  <c:v>-62.8</c:v>
                </c:pt>
                <c:pt idx="8">
                  <c:v>61.77</c:v>
                </c:pt>
                <c:pt idx="9">
                  <c:v>-6.15</c:v>
                </c:pt>
                <c:pt idx="10">
                  <c:v>2.94</c:v>
                </c:pt>
                <c:pt idx="11">
                  <c:v>-28.52</c:v>
                </c:pt>
                <c:pt idx="12">
                  <c:v>-367.44997523070992</c:v>
                </c:pt>
                <c:pt idx="13">
                  <c:v>-419.68746344218994</c:v>
                </c:pt>
              </c:numCache>
            </c:numRef>
          </c:val>
          <c:extLst>
            <c:ext xmlns:c16="http://schemas.microsoft.com/office/drawing/2014/chart" uri="{C3380CC4-5D6E-409C-BE32-E72D297353CC}">
              <c16:uniqueId val="{00000000-41A3-4A4E-B66D-1B4A51F1D0EE}"/>
            </c:ext>
          </c:extLst>
        </c:ser>
        <c:dLbls>
          <c:showLegendKey val="0"/>
          <c:showVal val="0"/>
          <c:showCatName val="0"/>
          <c:showSerName val="0"/>
          <c:showPercent val="0"/>
          <c:showBubbleSize val="0"/>
        </c:dLbls>
        <c:gapWidth val="43"/>
        <c:axId val="194477056"/>
        <c:axId val="194475520"/>
      </c:barChart>
      <c:lineChart>
        <c:grouping val="standard"/>
        <c:varyColors val="0"/>
        <c:ser>
          <c:idx val="0"/>
          <c:order val="0"/>
          <c:tx>
            <c:strRef>
              <c:f>'GRAF-1-Státní rozpočet-příjmy'!$A$36</c:f>
              <c:strCache>
                <c:ptCount val="1"/>
                <c:pt idx="0">
                  <c:v>VAT</c:v>
                </c:pt>
              </c:strCache>
            </c:strRef>
          </c:tx>
          <c:spPr>
            <a:ln w="19050">
              <a:solidFill>
                <a:srgbClr val="BD1B25"/>
              </a:solidFill>
            </a:ln>
          </c:spPr>
          <c:marker>
            <c:symbol val="none"/>
          </c:marker>
          <c:cat>
            <c:strRef>
              <c:f>'GRAF-1-Státní rozpočet-příjmy'!$E$34:$R$35</c:f>
              <c:strCach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strCache>
            </c:strRef>
          </c:cat>
          <c:val>
            <c:numRef>
              <c:f>'GRAF-1-Státní rozpočet-příjmy'!$E$36:$R$36</c:f>
              <c:numCache>
                <c:formatCode>0.0</c:formatCode>
                <c:ptCount val="14"/>
                <c:pt idx="0">
                  <c:v>7.9575260174295579</c:v>
                </c:pt>
                <c:pt idx="1">
                  <c:v>-0.61914651828048761</c:v>
                </c:pt>
                <c:pt idx="2">
                  <c:v>6.2852411182524435</c:v>
                </c:pt>
                <c:pt idx="3">
                  <c:v>2.1665739194954341</c:v>
                </c:pt>
                <c:pt idx="4">
                  <c:v>1.0312647518065461</c:v>
                </c:pt>
                <c:pt idx="5">
                  <c:v>10.865111598317938</c:v>
                </c:pt>
                <c:pt idx="6">
                  <c:v>4.674836283472743</c:v>
                </c:pt>
                <c:pt idx="7">
                  <c:v>2.7750247770069336</c:v>
                </c:pt>
                <c:pt idx="8">
                  <c:v>5.3881388621022381</c:v>
                </c:pt>
                <c:pt idx="9">
                  <c:v>9.138739563079028</c:v>
                </c:pt>
                <c:pt idx="10">
                  <c:v>8.2844267449172122</c:v>
                </c:pt>
                <c:pt idx="11">
                  <c:v>4.4229373336559235</c:v>
                </c:pt>
                <c:pt idx="12">
                  <c:v>-1.1889677782264414</c:v>
                </c:pt>
                <c:pt idx="13">
                  <c:v>8.7290514464571913</c:v>
                </c:pt>
              </c:numCache>
            </c:numRef>
          </c:val>
          <c:smooth val="0"/>
          <c:extLst>
            <c:ext xmlns:c16="http://schemas.microsoft.com/office/drawing/2014/chart" uri="{C3380CC4-5D6E-409C-BE32-E72D297353CC}">
              <c16:uniqueId val="{00000001-41A3-4A4E-B66D-1B4A51F1D0EE}"/>
            </c:ext>
          </c:extLst>
        </c:ser>
        <c:ser>
          <c:idx val="1"/>
          <c:order val="1"/>
          <c:tx>
            <c:strRef>
              <c:f>'GRAF-1-Státní rozpočet-příjmy'!$A$37</c:f>
              <c:strCache>
                <c:ptCount val="1"/>
                <c:pt idx="0">
                  <c:v>Consumption taxes</c:v>
                </c:pt>
              </c:strCache>
            </c:strRef>
          </c:tx>
          <c:spPr>
            <a:ln w="19050">
              <a:solidFill>
                <a:srgbClr val="7DBB2D"/>
              </a:solidFill>
              <a:prstDash val="solid"/>
            </a:ln>
          </c:spPr>
          <c:marker>
            <c:symbol val="none"/>
          </c:marker>
          <c:cat>
            <c:strRef>
              <c:f>'GRAF-1-Státní rozpočet-příjmy'!$E$34:$R$35</c:f>
              <c:strCach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strCache>
            </c:strRef>
          </c:cat>
          <c:val>
            <c:numRef>
              <c:f>'GRAF-1-Státní rozpočet-příjmy'!$E$37:$R$37</c:f>
              <c:numCache>
                <c:formatCode>0.0</c:formatCode>
                <c:ptCount val="14"/>
                <c:pt idx="0">
                  <c:v>-4.2605253688377047</c:v>
                </c:pt>
                <c:pt idx="1">
                  <c:v>-1.4733518755167978</c:v>
                </c:pt>
                <c:pt idx="2">
                  <c:v>5.4932478828107207</c:v>
                </c:pt>
                <c:pt idx="3">
                  <c:v>6.0099804729876354</c:v>
                </c:pt>
                <c:pt idx="4">
                  <c:v>0.13644426251875075</c:v>
                </c:pt>
                <c:pt idx="5">
                  <c:v>-2.2891402098378535</c:v>
                </c:pt>
                <c:pt idx="6">
                  <c:v>-1.4712034583739921</c:v>
                </c:pt>
                <c:pt idx="7">
                  <c:v>6.5034321704055031</c:v>
                </c:pt>
                <c:pt idx="8">
                  <c:v>5.1362126245847008</c:v>
                </c:pt>
                <c:pt idx="9">
                  <c:v>2.9071604626177248</c:v>
                </c:pt>
                <c:pt idx="10">
                  <c:v>2.8495977399742003</c:v>
                </c:pt>
                <c:pt idx="11">
                  <c:v>-0.19705021794949573</c:v>
                </c:pt>
                <c:pt idx="12">
                  <c:v>-2.7816349769886841</c:v>
                </c:pt>
                <c:pt idx="13">
                  <c:v>-2.9872460318545677</c:v>
                </c:pt>
              </c:numCache>
            </c:numRef>
          </c:val>
          <c:smooth val="0"/>
          <c:extLst>
            <c:ext xmlns:c16="http://schemas.microsoft.com/office/drawing/2014/chart" uri="{C3380CC4-5D6E-409C-BE32-E72D297353CC}">
              <c16:uniqueId val="{00000002-41A3-4A4E-B66D-1B4A51F1D0EE}"/>
            </c:ext>
          </c:extLst>
        </c:ser>
        <c:ser>
          <c:idx val="3"/>
          <c:order val="2"/>
          <c:tx>
            <c:strRef>
              <c:f>'GRAF-1-Státní rozpočet-příjmy'!$A$38</c:f>
              <c:strCache>
                <c:ptCount val="1"/>
                <c:pt idx="0">
                  <c:v>Income tax of natural persons (ITNP)</c:v>
                </c:pt>
              </c:strCache>
            </c:strRef>
          </c:tx>
          <c:spPr>
            <a:ln w="19050">
              <a:solidFill>
                <a:srgbClr val="0071BC"/>
              </a:solidFill>
              <a:prstDash val="solid"/>
            </a:ln>
          </c:spPr>
          <c:marker>
            <c:symbol val="none"/>
          </c:marker>
          <c:cat>
            <c:strRef>
              <c:f>'GRAF-1-Státní rozpočet-příjmy'!$E$34:$R$35</c:f>
              <c:strCach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strCache>
            </c:strRef>
          </c:cat>
          <c:val>
            <c:numRef>
              <c:f>'GRAF-1-Státní rozpočet-příjmy'!$E$38:$R$38</c:f>
              <c:numCache>
                <c:formatCode>0.0</c:formatCode>
                <c:ptCount val="14"/>
                <c:pt idx="0">
                  <c:v>-8.8693725769443859</c:v>
                </c:pt>
                <c:pt idx="1">
                  <c:v>-3.5943740232679318</c:v>
                </c:pt>
                <c:pt idx="2">
                  <c:v>0.72046109510085898</c:v>
                </c:pt>
                <c:pt idx="3">
                  <c:v>6.7328326180257534</c:v>
                </c:pt>
                <c:pt idx="4">
                  <c:v>0.35184719778837348</c:v>
                </c:pt>
                <c:pt idx="5">
                  <c:v>5.2925953752399835</c:v>
                </c:pt>
                <c:pt idx="6">
                  <c:v>3.7580274320145861</c:v>
                </c:pt>
                <c:pt idx="7">
                  <c:v>4.011614579353548</c:v>
                </c:pt>
                <c:pt idx="8">
                  <c:v>9.7487511019688498</c:v>
                </c:pt>
                <c:pt idx="9">
                  <c:v>13.2873686324386</c:v>
                </c:pt>
                <c:pt idx="10">
                  <c:v>14.441030489246032</c:v>
                </c:pt>
                <c:pt idx="11">
                  <c:v>11.673895084675763</c:v>
                </c:pt>
                <c:pt idx="12">
                  <c:v>-5.2524854091793571</c:v>
                </c:pt>
                <c:pt idx="13">
                  <c:v>-32.432390722060816</c:v>
                </c:pt>
              </c:numCache>
            </c:numRef>
          </c:val>
          <c:smooth val="0"/>
          <c:extLst>
            <c:ext xmlns:c16="http://schemas.microsoft.com/office/drawing/2014/chart" uri="{C3380CC4-5D6E-409C-BE32-E72D297353CC}">
              <c16:uniqueId val="{00000003-41A3-4A4E-B66D-1B4A51F1D0EE}"/>
            </c:ext>
          </c:extLst>
        </c:ser>
        <c:ser>
          <c:idx val="4"/>
          <c:order val="3"/>
          <c:tx>
            <c:strRef>
              <c:f>'GRAF-1-Státní rozpočet-příjmy'!$A$39</c:f>
              <c:strCache>
                <c:ptCount val="1"/>
                <c:pt idx="0">
                  <c:v>Income tax of legal persons (corporate tax)</c:v>
                </c:pt>
              </c:strCache>
            </c:strRef>
          </c:tx>
          <c:spPr>
            <a:ln w="19050">
              <a:noFill/>
            </a:ln>
          </c:spPr>
          <c:marker>
            <c:symbol val="diamond"/>
            <c:size val="6"/>
            <c:spPr>
              <a:solidFill>
                <a:srgbClr val="984807"/>
              </a:solidFill>
              <a:ln>
                <a:noFill/>
              </a:ln>
            </c:spPr>
          </c:marker>
          <c:cat>
            <c:strRef>
              <c:f>'GRAF-1-Státní rozpočet-příjmy'!$E$34:$R$35</c:f>
              <c:strCach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strCache>
            </c:strRef>
          </c:cat>
          <c:val>
            <c:numRef>
              <c:f>'GRAF-1-Státní rozpočet-příjmy'!$E$39:$R$39</c:f>
              <c:numCache>
                <c:formatCode>0.0</c:formatCode>
                <c:ptCount val="14"/>
                <c:pt idx="0">
                  <c:v>12.113766201855157</c:v>
                </c:pt>
                <c:pt idx="1">
                  <c:v>-34.469344145526264</c:v>
                </c:pt>
                <c:pt idx="2">
                  <c:v>3.5618729096990052</c:v>
                </c:pt>
                <c:pt idx="3">
                  <c:v>-4.6423381236880346</c:v>
                </c:pt>
                <c:pt idx="4">
                  <c:v>8.3735500804335032</c:v>
                </c:pt>
                <c:pt idx="5">
                  <c:v>-5.6875</c:v>
                </c:pt>
                <c:pt idx="6">
                  <c:v>9.6752816434725162</c:v>
                </c:pt>
                <c:pt idx="7">
                  <c:v>11.412386706948624</c:v>
                </c:pt>
                <c:pt idx="8">
                  <c:v>11.667005626737165</c:v>
                </c:pt>
                <c:pt idx="9">
                  <c:v>3.6000485672656595</c:v>
                </c:pt>
                <c:pt idx="10">
                  <c:v>1.9689422795194673</c:v>
                </c:pt>
                <c:pt idx="11">
                  <c:v>5.1089017872536004</c:v>
                </c:pt>
                <c:pt idx="12">
                  <c:v>-12.218154305953917</c:v>
                </c:pt>
                <c:pt idx="13">
                  <c:v>24.923332261143941</c:v>
                </c:pt>
              </c:numCache>
            </c:numRef>
          </c:val>
          <c:smooth val="0"/>
          <c:extLst>
            <c:ext xmlns:c16="http://schemas.microsoft.com/office/drawing/2014/chart" uri="{C3380CC4-5D6E-409C-BE32-E72D297353CC}">
              <c16:uniqueId val="{00000004-41A3-4A4E-B66D-1B4A51F1D0EE}"/>
            </c:ext>
          </c:extLst>
        </c:ser>
        <c:dLbls>
          <c:showLegendKey val="0"/>
          <c:showVal val="0"/>
          <c:showCatName val="0"/>
          <c:showSerName val="0"/>
          <c:showPercent val="0"/>
          <c:showBubbleSize val="0"/>
        </c:dLbls>
        <c:marker val="1"/>
        <c:smooth val="0"/>
        <c:axId val="194467712"/>
        <c:axId val="194473984"/>
      </c:lineChart>
      <c:catAx>
        <c:axId val="194467712"/>
        <c:scaling>
          <c:orientation val="minMax"/>
        </c:scaling>
        <c:delete val="0"/>
        <c:axPos val="b"/>
        <c:numFmt formatCode="General" sourceLinked="1"/>
        <c:majorTickMark val="out"/>
        <c:minorTickMark val="none"/>
        <c:tickLblPos val="low"/>
        <c:spPr>
          <a:ln w="6350">
            <a:solidFill>
              <a:schemeClr val="tx1"/>
            </a:solidFill>
          </a:ln>
        </c:spPr>
        <c:crossAx val="194473984"/>
        <c:crosses val="autoZero"/>
        <c:auto val="1"/>
        <c:lblAlgn val="ctr"/>
        <c:lblOffset val="0"/>
        <c:noMultiLvlLbl val="0"/>
      </c:catAx>
      <c:valAx>
        <c:axId val="194473984"/>
        <c:scaling>
          <c:orientation val="minMax"/>
          <c:max val="30"/>
          <c:min val="-45"/>
        </c:scaling>
        <c:delete val="0"/>
        <c:axPos val="l"/>
        <c:majorGridlines>
          <c:spPr>
            <a:ln w="6350">
              <a:solidFill>
                <a:schemeClr val="bg1">
                  <a:lumMod val="75000"/>
                </a:schemeClr>
              </a:solidFill>
            </a:ln>
          </c:spPr>
        </c:majorGridlines>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700" i="1">
                    <a:effectLst/>
                  </a:rPr>
                  <a:t>Selected types of tax incomes (year-on-year change in %)</a:t>
                </a:r>
                <a:endParaRPr lang="cs-CZ" sz="700">
                  <a:effectLst/>
                </a:endParaRPr>
              </a:p>
            </c:rich>
          </c:tx>
          <c:overlay val="0"/>
        </c:title>
        <c:numFmt formatCode="0" sourceLinked="0"/>
        <c:majorTickMark val="out"/>
        <c:minorTickMark val="none"/>
        <c:tickLblPos val="nextTo"/>
        <c:spPr>
          <a:ln w="6350">
            <a:solidFill>
              <a:schemeClr val="tx1"/>
            </a:solidFill>
          </a:ln>
        </c:spPr>
        <c:crossAx val="194467712"/>
        <c:crosses val="autoZero"/>
        <c:crossBetween val="between"/>
        <c:majorUnit val="5"/>
      </c:valAx>
      <c:valAx>
        <c:axId val="194475520"/>
        <c:scaling>
          <c:orientation val="minMax"/>
          <c:max val="300"/>
          <c:min val="-45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700" i="1">
                    <a:effectLst/>
                  </a:rPr>
                  <a:t>State budget balance (in CZK bn)</a:t>
                </a:r>
                <a:endParaRPr lang="cs-CZ" sz="700">
                  <a:effectLst/>
                </a:endParaRPr>
              </a:p>
            </c:rich>
          </c:tx>
          <c:overlay val="0"/>
        </c:title>
        <c:numFmt formatCode="#,##0" sourceLinked="0"/>
        <c:majorTickMark val="out"/>
        <c:minorTickMark val="none"/>
        <c:tickLblPos val="nextTo"/>
        <c:crossAx val="194477056"/>
        <c:crosses val="max"/>
        <c:crossBetween val="between"/>
        <c:majorUnit val="50"/>
      </c:valAx>
      <c:catAx>
        <c:axId val="194477056"/>
        <c:scaling>
          <c:orientation val="minMax"/>
        </c:scaling>
        <c:delete val="1"/>
        <c:axPos val="b"/>
        <c:numFmt formatCode="General" sourceLinked="1"/>
        <c:majorTickMark val="out"/>
        <c:minorTickMark val="none"/>
        <c:tickLblPos val="none"/>
        <c:crossAx val="194475520"/>
        <c:crosses val="autoZero"/>
        <c:auto val="1"/>
        <c:lblAlgn val="ctr"/>
        <c:lblOffset val="100"/>
        <c:noMultiLvlLbl val="0"/>
      </c:catAx>
      <c:spPr>
        <a:ln w="6350">
          <a:solidFill>
            <a:schemeClr val="tx1"/>
          </a:solidFill>
        </a:ln>
      </c:spPr>
    </c:plotArea>
    <c:legend>
      <c:legendPos val="b"/>
      <c:layout>
        <c:manualLayout>
          <c:xMode val="edge"/>
          <c:yMode val="edge"/>
          <c:x val="1.6931764536906882E-2"/>
          <c:y val="0.88659723781139477"/>
          <c:w val="0.97258267388895991"/>
          <c:h val="0.10979813644594019"/>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260484943049881E-2"/>
          <c:y val="1.7112323287741892E-2"/>
          <c:w val="0.82719862375806086"/>
          <c:h val="0.7675532098402662"/>
        </c:manualLayout>
      </c:layout>
      <c:barChart>
        <c:barDir val="col"/>
        <c:grouping val="clustered"/>
        <c:varyColors val="0"/>
        <c:ser>
          <c:idx val="0"/>
          <c:order val="0"/>
          <c:tx>
            <c:strRef>
              <c:f>'G2-Stání rozpočet-výdaje'!$B$31</c:f>
              <c:strCache>
                <c:ptCount val="1"/>
                <c:pt idx="0">
                  <c:v>Total current expenditures (right axis)</c:v>
                </c:pt>
              </c:strCache>
            </c:strRef>
          </c:tx>
          <c:spPr>
            <a:solidFill>
              <a:schemeClr val="bg1">
                <a:lumMod val="85000"/>
              </a:schemeClr>
            </a:solidFill>
            <a:ln>
              <a:noFill/>
            </a:ln>
          </c:spPr>
          <c:invertIfNegative val="0"/>
          <c:cat>
            <c:numRef>
              <c:f>'G2-Stání rozpočet-výdaje'!$A$35:$A$48</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'G2-Stání rozpočet-výdaje'!$B$35:$B$48</c:f>
              <c:numCache>
                <c:formatCode>0.0</c:formatCode>
                <c:ptCount val="14"/>
                <c:pt idx="0">
                  <c:v>975.86</c:v>
                </c:pt>
                <c:pt idx="1">
                  <c:v>1032.78</c:v>
                </c:pt>
                <c:pt idx="2">
                  <c:v>1021.89</c:v>
                </c:pt>
                <c:pt idx="3">
                  <c:v>1031.83</c:v>
                </c:pt>
                <c:pt idx="4">
                  <c:v>1038.76</c:v>
                </c:pt>
                <c:pt idx="5">
                  <c:v>1070.8130000000001</c:v>
                </c:pt>
                <c:pt idx="6">
                  <c:v>1100.1020000000001</c:v>
                </c:pt>
                <c:pt idx="7">
                  <c:v>1121.6600000000001</c:v>
                </c:pt>
                <c:pt idx="8">
                  <c:v>1135.57</c:v>
                </c:pt>
                <c:pt idx="9">
                  <c:v>1198.05</c:v>
                </c:pt>
                <c:pt idx="10">
                  <c:v>1284.5</c:v>
                </c:pt>
                <c:pt idx="11">
                  <c:v>1412.5989294339895</c:v>
                </c:pt>
                <c:pt idx="12">
                  <c:v>1670.3085864663701</c:v>
                </c:pt>
                <c:pt idx="13">
                  <c:v>1729.5240345791999</c:v>
                </c:pt>
              </c:numCache>
            </c:numRef>
          </c:val>
          <c:extLst>
            <c:ext xmlns:c16="http://schemas.microsoft.com/office/drawing/2014/chart" uri="{C3380CC4-5D6E-409C-BE32-E72D297353CC}">
              <c16:uniqueId val="{00000000-4A64-4624-A357-55A80524D394}"/>
            </c:ext>
          </c:extLst>
        </c:ser>
        <c:dLbls>
          <c:showLegendKey val="0"/>
          <c:showVal val="0"/>
          <c:showCatName val="0"/>
          <c:showSerName val="0"/>
          <c:showPercent val="0"/>
          <c:showBubbleSize val="0"/>
        </c:dLbls>
        <c:gapWidth val="70"/>
        <c:axId val="72836608"/>
        <c:axId val="72835072"/>
      </c:barChart>
      <c:lineChart>
        <c:grouping val="standard"/>
        <c:varyColors val="0"/>
        <c:ser>
          <c:idx val="1"/>
          <c:order val="1"/>
          <c:tx>
            <c:strRef>
              <c:f>'G2-Stání rozpočet-výdaje'!$C$31</c:f>
              <c:strCache>
                <c:ptCount val="1"/>
                <c:pt idx="0">
                  <c:v>Wages of employees in publ. admin.*</c:v>
                </c:pt>
              </c:strCache>
            </c:strRef>
          </c:tx>
          <c:spPr>
            <a:ln w="15875">
              <a:solidFill>
                <a:srgbClr val="984807"/>
              </a:solidFill>
            </a:ln>
          </c:spPr>
          <c:marker>
            <c:symbol val="none"/>
          </c:marker>
          <c:cat>
            <c:numRef>
              <c:f>'G2-Stání rozpočet-výdaje'!$A$35:$A$48</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'G2-Stání rozpočet-výdaje'!$C$35:$C$48</c:f>
              <c:numCache>
                <c:formatCode>0.0</c:formatCode>
                <c:ptCount val="14"/>
                <c:pt idx="0">
                  <c:v>97.33</c:v>
                </c:pt>
                <c:pt idx="1">
                  <c:v>100.19</c:v>
                </c:pt>
                <c:pt idx="2">
                  <c:v>97.67</c:v>
                </c:pt>
                <c:pt idx="3">
                  <c:v>89.6</c:v>
                </c:pt>
                <c:pt idx="4">
                  <c:v>90.45</c:v>
                </c:pt>
                <c:pt idx="5">
                  <c:v>92.375</c:v>
                </c:pt>
                <c:pt idx="6">
                  <c:v>96.582999999999998</c:v>
                </c:pt>
                <c:pt idx="7">
                  <c:v>104.19</c:v>
                </c:pt>
                <c:pt idx="8">
                  <c:v>109.86</c:v>
                </c:pt>
                <c:pt idx="9">
                  <c:v>120.08</c:v>
                </c:pt>
                <c:pt idx="10">
                  <c:v>133.9</c:v>
                </c:pt>
                <c:pt idx="11">
                  <c:v>143.72754730148006</c:v>
                </c:pt>
                <c:pt idx="12">
                  <c:v>150.49796216553</c:v>
                </c:pt>
                <c:pt idx="13">
                  <c:v>152.51231683097001</c:v>
                </c:pt>
              </c:numCache>
            </c:numRef>
          </c:val>
          <c:smooth val="0"/>
          <c:extLst>
            <c:ext xmlns:c16="http://schemas.microsoft.com/office/drawing/2014/chart" uri="{C3380CC4-5D6E-409C-BE32-E72D297353CC}">
              <c16:uniqueId val="{00000001-4A64-4624-A357-55A80524D394}"/>
            </c:ext>
          </c:extLst>
        </c:ser>
        <c:ser>
          <c:idx val="6"/>
          <c:order val="2"/>
          <c:tx>
            <c:strRef>
              <c:f>'G2-Stání rozpočet-výdaje'!$D$31</c:f>
              <c:strCache>
                <c:ptCount val="1"/>
                <c:pt idx="0">
                  <c:v>Unemployment benefits</c:v>
                </c:pt>
              </c:strCache>
            </c:strRef>
          </c:tx>
          <c:spPr>
            <a:ln w="15875">
              <a:solidFill>
                <a:srgbClr val="0070C0"/>
              </a:solidFill>
            </a:ln>
          </c:spPr>
          <c:marker>
            <c:symbol val="none"/>
          </c:marker>
          <c:cat>
            <c:numRef>
              <c:f>'G2-Stání rozpočet-výdaje'!$A$35:$A$48</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'G2-Stání rozpočet-výdaje'!$D$35:$D$48</c:f>
              <c:numCache>
                <c:formatCode>0.0</c:formatCode>
                <c:ptCount val="14"/>
                <c:pt idx="0">
                  <c:v>7.11</c:v>
                </c:pt>
                <c:pt idx="1">
                  <c:v>15.077999999999999</c:v>
                </c:pt>
                <c:pt idx="2">
                  <c:v>13.355</c:v>
                </c:pt>
                <c:pt idx="3">
                  <c:v>10.349</c:v>
                </c:pt>
                <c:pt idx="4">
                  <c:v>8.76</c:v>
                </c:pt>
                <c:pt idx="5">
                  <c:v>9.65</c:v>
                </c:pt>
                <c:pt idx="6">
                  <c:v>9.2620000000000005</c:v>
                </c:pt>
                <c:pt idx="7">
                  <c:v>8.2759999999999998</c:v>
                </c:pt>
                <c:pt idx="8">
                  <c:v>8.2200000000000006</c:v>
                </c:pt>
                <c:pt idx="9">
                  <c:v>7.82</c:v>
                </c:pt>
                <c:pt idx="10">
                  <c:v>7.51</c:v>
                </c:pt>
                <c:pt idx="11">
                  <c:v>8.1136251569399995</c:v>
                </c:pt>
                <c:pt idx="12">
                  <c:v>10.524849742540001</c:v>
                </c:pt>
                <c:pt idx="13">
                  <c:v>9.9748101241900002</c:v>
                </c:pt>
              </c:numCache>
            </c:numRef>
          </c:val>
          <c:smooth val="0"/>
          <c:extLst>
            <c:ext xmlns:c16="http://schemas.microsoft.com/office/drawing/2014/chart" uri="{C3380CC4-5D6E-409C-BE32-E72D297353CC}">
              <c16:uniqueId val="{00000002-4A64-4624-A357-55A80524D394}"/>
            </c:ext>
          </c:extLst>
        </c:ser>
        <c:ser>
          <c:idx val="7"/>
          <c:order val="3"/>
          <c:tx>
            <c:strRef>
              <c:f>'G2-Stání rozpočet-výdaje'!$E$31</c:f>
              <c:strCache>
                <c:ptCount val="1"/>
                <c:pt idx="0">
                  <c:v>State social support**</c:v>
                </c:pt>
              </c:strCache>
            </c:strRef>
          </c:tx>
          <c:spPr>
            <a:ln w="15875">
              <a:solidFill>
                <a:srgbClr val="00B050"/>
              </a:solidFill>
            </a:ln>
          </c:spPr>
          <c:marker>
            <c:symbol val="none"/>
          </c:marker>
          <c:cat>
            <c:numRef>
              <c:f>'G2-Stání rozpočet-výdaje'!$A$35:$A$48</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'G2-Stání rozpočet-výdaje'!$E$35:$E$48</c:f>
              <c:numCache>
                <c:formatCode>0.0</c:formatCode>
                <c:ptCount val="14"/>
                <c:pt idx="0">
                  <c:v>41.97</c:v>
                </c:pt>
                <c:pt idx="1">
                  <c:v>41.167999999999999</c:v>
                </c:pt>
                <c:pt idx="2">
                  <c:v>40.881</c:v>
                </c:pt>
                <c:pt idx="3">
                  <c:v>36.094000000000001</c:v>
                </c:pt>
                <c:pt idx="4">
                  <c:v>35.554000000000002</c:v>
                </c:pt>
                <c:pt idx="5">
                  <c:v>37.423000000000002</c:v>
                </c:pt>
                <c:pt idx="6">
                  <c:v>37.543999999999997</c:v>
                </c:pt>
                <c:pt idx="7">
                  <c:v>37.65</c:v>
                </c:pt>
                <c:pt idx="8">
                  <c:v>37.78</c:v>
                </c:pt>
                <c:pt idx="9">
                  <c:v>37.22</c:v>
                </c:pt>
                <c:pt idx="10">
                  <c:v>39.22</c:v>
                </c:pt>
                <c:pt idx="11">
                  <c:v>37.87859106618</c:v>
                </c:pt>
                <c:pt idx="12">
                  <c:v>51.685289497479999</c:v>
                </c:pt>
                <c:pt idx="13">
                  <c:v>48.818915255749999</c:v>
                </c:pt>
              </c:numCache>
            </c:numRef>
          </c:val>
          <c:smooth val="0"/>
          <c:extLst>
            <c:ext xmlns:c16="http://schemas.microsoft.com/office/drawing/2014/chart" uri="{C3380CC4-5D6E-409C-BE32-E72D297353CC}">
              <c16:uniqueId val="{00000003-4A64-4624-A357-55A80524D394}"/>
            </c:ext>
          </c:extLst>
        </c:ser>
        <c:ser>
          <c:idx val="2"/>
          <c:order val="4"/>
          <c:tx>
            <c:strRef>
              <c:f>'G2-Stání rozpočet-výdaje'!$F$31</c:f>
              <c:strCache>
                <c:ptCount val="1"/>
                <c:pt idx="0">
                  <c:v>Sickness benefits</c:v>
                </c:pt>
              </c:strCache>
            </c:strRef>
          </c:tx>
          <c:spPr>
            <a:ln w="15875">
              <a:solidFill>
                <a:srgbClr val="00B0F0"/>
              </a:solidFill>
            </a:ln>
          </c:spPr>
          <c:marker>
            <c:symbol val="none"/>
          </c:marker>
          <c:cat>
            <c:numRef>
              <c:f>'G2-Stání rozpočet-výdaje'!$A$35:$A$48</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'G2-Stání rozpočet-výdaje'!$F$35:$F$48</c:f>
              <c:numCache>
                <c:formatCode>0.0</c:formatCode>
                <c:ptCount val="14"/>
                <c:pt idx="0">
                  <c:v>31.882000000000001</c:v>
                </c:pt>
                <c:pt idx="1">
                  <c:v>26.233000000000001</c:v>
                </c:pt>
                <c:pt idx="2">
                  <c:v>22.995999999999999</c:v>
                </c:pt>
                <c:pt idx="3">
                  <c:v>21.734000000000002</c:v>
                </c:pt>
                <c:pt idx="4">
                  <c:v>19.602</c:v>
                </c:pt>
                <c:pt idx="5">
                  <c:v>20.350000000000001</c:v>
                </c:pt>
                <c:pt idx="6">
                  <c:v>22.283000000000001</c:v>
                </c:pt>
                <c:pt idx="7">
                  <c:v>24.31</c:v>
                </c:pt>
                <c:pt idx="8">
                  <c:v>26.5</c:v>
                </c:pt>
                <c:pt idx="9">
                  <c:v>28.57</c:v>
                </c:pt>
                <c:pt idx="10">
                  <c:v>34.173699999999997</c:v>
                </c:pt>
                <c:pt idx="11">
                  <c:v>39.094712799999996</c:v>
                </c:pt>
                <c:pt idx="12">
                  <c:v>55.4</c:v>
                </c:pt>
                <c:pt idx="13">
                  <c:v>51.355800000000002</c:v>
                </c:pt>
              </c:numCache>
            </c:numRef>
          </c:val>
          <c:smooth val="0"/>
          <c:extLst>
            <c:ext xmlns:c16="http://schemas.microsoft.com/office/drawing/2014/chart" uri="{C3380CC4-5D6E-409C-BE32-E72D297353CC}">
              <c16:uniqueId val="{00000004-4A64-4624-A357-55A80524D394}"/>
            </c:ext>
          </c:extLst>
        </c:ser>
        <c:ser>
          <c:idx val="3"/>
          <c:order val="5"/>
          <c:tx>
            <c:strRef>
              <c:f>'G2-Stání rozpočet-výdaje'!$G$31</c:f>
              <c:strCache>
                <c:ptCount val="1"/>
                <c:pt idx="0">
                  <c:v>Social care benefits***</c:v>
                </c:pt>
              </c:strCache>
            </c:strRef>
          </c:tx>
          <c:spPr>
            <a:ln w="15875">
              <a:solidFill>
                <a:srgbClr val="7030A0"/>
              </a:solidFill>
            </a:ln>
          </c:spPr>
          <c:marker>
            <c:symbol val="none"/>
          </c:marker>
          <c:cat>
            <c:numRef>
              <c:f>'G2-Stání rozpočet-výdaje'!$A$35:$A$48</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'G2-Stání rozpočet-výdaje'!$G$35:$G$48</c:f>
              <c:numCache>
                <c:formatCode>0.0</c:formatCode>
                <c:ptCount val="14"/>
                <c:pt idx="0">
                  <c:v>23.542000000000002</c:v>
                </c:pt>
                <c:pt idx="1">
                  <c:v>24.256</c:v>
                </c:pt>
                <c:pt idx="2">
                  <c:v>25.292000000000002</c:v>
                </c:pt>
                <c:pt idx="3">
                  <c:v>24.966999999999999</c:v>
                </c:pt>
                <c:pt idx="4">
                  <c:v>27.695499999999999</c:v>
                </c:pt>
                <c:pt idx="5">
                  <c:v>31.978999999999999</c:v>
                </c:pt>
                <c:pt idx="6">
                  <c:v>33.622</c:v>
                </c:pt>
                <c:pt idx="7">
                  <c:v>33.621000000000002</c:v>
                </c:pt>
                <c:pt idx="8">
                  <c:v>34.295000000000002</c:v>
                </c:pt>
                <c:pt idx="9">
                  <c:v>34.439</c:v>
                </c:pt>
                <c:pt idx="10">
                  <c:v>33.990400000000001</c:v>
                </c:pt>
                <c:pt idx="11">
                  <c:v>36.831099999999999</c:v>
                </c:pt>
                <c:pt idx="12">
                  <c:v>40.510199999999998</c:v>
                </c:pt>
                <c:pt idx="13">
                  <c:v>40.537129800000002</c:v>
                </c:pt>
              </c:numCache>
            </c:numRef>
          </c:val>
          <c:smooth val="0"/>
          <c:extLst>
            <c:ext xmlns:c16="http://schemas.microsoft.com/office/drawing/2014/chart" uri="{C3380CC4-5D6E-409C-BE32-E72D297353CC}">
              <c16:uniqueId val="{00000005-4A64-4624-A357-55A80524D394}"/>
            </c:ext>
          </c:extLst>
        </c:ser>
        <c:ser>
          <c:idx val="4"/>
          <c:order val="6"/>
          <c:tx>
            <c:strRef>
              <c:f>'G2-Stání rozpočet-výdaje'!$H$31</c:f>
              <c:strCache>
                <c:ptCount val="1"/>
                <c:pt idx="0">
                  <c:v>Non-investment purchases****</c:v>
                </c:pt>
              </c:strCache>
            </c:strRef>
          </c:tx>
          <c:spPr>
            <a:ln w="15875">
              <a:solidFill>
                <a:srgbClr val="F8A124"/>
              </a:solidFill>
              <a:prstDash val="solid"/>
            </a:ln>
          </c:spPr>
          <c:marker>
            <c:symbol val="none"/>
          </c:marker>
          <c:cat>
            <c:numRef>
              <c:f>'G2-Stání rozpočet-výdaje'!$A$35:$A$48</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'G2-Stání rozpočet-výdaje'!$H$35:$H$48</c:f>
              <c:numCache>
                <c:formatCode>0.0</c:formatCode>
                <c:ptCount val="14"/>
                <c:pt idx="0">
                  <c:v>71.581999999999994</c:v>
                </c:pt>
                <c:pt idx="1">
                  <c:v>69.73</c:v>
                </c:pt>
                <c:pt idx="2">
                  <c:v>65.116</c:v>
                </c:pt>
                <c:pt idx="3">
                  <c:v>57.98</c:v>
                </c:pt>
                <c:pt idx="4">
                  <c:v>53.174999999999997</c:v>
                </c:pt>
                <c:pt idx="5">
                  <c:v>54.192999999999998</c:v>
                </c:pt>
                <c:pt idx="6">
                  <c:v>54.751000000000005</c:v>
                </c:pt>
                <c:pt idx="7">
                  <c:v>62.36</c:v>
                </c:pt>
                <c:pt idx="8">
                  <c:v>57.560000000000009</c:v>
                </c:pt>
                <c:pt idx="9">
                  <c:v>62.76</c:v>
                </c:pt>
                <c:pt idx="10">
                  <c:v>68.41</c:v>
                </c:pt>
                <c:pt idx="11">
                  <c:v>66.430000000000007</c:v>
                </c:pt>
                <c:pt idx="12">
                  <c:v>77.884951001920001</c:v>
                </c:pt>
                <c:pt idx="13">
                  <c:v>79.132175103670008</c:v>
                </c:pt>
              </c:numCache>
            </c:numRef>
          </c:val>
          <c:smooth val="0"/>
          <c:extLst>
            <c:ext xmlns:c16="http://schemas.microsoft.com/office/drawing/2014/chart" uri="{C3380CC4-5D6E-409C-BE32-E72D297353CC}">
              <c16:uniqueId val="{00000006-4A64-4624-A357-55A80524D394}"/>
            </c:ext>
          </c:extLst>
        </c:ser>
        <c:ser>
          <c:idx val="5"/>
          <c:order val="7"/>
          <c:tx>
            <c:strRef>
              <c:f>'G2-Stání rozpočet-výdaje'!$I$31</c:f>
              <c:strCache>
                <c:ptCount val="1"/>
                <c:pt idx="0">
                  <c:v>State debt (net expenditures) *****</c:v>
                </c:pt>
              </c:strCache>
            </c:strRef>
          </c:tx>
          <c:spPr>
            <a:ln w="15875">
              <a:solidFill>
                <a:srgbClr val="BD1B25"/>
              </a:solidFill>
            </a:ln>
          </c:spPr>
          <c:marker>
            <c:symbol val="none"/>
          </c:marker>
          <c:cat>
            <c:numRef>
              <c:f>'G2-Stání rozpočet-výdaje'!$A$35:$A$48</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'G2-Stání rozpočet-výdaje'!$I$35:$I$48</c:f>
              <c:numCache>
                <c:formatCode>0.0</c:formatCode>
                <c:ptCount val="14"/>
                <c:pt idx="0">
                  <c:v>37.64</c:v>
                </c:pt>
                <c:pt idx="1">
                  <c:v>44.46</c:v>
                </c:pt>
                <c:pt idx="2">
                  <c:v>35.840000000000003</c:v>
                </c:pt>
                <c:pt idx="3">
                  <c:v>45.120000000000005</c:v>
                </c:pt>
                <c:pt idx="4">
                  <c:v>41.400000000000006</c:v>
                </c:pt>
                <c:pt idx="5">
                  <c:v>50.89</c:v>
                </c:pt>
                <c:pt idx="6">
                  <c:v>48.49</c:v>
                </c:pt>
                <c:pt idx="7">
                  <c:v>45.28</c:v>
                </c:pt>
                <c:pt idx="8">
                  <c:v>40.65</c:v>
                </c:pt>
                <c:pt idx="9">
                  <c:v>39.769999999999996</c:v>
                </c:pt>
                <c:pt idx="10">
                  <c:v>40.729999999999997</c:v>
                </c:pt>
                <c:pt idx="11">
                  <c:v>39.550577993799998</c:v>
                </c:pt>
                <c:pt idx="12">
                  <c:v>40.145474011320005</c:v>
                </c:pt>
                <c:pt idx="13">
                  <c:v>42.233847726199997</c:v>
                </c:pt>
              </c:numCache>
            </c:numRef>
          </c:val>
          <c:smooth val="0"/>
          <c:extLst>
            <c:ext xmlns:c16="http://schemas.microsoft.com/office/drawing/2014/chart" uri="{C3380CC4-5D6E-409C-BE32-E72D297353CC}">
              <c16:uniqueId val="{00000007-4A64-4624-A357-55A80524D394}"/>
            </c:ext>
          </c:extLst>
        </c:ser>
        <c:ser>
          <c:idx val="8"/>
          <c:order val="8"/>
          <c:tx>
            <c:strRef>
              <c:f>'G2-Stání rozpočet-výdaje'!$J$31</c:f>
              <c:strCache>
                <c:ptCount val="1"/>
                <c:pt idx="0">
                  <c:v>Non-investment transfers to business ent.</c:v>
                </c:pt>
              </c:strCache>
            </c:strRef>
          </c:tx>
          <c:spPr>
            <a:ln w="15875">
              <a:solidFill>
                <a:schemeClr val="bg2">
                  <a:lumMod val="25000"/>
                </a:schemeClr>
              </a:solidFill>
              <a:prstDash val="sysDash"/>
            </a:ln>
          </c:spPr>
          <c:marker>
            <c:symbol val="none"/>
          </c:marker>
          <c:cat>
            <c:numRef>
              <c:f>'G2-Stání rozpočet-výdaje'!$A$35:$A$48</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'G2-Stání rozpočet-výdaje'!$J$35:$J$48</c:f>
              <c:numCache>
                <c:formatCode>0.00</c:formatCode>
                <c:ptCount val="14"/>
                <c:pt idx="0">
                  <c:v>26.108000000000001</c:v>
                </c:pt>
                <c:pt idx="1">
                  <c:v>28.491</c:v>
                </c:pt>
                <c:pt idx="2">
                  <c:v>28.100999999999999</c:v>
                </c:pt>
                <c:pt idx="3">
                  <c:v>33.262999999999998</c:v>
                </c:pt>
                <c:pt idx="4">
                  <c:v>35.61</c:v>
                </c:pt>
                <c:pt idx="5">
                  <c:v>35.03</c:v>
                </c:pt>
                <c:pt idx="6">
                  <c:v>41.23</c:v>
                </c:pt>
                <c:pt idx="7">
                  <c:v>39.14</c:v>
                </c:pt>
                <c:pt idx="8">
                  <c:v>44.23</c:v>
                </c:pt>
                <c:pt idx="9">
                  <c:v>48.3</c:v>
                </c:pt>
                <c:pt idx="10">
                  <c:v>57.32</c:v>
                </c:pt>
                <c:pt idx="11">
                  <c:v>57.932912725290002</c:v>
                </c:pt>
                <c:pt idx="12">
                  <c:v>106.75302514385</c:v>
                </c:pt>
                <c:pt idx="13">
                  <c:v>125.50813247993001</c:v>
                </c:pt>
              </c:numCache>
            </c:numRef>
          </c:val>
          <c:smooth val="0"/>
          <c:extLst>
            <c:ext xmlns:c16="http://schemas.microsoft.com/office/drawing/2014/chart" uri="{C3380CC4-5D6E-409C-BE32-E72D297353CC}">
              <c16:uniqueId val="{00000008-4A64-4624-A357-55A80524D394}"/>
            </c:ext>
          </c:extLst>
        </c:ser>
        <c:ser>
          <c:idx val="9"/>
          <c:order val="9"/>
          <c:tx>
            <c:strRef>
              <c:f>'G2-Stání rozpočet-výdaje'!$K$31</c:f>
              <c:strCache>
                <c:ptCount val="1"/>
                <c:pt idx="0">
                  <c:v>Capital expenditures</c:v>
                </c:pt>
              </c:strCache>
            </c:strRef>
          </c:tx>
          <c:spPr>
            <a:ln w="15875">
              <a:solidFill>
                <a:schemeClr val="tx1">
                  <a:lumMod val="95000"/>
                  <a:lumOff val="5000"/>
                </a:schemeClr>
              </a:solidFill>
            </a:ln>
          </c:spPr>
          <c:marker>
            <c:symbol val="none"/>
          </c:marker>
          <c:cat>
            <c:numRef>
              <c:f>'G2-Stání rozpočet-výdaje'!$A$35:$A$48</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'G2-Stání rozpočet-výdaje'!$K$35:$K$48</c:f>
              <c:numCache>
                <c:formatCode>0.0</c:formatCode>
                <c:ptCount val="14"/>
                <c:pt idx="0">
                  <c:v>108.08</c:v>
                </c:pt>
                <c:pt idx="1">
                  <c:v>134.22999999999999</c:v>
                </c:pt>
                <c:pt idx="2">
                  <c:v>134.91</c:v>
                </c:pt>
                <c:pt idx="3">
                  <c:v>123.69</c:v>
                </c:pt>
                <c:pt idx="4">
                  <c:v>113.62</c:v>
                </c:pt>
                <c:pt idx="5">
                  <c:v>102.315</c:v>
                </c:pt>
                <c:pt idx="6">
                  <c:v>111.50700000000001</c:v>
                </c:pt>
                <c:pt idx="7">
                  <c:v>175.66</c:v>
                </c:pt>
                <c:pt idx="8">
                  <c:v>84.27</c:v>
                </c:pt>
                <c:pt idx="9">
                  <c:v>81.75</c:v>
                </c:pt>
                <c:pt idx="10">
                  <c:v>116.46</c:v>
                </c:pt>
                <c:pt idx="11">
                  <c:v>139.13928546782003</c:v>
                </c:pt>
                <c:pt idx="12">
                  <c:v>172.62079654905</c:v>
                </c:pt>
                <c:pt idx="13">
                  <c:v>177.40106130625</c:v>
                </c:pt>
              </c:numCache>
            </c:numRef>
          </c:val>
          <c:smooth val="0"/>
          <c:extLst>
            <c:ext xmlns:c16="http://schemas.microsoft.com/office/drawing/2014/chart" uri="{C3380CC4-5D6E-409C-BE32-E72D297353CC}">
              <c16:uniqueId val="{00000009-4A64-4624-A357-55A80524D394}"/>
            </c:ext>
          </c:extLst>
        </c:ser>
        <c:dLbls>
          <c:showLegendKey val="0"/>
          <c:showVal val="0"/>
          <c:showCatName val="0"/>
          <c:showSerName val="0"/>
          <c:showPercent val="0"/>
          <c:showBubbleSize val="0"/>
        </c:dLbls>
        <c:marker val="1"/>
        <c:smooth val="0"/>
        <c:axId val="72827648"/>
        <c:axId val="72829184"/>
      </c:lineChart>
      <c:catAx>
        <c:axId val="72827648"/>
        <c:scaling>
          <c:orientation val="minMax"/>
        </c:scaling>
        <c:delete val="0"/>
        <c:axPos val="b"/>
        <c:numFmt formatCode="General" sourceLinked="1"/>
        <c:majorTickMark val="out"/>
        <c:minorTickMark val="none"/>
        <c:tickLblPos val="low"/>
        <c:spPr>
          <a:ln w="6350">
            <a:solidFill>
              <a:schemeClr val="bg1">
                <a:lumMod val="50000"/>
              </a:schemeClr>
            </a:solidFill>
          </a:ln>
        </c:spPr>
        <c:crossAx val="72829184"/>
        <c:crosses val="autoZero"/>
        <c:auto val="1"/>
        <c:lblAlgn val="ctr"/>
        <c:lblOffset val="20"/>
        <c:noMultiLvlLbl val="0"/>
      </c:catAx>
      <c:valAx>
        <c:axId val="72829184"/>
        <c:scaling>
          <c:orientation val="minMax"/>
          <c:max val="180"/>
          <c:min val="0"/>
        </c:scaling>
        <c:delete val="0"/>
        <c:axPos val="l"/>
        <c:majorGridlines>
          <c:spPr>
            <a:ln w="6350">
              <a:solidFill>
                <a:schemeClr val="bg1">
                  <a:lumMod val="75000"/>
                </a:schemeClr>
              </a:solidFill>
            </a:ln>
          </c:spPr>
        </c:majorGridlines>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700" i="1">
                    <a:effectLst/>
                  </a:rPr>
                  <a:t>Other expenditures (in CZK bn)</a:t>
                </a:r>
                <a:endParaRPr lang="cs-CZ" sz="700">
                  <a:effectLst/>
                </a:endParaRPr>
              </a:p>
            </c:rich>
          </c:tx>
          <c:overlay val="0"/>
        </c:title>
        <c:numFmt formatCode="0" sourceLinked="0"/>
        <c:majorTickMark val="out"/>
        <c:minorTickMark val="none"/>
        <c:tickLblPos val="nextTo"/>
        <c:spPr>
          <a:ln w="6350">
            <a:solidFill>
              <a:schemeClr val="tx1"/>
            </a:solidFill>
          </a:ln>
        </c:spPr>
        <c:crossAx val="72827648"/>
        <c:crosses val="autoZero"/>
        <c:crossBetween val="between"/>
        <c:majorUnit val="20"/>
      </c:valAx>
      <c:valAx>
        <c:axId val="72835072"/>
        <c:scaling>
          <c:orientation val="minMax"/>
          <c:max val="1800"/>
          <c:min val="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700" i="1">
                    <a:effectLst/>
                  </a:rPr>
                  <a:t>Total current expenditures (in CZK bn)</a:t>
                </a:r>
                <a:endParaRPr lang="cs-CZ" sz="700">
                  <a:effectLst/>
                </a:endParaRPr>
              </a:p>
            </c:rich>
          </c:tx>
          <c:overlay val="0"/>
        </c:title>
        <c:numFmt formatCode="0" sourceLinked="0"/>
        <c:majorTickMark val="out"/>
        <c:minorTickMark val="none"/>
        <c:tickLblPos val="nextTo"/>
        <c:spPr>
          <a:ln w="6350">
            <a:solidFill>
              <a:schemeClr val="tx1"/>
            </a:solidFill>
          </a:ln>
        </c:spPr>
        <c:crossAx val="72836608"/>
        <c:crosses val="max"/>
        <c:crossBetween val="between"/>
        <c:majorUnit val="200"/>
      </c:valAx>
      <c:catAx>
        <c:axId val="72836608"/>
        <c:scaling>
          <c:orientation val="minMax"/>
        </c:scaling>
        <c:delete val="1"/>
        <c:axPos val="b"/>
        <c:numFmt formatCode="General" sourceLinked="1"/>
        <c:majorTickMark val="out"/>
        <c:minorTickMark val="none"/>
        <c:tickLblPos val="none"/>
        <c:crossAx val="72835072"/>
        <c:crosses val="autoZero"/>
        <c:auto val="1"/>
        <c:lblAlgn val="ctr"/>
        <c:lblOffset val="100"/>
        <c:noMultiLvlLbl val="0"/>
      </c:catAx>
      <c:spPr>
        <a:ln w="6350">
          <a:solidFill>
            <a:schemeClr val="tx1"/>
          </a:solidFill>
        </a:ln>
      </c:spPr>
    </c:plotArea>
    <c:legend>
      <c:legendPos val="b"/>
      <c:layout>
        <c:manualLayout>
          <c:xMode val="edge"/>
          <c:yMode val="edge"/>
          <c:x val="2.6201979374301685E-3"/>
          <c:y val="0.83696214669034863"/>
          <c:w val="0.98339989185419729"/>
          <c:h val="0.15176133786848073"/>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450DA-7FEB-462B-B667-C668E29BF1AD}">
  <ds:schemaRefs>
    <ds:schemaRef ds:uri="http://schemas.openxmlformats.org/officeDocument/2006/bibliography"/>
  </ds:schemaRefs>
</ds:datastoreItem>
</file>

<file path=customXml/itemProps2.xml><?xml version="1.0" encoding="utf-8"?>
<ds:datastoreItem xmlns:ds="http://schemas.openxmlformats.org/officeDocument/2006/customXml" ds:itemID="{4345F2B5-7003-457B-8FDB-E1EB6B6B7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1</TotalTime>
  <Pages>1</Pages>
  <Words>2800</Words>
  <Characters>16524</Characters>
  <Application>Microsoft Office Word</Application>
  <DocSecurity>0</DocSecurity>
  <Lines>137</Lines>
  <Paragraphs>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19286</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Mgr. Karolína Zábojníková</cp:lastModifiedBy>
  <cp:revision>4</cp:revision>
  <cp:lastPrinted>2019-04-08T10:52:00Z</cp:lastPrinted>
  <dcterms:created xsi:type="dcterms:W3CDTF">2022-04-21T10:41:00Z</dcterms:created>
  <dcterms:modified xsi:type="dcterms:W3CDTF">2022-04-21T10:54:00Z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2022-03-21T18:27:05Z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4e549edd-b07e-4b32-91fb-7727dcdc0524</vt:lpwstr>
  </property>
  <property fmtid="{D5CDD505-2E9C-101B-9397-08002B2CF9AE}" pid="8" name="MSIP_Label_29db9e61-aac5-4f6e-805d-ceb8cb9983a1_ContentBits">
    <vt:lpwstr>0</vt:lpwstr>
  </property>
</Properties>
</file>