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66AA1F" w14:textId="77777777" w:rsidR="00073B58" w:rsidRPr="00A00994" w:rsidRDefault="00073B58" w:rsidP="00073B58">
      <w:pPr>
        <w:pStyle w:val="Nadpis11"/>
        <w:rPr>
          <w:lang w:val="en-GB"/>
        </w:rPr>
      </w:pPr>
      <w:bookmarkStart w:id="0" w:name="_Toc74643859"/>
      <w:bookmarkStart w:id="1" w:name="_Toc90395915"/>
      <w:bookmarkStart w:id="2" w:name="_Toc98245446"/>
      <w:bookmarkStart w:id="3" w:name="_Toc74643860"/>
      <w:bookmarkStart w:id="4" w:name="_Toc98245444"/>
      <w:bookmarkStart w:id="5" w:name="_Toc82508189"/>
      <w:bookmarkStart w:id="6" w:name="_Toc97736119"/>
      <w:bookmarkStart w:id="7" w:name="_Toc116642874"/>
      <w:r w:rsidRPr="00A00994">
        <w:rPr>
          <w:lang w:val="en-GB"/>
        </w:rPr>
        <w:t>5. Prices</w:t>
      </w:r>
      <w:bookmarkEnd w:id="4"/>
      <w:bookmarkEnd w:id="7"/>
    </w:p>
    <w:tbl>
      <w:tblPr>
        <w:tblW w:w="9639" w:type="dxa"/>
        <w:tblInd w:w="-15" w:type="dxa"/>
        <w:tblCellMar>
          <w:left w:w="0" w:type="dxa"/>
          <w:right w:w="0" w:type="dxa"/>
        </w:tblCellMar>
        <w:tblLook w:val="00A0" w:firstRow="1" w:lastRow="0" w:firstColumn="1" w:lastColumn="0" w:noHBand="0" w:noVBand="0"/>
      </w:tblPr>
      <w:tblGrid>
        <w:gridCol w:w="1805"/>
        <w:gridCol w:w="224"/>
        <w:gridCol w:w="7610"/>
      </w:tblGrid>
      <w:tr w:rsidR="00073B58" w:rsidRPr="00A00994" w14:paraId="674FE06D" w14:textId="77777777" w:rsidTr="00073B58">
        <w:trPr>
          <w:trHeight w:val="145"/>
        </w:trPr>
        <w:tc>
          <w:tcPr>
            <w:tcW w:w="1805" w:type="dxa"/>
            <w:shd w:val="clear" w:color="auto" w:fill="auto"/>
            <w:tcMar>
              <w:left w:w="0" w:type="dxa"/>
            </w:tcMar>
          </w:tcPr>
          <w:p w14:paraId="739968E3" w14:textId="77777777" w:rsidR="00073B58" w:rsidRPr="00A00994" w:rsidRDefault="00073B58" w:rsidP="00073B58">
            <w:pPr>
              <w:pStyle w:val="Marginlie"/>
              <w:rPr>
                <w:spacing w:val="0"/>
                <w:lang w:val="en-GB"/>
              </w:rPr>
            </w:pPr>
            <w:r w:rsidRPr="00A00994">
              <w:rPr>
                <w:spacing w:val="0"/>
                <w:lang w:val="en-GB"/>
              </w:rPr>
              <w:t>Year-on-year growth of the total price level was the highest since Q3 2008.</w:t>
            </w:r>
          </w:p>
        </w:tc>
        <w:tc>
          <w:tcPr>
            <w:tcW w:w="224" w:type="dxa"/>
            <w:shd w:val="clear" w:color="auto" w:fill="auto"/>
            <w:tcMar>
              <w:left w:w="0" w:type="dxa"/>
            </w:tcMar>
          </w:tcPr>
          <w:p w14:paraId="5F59AF98"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0EB2400D" w14:textId="77777777" w:rsidR="00073B58" w:rsidRPr="00A00994" w:rsidRDefault="00073B58" w:rsidP="00073B58">
            <w:pPr>
              <w:rPr>
                <w:szCs w:val="20"/>
                <w:lang w:val="en-GB"/>
              </w:rPr>
            </w:pPr>
            <w:r w:rsidRPr="00A00994">
              <w:rPr>
                <w:szCs w:val="20"/>
                <w:lang w:val="en-GB"/>
              </w:rPr>
              <w:t xml:space="preserve">Total year-on-year increase of the price level (gauged by the GDP deflator) reached 6.6% in Q2 2022. The gain thus accelerated compared to the previous quarter and it was the highest since Q3 1998. Prices of consumption goods rose sharply (11.2%), especially those consumed by households (16.3%). Prices of government institutions consumption grew only slightly (1.3%). Prices of capital goods increased by 11.6% year-on-year. Terms of trade remained negative fourth quarter in a row and deepened to 94.3%. In that, terms of trade with goods were 93.2%, while there were strongly positive for services (103.0%). The total price level increased by 2.0% quarter-on-quarter. Prices of consumption went up by 3.4% (in that household consumption by 5.2%) and capital goods by 3.2%. </w:t>
            </w:r>
          </w:p>
        </w:tc>
      </w:tr>
      <w:tr w:rsidR="00073B58" w:rsidRPr="00A00994" w14:paraId="47ACFBEC" w14:textId="77777777" w:rsidTr="00073B58">
        <w:trPr>
          <w:trHeight w:val="145"/>
        </w:trPr>
        <w:tc>
          <w:tcPr>
            <w:tcW w:w="1805" w:type="dxa"/>
            <w:shd w:val="clear" w:color="auto" w:fill="auto"/>
            <w:tcMar>
              <w:left w:w="0" w:type="dxa"/>
            </w:tcMar>
          </w:tcPr>
          <w:p w14:paraId="7E61AE27" w14:textId="77777777" w:rsidR="00073B58" w:rsidRPr="00A00994" w:rsidRDefault="00073B58" w:rsidP="00073B58">
            <w:pPr>
              <w:pStyle w:val="Marginlie"/>
              <w:rPr>
                <w:spacing w:val="0"/>
                <w:lang w:val="en-GB"/>
              </w:rPr>
            </w:pPr>
            <w:r w:rsidRPr="00A00994">
              <w:rPr>
                <w:spacing w:val="0"/>
                <w:lang w:val="en-GB"/>
              </w:rPr>
              <w:t xml:space="preserve">Year-on-year growth of consumer prices further sharply accelerated. </w:t>
            </w:r>
          </w:p>
        </w:tc>
        <w:tc>
          <w:tcPr>
            <w:tcW w:w="224" w:type="dxa"/>
            <w:shd w:val="clear" w:color="auto" w:fill="auto"/>
            <w:tcMar>
              <w:left w:w="0" w:type="dxa"/>
            </w:tcMar>
          </w:tcPr>
          <w:p w14:paraId="04631857" w14:textId="77777777" w:rsidR="00073B58" w:rsidRPr="00A00994" w:rsidRDefault="00073B58" w:rsidP="00073B58">
            <w:pPr>
              <w:pStyle w:val="Textpoznpodarou1"/>
              <w:jc w:val="both"/>
              <w:rPr>
                <w:highlight w:val="yellow"/>
                <w:lang w:val="en-GB"/>
              </w:rPr>
            </w:pPr>
          </w:p>
        </w:tc>
        <w:tc>
          <w:tcPr>
            <w:tcW w:w="7610" w:type="dxa"/>
            <w:shd w:val="clear" w:color="auto" w:fill="auto"/>
            <w:tcMar>
              <w:left w:w="0" w:type="dxa"/>
            </w:tcMar>
          </w:tcPr>
          <w:p w14:paraId="68A972FB" w14:textId="77777777" w:rsidR="00073B58" w:rsidRPr="00A00994" w:rsidRDefault="00073B58" w:rsidP="00073B58">
            <w:pPr>
              <w:rPr>
                <w:lang w:val="en-GB"/>
              </w:rPr>
            </w:pPr>
            <w:r w:rsidRPr="00A00994">
              <w:rPr>
                <w:lang w:val="en-GB"/>
              </w:rPr>
              <w:t xml:space="preserve">The consumer price index hiked up by 15.8% year-on-year in Q2 2022. The growth pace thus substantially strengthened against the preceding quarter (the year-on-year increase attained 11.2% in Q1). Prices of goods were by 17.4% higher year-on-year and prices of services by 13.1%. The year-on-year growth of prices was accelerating in most of the consumption basket divisions, but </w:t>
            </w:r>
            <w:r>
              <w:rPr>
                <w:lang w:val="en-GB"/>
              </w:rPr>
              <w:t>f</w:t>
            </w:r>
            <w:r w:rsidRPr="00A00994">
              <w:rPr>
                <w:lang w:val="en-GB"/>
              </w:rPr>
              <w:t>ood</w:t>
            </w:r>
            <w:r>
              <w:rPr>
                <w:lang w:val="en-GB"/>
              </w:rPr>
              <w:t xml:space="preserve"> and</w:t>
            </w:r>
            <w:r w:rsidRPr="00A00994">
              <w:rPr>
                <w:lang w:val="en-GB"/>
              </w:rPr>
              <w:t xml:space="preserve"> non-alcoholic beverages</w:t>
            </w:r>
            <w:r>
              <w:rPr>
                <w:lang w:val="en-GB"/>
              </w:rPr>
              <w:t xml:space="preserve"> and</w:t>
            </w:r>
            <w:r w:rsidRPr="00A00994">
              <w:rPr>
                <w:lang w:val="en-GB"/>
              </w:rPr>
              <w:t xml:space="preserve"> housing and energies had the largest impact on the acceleration of the total price growth. Together with the prices of transportation, they also had the largest share on the total year-on-year increase. The consumer prices rose by 5.1% quarter-on-quarter (it was 6.3% in Q1). Prices of </w:t>
            </w:r>
            <w:r>
              <w:rPr>
                <w:lang w:val="en-GB"/>
              </w:rPr>
              <w:t>restaurants and hotels</w:t>
            </w:r>
            <w:r w:rsidRPr="00A00994">
              <w:rPr>
                <w:lang w:val="en-GB"/>
              </w:rPr>
              <w:t>, transportation, food and non-alcoholic beverages or housing and energies had a very strong quarter-on-quarter increase. Consumer prices rose by 13.5% year-on-year for the whole H1.</w:t>
            </w:r>
          </w:p>
        </w:tc>
      </w:tr>
      <w:tr w:rsidR="00073B58" w:rsidRPr="00A00994" w14:paraId="324F7411" w14:textId="77777777" w:rsidTr="00073B58">
        <w:trPr>
          <w:trHeight w:val="170"/>
        </w:trPr>
        <w:tc>
          <w:tcPr>
            <w:tcW w:w="1805" w:type="dxa"/>
            <w:vMerge w:val="restart"/>
            <w:shd w:val="clear" w:color="auto" w:fill="auto"/>
            <w:tcMar>
              <w:left w:w="0" w:type="dxa"/>
            </w:tcMar>
          </w:tcPr>
          <w:p w14:paraId="5249666C" w14:textId="77777777" w:rsidR="00073B58" w:rsidRPr="00A00994" w:rsidRDefault="00073B58" w:rsidP="00073B58">
            <w:pPr>
              <w:pStyle w:val="Marginlie"/>
              <w:rPr>
                <w:spacing w:val="0"/>
                <w:lang w:val="en-GB"/>
              </w:rPr>
            </w:pPr>
          </w:p>
        </w:tc>
        <w:tc>
          <w:tcPr>
            <w:tcW w:w="224" w:type="dxa"/>
            <w:vMerge w:val="restart"/>
            <w:shd w:val="clear" w:color="auto" w:fill="auto"/>
            <w:tcMar>
              <w:left w:w="0" w:type="dxa"/>
            </w:tcMar>
          </w:tcPr>
          <w:p w14:paraId="64EB2755"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2C50C983" w14:textId="77777777" w:rsidR="00073B58" w:rsidRPr="00A00994" w:rsidRDefault="00073B58" w:rsidP="00073B58">
            <w:pPr>
              <w:spacing w:after="0"/>
              <w:rPr>
                <w:lang w:val="en-GB"/>
              </w:rPr>
            </w:pPr>
            <w:r w:rsidRPr="00A00994">
              <w:rPr>
                <w:rFonts w:cs="Arial"/>
                <w:b/>
                <w:bCs/>
                <w:color w:val="000000"/>
                <w:sz w:val="18"/>
                <w:szCs w:val="18"/>
                <w:lang w:val="en-GB"/>
              </w:rPr>
              <w:t xml:space="preserve">Chart 10 Prices in the selected divisions of the consumer price index </w:t>
            </w:r>
            <w:r w:rsidRPr="00A00994">
              <w:rPr>
                <w:rFonts w:cs="Arial"/>
                <w:color w:val="000000"/>
                <w:sz w:val="18"/>
                <w:szCs w:val="18"/>
                <w:lang w:val="en-GB"/>
              </w:rPr>
              <w:t>(year-on-year in %)</w:t>
            </w:r>
          </w:p>
        </w:tc>
      </w:tr>
      <w:tr w:rsidR="00073B58" w:rsidRPr="00A00994" w14:paraId="7EFD9AB1" w14:textId="77777777" w:rsidTr="00073B58">
        <w:tblPrEx>
          <w:tblCellMar>
            <w:left w:w="70" w:type="dxa"/>
            <w:right w:w="70" w:type="dxa"/>
          </w:tblCellMar>
        </w:tblPrEx>
        <w:trPr>
          <w:trHeight w:val="170"/>
        </w:trPr>
        <w:tc>
          <w:tcPr>
            <w:tcW w:w="1805" w:type="dxa"/>
            <w:vMerge/>
            <w:shd w:val="clear" w:color="auto" w:fill="auto"/>
          </w:tcPr>
          <w:p w14:paraId="2D2482F9" w14:textId="77777777" w:rsidR="00073B58" w:rsidRPr="00A00994" w:rsidRDefault="00073B58" w:rsidP="00073B58">
            <w:pPr>
              <w:pStyle w:val="Marginlie"/>
              <w:rPr>
                <w:spacing w:val="0"/>
                <w:lang w:val="en-GB"/>
              </w:rPr>
            </w:pPr>
          </w:p>
        </w:tc>
        <w:tc>
          <w:tcPr>
            <w:tcW w:w="224" w:type="dxa"/>
            <w:vMerge/>
            <w:shd w:val="clear" w:color="auto" w:fill="auto"/>
          </w:tcPr>
          <w:p w14:paraId="6CC15947" w14:textId="77777777" w:rsidR="00073B58" w:rsidRPr="00A00994" w:rsidRDefault="00073B58" w:rsidP="00073B58">
            <w:pPr>
              <w:pStyle w:val="Textpoznpodarou1"/>
              <w:jc w:val="both"/>
              <w:rPr>
                <w:lang w:val="en-GB"/>
              </w:rPr>
            </w:pPr>
          </w:p>
        </w:tc>
        <w:tc>
          <w:tcPr>
            <w:tcW w:w="7610" w:type="dxa"/>
            <w:shd w:val="clear" w:color="auto" w:fill="auto"/>
          </w:tcPr>
          <w:p w14:paraId="508AFC4B" w14:textId="77777777" w:rsidR="00073B58" w:rsidRPr="00A00994" w:rsidRDefault="00073B58" w:rsidP="00073B58">
            <w:pPr>
              <w:spacing w:after="0"/>
              <w:rPr>
                <w:lang w:val="en-GB"/>
              </w:rPr>
            </w:pPr>
            <w:r>
              <w:rPr>
                <w:noProof/>
              </w:rPr>
              <w:drawing>
                <wp:inline distT="0" distB="0" distL="0" distR="0" wp14:anchorId="3DB6A122" wp14:editId="2250709E">
                  <wp:extent cx="4737600" cy="3553200"/>
                  <wp:effectExtent l="0" t="0" r="6350" b="0"/>
                  <wp:docPr id="46" name="Graf 46">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073B58" w:rsidRPr="00A00994" w14:paraId="4DF2E81D" w14:textId="77777777" w:rsidTr="00073B58">
        <w:trPr>
          <w:trHeight w:val="170"/>
        </w:trPr>
        <w:tc>
          <w:tcPr>
            <w:tcW w:w="1805" w:type="dxa"/>
            <w:vMerge/>
            <w:shd w:val="clear" w:color="auto" w:fill="auto"/>
            <w:tcMar>
              <w:left w:w="0" w:type="dxa"/>
            </w:tcMar>
          </w:tcPr>
          <w:p w14:paraId="62246326" w14:textId="77777777" w:rsidR="00073B58" w:rsidRPr="00A00994" w:rsidRDefault="00073B58" w:rsidP="00073B58">
            <w:pPr>
              <w:pStyle w:val="Marginlie"/>
              <w:rPr>
                <w:spacing w:val="0"/>
                <w:lang w:val="en-GB"/>
              </w:rPr>
            </w:pPr>
          </w:p>
        </w:tc>
        <w:tc>
          <w:tcPr>
            <w:tcW w:w="224" w:type="dxa"/>
            <w:vMerge/>
            <w:shd w:val="clear" w:color="auto" w:fill="auto"/>
            <w:tcMar>
              <w:left w:w="0" w:type="dxa"/>
            </w:tcMar>
          </w:tcPr>
          <w:p w14:paraId="28FC838B"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7A4F440F" w14:textId="77777777" w:rsidR="00073B58" w:rsidRPr="00A00994" w:rsidRDefault="00073B58" w:rsidP="00073B58">
            <w:pPr>
              <w:rPr>
                <w:b/>
                <w:bCs/>
                <w:sz w:val="16"/>
                <w:szCs w:val="16"/>
                <w:lang w:val="en-GB"/>
              </w:rPr>
            </w:pPr>
            <w:r w:rsidRPr="00A00994">
              <w:rPr>
                <w:sz w:val="14"/>
                <w:szCs w:val="14"/>
                <w:lang w:val="en-GB"/>
              </w:rPr>
              <w:t>Source: CZSO</w:t>
            </w:r>
          </w:p>
        </w:tc>
      </w:tr>
      <w:tr w:rsidR="00073B58" w:rsidRPr="00A00994" w14:paraId="7AA02C69" w14:textId="77777777" w:rsidTr="00073B58">
        <w:trPr>
          <w:trHeight w:val="145"/>
        </w:trPr>
        <w:tc>
          <w:tcPr>
            <w:tcW w:w="1805" w:type="dxa"/>
            <w:shd w:val="clear" w:color="auto" w:fill="auto"/>
            <w:tcMar>
              <w:left w:w="0" w:type="dxa"/>
            </w:tcMar>
          </w:tcPr>
          <w:p w14:paraId="7ABF7354" w14:textId="77777777" w:rsidR="00073B58" w:rsidRPr="00A00994" w:rsidRDefault="00073B58" w:rsidP="00073B58">
            <w:pPr>
              <w:pStyle w:val="Marginlie"/>
              <w:rPr>
                <w:spacing w:val="0"/>
                <w:lang w:val="en-GB"/>
              </w:rPr>
            </w:pPr>
            <w:r w:rsidRPr="00A00994">
              <w:rPr>
                <w:spacing w:val="0"/>
                <w:lang w:val="en-GB"/>
              </w:rPr>
              <w:t xml:space="preserve">Prices of housing and energies the most contributed to the total increase of prices. </w:t>
            </w:r>
          </w:p>
        </w:tc>
        <w:tc>
          <w:tcPr>
            <w:tcW w:w="224" w:type="dxa"/>
            <w:shd w:val="clear" w:color="auto" w:fill="auto"/>
            <w:tcMar>
              <w:left w:w="0" w:type="dxa"/>
            </w:tcMar>
          </w:tcPr>
          <w:p w14:paraId="1DB852B5"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4349A087" w14:textId="77777777" w:rsidR="00073B58" w:rsidRPr="00A00994" w:rsidRDefault="00073B58" w:rsidP="00073B58">
            <w:pPr>
              <w:rPr>
                <w:lang w:val="en-GB"/>
              </w:rPr>
            </w:pPr>
            <w:r w:rsidRPr="00A00994">
              <w:rPr>
                <w:lang w:val="en-GB"/>
              </w:rPr>
              <w:t>Prices of housing and energies jumped by 21.4% year-on-year in Q2. The pace thus accelerated excessively, specifically mainly under the influence of prices of electric</w:t>
            </w:r>
            <w:r>
              <w:rPr>
                <w:lang w:val="en-GB"/>
              </w:rPr>
              <w:t>ity</w:t>
            </w:r>
            <w:r w:rsidRPr="00A00994">
              <w:rPr>
                <w:lang w:val="en-GB"/>
              </w:rPr>
              <w:t xml:space="preserve">, gas and other fuels, whose year-on-year gain went up to 34.1%, and also due to the </w:t>
            </w:r>
            <w:r w:rsidRPr="00A00994">
              <w:rPr>
                <w:lang w:val="en-GB"/>
              </w:rPr>
              <w:lastRenderedPageBreak/>
              <w:t>imputed rent</w:t>
            </w:r>
            <w:r w:rsidRPr="00A00994">
              <w:rPr>
                <w:rStyle w:val="Znakapoznpodarou"/>
                <w:lang w:val="en-GB"/>
              </w:rPr>
              <w:footnoteReference w:id="1"/>
            </w:r>
            <w:r w:rsidRPr="00A00994">
              <w:rPr>
                <w:lang w:val="en-GB"/>
              </w:rPr>
              <w:t xml:space="preserve"> (19.0%). Prices of rent</w:t>
            </w:r>
            <w:r>
              <w:rPr>
                <w:lang w:val="en-GB"/>
              </w:rPr>
              <w:t xml:space="preserve">als for housing </w:t>
            </w:r>
            <w:r w:rsidRPr="00A00994">
              <w:rPr>
                <w:lang w:val="en-GB"/>
              </w:rPr>
              <w:t xml:space="preserve">were by 4.6% higher year-on-year, prices of regular maintenance and repairs by 20.3% and other services </w:t>
            </w:r>
            <w:r>
              <w:rPr>
                <w:lang w:val="en-GB"/>
              </w:rPr>
              <w:t xml:space="preserve">relating to the dwelling </w:t>
            </w:r>
            <w:r w:rsidRPr="00A00994">
              <w:rPr>
                <w:lang w:val="en-GB"/>
              </w:rPr>
              <w:t xml:space="preserve">by 4.7%. Compared to Q1, the prices of housing and energies increased by 5.5% (by 10.6% in Q1). </w:t>
            </w:r>
          </w:p>
        </w:tc>
      </w:tr>
      <w:tr w:rsidR="00073B58" w:rsidRPr="00A00994" w14:paraId="4B1EA1ED" w14:textId="77777777" w:rsidTr="00073B58">
        <w:trPr>
          <w:trHeight w:val="145"/>
        </w:trPr>
        <w:tc>
          <w:tcPr>
            <w:tcW w:w="1805" w:type="dxa"/>
            <w:shd w:val="clear" w:color="auto" w:fill="auto"/>
            <w:tcMar>
              <w:left w:w="0" w:type="dxa"/>
            </w:tcMar>
          </w:tcPr>
          <w:p w14:paraId="6DD4C262" w14:textId="77777777" w:rsidR="00073B58" w:rsidRPr="00A00994" w:rsidRDefault="00073B58" w:rsidP="00073B58">
            <w:pPr>
              <w:pStyle w:val="Marginlie"/>
              <w:rPr>
                <w:spacing w:val="0"/>
                <w:lang w:val="en-GB"/>
              </w:rPr>
            </w:pPr>
            <w:r w:rsidRPr="00A00994">
              <w:rPr>
                <w:spacing w:val="0"/>
                <w:lang w:val="en-GB"/>
              </w:rPr>
              <w:lastRenderedPageBreak/>
              <w:t xml:space="preserve">Prices of food and non-alcoholic beverages rose steeply. </w:t>
            </w:r>
          </w:p>
          <w:p w14:paraId="16322EC1" w14:textId="77777777" w:rsidR="00073B58" w:rsidRPr="00A00994" w:rsidRDefault="00073B58" w:rsidP="00073B58">
            <w:pPr>
              <w:pStyle w:val="Marginlie"/>
              <w:rPr>
                <w:spacing w:val="0"/>
                <w:lang w:val="en-GB"/>
              </w:rPr>
            </w:pPr>
          </w:p>
          <w:p w14:paraId="1E384D0D" w14:textId="77777777" w:rsidR="00073B58" w:rsidRPr="00A00994" w:rsidRDefault="00073B58" w:rsidP="00073B58">
            <w:pPr>
              <w:pStyle w:val="Marginlie"/>
              <w:rPr>
                <w:spacing w:val="0"/>
                <w:lang w:val="en-GB"/>
              </w:rPr>
            </w:pPr>
          </w:p>
          <w:p w14:paraId="70F0A245" w14:textId="77777777" w:rsidR="00073B58" w:rsidRPr="00A00994" w:rsidRDefault="00073B58" w:rsidP="00073B58">
            <w:pPr>
              <w:pStyle w:val="Marginlie"/>
              <w:rPr>
                <w:spacing w:val="0"/>
                <w:lang w:val="en-GB"/>
              </w:rPr>
            </w:pPr>
          </w:p>
          <w:p w14:paraId="5A8E13E5" w14:textId="77777777" w:rsidR="00073B58" w:rsidRPr="00A00994" w:rsidRDefault="00073B58" w:rsidP="00073B58">
            <w:pPr>
              <w:pStyle w:val="Marginlie"/>
              <w:rPr>
                <w:spacing w:val="0"/>
                <w:lang w:val="en-GB"/>
              </w:rPr>
            </w:pPr>
          </w:p>
          <w:p w14:paraId="179E2883" w14:textId="77777777" w:rsidR="00073B58" w:rsidRPr="00A00994" w:rsidRDefault="00073B58" w:rsidP="00073B58">
            <w:pPr>
              <w:pStyle w:val="Marginlie"/>
              <w:rPr>
                <w:spacing w:val="0"/>
                <w:lang w:val="en-GB"/>
              </w:rPr>
            </w:pPr>
          </w:p>
          <w:p w14:paraId="2984E7C8" w14:textId="77777777" w:rsidR="00073B58" w:rsidRPr="00A00994" w:rsidRDefault="00073B58" w:rsidP="00073B58">
            <w:pPr>
              <w:pStyle w:val="Marginlie"/>
              <w:rPr>
                <w:spacing w:val="0"/>
                <w:lang w:val="en-GB"/>
              </w:rPr>
            </w:pPr>
          </w:p>
        </w:tc>
        <w:tc>
          <w:tcPr>
            <w:tcW w:w="224" w:type="dxa"/>
            <w:shd w:val="clear" w:color="auto" w:fill="auto"/>
            <w:tcMar>
              <w:left w:w="0" w:type="dxa"/>
            </w:tcMar>
          </w:tcPr>
          <w:p w14:paraId="6ABCB45A"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645FD296" w14:textId="77777777" w:rsidR="00073B58" w:rsidRPr="00A00994" w:rsidRDefault="00073B58" w:rsidP="00073B58">
            <w:pPr>
              <w:rPr>
                <w:lang w:val="en-GB"/>
              </w:rPr>
            </w:pPr>
            <w:r w:rsidRPr="00A00994">
              <w:rPr>
                <w:lang w:val="en-GB"/>
              </w:rPr>
              <w:t xml:space="preserve">Prices of food and non-alcoholic beverages were raised by 14.6% year-on-year.  Severe strengthening of the year-on-year dynamics was mostly linked to the increase of prices of </w:t>
            </w:r>
            <w:r>
              <w:rPr>
                <w:lang w:val="en-GB"/>
              </w:rPr>
              <w:t>cereals and cereal products</w:t>
            </w:r>
            <w:r w:rsidRPr="00A00994">
              <w:rPr>
                <w:lang w:val="en-GB"/>
              </w:rPr>
              <w:t xml:space="preserve"> (20.1%), meat (16.2%), milk, cheese and eggs (17.5%), which corresponded to the similar increase of prices in the production sphere. The addition to prices of oils and fats was also very strong (33.4%). Prices of food and non-alcoholic beverages increased by 7.7% quarter-on-quarter. The year-on-year addition to prices of transport also gained pace (22.7%). Costs of operating a p</w:t>
            </w:r>
            <w:r>
              <w:rPr>
                <w:lang w:val="en-GB"/>
              </w:rPr>
              <w:t>ersonal transport equipment</w:t>
            </w:r>
            <w:r w:rsidRPr="00A00994">
              <w:rPr>
                <w:lang w:val="en-GB"/>
              </w:rPr>
              <w:t xml:space="preserve"> played the main role on the growth of prices of transportation (they increased by 32.1% year-on-year), when they mirrored the raised prices of motor fuels. Strengthening of the year-on-year dynamics of the prices of purchases of motor vehicles, motorcycles and bicycles however also continued (13.9%). Reduction of the student fare discounts also led to the year-on-year increase of prices of transport services by 16.7%. Prices of transport increased by 8.0% compared to Q1.</w:t>
            </w:r>
          </w:p>
        </w:tc>
      </w:tr>
      <w:tr w:rsidR="00073B58" w:rsidRPr="00A00994" w14:paraId="715306AC" w14:textId="77777777" w:rsidTr="00073B58">
        <w:trPr>
          <w:trHeight w:val="145"/>
        </w:trPr>
        <w:tc>
          <w:tcPr>
            <w:tcW w:w="1805" w:type="dxa"/>
            <w:shd w:val="clear" w:color="auto" w:fill="auto"/>
            <w:tcMar>
              <w:left w:w="0" w:type="dxa"/>
            </w:tcMar>
          </w:tcPr>
          <w:p w14:paraId="7136EE57" w14:textId="77777777" w:rsidR="00073B58" w:rsidRPr="00A00994" w:rsidRDefault="00073B58" w:rsidP="00073B58">
            <w:pPr>
              <w:pStyle w:val="Marginlie"/>
              <w:rPr>
                <w:spacing w:val="0"/>
                <w:lang w:val="en-GB"/>
              </w:rPr>
            </w:pPr>
            <w:r w:rsidRPr="00A00994">
              <w:rPr>
                <w:spacing w:val="0"/>
                <w:lang w:val="en-GB"/>
              </w:rPr>
              <w:t xml:space="preserve">Prices grew in the absolute majority of consumption basket divisions.  </w:t>
            </w:r>
          </w:p>
        </w:tc>
        <w:tc>
          <w:tcPr>
            <w:tcW w:w="224" w:type="dxa"/>
            <w:shd w:val="clear" w:color="auto" w:fill="auto"/>
            <w:tcMar>
              <w:left w:w="0" w:type="dxa"/>
            </w:tcMar>
          </w:tcPr>
          <w:p w14:paraId="6362795D"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53D6C511" w14:textId="77777777" w:rsidR="00073B58" w:rsidRPr="00A00994" w:rsidRDefault="00073B58" w:rsidP="00073B58">
            <w:pPr>
              <w:rPr>
                <w:lang w:val="en-GB"/>
              </w:rPr>
            </w:pPr>
            <w:r w:rsidRPr="00A00994">
              <w:rPr>
                <w:lang w:val="en-GB"/>
              </w:rPr>
              <w:t xml:space="preserve">Year-on-year growth of prices of </w:t>
            </w:r>
            <w:r>
              <w:rPr>
                <w:lang w:val="en-GB"/>
              </w:rPr>
              <w:t>restaurants and hotels</w:t>
            </w:r>
            <w:r w:rsidRPr="00A00994">
              <w:rPr>
                <w:lang w:val="en-GB"/>
              </w:rPr>
              <w:t xml:space="preserve"> sharply accelerated to 21.4% in Q2 (it was 12.3% in Q1). The addition increased for both </w:t>
            </w:r>
            <w:r>
              <w:rPr>
                <w:lang w:val="en-GB"/>
              </w:rPr>
              <w:t xml:space="preserve">restaurants </w:t>
            </w:r>
            <w:r w:rsidRPr="00A00994">
              <w:rPr>
                <w:lang w:val="en-GB"/>
              </w:rPr>
              <w:t xml:space="preserve">(21.9%) and </w:t>
            </w:r>
            <w:r>
              <w:rPr>
                <w:lang w:val="en-GB"/>
              </w:rPr>
              <w:t>hotels</w:t>
            </w:r>
            <w:r w:rsidRPr="00A00994">
              <w:rPr>
                <w:lang w:val="en-GB"/>
              </w:rPr>
              <w:t xml:space="preserve"> (17.9%). Prices of </w:t>
            </w:r>
            <w:r>
              <w:rPr>
                <w:lang w:val="en-GB"/>
              </w:rPr>
              <w:t>restaurants and hotels</w:t>
            </w:r>
            <w:r w:rsidRPr="00A00994">
              <w:rPr>
                <w:lang w:val="en-GB"/>
              </w:rPr>
              <w:t xml:space="preserve"> were by 8.9% higher quarter-on-quarter, which was the most among all consumption basket divisions. Prices of recreation and cultur</w:t>
            </w:r>
            <w:r>
              <w:rPr>
                <w:lang w:val="en-GB"/>
              </w:rPr>
              <w:t>e</w:t>
            </w:r>
            <w:r w:rsidRPr="00A00994">
              <w:rPr>
                <w:lang w:val="en-GB"/>
              </w:rPr>
              <w:t xml:space="preserve"> grew by 11.3% year-on-year. Prices of other items for recreation and leisure time were raised by 16.3%, audio-visual and photographic equipment by 11.9%. Prices of </w:t>
            </w:r>
            <w:r>
              <w:rPr>
                <w:lang w:val="en-GB"/>
              </w:rPr>
              <w:t xml:space="preserve">package </w:t>
            </w:r>
            <w:r w:rsidRPr="00A00994">
              <w:rPr>
                <w:lang w:val="en-GB"/>
              </w:rPr>
              <w:t xml:space="preserve">holidays increased by 10.2%, prices of recreational and cultural services by 8.9% and in case of newspapers, books and paper goods the increase was 11.1%. Items which with the view to their low weight usually are not reflected in the index so notably recorded marked contribution to the year-on-year growth of the consumer prices. It involves wearing apparel and footwear, whose prices were by 20.0% higher year-on-year, and household equipment, goods and repairs, whose prices went up by 11.7%. Year-on-year addition to prices of other goods and services accelerated to 9.7% and health to 8.4%. In contrast the growth of prices of alcoholic beverages and tobacco moderated to 5.6%.  </w:t>
            </w:r>
          </w:p>
        </w:tc>
      </w:tr>
      <w:tr w:rsidR="00073B58" w:rsidRPr="00A00994" w14:paraId="2088D320" w14:textId="77777777" w:rsidTr="00073B58">
        <w:trPr>
          <w:trHeight w:val="145"/>
        </w:trPr>
        <w:tc>
          <w:tcPr>
            <w:tcW w:w="1805" w:type="dxa"/>
            <w:shd w:val="clear" w:color="auto" w:fill="auto"/>
            <w:tcMar>
              <w:left w:w="0" w:type="dxa"/>
            </w:tcMar>
          </w:tcPr>
          <w:p w14:paraId="1933EB19" w14:textId="77777777" w:rsidR="00073B58" w:rsidRPr="00A00994" w:rsidRDefault="00073B58" w:rsidP="00073B58">
            <w:pPr>
              <w:pStyle w:val="Marginlie"/>
              <w:rPr>
                <w:spacing w:val="0"/>
                <w:lang w:val="en-GB"/>
              </w:rPr>
            </w:pPr>
            <w:r w:rsidRPr="00A00994">
              <w:rPr>
                <w:spacing w:val="0"/>
                <w:lang w:val="en-GB"/>
              </w:rPr>
              <w:t xml:space="preserve">Growth of consumer prices in the EU also accelerated. </w:t>
            </w:r>
          </w:p>
        </w:tc>
        <w:tc>
          <w:tcPr>
            <w:tcW w:w="224" w:type="dxa"/>
            <w:shd w:val="clear" w:color="auto" w:fill="auto"/>
            <w:tcMar>
              <w:left w:w="0" w:type="dxa"/>
            </w:tcMar>
          </w:tcPr>
          <w:p w14:paraId="77CEE63C"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576388ED" w14:textId="77777777" w:rsidR="00073B58" w:rsidRPr="00A00994" w:rsidRDefault="00073B58" w:rsidP="00073B58">
            <w:pPr>
              <w:rPr>
                <w:lang w:val="en-GB"/>
              </w:rPr>
            </w:pPr>
            <w:r w:rsidRPr="00A00994">
              <w:rPr>
                <w:lang w:val="en-GB"/>
              </w:rPr>
              <w:t>Year-on-year growth of the Harmonised Index of Consumer Prices (HICP)</w:t>
            </w:r>
            <w:r w:rsidRPr="00A00994">
              <w:rPr>
                <w:rStyle w:val="Znakapoznpodarou"/>
                <w:lang w:val="en-GB"/>
              </w:rPr>
              <w:footnoteReference w:id="2"/>
            </w:r>
            <w:r w:rsidRPr="00A00994">
              <w:rPr>
                <w:lang w:val="en-GB"/>
              </w:rPr>
              <w:t xml:space="preserve"> in the EU quickened to 8.8% in Q2 (it reached 6.5% in Q1). The price growth strengthened in all EU countries and was affected mainly by the development of prices of food, housing and energies and transportation, but the acceleration of the year-on-year dynamics was apparent for the majority of divisions of the consumption basket also in Europe. The consumer prices grew the most in Estonia (20.4%), Lithuania (18.5%) and Latvia (16.4%), where the prices of energies increased steeply, year-on-year in Q2. The Czech Republic ranked immediately behind them with the year-on-year increase in the amount of 15.0%. It thus considerably also exceeded its Central European neighbours – Poland (12.8%), Slovakia (11.8%) and mainly Germany (8.3%) and Austria (7.9%). Consumer prices grew the least in Malta (5.8%), France (5.9%) and Finland (7.0%) year-on-year.      </w:t>
            </w:r>
          </w:p>
        </w:tc>
      </w:tr>
      <w:tr w:rsidR="00073B58" w:rsidRPr="00A00994" w14:paraId="7C358893" w14:textId="77777777" w:rsidTr="00073B58">
        <w:trPr>
          <w:trHeight w:val="145"/>
        </w:trPr>
        <w:tc>
          <w:tcPr>
            <w:tcW w:w="1805" w:type="dxa"/>
            <w:shd w:val="clear" w:color="auto" w:fill="auto"/>
            <w:tcMar>
              <w:left w:w="0" w:type="dxa"/>
            </w:tcMar>
          </w:tcPr>
          <w:p w14:paraId="3C184319" w14:textId="77777777" w:rsidR="00073B58" w:rsidRPr="00A00994" w:rsidRDefault="00073B58" w:rsidP="00073B58">
            <w:pPr>
              <w:pStyle w:val="Marginlie"/>
              <w:rPr>
                <w:spacing w:val="0"/>
                <w:lang w:val="en-GB"/>
              </w:rPr>
            </w:pPr>
            <w:r w:rsidRPr="00A00994">
              <w:rPr>
                <w:spacing w:val="0"/>
                <w:lang w:val="en-GB"/>
              </w:rPr>
              <w:lastRenderedPageBreak/>
              <w:t xml:space="preserve">Catalogue prices of flats sharply increased. </w:t>
            </w:r>
          </w:p>
        </w:tc>
        <w:tc>
          <w:tcPr>
            <w:tcW w:w="224" w:type="dxa"/>
            <w:shd w:val="clear" w:color="auto" w:fill="auto"/>
            <w:tcMar>
              <w:left w:w="0" w:type="dxa"/>
            </w:tcMar>
          </w:tcPr>
          <w:p w14:paraId="09D2F312"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7CC3BCF9" w14:textId="77777777" w:rsidR="00073B58" w:rsidRPr="00A00994" w:rsidRDefault="00073B58" w:rsidP="00073B58">
            <w:pPr>
              <w:rPr>
                <w:lang w:val="en-GB"/>
              </w:rPr>
            </w:pPr>
            <w:r w:rsidRPr="00A00994">
              <w:rPr>
                <w:lang w:val="en-GB"/>
              </w:rPr>
              <w:t xml:space="preserve">The year-on-year growth of the catalogue prices of flats further accelerated in the CR and it amounted to 24.7% in Q2. While the increase of catalogue prices of flats in the CR outside of Prague strengthened to 30.6% and in Prague it accelerated to 19.7%. Quarter-on-quarter growth of the catalogue prices of flats strengthened to 8.7% in the CR, it reached 9.5% in the CR apart from Prague and by 8.0% in Prague. Realised prices of older flats were by 27.6% higher in the CR year-on-year in Q2. At the same time the year-on-year pace strengthened only slightly after the period of substantial acceleration. The year-on-year growth of realised prices of older flats even weakened in Prague for the second time in a row (16.7%). The dynamics mildly strengthened to 30.8% in the whole CR without Prague. Quarter-on-quarter, the realised prices of older flats increased by 5.3% in the CR, by 6.2% in the CR without Prague and by 1.8% in Prague. Realised prices of new flats increased by 26.3% in Prague year-on-year, but only by 0.5% quarter-on-quarter, which represented the smallest increase since the end of year 2017. </w:t>
            </w:r>
          </w:p>
        </w:tc>
      </w:tr>
      <w:tr w:rsidR="00073B58" w:rsidRPr="00A00994" w14:paraId="5CF276DF" w14:textId="77777777" w:rsidTr="00073B58">
        <w:trPr>
          <w:trHeight w:val="170"/>
        </w:trPr>
        <w:tc>
          <w:tcPr>
            <w:tcW w:w="1805" w:type="dxa"/>
            <w:vMerge w:val="restart"/>
            <w:shd w:val="clear" w:color="auto" w:fill="auto"/>
            <w:tcMar>
              <w:left w:w="0" w:type="dxa"/>
            </w:tcMar>
          </w:tcPr>
          <w:p w14:paraId="2CC573CD" w14:textId="77777777" w:rsidR="00073B58" w:rsidRPr="00A00994" w:rsidRDefault="00073B58" w:rsidP="00073B58">
            <w:pPr>
              <w:pStyle w:val="Marginlie"/>
              <w:rPr>
                <w:spacing w:val="0"/>
                <w:lang w:val="en-GB"/>
              </w:rPr>
            </w:pPr>
          </w:p>
        </w:tc>
        <w:tc>
          <w:tcPr>
            <w:tcW w:w="224" w:type="dxa"/>
            <w:vMerge w:val="restart"/>
            <w:shd w:val="clear" w:color="auto" w:fill="auto"/>
            <w:tcMar>
              <w:left w:w="0" w:type="dxa"/>
            </w:tcMar>
          </w:tcPr>
          <w:p w14:paraId="2DF857D1"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2B4DA653" w14:textId="77777777" w:rsidR="00073B58" w:rsidRPr="00A00994" w:rsidRDefault="00073B58" w:rsidP="00073B58">
            <w:pPr>
              <w:spacing w:after="0"/>
              <w:rPr>
                <w:lang w:val="en-GB"/>
              </w:rPr>
            </w:pPr>
            <w:r w:rsidRPr="00A00994">
              <w:rPr>
                <w:b/>
                <w:sz w:val="18"/>
                <w:szCs w:val="18"/>
                <w:lang w:val="en-GB" w:eastAsia="en-US"/>
              </w:rPr>
              <w:t xml:space="preserve">Chart 11 Prices of real estate </w:t>
            </w:r>
            <w:r w:rsidRPr="00A00994">
              <w:rPr>
                <w:sz w:val="18"/>
                <w:szCs w:val="18"/>
                <w:lang w:val="en-GB" w:eastAsia="en-US"/>
              </w:rPr>
              <w:t>(year-on-year change, in %)</w:t>
            </w:r>
          </w:p>
        </w:tc>
      </w:tr>
      <w:tr w:rsidR="00073B58" w:rsidRPr="00A00994" w14:paraId="7A95BDF7" w14:textId="77777777" w:rsidTr="00073B58">
        <w:tblPrEx>
          <w:tblCellMar>
            <w:left w:w="70" w:type="dxa"/>
            <w:right w:w="70" w:type="dxa"/>
          </w:tblCellMar>
        </w:tblPrEx>
        <w:trPr>
          <w:trHeight w:val="170"/>
        </w:trPr>
        <w:tc>
          <w:tcPr>
            <w:tcW w:w="1805" w:type="dxa"/>
            <w:vMerge/>
            <w:shd w:val="clear" w:color="auto" w:fill="auto"/>
          </w:tcPr>
          <w:p w14:paraId="5CC7361B" w14:textId="77777777" w:rsidR="00073B58" w:rsidRPr="00A00994" w:rsidRDefault="00073B58" w:rsidP="00073B58">
            <w:pPr>
              <w:pStyle w:val="Marginlie"/>
              <w:rPr>
                <w:spacing w:val="0"/>
                <w:lang w:val="en-GB"/>
              </w:rPr>
            </w:pPr>
          </w:p>
        </w:tc>
        <w:tc>
          <w:tcPr>
            <w:tcW w:w="224" w:type="dxa"/>
            <w:vMerge/>
            <w:shd w:val="clear" w:color="auto" w:fill="auto"/>
          </w:tcPr>
          <w:p w14:paraId="617395A1" w14:textId="77777777" w:rsidR="00073B58" w:rsidRPr="00A00994" w:rsidRDefault="00073B58" w:rsidP="00073B58">
            <w:pPr>
              <w:pStyle w:val="Textpoznpodarou1"/>
              <w:jc w:val="both"/>
              <w:rPr>
                <w:lang w:val="en-GB"/>
              </w:rPr>
            </w:pPr>
          </w:p>
        </w:tc>
        <w:tc>
          <w:tcPr>
            <w:tcW w:w="7610" w:type="dxa"/>
            <w:shd w:val="clear" w:color="auto" w:fill="auto"/>
          </w:tcPr>
          <w:p w14:paraId="2A4029F1" w14:textId="77777777" w:rsidR="00073B58" w:rsidRPr="00A00994" w:rsidRDefault="00073B58" w:rsidP="00073B58">
            <w:pPr>
              <w:spacing w:after="0"/>
              <w:rPr>
                <w:lang w:val="en-GB"/>
              </w:rPr>
            </w:pPr>
            <w:r>
              <w:rPr>
                <w:noProof/>
              </w:rPr>
              <w:drawing>
                <wp:inline distT="0" distB="0" distL="0" distR="0" wp14:anchorId="02FD1A05" wp14:editId="42DBE345">
                  <wp:extent cx="4737600" cy="3553200"/>
                  <wp:effectExtent l="0" t="0" r="6350" b="0"/>
                  <wp:docPr id="47" name="Graf 47">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073B58" w:rsidRPr="00A00994" w14:paraId="1BC3E887" w14:textId="77777777" w:rsidTr="00073B58">
        <w:trPr>
          <w:trHeight w:val="170"/>
        </w:trPr>
        <w:tc>
          <w:tcPr>
            <w:tcW w:w="1805" w:type="dxa"/>
            <w:vMerge/>
            <w:shd w:val="clear" w:color="auto" w:fill="auto"/>
            <w:tcMar>
              <w:left w:w="0" w:type="dxa"/>
            </w:tcMar>
          </w:tcPr>
          <w:p w14:paraId="5DA5AE81" w14:textId="77777777" w:rsidR="00073B58" w:rsidRPr="00A00994" w:rsidRDefault="00073B58" w:rsidP="00073B58">
            <w:pPr>
              <w:pStyle w:val="Marginlie"/>
              <w:rPr>
                <w:spacing w:val="0"/>
                <w:lang w:val="en-GB"/>
              </w:rPr>
            </w:pPr>
          </w:p>
        </w:tc>
        <w:tc>
          <w:tcPr>
            <w:tcW w:w="224" w:type="dxa"/>
            <w:vMerge/>
            <w:shd w:val="clear" w:color="auto" w:fill="auto"/>
            <w:tcMar>
              <w:left w:w="0" w:type="dxa"/>
            </w:tcMar>
          </w:tcPr>
          <w:p w14:paraId="38247BC8"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6AAD773A" w14:textId="77777777" w:rsidR="00073B58" w:rsidRPr="00A00994" w:rsidRDefault="00073B58" w:rsidP="00073B58">
            <w:pPr>
              <w:rPr>
                <w:b/>
                <w:bCs/>
                <w:sz w:val="16"/>
                <w:szCs w:val="16"/>
                <w:lang w:val="en-GB"/>
              </w:rPr>
            </w:pPr>
            <w:r w:rsidRPr="00A00994">
              <w:rPr>
                <w:sz w:val="14"/>
                <w:szCs w:val="14"/>
                <w:lang w:val="en-GB"/>
              </w:rPr>
              <w:t>Source: CZSO</w:t>
            </w:r>
          </w:p>
        </w:tc>
      </w:tr>
      <w:tr w:rsidR="00073B58" w:rsidRPr="00A00994" w14:paraId="0FAE4D66" w14:textId="77777777" w:rsidTr="00073B58">
        <w:trPr>
          <w:trHeight w:val="145"/>
        </w:trPr>
        <w:tc>
          <w:tcPr>
            <w:tcW w:w="1805" w:type="dxa"/>
            <w:shd w:val="clear" w:color="auto" w:fill="auto"/>
            <w:tcMar>
              <w:left w:w="0" w:type="dxa"/>
            </w:tcMar>
          </w:tcPr>
          <w:p w14:paraId="45BC5191" w14:textId="77777777" w:rsidR="00073B58" w:rsidRPr="00A00994" w:rsidRDefault="00073B58" w:rsidP="00073B58">
            <w:pPr>
              <w:pStyle w:val="Marginlie"/>
              <w:rPr>
                <w:spacing w:val="0"/>
                <w:lang w:val="en-GB"/>
              </w:rPr>
            </w:pPr>
            <w:r w:rsidRPr="00A00994">
              <w:rPr>
                <w:spacing w:val="0"/>
                <w:lang w:val="en-GB"/>
              </w:rPr>
              <w:t xml:space="preserve">Continuing growth of prices of materials drove the year-on-year dynamics of the industrial producer prices. </w:t>
            </w:r>
          </w:p>
        </w:tc>
        <w:tc>
          <w:tcPr>
            <w:tcW w:w="224" w:type="dxa"/>
            <w:shd w:val="clear" w:color="auto" w:fill="auto"/>
            <w:tcMar>
              <w:left w:w="0" w:type="dxa"/>
            </w:tcMar>
          </w:tcPr>
          <w:p w14:paraId="64920F4D"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5261DED4" w14:textId="77777777" w:rsidR="00073B58" w:rsidRPr="00A00994" w:rsidRDefault="00073B58" w:rsidP="00073B58">
            <w:pPr>
              <w:rPr>
                <w:lang w:val="en-GB"/>
              </w:rPr>
            </w:pPr>
            <w:r w:rsidRPr="00A00994">
              <w:rPr>
                <w:lang w:val="en-GB"/>
              </w:rPr>
              <w:t xml:space="preserve">Industrial producer prices increased by 27.7% year-on-year in Q2. Quarter-on-quarter, they went up by 7.8%. The year-on-year thus further accelerated, mainly under the influence of growing prices of oil and natural gas and also electricity. Manufacturing, whose </w:t>
            </w:r>
            <w:r>
              <w:rPr>
                <w:lang w:val="en-GB"/>
              </w:rPr>
              <w:t xml:space="preserve">prices </w:t>
            </w:r>
            <w:r w:rsidRPr="00A00994">
              <w:rPr>
                <w:lang w:val="en-GB"/>
              </w:rPr>
              <w:t>year-on-year increase strengthened to 24.2%, had an essential share on the growth of prices of industrial producers. The development of prices of coke and refined oil products</w:t>
            </w:r>
            <w:r w:rsidRPr="00A00994">
              <w:rPr>
                <w:rStyle w:val="Znakapoznpodarou"/>
                <w:lang w:val="en-GB"/>
              </w:rPr>
              <w:footnoteReference w:id="3"/>
            </w:r>
            <w:r w:rsidRPr="00A00994">
              <w:rPr>
                <w:lang w:val="en-GB"/>
              </w:rPr>
              <w:t xml:space="preserve"> contributed the most. Prices of basic metals and fabricated metal products grew massively (33.4%) and year-on-year increases of prices of food products, beverages and tobacco (18.6%), rubber and plastic products (20.7%), chemical substances and products (42.8%), wood, paper and print (32.7%) also had a strong impact. Prices of textile, wearing apparel and leather (13.8%), machinery and equipment (12.6%), furniture and other manufacturing products (9.4%), computers, electronic and optical appliances (7.6%), electrical appliances (7.6%) and basic pharmaceutical products (7.1%) also grew strongly. Prices of transport equipment </w:t>
            </w:r>
            <w:r w:rsidRPr="00A00994">
              <w:rPr>
                <w:lang w:val="en-GB"/>
              </w:rPr>
              <w:lastRenderedPageBreak/>
              <w:t>(2.1%), which did not join the growth trend observed in the rest of industry in the previous quarters, also features a mild year-on-year increase.</w:t>
            </w:r>
          </w:p>
        </w:tc>
      </w:tr>
      <w:tr w:rsidR="00073B58" w:rsidRPr="00A00994" w14:paraId="0FCE8A8F" w14:textId="77777777" w:rsidTr="00073B58">
        <w:trPr>
          <w:trHeight w:val="145"/>
        </w:trPr>
        <w:tc>
          <w:tcPr>
            <w:tcW w:w="1805" w:type="dxa"/>
            <w:shd w:val="clear" w:color="auto" w:fill="auto"/>
            <w:tcMar>
              <w:left w:w="0" w:type="dxa"/>
            </w:tcMar>
          </w:tcPr>
          <w:p w14:paraId="2CDC087D" w14:textId="77777777" w:rsidR="00073B58" w:rsidRPr="00A00994" w:rsidRDefault="00073B58" w:rsidP="00073B58">
            <w:pPr>
              <w:pStyle w:val="Marginlie"/>
              <w:rPr>
                <w:spacing w:val="0"/>
                <w:lang w:val="en-GB"/>
              </w:rPr>
            </w:pPr>
            <w:r w:rsidRPr="00A00994">
              <w:rPr>
                <w:spacing w:val="0"/>
                <w:lang w:val="en-GB"/>
              </w:rPr>
              <w:lastRenderedPageBreak/>
              <w:t xml:space="preserve">Electricity prices substantially contributed to the increase of industrial producer prices.  </w:t>
            </w:r>
          </w:p>
        </w:tc>
        <w:tc>
          <w:tcPr>
            <w:tcW w:w="224" w:type="dxa"/>
            <w:shd w:val="clear" w:color="auto" w:fill="auto"/>
            <w:tcMar>
              <w:left w:w="0" w:type="dxa"/>
            </w:tcMar>
          </w:tcPr>
          <w:p w14:paraId="103E735D"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46DC62FE" w14:textId="77777777" w:rsidR="00073B58" w:rsidRPr="00A00994" w:rsidRDefault="00073B58" w:rsidP="00073B58">
            <w:pPr>
              <w:rPr>
                <w:lang w:val="en-GB"/>
              </w:rPr>
            </w:pPr>
            <w:r w:rsidRPr="00A00994">
              <w:rPr>
                <w:lang w:val="en-GB"/>
              </w:rPr>
              <w:t>Electricity, gas, steam and air conditioning also considerably contributed to the industrial producer price growth. The year-on-year increase of their prices slightly strengthened to 47.2% in Q2. Year-on-year growth of prices of mining and quarrying was also strengthening (31.9%). Prices of extraction of oil and natural gas and coal featured immense growth, but prices of other mining, where for instance building materials belong, also kept growing strongly. Prices of water supply</w:t>
            </w:r>
            <w:r>
              <w:rPr>
                <w:lang w:val="en-GB"/>
              </w:rPr>
              <w:t xml:space="preserve">, sewerage and waste </w:t>
            </w:r>
            <w:r w:rsidRPr="00A00994">
              <w:rPr>
                <w:lang w:val="en-GB"/>
              </w:rPr>
              <w:t>management were raised by 5.3%.</w:t>
            </w:r>
          </w:p>
        </w:tc>
      </w:tr>
      <w:tr w:rsidR="00073B58" w:rsidRPr="00A00994" w14:paraId="233E3A93" w14:textId="77777777" w:rsidTr="00073B58">
        <w:trPr>
          <w:trHeight w:val="145"/>
        </w:trPr>
        <w:tc>
          <w:tcPr>
            <w:tcW w:w="1805" w:type="dxa"/>
            <w:shd w:val="clear" w:color="auto" w:fill="auto"/>
            <w:tcMar>
              <w:left w:w="0" w:type="dxa"/>
            </w:tcMar>
          </w:tcPr>
          <w:p w14:paraId="01A65317" w14:textId="77777777" w:rsidR="00073B58" w:rsidRPr="00A00994" w:rsidRDefault="00073B58" w:rsidP="00073B58">
            <w:pPr>
              <w:pStyle w:val="Marginlie"/>
              <w:rPr>
                <w:spacing w:val="0"/>
                <w:lang w:val="en-GB"/>
              </w:rPr>
            </w:pPr>
            <w:r w:rsidRPr="00A00994">
              <w:rPr>
                <w:spacing w:val="0"/>
                <w:lang w:val="en-GB"/>
              </w:rPr>
              <w:t xml:space="preserve">Industrial producer prices continued strongly growing in the EU. </w:t>
            </w:r>
          </w:p>
        </w:tc>
        <w:tc>
          <w:tcPr>
            <w:tcW w:w="224" w:type="dxa"/>
            <w:shd w:val="clear" w:color="auto" w:fill="auto"/>
            <w:tcMar>
              <w:left w:w="0" w:type="dxa"/>
            </w:tcMar>
          </w:tcPr>
          <w:p w14:paraId="64CE433D"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57F6699B" w14:textId="77777777" w:rsidR="00073B58" w:rsidRPr="00A00994" w:rsidRDefault="00073B58" w:rsidP="00073B58">
            <w:pPr>
              <w:rPr>
                <w:lang w:val="en-GB"/>
              </w:rPr>
            </w:pPr>
            <w:r w:rsidRPr="00A00994">
              <w:rPr>
                <w:lang w:val="en-GB"/>
              </w:rPr>
              <w:t>Year-on-year increase of industrial producer prices in the EU</w:t>
            </w:r>
            <w:r w:rsidRPr="00A00994">
              <w:rPr>
                <w:rStyle w:val="Znakapoznpodarou"/>
                <w:lang w:val="en-GB"/>
              </w:rPr>
              <w:footnoteReference w:id="4"/>
            </w:r>
            <w:r w:rsidRPr="00A00994">
              <w:rPr>
                <w:lang w:val="en-GB"/>
              </w:rPr>
              <w:t xml:space="preserve"> amounted to 36.5% in Q2 2022. The increase quickened, however its strengthening was milder compared to the preceding quarters. Producer prices rose by 6.2% quarter-on-quarter, which presents a slower pace than in the previous two quarters. The prices of electricity, gas, steam and air conditioning grew the most in the EU (100.8%), the acceleration of their dynamics nevertheless halted. Prices of mining and quarrying were by 81.7% higher year-on-year in Q2, which represented substantial strengthening of the pace. Prices were higher by 20.8% in manufacturing. The industrial producer prices increased the most in Romania (60.4%), Denmark (59.2%) and in Belgium (51.9%). The addition to prices in Estonia also overtook the 50% level (50.5%). Prices of industrial producers increased the least in Malta (9.5%), Sweden (23.3%) and Cyprus (24.5%) year-on-year.</w:t>
            </w:r>
          </w:p>
        </w:tc>
      </w:tr>
      <w:tr w:rsidR="00073B58" w:rsidRPr="00A00994" w14:paraId="34CF3CBC" w14:textId="77777777" w:rsidTr="00073B58">
        <w:trPr>
          <w:trHeight w:val="170"/>
        </w:trPr>
        <w:tc>
          <w:tcPr>
            <w:tcW w:w="1805" w:type="dxa"/>
            <w:vMerge w:val="restart"/>
            <w:shd w:val="clear" w:color="auto" w:fill="auto"/>
            <w:tcMar>
              <w:left w:w="0" w:type="dxa"/>
            </w:tcMar>
          </w:tcPr>
          <w:p w14:paraId="2559D605" w14:textId="77777777" w:rsidR="00073B58" w:rsidRPr="00A00994" w:rsidRDefault="00073B58" w:rsidP="00073B58">
            <w:pPr>
              <w:pStyle w:val="Marginlie"/>
              <w:rPr>
                <w:spacing w:val="0"/>
                <w:lang w:val="en-GB"/>
              </w:rPr>
            </w:pPr>
          </w:p>
        </w:tc>
        <w:tc>
          <w:tcPr>
            <w:tcW w:w="224" w:type="dxa"/>
            <w:vMerge w:val="restart"/>
            <w:shd w:val="clear" w:color="auto" w:fill="auto"/>
            <w:tcMar>
              <w:left w:w="0" w:type="dxa"/>
            </w:tcMar>
          </w:tcPr>
          <w:p w14:paraId="027455A3" w14:textId="77777777" w:rsidR="00073B58" w:rsidRPr="00A00994" w:rsidRDefault="00073B58" w:rsidP="00073B58">
            <w:pPr>
              <w:pStyle w:val="Textpoznpodarou1"/>
              <w:jc w:val="both"/>
              <w:rPr>
                <w:highlight w:val="yellow"/>
                <w:lang w:val="en-GB"/>
              </w:rPr>
            </w:pPr>
          </w:p>
        </w:tc>
        <w:tc>
          <w:tcPr>
            <w:tcW w:w="7610" w:type="dxa"/>
            <w:shd w:val="clear" w:color="auto" w:fill="auto"/>
            <w:tcMar>
              <w:left w:w="0" w:type="dxa"/>
            </w:tcMar>
          </w:tcPr>
          <w:p w14:paraId="4405FD32" w14:textId="77777777" w:rsidR="00073B58" w:rsidRPr="00A00994" w:rsidRDefault="00073B58" w:rsidP="00073B58">
            <w:pPr>
              <w:spacing w:after="0"/>
              <w:rPr>
                <w:b/>
                <w:szCs w:val="20"/>
                <w:lang w:val="en-GB"/>
              </w:rPr>
            </w:pPr>
            <w:r w:rsidRPr="00A00994">
              <w:rPr>
                <w:b/>
                <w:sz w:val="18"/>
                <w:szCs w:val="18"/>
                <w:lang w:val="en-GB"/>
              </w:rPr>
              <w:t xml:space="preserve">Chart 12 </w:t>
            </w:r>
            <w:r w:rsidRPr="00A00994">
              <w:rPr>
                <w:b/>
                <w:szCs w:val="20"/>
                <w:lang w:val="en-GB" w:eastAsia="en-US"/>
              </w:rPr>
              <w:t xml:space="preserve">Prices of main groups of industrial producers </w:t>
            </w:r>
            <w:r w:rsidRPr="00A00994">
              <w:rPr>
                <w:bCs/>
                <w:szCs w:val="20"/>
                <w:lang w:val="en-GB" w:eastAsia="en-US"/>
              </w:rPr>
              <w:t>(year-on-year change, in %, based on CPA classification)</w:t>
            </w:r>
            <w:r w:rsidRPr="00A00994">
              <w:rPr>
                <w:b/>
                <w:szCs w:val="20"/>
                <w:lang w:val="en-GB" w:eastAsia="en-US"/>
              </w:rPr>
              <w:t xml:space="preserve"> </w:t>
            </w:r>
          </w:p>
        </w:tc>
      </w:tr>
      <w:tr w:rsidR="00073B58" w:rsidRPr="00A00994" w14:paraId="540401BB" w14:textId="77777777" w:rsidTr="00073B58">
        <w:tblPrEx>
          <w:tblCellMar>
            <w:left w:w="70" w:type="dxa"/>
            <w:right w:w="70" w:type="dxa"/>
          </w:tblCellMar>
        </w:tblPrEx>
        <w:trPr>
          <w:trHeight w:val="170"/>
        </w:trPr>
        <w:tc>
          <w:tcPr>
            <w:tcW w:w="1805" w:type="dxa"/>
            <w:vMerge/>
            <w:shd w:val="clear" w:color="auto" w:fill="auto"/>
          </w:tcPr>
          <w:p w14:paraId="0D59D36A" w14:textId="77777777" w:rsidR="00073B58" w:rsidRPr="00A00994" w:rsidRDefault="00073B58" w:rsidP="00073B58">
            <w:pPr>
              <w:pStyle w:val="Marginlie"/>
              <w:rPr>
                <w:spacing w:val="0"/>
                <w:lang w:val="en-GB"/>
              </w:rPr>
            </w:pPr>
          </w:p>
        </w:tc>
        <w:tc>
          <w:tcPr>
            <w:tcW w:w="224" w:type="dxa"/>
            <w:vMerge/>
            <w:shd w:val="clear" w:color="auto" w:fill="auto"/>
          </w:tcPr>
          <w:p w14:paraId="4A103830" w14:textId="77777777" w:rsidR="00073B58" w:rsidRPr="00A00994" w:rsidRDefault="00073B58" w:rsidP="00073B58">
            <w:pPr>
              <w:pStyle w:val="Textpoznpodarou1"/>
              <w:jc w:val="both"/>
              <w:rPr>
                <w:lang w:val="en-GB"/>
              </w:rPr>
            </w:pPr>
          </w:p>
        </w:tc>
        <w:tc>
          <w:tcPr>
            <w:tcW w:w="7610" w:type="dxa"/>
            <w:shd w:val="clear" w:color="auto" w:fill="auto"/>
          </w:tcPr>
          <w:p w14:paraId="6B48697E" w14:textId="77777777" w:rsidR="00073B58" w:rsidRPr="00A00994" w:rsidRDefault="00073B58" w:rsidP="00073B58">
            <w:pPr>
              <w:spacing w:after="0"/>
              <w:rPr>
                <w:lang w:val="en-GB"/>
              </w:rPr>
            </w:pPr>
            <w:r>
              <w:rPr>
                <w:noProof/>
              </w:rPr>
              <w:drawing>
                <wp:inline distT="0" distB="0" distL="0" distR="0" wp14:anchorId="08AAA36A" wp14:editId="154BDFB8">
                  <wp:extent cx="4737600" cy="3553200"/>
                  <wp:effectExtent l="0" t="0" r="6350" b="0"/>
                  <wp:docPr id="51" name="Graf 5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073B58" w:rsidRPr="00A00994" w14:paraId="55FE032C" w14:textId="77777777" w:rsidTr="00073B58">
        <w:trPr>
          <w:trHeight w:val="170"/>
        </w:trPr>
        <w:tc>
          <w:tcPr>
            <w:tcW w:w="1805" w:type="dxa"/>
            <w:vMerge/>
            <w:shd w:val="clear" w:color="auto" w:fill="auto"/>
            <w:tcMar>
              <w:left w:w="0" w:type="dxa"/>
            </w:tcMar>
          </w:tcPr>
          <w:p w14:paraId="38C33F9F" w14:textId="77777777" w:rsidR="00073B58" w:rsidRPr="00A00994" w:rsidRDefault="00073B58" w:rsidP="00073B58">
            <w:pPr>
              <w:pStyle w:val="Marginlie"/>
              <w:rPr>
                <w:spacing w:val="0"/>
                <w:lang w:val="en-GB"/>
              </w:rPr>
            </w:pPr>
          </w:p>
        </w:tc>
        <w:tc>
          <w:tcPr>
            <w:tcW w:w="224" w:type="dxa"/>
            <w:vMerge/>
            <w:shd w:val="clear" w:color="auto" w:fill="auto"/>
            <w:tcMar>
              <w:left w:w="0" w:type="dxa"/>
            </w:tcMar>
          </w:tcPr>
          <w:p w14:paraId="356C84B0"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1F2B2A2F" w14:textId="77777777" w:rsidR="00073B58" w:rsidRPr="00A00994" w:rsidRDefault="00073B58" w:rsidP="00073B58">
            <w:pPr>
              <w:rPr>
                <w:b/>
                <w:bCs/>
                <w:sz w:val="16"/>
                <w:szCs w:val="16"/>
                <w:lang w:val="en-GB"/>
              </w:rPr>
            </w:pPr>
            <w:r w:rsidRPr="00A00994">
              <w:rPr>
                <w:sz w:val="14"/>
                <w:szCs w:val="14"/>
                <w:lang w:val="en-GB"/>
              </w:rPr>
              <w:t>Source: CZSO</w:t>
            </w:r>
          </w:p>
        </w:tc>
      </w:tr>
      <w:tr w:rsidR="00073B58" w:rsidRPr="00A00994" w14:paraId="7F08EEB9" w14:textId="77777777" w:rsidTr="00073B58">
        <w:trPr>
          <w:trHeight w:val="145"/>
        </w:trPr>
        <w:tc>
          <w:tcPr>
            <w:tcW w:w="1805" w:type="dxa"/>
            <w:shd w:val="clear" w:color="auto" w:fill="auto"/>
            <w:tcMar>
              <w:left w:w="0" w:type="dxa"/>
            </w:tcMar>
          </w:tcPr>
          <w:p w14:paraId="0CCC8E5F" w14:textId="77777777" w:rsidR="00073B58" w:rsidRPr="00A00994" w:rsidRDefault="00073B58" w:rsidP="00073B58">
            <w:pPr>
              <w:pStyle w:val="Marginlie"/>
              <w:rPr>
                <w:spacing w:val="0"/>
                <w:lang w:val="en-GB"/>
              </w:rPr>
            </w:pPr>
            <w:r w:rsidRPr="00A00994">
              <w:rPr>
                <w:spacing w:val="0"/>
                <w:lang w:val="en-GB"/>
              </w:rPr>
              <w:t xml:space="preserve">Year-on-year dynamics of prices of construction works also strengthened. </w:t>
            </w:r>
          </w:p>
        </w:tc>
        <w:tc>
          <w:tcPr>
            <w:tcW w:w="224" w:type="dxa"/>
            <w:shd w:val="clear" w:color="auto" w:fill="auto"/>
            <w:tcMar>
              <w:left w:w="0" w:type="dxa"/>
            </w:tcMar>
          </w:tcPr>
          <w:p w14:paraId="1E7E8EC2"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78375D73" w14:textId="77777777" w:rsidR="00073B58" w:rsidRPr="00A00994" w:rsidRDefault="00073B58" w:rsidP="00073B58">
            <w:pPr>
              <w:rPr>
                <w:lang w:val="en-GB"/>
              </w:rPr>
            </w:pPr>
            <w:r w:rsidRPr="00A00994">
              <w:rPr>
                <w:lang w:val="en-GB"/>
              </w:rPr>
              <w:t xml:space="preserve">Prices of construction works increased by 3.8% as estimated quarter-on-quarter in Q2. It was significantly added by the development of prices of materials and productions consumed in construction, which increased by </w:t>
            </w:r>
            <w:r w:rsidRPr="00A00994">
              <w:rPr>
                <w:szCs w:val="20"/>
                <w:lang w:val="en-GB"/>
              </w:rPr>
              <w:t>9.1</w:t>
            </w:r>
            <w:r w:rsidRPr="00A00994">
              <w:rPr>
                <w:lang w:val="en-GB"/>
              </w:rPr>
              <w:t xml:space="preserve">%. Year-on-year growth of prices of </w:t>
            </w:r>
            <w:r w:rsidRPr="00A00994">
              <w:rPr>
                <w:lang w:val="en-GB"/>
              </w:rPr>
              <w:lastRenderedPageBreak/>
              <w:t xml:space="preserve">construction works strengthened to 13.1%. In that prices of materials and products used in construction were by 25.9% higher in comparison to the same period of year 2021.  </w:t>
            </w:r>
          </w:p>
        </w:tc>
      </w:tr>
      <w:tr w:rsidR="00073B58" w:rsidRPr="00A00994" w14:paraId="60D78A78" w14:textId="77777777" w:rsidTr="00073B58">
        <w:trPr>
          <w:trHeight w:val="145"/>
        </w:trPr>
        <w:tc>
          <w:tcPr>
            <w:tcW w:w="1805" w:type="dxa"/>
            <w:shd w:val="clear" w:color="auto" w:fill="auto"/>
            <w:tcMar>
              <w:left w:w="0" w:type="dxa"/>
            </w:tcMar>
          </w:tcPr>
          <w:p w14:paraId="14BB296B" w14:textId="77777777" w:rsidR="00073B58" w:rsidRPr="00A00994" w:rsidRDefault="00073B58" w:rsidP="00073B58">
            <w:pPr>
              <w:pStyle w:val="Marginlie"/>
              <w:rPr>
                <w:spacing w:val="0"/>
                <w:lang w:val="en-GB"/>
              </w:rPr>
            </w:pPr>
            <w:r w:rsidRPr="00A00994">
              <w:rPr>
                <w:spacing w:val="0"/>
                <w:lang w:val="en-GB"/>
              </w:rPr>
              <w:lastRenderedPageBreak/>
              <w:t xml:space="preserve">Growth of prices of market services was stronger. </w:t>
            </w:r>
          </w:p>
        </w:tc>
        <w:tc>
          <w:tcPr>
            <w:tcW w:w="224" w:type="dxa"/>
            <w:shd w:val="clear" w:color="auto" w:fill="auto"/>
            <w:tcMar>
              <w:left w:w="0" w:type="dxa"/>
            </w:tcMar>
          </w:tcPr>
          <w:p w14:paraId="6B30AB3C"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452613EF" w14:textId="77777777" w:rsidR="00073B58" w:rsidRPr="00A00994" w:rsidRDefault="00073B58" w:rsidP="00073B58">
            <w:pPr>
              <w:rPr>
                <w:lang w:val="en-GB"/>
              </w:rPr>
            </w:pPr>
            <w:r w:rsidRPr="00A00994">
              <w:rPr>
                <w:lang w:val="en-GB"/>
              </w:rPr>
              <w:t>Year-on-year growth of prices of market services further quickened to 5.8%. They were by 2.3% compared to Q1. Prices of storage and support services in transportation added the most to the year-on-year growth (15.4%). Prices of advertising services and market research, which increased by 19.5% and contributed the most to the acceleration of the total growth of prices of market services, also had a notable influence. Prices of land and pipe transportation (year-on-year increase of 5.8%), services in the area of programming and related consultancy activities (4.5%), services in the area of employment (14.5%), architectural and engineering services and technical testing and analysis (5.0%), services in the real estate area (3.2%) also significantly shared in the growth. Only prices of telecommunication services were lower year-on-year (</w:t>
            </w:r>
            <w:r w:rsidRPr="00A00994">
              <w:rPr>
                <w:i/>
                <w:iCs/>
                <w:lang w:val="en-GB"/>
              </w:rPr>
              <w:t>−</w:t>
            </w:r>
            <w:r w:rsidRPr="00A00994">
              <w:rPr>
                <w:lang w:val="en-GB"/>
              </w:rPr>
              <w:t>1.1%).</w:t>
            </w:r>
          </w:p>
        </w:tc>
      </w:tr>
      <w:tr w:rsidR="00073B58" w:rsidRPr="00A00994" w14:paraId="69DCDD10" w14:textId="77777777" w:rsidTr="00073B58">
        <w:trPr>
          <w:trHeight w:val="145"/>
        </w:trPr>
        <w:tc>
          <w:tcPr>
            <w:tcW w:w="1805" w:type="dxa"/>
            <w:shd w:val="clear" w:color="auto" w:fill="auto"/>
            <w:tcMar>
              <w:left w:w="0" w:type="dxa"/>
            </w:tcMar>
          </w:tcPr>
          <w:p w14:paraId="47E804D8" w14:textId="77777777" w:rsidR="00073B58" w:rsidRPr="00A00994" w:rsidRDefault="00073B58" w:rsidP="00073B58">
            <w:pPr>
              <w:pStyle w:val="Marginlie"/>
              <w:rPr>
                <w:spacing w:val="0"/>
                <w:lang w:val="en-GB"/>
              </w:rPr>
            </w:pPr>
            <w:r w:rsidRPr="00A00994">
              <w:rPr>
                <w:spacing w:val="0"/>
                <w:lang w:val="en-GB"/>
              </w:rPr>
              <w:t xml:space="preserve">Increase of costs of energies and production inputs was reflected in the development of prices of agricultural production. </w:t>
            </w:r>
          </w:p>
        </w:tc>
        <w:tc>
          <w:tcPr>
            <w:tcW w:w="224" w:type="dxa"/>
            <w:shd w:val="clear" w:color="auto" w:fill="auto"/>
            <w:tcMar>
              <w:left w:w="0" w:type="dxa"/>
            </w:tcMar>
          </w:tcPr>
          <w:p w14:paraId="2B0EB7D9"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6EAFD074" w14:textId="77777777" w:rsidR="00073B58" w:rsidRPr="00A00994" w:rsidRDefault="00073B58" w:rsidP="00073B58">
            <w:pPr>
              <w:rPr>
                <w:spacing w:val="-2"/>
                <w:lang w:val="en-GB"/>
              </w:rPr>
            </w:pPr>
            <w:r w:rsidRPr="00A00994">
              <w:rPr>
                <w:spacing w:val="-2"/>
                <w:lang w:val="en-GB"/>
              </w:rPr>
              <w:t xml:space="preserve">Prices of agricultural production hiked up by 39.0% year-on-year in Q2. Compared to Q1, they grew by 18.9%. Their year-on-year growth sharply accelerated and development of both plant and animal production participated. Prices of plant production increased by 54.4% year-on-year. It also mirrored the increase of prices of crops on the global market (e.g. wheat), but also the marked heightening of costs – fuels or for instance fertilisers. Prices of cereals grew steeply (60.0%), in that price of wheat by 64.3%, rye by 80.7%, barley by 53.4%, oat by 42.5% and corn by 44.2%. Prices of industrial crop went up by 59.6%, in that oil plants by 59.6% (seed of the oilseed rape were by 64.1% more expensive year-on-year) and legumes by 56.7%. Prices of forage plants were higher by 5.9% and prices of vegetables and garden products by 18.2%. Year-on-year growth of prices of potatoes markedly strengthened (30.0%). Prices of fruit grew moderately (2.4%). Prices of agricultural production were by 21.2% higher in Q2. The dynamics of prices of farm animals strengthened (20.9%), in that prices of cattle increased by 29.5%, pigs and piglets by 20.0% and prices of poultry by 13.0%. Year-on-year increase of prices of animal products accelerated to 21.4%. Prices of milk were raised by 21.6% and eggs by 18.8%.      </w:t>
            </w:r>
          </w:p>
        </w:tc>
      </w:tr>
      <w:tr w:rsidR="00073B58" w:rsidRPr="00A00994" w14:paraId="5314F3F3" w14:textId="77777777" w:rsidTr="00073B58">
        <w:trPr>
          <w:trHeight w:val="145"/>
        </w:trPr>
        <w:tc>
          <w:tcPr>
            <w:tcW w:w="1805" w:type="dxa"/>
            <w:shd w:val="clear" w:color="auto" w:fill="auto"/>
            <w:tcMar>
              <w:left w:w="0" w:type="dxa"/>
            </w:tcMar>
          </w:tcPr>
          <w:p w14:paraId="59199071" w14:textId="77777777" w:rsidR="00073B58" w:rsidRPr="00A00994" w:rsidRDefault="00073B58" w:rsidP="00073B58">
            <w:pPr>
              <w:pStyle w:val="Marginlie"/>
              <w:rPr>
                <w:spacing w:val="0"/>
                <w:lang w:val="en-GB"/>
              </w:rPr>
            </w:pPr>
            <w:r w:rsidRPr="00A00994">
              <w:rPr>
                <w:spacing w:val="0"/>
                <w:lang w:val="en-GB"/>
              </w:rPr>
              <w:t xml:space="preserve">Export prices grew strongly. </w:t>
            </w:r>
          </w:p>
        </w:tc>
        <w:tc>
          <w:tcPr>
            <w:tcW w:w="224" w:type="dxa"/>
            <w:shd w:val="clear" w:color="auto" w:fill="auto"/>
            <w:tcMar>
              <w:left w:w="0" w:type="dxa"/>
            </w:tcMar>
          </w:tcPr>
          <w:p w14:paraId="44C732E4"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28F827A0" w14:textId="77777777" w:rsidR="00073B58" w:rsidRPr="00A00994" w:rsidRDefault="00073B58" w:rsidP="00073B58">
            <w:pPr>
              <w:rPr>
                <w:lang w:val="en-GB"/>
              </w:rPr>
            </w:pPr>
            <w:r w:rsidRPr="00A00994">
              <w:rPr>
                <w:lang w:val="en-GB"/>
              </w:rPr>
              <w:t>Prices of exports of goods were by 15.1% higher year-on-year in Q2. Exchange rate development had in total an anti-inflationary effect. Since in the end the year-on-year stronger koruna foreign exchange per euro outweighed its depreciation towards dollar</w:t>
            </w:r>
            <w:r w:rsidRPr="00A00994">
              <w:rPr>
                <w:rStyle w:val="Znakapoznpodarou"/>
                <w:lang w:val="en-GB"/>
              </w:rPr>
              <w:footnoteReference w:id="5"/>
            </w:r>
            <w:r w:rsidRPr="00A00994">
              <w:rPr>
                <w:lang w:val="en-GB"/>
              </w:rPr>
              <w:t>. Prices of export of mineral fuels and lubricants (151.3%), other materials</w:t>
            </w:r>
            <w:r w:rsidRPr="00A00994">
              <w:rPr>
                <w:rStyle w:val="Znakapoznpodarou"/>
                <w:lang w:val="en-GB"/>
              </w:rPr>
              <w:footnoteReference w:id="6"/>
            </w:r>
            <w:r w:rsidRPr="00A00994">
              <w:rPr>
                <w:lang w:val="en-GB"/>
              </w:rPr>
              <w:t xml:space="preserve"> (36.6%), food and live animals (26.0%), semi-finished products</w:t>
            </w:r>
            <w:r w:rsidRPr="00A00994">
              <w:rPr>
                <w:rStyle w:val="Znakapoznpodarou"/>
                <w:lang w:val="en-GB"/>
              </w:rPr>
              <w:footnoteReference w:id="7"/>
            </w:r>
            <w:r w:rsidRPr="00A00994">
              <w:rPr>
                <w:lang w:val="en-GB"/>
              </w:rPr>
              <w:t xml:space="preserve"> (24.8%), chemicals and related products (17.3%) increased the most year-on-year. Prices of exports of</w:t>
            </w:r>
            <w:r>
              <w:rPr>
                <w:lang w:val="en-GB"/>
              </w:rPr>
              <w:t xml:space="preserve"> m</w:t>
            </w:r>
            <w:r w:rsidRPr="00116A0A">
              <w:rPr>
                <w:lang w:val="en-GB"/>
              </w:rPr>
              <w:t xml:space="preserve">iscellaneous manufactured articles </w:t>
            </w:r>
            <w:r w:rsidRPr="00A00994">
              <w:rPr>
                <w:lang w:val="en-GB"/>
              </w:rPr>
              <w:t>(6.5%), beverages and tobacco (3.8%), machinery and transport equipment (2.0%) were also higher. Prices of exports of goods increased by 5.9% quarter-on-quarter. Prices of mineral fuels (19.8%), other materials (13.8%) and food (12.6%) grew the most.</w:t>
            </w:r>
          </w:p>
        </w:tc>
      </w:tr>
      <w:tr w:rsidR="00073B58" w:rsidRPr="00A00994" w14:paraId="1B122C1C" w14:textId="77777777" w:rsidTr="00073B58">
        <w:trPr>
          <w:trHeight w:val="145"/>
        </w:trPr>
        <w:tc>
          <w:tcPr>
            <w:tcW w:w="1805" w:type="dxa"/>
            <w:shd w:val="clear" w:color="auto" w:fill="auto"/>
            <w:tcMar>
              <w:left w:w="0" w:type="dxa"/>
            </w:tcMar>
          </w:tcPr>
          <w:p w14:paraId="65DF8E69" w14:textId="77777777" w:rsidR="00073B58" w:rsidRPr="00A00994" w:rsidRDefault="00073B58" w:rsidP="00073B58">
            <w:pPr>
              <w:pStyle w:val="Marginlie"/>
              <w:rPr>
                <w:spacing w:val="0"/>
                <w:lang w:val="en-GB"/>
              </w:rPr>
            </w:pPr>
            <w:r w:rsidRPr="00A00994">
              <w:rPr>
                <w:spacing w:val="0"/>
                <w:lang w:val="en-GB"/>
              </w:rPr>
              <w:t xml:space="preserve">Terms of trade of foreign trade with goods were strongly negative. </w:t>
            </w:r>
          </w:p>
        </w:tc>
        <w:tc>
          <w:tcPr>
            <w:tcW w:w="224" w:type="dxa"/>
            <w:shd w:val="clear" w:color="auto" w:fill="auto"/>
            <w:tcMar>
              <w:left w:w="0" w:type="dxa"/>
            </w:tcMar>
          </w:tcPr>
          <w:p w14:paraId="4C6749E1"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318A209E" w14:textId="77777777" w:rsidR="00073B58" w:rsidRPr="00A00994" w:rsidRDefault="00073B58" w:rsidP="00073B58">
            <w:pPr>
              <w:rPr>
                <w:lang w:val="en-GB"/>
              </w:rPr>
            </w:pPr>
            <w:r w:rsidRPr="00A00994">
              <w:rPr>
                <w:lang w:val="en-GB"/>
              </w:rPr>
              <w:t xml:space="preserve">Prices of export of goods increased by 20.0% year-on-year in Q2. Prices of mineral fuels and lubricants (134.0%), semi-finished products (23.0%), other materials (17.5%), chemicals and related products (15.8%), beverages and tobacco (15.7%), food and live animals (11.8%) increased the most. Prices of imports of </w:t>
            </w:r>
            <w:r>
              <w:rPr>
                <w:lang w:val="en-GB"/>
              </w:rPr>
              <w:t>m</w:t>
            </w:r>
            <w:r w:rsidRPr="00116A0A">
              <w:rPr>
                <w:lang w:val="en-GB"/>
              </w:rPr>
              <w:t>iscellaneous manufactured articles</w:t>
            </w:r>
            <w:r w:rsidRPr="00A00994">
              <w:rPr>
                <w:lang w:val="en-GB"/>
              </w:rPr>
              <w:t xml:space="preserve"> (8.0%), machinery and transportation equipment (2.8%) went also up. Quarter-on-quarter, the prices of exports were by 6.8% higher. Similarly to exports, the prices of mineral fuels (20.9%), other materials (14.8%) and food (7.6%) grew the most. Year-</w:t>
            </w:r>
            <w:r w:rsidRPr="00A00994">
              <w:rPr>
                <w:lang w:val="en-GB"/>
              </w:rPr>
              <w:lastRenderedPageBreak/>
              <w:t xml:space="preserve">on-year terms of trade were negative in Q2 and deepened to the value of 95.9%.  The terms of trade were negative for trade with beverages and tobacco (89.7%), </w:t>
            </w:r>
            <w:r>
              <w:rPr>
                <w:lang w:val="en-GB"/>
              </w:rPr>
              <w:t>m</w:t>
            </w:r>
            <w:r w:rsidRPr="00116A0A">
              <w:rPr>
                <w:lang w:val="en-GB"/>
              </w:rPr>
              <w:t>iscellaneous manufactured articles</w:t>
            </w:r>
            <w:r w:rsidRPr="00A00994">
              <w:rPr>
                <w:lang w:val="en-GB"/>
              </w:rPr>
              <w:t xml:space="preserve"> (98.6%), machinery and transport equipment (99.2%). On the contrary, terms of trade were positive in trade with other materials (116.3%), food and live animals (112.7%), mineral fuels (107.4%), semi-finished products (101.5%), chemicals and related products (101.3%). The terms of trade reached value of 99.2% quarter-on-quarter.</w:t>
            </w:r>
          </w:p>
        </w:tc>
      </w:tr>
    </w:tbl>
    <w:p w14:paraId="2332F86E" w14:textId="77777777" w:rsidR="00073B58" w:rsidRPr="00A00994" w:rsidRDefault="00073B58" w:rsidP="00073B58">
      <w:pPr>
        <w:pStyle w:val="Nadpis11"/>
        <w:rPr>
          <w:b w:val="0"/>
          <w:sz w:val="2"/>
          <w:szCs w:val="2"/>
          <w:lang w:val="en-GB"/>
        </w:rPr>
      </w:pPr>
    </w:p>
    <w:p w14:paraId="3409E2F5" w14:textId="77777777" w:rsidR="008F2E83" w:rsidRPr="00A00994" w:rsidRDefault="008F2E83" w:rsidP="008F2E83">
      <w:pPr>
        <w:pStyle w:val="Nadpis11"/>
        <w:spacing w:after="0"/>
        <w:rPr>
          <w:b w:val="0"/>
          <w:sz w:val="2"/>
          <w:szCs w:val="2"/>
          <w:lang w:val="en-GB"/>
        </w:rPr>
      </w:pPr>
      <w:bookmarkStart w:id="8" w:name="_GoBack"/>
      <w:bookmarkEnd w:id="0"/>
      <w:bookmarkEnd w:id="1"/>
      <w:bookmarkEnd w:id="2"/>
      <w:bookmarkEnd w:id="3"/>
      <w:bookmarkEnd w:id="5"/>
      <w:bookmarkEnd w:id="6"/>
      <w:bookmarkEnd w:id="8"/>
    </w:p>
    <w:p w14:paraId="5BAB8EA3" w14:textId="23A06DC9" w:rsidR="000663F0" w:rsidRPr="00A00994" w:rsidRDefault="000663F0" w:rsidP="00A315D0">
      <w:pPr>
        <w:pStyle w:val="Nadpis11"/>
        <w:rPr>
          <w:b w:val="0"/>
          <w:sz w:val="2"/>
          <w:szCs w:val="2"/>
          <w:lang w:val="en-GB"/>
        </w:rPr>
      </w:pPr>
    </w:p>
    <w:sectPr w:rsidR="000663F0" w:rsidRPr="00A00994" w:rsidSect="005E2DBF">
      <w:headerReference w:type="even" r:id="rId12"/>
      <w:headerReference w:type="default" r:id="rId13"/>
      <w:footerReference w:type="even" r:id="rId14"/>
      <w:footerReference w:type="default" r:id="rId15"/>
      <w:pgSz w:w="11906" w:h="16838" w:code="9"/>
      <w:pgMar w:top="1134" w:right="1134" w:bottom="1418" w:left="1134" w:header="680" w:footer="737" w:gutter="0"/>
      <w:pgNumType w:start="23"/>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9577CA" w16cid:durableId="26F133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341324" w14:textId="77777777" w:rsidR="0042169F" w:rsidRDefault="0042169F" w:rsidP="00E71A58">
      <w:r>
        <w:separator/>
      </w:r>
    </w:p>
  </w:endnote>
  <w:endnote w:type="continuationSeparator" w:id="0">
    <w:p w14:paraId="1C4306DD" w14:textId="77777777" w:rsidR="0042169F" w:rsidRDefault="0042169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23739ED2" w:rsidR="00073B58" w:rsidRPr="00932443" w:rsidRDefault="00073B58"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5E2DBF">
      <w:rPr>
        <w:szCs w:val="16"/>
      </w:rPr>
      <w:t>26</w:t>
    </w:r>
    <w:r w:rsidRPr="00932443">
      <w:rPr>
        <w:szCs w:val="16"/>
      </w:rPr>
      <w:fldChar w:fldCharType="end"/>
    </w:r>
    <w:r w:rsidRPr="00932443">
      <w:rPr>
        <w:szCs w:val="16"/>
      </w:rPr>
      <w:tab/>
    </w:r>
    <w:r w:rsidRPr="00D060D1">
      <w:rPr>
        <w:szCs w:val="16"/>
        <w:lang w:val="en-GB"/>
      </w:rPr>
      <w:t>First half of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0BFA2B49" w:rsidR="00073B58" w:rsidRPr="00932443" w:rsidRDefault="00073B58" w:rsidP="00FA6CB6">
    <w:pPr>
      <w:pStyle w:val="Zpat"/>
      <w:rPr>
        <w:szCs w:val="16"/>
      </w:rPr>
    </w:pPr>
    <w:r w:rsidRPr="00FA6CB6">
      <w:rPr>
        <w:szCs w:val="16"/>
      </w:rPr>
      <w:tab/>
    </w:r>
    <w:r w:rsidRPr="00D060D1">
      <w:rPr>
        <w:szCs w:val="16"/>
        <w:lang w:val="en-GB"/>
      </w:rPr>
      <w:t xml:space="preserve">First </w:t>
    </w:r>
    <w:r>
      <w:rPr>
        <w:szCs w:val="16"/>
        <w:lang w:val="en-GB"/>
      </w:rPr>
      <w:t>h</w:t>
    </w:r>
    <w:r w:rsidRPr="00D060D1">
      <w:rPr>
        <w:szCs w:val="16"/>
        <w:lang w:val="en-GB"/>
      </w:rPr>
      <w:t>alf of 202</w:t>
    </w:r>
    <w:r>
      <w:rPr>
        <w:lang w:eastAsia="cs-CZ"/>
      </w:rPr>
      <w:drawing>
        <wp:anchor distT="0" distB="0" distL="114300" distR="114300" simplePos="0" relativeHeight="251670016" behindDoc="0" locked="0" layoutInCell="1" allowOverlap="1" wp14:anchorId="3E4346EB" wp14:editId="36046FDA">
          <wp:simplePos x="0" y="0"/>
          <wp:positionH relativeFrom="margin">
            <wp:posOffset>0</wp:posOffset>
          </wp:positionH>
          <wp:positionV relativeFrom="paragraph">
            <wp:posOffset>0</wp:posOffset>
          </wp:positionV>
          <wp:extent cx="676910" cy="201930"/>
          <wp:effectExtent l="0" t="0" r="8890" b="7620"/>
          <wp:wrapNone/>
          <wp:docPr id="12"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16"/>
      </w:rPr>
      <w:t>2</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5E2DBF">
      <w:rPr>
        <w:rStyle w:val="ZpatChar"/>
        <w:szCs w:val="16"/>
      </w:rPr>
      <w:t>25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3446" w14:textId="77777777" w:rsidR="0042169F" w:rsidRDefault="0042169F" w:rsidP="00A21B4D">
      <w:pPr>
        <w:spacing w:after="0"/>
      </w:pPr>
      <w:r>
        <w:separator/>
      </w:r>
    </w:p>
  </w:footnote>
  <w:footnote w:type="continuationSeparator" w:id="0">
    <w:p w14:paraId="681D9061" w14:textId="77777777" w:rsidR="0042169F" w:rsidRDefault="0042169F" w:rsidP="00E71A58">
      <w:r>
        <w:continuationSeparator/>
      </w:r>
    </w:p>
  </w:footnote>
  <w:footnote w:id="1">
    <w:p w14:paraId="39425EAF" w14:textId="77777777" w:rsidR="00073B58" w:rsidRPr="00B10B82" w:rsidRDefault="00073B58" w:rsidP="00073B58">
      <w:pPr>
        <w:pStyle w:val="Textpoznpodarou"/>
        <w:jc w:val="both"/>
        <w:rPr>
          <w:sz w:val="16"/>
          <w:szCs w:val="16"/>
          <w:lang w:val="en-GB"/>
        </w:rPr>
      </w:pPr>
      <w:r w:rsidRPr="000A4298">
        <w:rPr>
          <w:rStyle w:val="Znakapoznpodarou"/>
          <w:sz w:val="16"/>
          <w:szCs w:val="16"/>
        </w:rPr>
        <w:footnoteRef/>
      </w:r>
      <w:r>
        <w:rPr>
          <w:sz w:val="16"/>
          <w:szCs w:val="16"/>
        </w:rPr>
        <w:t xml:space="preserve"> </w:t>
      </w:r>
      <w:r w:rsidRPr="00B10B82">
        <w:rPr>
          <w:sz w:val="16"/>
          <w:szCs w:val="16"/>
          <w:lang w:val="en-GB"/>
        </w:rPr>
        <w:t>Imput</w:t>
      </w:r>
      <w:r>
        <w:rPr>
          <w:sz w:val="16"/>
          <w:szCs w:val="16"/>
          <w:lang w:val="en-GB"/>
        </w:rPr>
        <w:t>ed rent expresses the cost of owner living. Apart from prices of housing themselves, it also contains the cost of construction and renovation and further fees. More at</w:t>
      </w:r>
      <w:r w:rsidRPr="00B10B82">
        <w:rPr>
          <w:sz w:val="16"/>
          <w:szCs w:val="16"/>
          <w:lang w:val="en-GB"/>
        </w:rPr>
        <w:t xml:space="preserve">: </w:t>
      </w:r>
      <w:hyperlink r:id="rId1" w:history="1">
        <w:r w:rsidRPr="00B10B82">
          <w:rPr>
            <w:rStyle w:val="Hypertextovodkaz"/>
            <w:sz w:val="16"/>
            <w:szCs w:val="16"/>
            <w:lang w:val="en-GB"/>
          </w:rPr>
          <w:t>https://www.czso.cz/csu/czso/metodicka-poznamka-k-indexu-spotrebitelskych-cen-imputovane-najemne</w:t>
        </w:r>
      </w:hyperlink>
      <w:r w:rsidRPr="00B10B82">
        <w:rPr>
          <w:rStyle w:val="Hypertextovodkaz"/>
          <w:sz w:val="16"/>
          <w:szCs w:val="16"/>
          <w:u w:val="none"/>
          <w:lang w:val="en-GB"/>
        </w:rPr>
        <w:t>.</w:t>
      </w:r>
    </w:p>
  </w:footnote>
  <w:footnote w:id="2">
    <w:p w14:paraId="423720FD" w14:textId="77777777" w:rsidR="00073B58" w:rsidRPr="00B10B82" w:rsidRDefault="00073B58" w:rsidP="00073B58">
      <w:pPr>
        <w:pStyle w:val="Textpoznpodarou"/>
        <w:jc w:val="both"/>
        <w:rPr>
          <w:sz w:val="16"/>
          <w:szCs w:val="16"/>
          <w:lang w:val="en-GB"/>
        </w:rPr>
      </w:pPr>
      <w:r w:rsidRPr="00B10B82">
        <w:rPr>
          <w:rStyle w:val="Znakapoznpodarou"/>
          <w:sz w:val="16"/>
          <w:szCs w:val="16"/>
          <w:lang w:val="en-GB"/>
        </w:rPr>
        <w:footnoteRef/>
      </w:r>
      <w:r w:rsidRPr="00B10B82">
        <w:rPr>
          <w:sz w:val="16"/>
          <w:szCs w:val="16"/>
          <w:lang w:val="en-GB"/>
        </w:rPr>
        <w:t xml:space="preserve"> </w:t>
      </w:r>
      <w:r>
        <w:rPr>
          <w:sz w:val="16"/>
          <w:szCs w:val="16"/>
          <w:lang w:val="en-GB"/>
        </w:rPr>
        <w:t xml:space="preserve">Contrary to the consumer price index, which is compiled by the CZSO for the Czech economy, </w:t>
      </w:r>
      <w:r w:rsidRPr="00B10B82">
        <w:rPr>
          <w:sz w:val="16"/>
          <w:szCs w:val="16"/>
          <w:lang w:val="en-GB"/>
        </w:rPr>
        <w:t>HICP</w:t>
      </w:r>
      <w:r>
        <w:rPr>
          <w:sz w:val="16"/>
          <w:szCs w:val="16"/>
          <w:lang w:val="en-GB"/>
        </w:rPr>
        <w:t xml:space="preserve"> does not consists of imputed rent, which is the main reason for the difference between the gauged growth rates of prices. </w:t>
      </w:r>
    </w:p>
  </w:footnote>
  <w:footnote w:id="3">
    <w:p w14:paraId="57F95357" w14:textId="77777777" w:rsidR="00073B58" w:rsidRPr="00E35D83" w:rsidRDefault="00073B58" w:rsidP="00073B58">
      <w:pPr>
        <w:pStyle w:val="Textpoznpodarou"/>
        <w:jc w:val="both"/>
        <w:rPr>
          <w:sz w:val="16"/>
          <w:szCs w:val="16"/>
          <w:lang w:val="en-GB"/>
        </w:rPr>
      </w:pPr>
      <w:r w:rsidRPr="005F66A4">
        <w:rPr>
          <w:rStyle w:val="Znakapoznpodarou"/>
          <w:sz w:val="16"/>
          <w:szCs w:val="16"/>
        </w:rPr>
        <w:footnoteRef/>
      </w:r>
      <w:r w:rsidRPr="005F66A4">
        <w:rPr>
          <w:sz w:val="16"/>
          <w:szCs w:val="16"/>
        </w:rPr>
        <w:t xml:space="preserve"> </w:t>
      </w:r>
      <w:r w:rsidRPr="00E35D83">
        <w:rPr>
          <w:sz w:val="16"/>
          <w:szCs w:val="16"/>
          <w:lang w:val="en-GB"/>
        </w:rPr>
        <w:t xml:space="preserve">Exact values of the indicator are not provided to due to the protection of individual data. </w:t>
      </w:r>
    </w:p>
  </w:footnote>
  <w:footnote w:id="4">
    <w:p w14:paraId="12FF0ABF" w14:textId="77777777" w:rsidR="00073B58" w:rsidRPr="00DE6E29" w:rsidRDefault="00073B58" w:rsidP="00073B58">
      <w:pPr>
        <w:pStyle w:val="Textpoznpodarou"/>
        <w:jc w:val="both"/>
        <w:rPr>
          <w:sz w:val="16"/>
          <w:szCs w:val="16"/>
          <w:lang w:val="en-GB"/>
        </w:rPr>
      </w:pPr>
      <w:r w:rsidRPr="000C5F73">
        <w:rPr>
          <w:rStyle w:val="Znakapoznpodarou"/>
          <w:sz w:val="16"/>
          <w:szCs w:val="16"/>
        </w:rPr>
        <w:footnoteRef/>
      </w:r>
      <w:r w:rsidRPr="000C5F73">
        <w:rPr>
          <w:sz w:val="16"/>
          <w:szCs w:val="16"/>
        </w:rPr>
        <w:t xml:space="preserve"> </w:t>
      </w:r>
      <w:r w:rsidRPr="00DE6E29">
        <w:rPr>
          <w:sz w:val="16"/>
          <w:szCs w:val="16"/>
          <w:lang w:val="en-GB"/>
        </w:rPr>
        <w:t xml:space="preserve">Without prices of water distribution and </w:t>
      </w:r>
      <w:r>
        <w:rPr>
          <w:sz w:val="16"/>
          <w:szCs w:val="16"/>
          <w:lang w:val="en-GB"/>
        </w:rPr>
        <w:t>s</w:t>
      </w:r>
      <w:r w:rsidRPr="00DE6E29">
        <w:rPr>
          <w:sz w:val="16"/>
          <w:szCs w:val="16"/>
          <w:lang w:val="en-GB"/>
        </w:rPr>
        <w:t xml:space="preserve">ervices associated with wastewaters. </w:t>
      </w:r>
    </w:p>
  </w:footnote>
  <w:footnote w:id="5">
    <w:p w14:paraId="5D4C0891" w14:textId="77777777" w:rsidR="00073B58" w:rsidRPr="00557EFC" w:rsidRDefault="00073B58" w:rsidP="00073B58">
      <w:pPr>
        <w:pStyle w:val="Textpoznpodarou"/>
        <w:jc w:val="both"/>
        <w:rPr>
          <w:sz w:val="16"/>
          <w:szCs w:val="16"/>
          <w:lang w:val="en-GB"/>
        </w:rPr>
      </w:pPr>
      <w:r w:rsidRPr="00557EFC">
        <w:rPr>
          <w:rStyle w:val="Znakapoznpodarou"/>
          <w:sz w:val="16"/>
          <w:szCs w:val="16"/>
          <w:lang w:val="en-GB"/>
        </w:rPr>
        <w:footnoteRef/>
      </w:r>
      <w:r w:rsidRPr="00557EFC">
        <w:rPr>
          <w:sz w:val="16"/>
          <w:szCs w:val="16"/>
          <w:lang w:val="en-GB"/>
        </w:rPr>
        <w:t xml:space="preserve"> </w:t>
      </w:r>
      <w:r>
        <w:rPr>
          <w:sz w:val="16"/>
          <w:szCs w:val="16"/>
          <w:lang w:val="en-GB"/>
        </w:rPr>
        <w:t>Based on the CNB data, th</w:t>
      </w:r>
      <w:r w:rsidRPr="00A25E62">
        <w:rPr>
          <w:sz w:val="16"/>
          <w:szCs w:val="16"/>
          <w:lang w:val="en-GB"/>
        </w:rPr>
        <w:t xml:space="preserve">e average koruna foreign </w:t>
      </w:r>
      <w:r>
        <w:rPr>
          <w:sz w:val="16"/>
          <w:szCs w:val="16"/>
          <w:lang w:val="en-GB"/>
        </w:rPr>
        <w:t>e</w:t>
      </w:r>
      <w:r w:rsidRPr="00A25E62">
        <w:rPr>
          <w:sz w:val="16"/>
          <w:szCs w:val="16"/>
          <w:lang w:val="en-GB"/>
        </w:rPr>
        <w:t xml:space="preserve">xchange per euro reached </w:t>
      </w:r>
      <w:r>
        <w:rPr>
          <w:sz w:val="16"/>
          <w:szCs w:val="16"/>
          <w:lang w:val="en-GB"/>
        </w:rPr>
        <w:t xml:space="preserve">24.644 CZK/EUR in Q2 2022. Koruna foreign exchange per dollar markedly depreciated year-on-year. </w:t>
      </w:r>
      <w:r w:rsidRPr="00A25E62">
        <w:rPr>
          <w:sz w:val="16"/>
          <w:szCs w:val="16"/>
          <w:lang w:val="en-GB"/>
        </w:rPr>
        <w:t>The average was 2</w:t>
      </w:r>
      <w:r>
        <w:rPr>
          <w:sz w:val="16"/>
          <w:szCs w:val="16"/>
          <w:lang w:val="en-GB"/>
        </w:rPr>
        <w:t>1</w:t>
      </w:r>
      <w:r w:rsidRPr="00A25E62">
        <w:rPr>
          <w:sz w:val="16"/>
          <w:szCs w:val="16"/>
          <w:lang w:val="en-GB"/>
        </w:rPr>
        <w:t>.</w:t>
      </w:r>
      <w:r>
        <w:rPr>
          <w:sz w:val="16"/>
          <w:szCs w:val="16"/>
          <w:lang w:val="en-GB"/>
        </w:rPr>
        <w:t>265</w:t>
      </w:r>
      <w:r w:rsidRPr="00A25E62">
        <w:rPr>
          <w:sz w:val="16"/>
          <w:szCs w:val="16"/>
          <w:lang w:val="en-GB"/>
        </w:rPr>
        <w:t> CZK/USD</w:t>
      </w:r>
      <w:r>
        <w:rPr>
          <w:sz w:val="16"/>
          <w:szCs w:val="16"/>
          <w:lang w:val="en-GB"/>
        </w:rPr>
        <w:t xml:space="preserve"> in Q2 2021 and 23.165 CZK/USD this year. </w:t>
      </w:r>
    </w:p>
  </w:footnote>
  <w:footnote w:id="6">
    <w:p w14:paraId="48F191F2" w14:textId="77777777" w:rsidR="00073B58" w:rsidRPr="00557EFC" w:rsidRDefault="00073B58" w:rsidP="00073B58">
      <w:pPr>
        <w:pStyle w:val="Textpoznpodarou"/>
        <w:jc w:val="both"/>
        <w:rPr>
          <w:sz w:val="16"/>
          <w:szCs w:val="16"/>
          <w:lang w:val="en-GB"/>
        </w:rPr>
      </w:pPr>
      <w:r w:rsidRPr="00557EFC">
        <w:rPr>
          <w:rStyle w:val="Znakapoznpodarou"/>
          <w:sz w:val="16"/>
          <w:szCs w:val="16"/>
          <w:lang w:val="en-GB"/>
        </w:rPr>
        <w:footnoteRef/>
      </w:r>
      <w:r w:rsidRPr="00557EFC">
        <w:rPr>
          <w:sz w:val="16"/>
          <w:szCs w:val="16"/>
          <w:lang w:val="en-GB"/>
        </w:rPr>
        <w:t xml:space="preserve"> SITC 6 – </w:t>
      </w:r>
      <w:r w:rsidRPr="00A25E62">
        <w:rPr>
          <w:sz w:val="16"/>
          <w:szCs w:val="16"/>
          <w:lang w:val="en-GB"/>
        </w:rPr>
        <w:t>m</w:t>
      </w:r>
      <w:r w:rsidRPr="00217809">
        <w:rPr>
          <w:sz w:val="16"/>
          <w:szCs w:val="16"/>
          <w:lang w:val="en-GB"/>
        </w:rPr>
        <w:t>anufactured goods classified chiefly by material</w:t>
      </w:r>
      <w:r>
        <w:rPr>
          <w:sz w:val="16"/>
          <w:szCs w:val="16"/>
          <w:lang w:val="en-GB"/>
        </w:rPr>
        <w:t>.</w:t>
      </w:r>
    </w:p>
  </w:footnote>
  <w:footnote w:id="7">
    <w:p w14:paraId="7678C0A3" w14:textId="77777777" w:rsidR="00073B58" w:rsidRPr="00557EFC" w:rsidRDefault="00073B58" w:rsidP="00073B58">
      <w:pPr>
        <w:pStyle w:val="Textpoznpodarou"/>
        <w:jc w:val="both"/>
        <w:rPr>
          <w:sz w:val="16"/>
          <w:szCs w:val="16"/>
          <w:lang w:val="en-GB"/>
        </w:rPr>
      </w:pPr>
      <w:r w:rsidRPr="00557EFC">
        <w:rPr>
          <w:rStyle w:val="Znakapoznpodarou"/>
          <w:sz w:val="16"/>
          <w:szCs w:val="16"/>
          <w:lang w:val="en-GB"/>
        </w:rPr>
        <w:footnoteRef/>
      </w:r>
      <w:r w:rsidRPr="00557EFC">
        <w:rPr>
          <w:sz w:val="16"/>
          <w:szCs w:val="16"/>
          <w:lang w:val="en-GB"/>
        </w:rPr>
        <w:t xml:space="preserve"> SITC 2 – </w:t>
      </w:r>
      <w:r w:rsidRPr="00A25E62">
        <w:rPr>
          <w:sz w:val="16"/>
          <w:szCs w:val="16"/>
          <w:lang w:val="en-GB"/>
        </w:rPr>
        <w:t xml:space="preserve">crude materials inedible, except fuels.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5496D026" w:rsidR="00073B58" w:rsidRPr="00D060D1" w:rsidRDefault="00073B58" w:rsidP="00937AE2">
    <w:pPr>
      <w:pStyle w:val="Zhlav"/>
      <w:rPr>
        <w:lang w:val="en-GB"/>
      </w:rPr>
    </w:pPr>
    <w:r w:rsidRPr="00D060D1">
      <w:rPr>
        <w:lang w:val="en-GB"/>
      </w:rPr>
      <w:t>The Czech Economy Development</w:t>
    </w:r>
  </w:p>
  <w:p w14:paraId="3E881AB3" w14:textId="77777777" w:rsidR="00073B58" w:rsidRPr="006F5416" w:rsidRDefault="00073B58"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0E20256D" w:rsidR="00073B58" w:rsidRPr="00D060D1" w:rsidRDefault="00073B58" w:rsidP="00937AE2">
    <w:pPr>
      <w:pStyle w:val="Zhlav"/>
      <w:rPr>
        <w:lang w:val="en-GB"/>
      </w:rPr>
    </w:pPr>
    <w:r w:rsidRPr="00D060D1">
      <w:rPr>
        <w:lang w:val="en-GB"/>
      </w:rPr>
      <w:t>The Czech Economy Development</w:t>
    </w:r>
  </w:p>
  <w:p w14:paraId="57266714" w14:textId="77777777" w:rsidR="00073B58" w:rsidRPr="006F5416" w:rsidRDefault="00073B58"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2"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26"/>
  </w:num>
  <w:num w:numId="14">
    <w:abstractNumId w:val="13"/>
  </w:num>
  <w:num w:numId="15">
    <w:abstractNumId w:val="19"/>
  </w:num>
  <w:num w:numId="16">
    <w:abstractNumId w:val="15"/>
  </w:num>
  <w:num w:numId="17">
    <w:abstractNumId w:val="27"/>
  </w:num>
  <w:num w:numId="18">
    <w:abstractNumId w:val="20"/>
  </w:num>
  <w:num w:numId="19">
    <w:abstractNumId w:val="28"/>
  </w:num>
  <w:num w:numId="20">
    <w:abstractNumId w:val="29"/>
  </w:num>
  <w:num w:numId="21">
    <w:abstractNumId w:val="25"/>
  </w:num>
  <w:num w:numId="22">
    <w:abstractNumId w:val="18"/>
  </w:num>
  <w:num w:numId="23">
    <w:abstractNumId w:val="16"/>
  </w:num>
  <w:num w:numId="24">
    <w:abstractNumId w:val="17"/>
  </w:num>
  <w:num w:numId="25">
    <w:abstractNumId w:val="12"/>
  </w:num>
  <w:num w:numId="26">
    <w:abstractNumId w:val="22"/>
  </w:num>
  <w:num w:numId="27">
    <w:abstractNumId w:val="21"/>
  </w:num>
  <w:num w:numId="28">
    <w:abstractNumId w:val="10"/>
  </w:num>
  <w:num w:numId="29">
    <w:abstractNumId w:val="29"/>
  </w:num>
  <w:num w:numId="30">
    <w:abstractNumId w:val="23"/>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2A2B"/>
    <w:rsid w:val="0000370A"/>
    <w:rsid w:val="00003849"/>
    <w:rsid w:val="00003D02"/>
    <w:rsid w:val="00003F5C"/>
    <w:rsid w:val="00004D5A"/>
    <w:rsid w:val="00005219"/>
    <w:rsid w:val="000056D5"/>
    <w:rsid w:val="00005D9E"/>
    <w:rsid w:val="000063D5"/>
    <w:rsid w:val="00006625"/>
    <w:rsid w:val="00006ABD"/>
    <w:rsid w:val="00006B67"/>
    <w:rsid w:val="00006C0B"/>
    <w:rsid w:val="000073A0"/>
    <w:rsid w:val="0000767A"/>
    <w:rsid w:val="00007ABE"/>
    <w:rsid w:val="00010256"/>
    <w:rsid w:val="0001068D"/>
    <w:rsid w:val="00010702"/>
    <w:rsid w:val="00010A2C"/>
    <w:rsid w:val="0001128E"/>
    <w:rsid w:val="00011912"/>
    <w:rsid w:val="0001193B"/>
    <w:rsid w:val="00011E90"/>
    <w:rsid w:val="000129B7"/>
    <w:rsid w:val="0001387D"/>
    <w:rsid w:val="00014CE1"/>
    <w:rsid w:val="00014ED0"/>
    <w:rsid w:val="0001641E"/>
    <w:rsid w:val="00016420"/>
    <w:rsid w:val="00016BDB"/>
    <w:rsid w:val="00017B01"/>
    <w:rsid w:val="000200BE"/>
    <w:rsid w:val="000204E5"/>
    <w:rsid w:val="000205D1"/>
    <w:rsid w:val="00020F22"/>
    <w:rsid w:val="0002195D"/>
    <w:rsid w:val="00021F9B"/>
    <w:rsid w:val="000228AE"/>
    <w:rsid w:val="000230CC"/>
    <w:rsid w:val="000233D1"/>
    <w:rsid w:val="000234D6"/>
    <w:rsid w:val="00023D29"/>
    <w:rsid w:val="00024280"/>
    <w:rsid w:val="00024348"/>
    <w:rsid w:val="000243D4"/>
    <w:rsid w:val="00024449"/>
    <w:rsid w:val="00026109"/>
    <w:rsid w:val="0002622B"/>
    <w:rsid w:val="00026389"/>
    <w:rsid w:val="0002669F"/>
    <w:rsid w:val="000279E5"/>
    <w:rsid w:val="000305E0"/>
    <w:rsid w:val="00031AE0"/>
    <w:rsid w:val="00031BB2"/>
    <w:rsid w:val="000322EF"/>
    <w:rsid w:val="00032AE0"/>
    <w:rsid w:val="00033FCD"/>
    <w:rsid w:val="00034776"/>
    <w:rsid w:val="000348AF"/>
    <w:rsid w:val="00034B70"/>
    <w:rsid w:val="00034DF7"/>
    <w:rsid w:val="00034E68"/>
    <w:rsid w:val="000350C8"/>
    <w:rsid w:val="00036195"/>
    <w:rsid w:val="000374B2"/>
    <w:rsid w:val="000376C0"/>
    <w:rsid w:val="000403A7"/>
    <w:rsid w:val="00040632"/>
    <w:rsid w:val="00040A64"/>
    <w:rsid w:val="00041AFC"/>
    <w:rsid w:val="00041CEC"/>
    <w:rsid w:val="00041D02"/>
    <w:rsid w:val="00042596"/>
    <w:rsid w:val="00042A4A"/>
    <w:rsid w:val="00043A33"/>
    <w:rsid w:val="00044183"/>
    <w:rsid w:val="0004431D"/>
    <w:rsid w:val="00044AAC"/>
    <w:rsid w:val="00045426"/>
    <w:rsid w:val="0004694F"/>
    <w:rsid w:val="00046F2F"/>
    <w:rsid w:val="00047AD4"/>
    <w:rsid w:val="00047D54"/>
    <w:rsid w:val="00047EC5"/>
    <w:rsid w:val="0005054A"/>
    <w:rsid w:val="00050A87"/>
    <w:rsid w:val="00051506"/>
    <w:rsid w:val="00051A2E"/>
    <w:rsid w:val="000522E4"/>
    <w:rsid w:val="0005312A"/>
    <w:rsid w:val="00053713"/>
    <w:rsid w:val="0005434E"/>
    <w:rsid w:val="00054C5F"/>
    <w:rsid w:val="00055CB6"/>
    <w:rsid w:val="0005621E"/>
    <w:rsid w:val="00056628"/>
    <w:rsid w:val="000572DD"/>
    <w:rsid w:val="00057B1E"/>
    <w:rsid w:val="0006033F"/>
    <w:rsid w:val="000603ED"/>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65"/>
    <w:rsid w:val="000663F0"/>
    <w:rsid w:val="00066558"/>
    <w:rsid w:val="000671DB"/>
    <w:rsid w:val="00067982"/>
    <w:rsid w:val="0007053D"/>
    <w:rsid w:val="00070A87"/>
    <w:rsid w:val="000712B3"/>
    <w:rsid w:val="00071A7C"/>
    <w:rsid w:val="00071E38"/>
    <w:rsid w:val="00071E60"/>
    <w:rsid w:val="00072FF5"/>
    <w:rsid w:val="00073A5A"/>
    <w:rsid w:val="00073B58"/>
    <w:rsid w:val="000746AF"/>
    <w:rsid w:val="0007474E"/>
    <w:rsid w:val="00074988"/>
    <w:rsid w:val="0007512B"/>
    <w:rsid w:val="00075551"/>
    <w:rsid w:val="000767F5"/>
    <w:rsid w:val="00076CCB"/>
    <w:rsid w:val="00076D90"/>
    <w:rsid w:val="00077FF0"/>
    <w:rsid w:val="00081A55"/>
    <w:rsid w:val="0008263E"/>
    <w:rsid w:val="00082C19"/>
    <w:rsid w:val="00082F89"/>
    <w:rsid w:val="00083457"/>
    <w:rsid w:val="000837CD"/>
    <w:rsid w:val="00083B7F"/>
    <w:rsid w:val="00084BFF"/>
    <w:rsid w:val="00085395"/>
    <w:rsid w:val="000863DC"/>
    <w:rsid w:val="00086896"/>
    <w:rsid w:val="00086AC1"/>
    <w:rsid w:val="00086D19"/>
    <w:rsid w:val="0008729C"/>
    <w:rsid w:val="00087634"/>
    <w:rsid w:val="00087F2B"/>
    <w:rsid w:val="00090694"/>
    <w:rsid w:val="00090EE2"/>
    <w:rsid w:val="00090FC6"/>
    <w:rsid w:val="000913B1"/>
    <w:rsid w:val="0009190F"/>
    <w:rsid w:val="0009290F"/>
    <w:rsid w:val="00093241"/>
    <w:rsid w:val="00093868"/>
    <w:rsid w:val="000940BC"/>
    <w:rsid w:val="00094A84"/>
    <w:rsid w:val="00095025"/>
    <w:rsid w:val="00095135"/>
    <w:rsid w:val="0009626E"/>
    <w:rsid w:val="0009644D"/>
    <w:rsid w:val="00097191"/>
    <w:rsid w:val="000974D1"/>
    <w:rsid w:val="00097784"/>
    <w:rsid w:val="0009799E"/>
    <w:rsid w:val="00097E48"/>
    <w:rsid w:val="000A07CB"/>
    <w:rsid w:val="000A0BC0"/>
    <w:rsid w:val="000A1183"/>
    <w:rsid w:val="000A12ED"/>
    <w:rsid w:val="000A17BB"/>
    <w:rsid w:val="000A1D49"/>
    <w:rsid w:val="000A212B"/>
    <w:rsid w:val="000A242D"/>
    <w:rsid w:val="000A256D"/>
    <w:rsid w:val="000A2643"/>
    <w:rsid w:val="000A2E5F"/>
    <w:rsid w:val="000A3A2C"/>
    <w:rsid w:val="000A3D9E"/>
    <w:rsid w:val="000A4A54"/>
    <w:rsid w:val="000A4ED9"/>
    <w:rsid w:val="000A50C7"/>
    <w:rsid w:val="000A5DB7"/>
    <w:rsid w:val="000A6597"/>
    <w:rsid w:val="000A6753"/>
    <w:rsid w:val="000A6D94"/>
    <w:rsid w:val="000A7377"/>
    <w:rsid w:val="000A74A4"/>
    <w:rsid w:val="000A775A"/>
    <w:rsid w:val="000A7D63"/>
    <w:rsid w:val="000A7FF4"/>
    <w:rsid w:val="000B03CC"/>
    <w:rsid w:val="000B0842"/>
    <w:rsid w:val="000B2B79"/>
    <w:rsid w:val="000B4212"/>
    <w:rsid w:val="000B54B5"/>
    <w:rsid w:val="000B67B7"/>
    <w:rsid w:val="000B6A0A"/>
    <w:rsid w:val="000C0127"/>
    <w:rsid w:val="000C0CA6"/>
    <w:rsid w:val="000C0EA8"/>
    <w:rsid w:val="000C0EB2"/>
    <w:rsid w:val="000C13A2"/>
    <w:rsid w:val="000C21E7"/>
    <w:rsid w:val="000C23EC"/>
    <w:rsid w:val="000C26A2"/>
    <w:rsid w:val="000C290E"/>
    <w:rsid w:val="000C30C3"/>
    <w:rsid w:val="000C3408"/>
    <w:rsid w:val="000C35AB"/>
    <w:rsid w:val="000C3F7B"/>
    <w:rsid w:val="000C45A5"/>
    <w:rsid w:val="000C4769"/>
    <w:rsid w:val="000C4D56"/>
    <w:rsid w:val="000C5DFA"/>
    <w:rsid w:val="000C62C0"/>
    <w:rsid w:val="000C6306"/>
    <w:rsid w:val="000C6AFD"/>
    <w:rsid w:val="000C6C90"/>
    <w:rsid w:val="000C72B7"/>
    <w:rsid w:val="000C7A79"/>
    <w:rsid w:val="000D0A26"/>
    <w:rsid w:val="000D13CB"/>
    <w:rsid w:val="000D1ECA"/>
    <w:rsid w:val="000D2196"/>
    <w:rsid w:val="000D246F"/>
    <w:rsid w:val="000D27C9"/>
    <w:rsid w:val="000D2C2E"/>
    <w:rsid w:val="000D2F9F"/>
    <w:rsid w:val="000D3058"/>
    <w:rsid w:val="000D310A"/>
    <w:rsid w:val="000D3EF4"/>
    <w:rsid w:val="000D4761"/>
    <w:rsid w:val="000D4DC0"/>
    <w:rsid w:val="000D55BA"/>
    <w:rsid w:val="000D5637"/>
    <w:rsid w:val="000D5A03"/>
    <w:rsid w:val="000D5BED"/>
    <w:rsid w:val="000D5ED3"/>
    <w:rsid w:val="000D616C"/>
    <w:rsid w:val="000D6AD9"/>
    <w:rsid w:val="000D6F4E"/>
    <w:rsid w:val="000D6FDA"/>
    <w:rsid w:val="000D73BB"/>
    <w:rsid w:val="000E0820"/>
    <w:rsid w:val="000E0E96"/>
    <w:rsid w:val="000E298B"/>
    <w:rsid w:val="000E2C7D"/>
    <w:rsid w:val="000E3E56"/>
    <w:rsid w:val="000E440D"/>
    <w:rsid w:val="000E4AC5"/>
    <w:rsid w:val="000E6253"/>
    <w:rsid w:val="000E6A04"/>
    <w:rsid w:val="000E6AC4"/>
    <w:rsid w:val="000E6E4D"/>
    <w:rsid w:val="000E6FBD"/>
    <w:rsid w:val="000E6FCB"/>
    <w:rsid w:val="000F090B"/>
    <w:rsid w:val="000F15F7"/>
    <w:rsid w:val="000F1AA2"/>
    <w:rsid w:val="000F378E"/>
    <w:rsid w:val="000F3F3B"/>
    <w:rsid w:val="000F4721"/>
    <w:rsid w:val="000F47E8"/>
    <w:rsid w:val="000F5C59"/>
    <w:rsid w:val="000F629E"/>
    <w:rsid w:val="000F70E4"/>
    <w:rsid w:val="000F76EA"/>
    <w:rsid w:val="001002DE"/>
    <w:rsid w:val="001006AB"/>
    <w:rsid w:val="00100A8B"/>
    <w:rsid w:val="00100F5C"/>
    <w:rsid w:val="001014D9"/>
    <w:rsid w:val="00101B15"/>
    <w:rsid w:val="00101CDA"/>
    <w:rsid w:val="00102037"/>
    <w:rsid w:val="00103DCB"/>
    <w:rsid w:val="001041F2"/>
    <w:rsid w:val="00104C4C"/>
    <w:rsid w:val="00105015"/>
    <w:rsid w:val="001055D2"/>
    <w:rsid w:val="001057C2"/>
    <w:rsid w:val="00105B09"/>
    <w:rsid w:val="0010707E"/>
    <w:rsid w:val="00107124"/>
    <w:rsid w:val="0011038E"/>
    <w:rsid w:val="00111573"/>
    <w:rsid w:val="00111E98"/>
    <w:rsid w:val="001125EF"/>
    <w:rsid w:val="00112CAB"/>
    <w:rsid w:val="0011440C"/>
    <w:rsid w:val="00114C33"/>
    <w:rsid w:val="00116D3F"/>
    <w:rsid w:val="00117474"/>
    <w:rsid w:val="00117623"/>
    <w:rsid w:val="00117642"/>
    <w:rsid w:val="00117FEA"/>
    <w:rsid w:val="001200CF"/>
    <w:rsid w:val="001208E3"/>
    <w:rsid w:val="00120F97"/>
    <w:rsid w:val="00121609"/>
    <w:rsid w:val="0012192F"/>
    <w:rsid w:val="00122994"/>
    <w:rsid w:val="00123204"/>
    <w:rsid w:val="00124B46"/>
    <w:rsid w:val="001257BE"/>
    <w:rsid w:val="001257E0"/>
    <w:rsid w:val="00125D69"/>
    <w:rsid w:val="00126538"/>
    <w:rsid w:val="00126A48"/>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AA0"/>
    <w:rsid w:val="001425C3"/>
    <w:rsid w:val="0014262D"/>
    <w:rsid w:val="00142B29"/>
    <w:rsid w:val="00144108"/>
    <w:rsid w:val="00144588"/>
    <w:rsid w:val="001447DD"/>
    <w:rsid w:val="00145358"/>
    <w:rsid w:val="001455DA"/>
    <w:rsid w:val="001459BC"/>
    <w:rsid w:val="00145D5C"/>
    <w:rsid w:val="00146310"/>
    <w:rsid w:val="001502B9"/>
    <w:rsid w:val="00150ECA"/>
    <w:rsid w:val="00150FA4"/>
    <w:rsid w:val="00151707"/>
    <w:rsid w:val="00152C86"/>
    <w:rsid w:val="00152F4F"/>
    <w:rsid w:val="00153264"/>
    <w:rsid w:val="0015329F"/>
    <w:rsid w:val="00153378"/>
    <w:rsid w:val="00153D54"/>
    <w:rsid w:val="001544A1"/>
    <w:rsid w:val="001553B8"/>
    <w:rsid w:val="001554C2"/>
    <w:rsid w:val="00156D04"/>
    <w:rsid w:val="001571C0"/>
    <w:rsid w:val="0015753D"/>
    <w:rsid w:val="00157984"/>
    <w:rsid w:val="00157CC9"/>
    <w:rsid w:val="00160C21"/>
    <w:rsid w:val="001612F4"/>
    <w:rsid w:val="00161553"/>
    <w:rsid w:val="0016206D"/>
    <w:rsid w:val="0016216F"/>
    <w:rsid w:val="0016256B"/>
    <w:rsid w:val="00162C26"/>
    <w:rsid w:val="00162F81"/>
    <w:rsid w:val="00163793"/>
    <w:rsid w:val="00164CA1"/>
    <w:rsid w:val="00165313"/>
    <w:rsid w:val="001665AB"/>
    <w:rsid w:val="00167485"/>
    <w:rsid w:val="001679F5"/>
    <w:rsid w:val="00167B92"/>
    <w:rsid w:val="00167CB9"/>
    <w:rsid w:val="00167DD8"/>
    <w:rsid w:val="001705AD"/>
    <w:rsid w:val="001706D6"/>
    <w:rsid w:val="001714F2"/>
    <w:rsid w:val="00171BA9"/>
    <w:rsid w:val="00171E8E"/>
    <w:rsid w:val="00171FEA"/>
    <w:rsid w:val="00173622"/>
    <w:rsid w:val="001738A5"/>
    <w:rsid w:val="00173CB7"/>
    <w:rsid w:val="001742E7"/>
    <w:rsid w:val="00174501"/>
    <w:rsid w:val="00174965"/>
    <w:rsid w:val="00175B9F"/>
    <w:rsid w:val="00176217"/>
    <w:rsid w:val="001762F4"/>
    <w:rsid w:val="001777BA"/>
    <w:rsid w:val="00181029"/>
    <w:rsid w:val="00181BBC"/>
    <w:rsid w:val="00181E9D"/>
    <w:rsid w:val="00182D3C"/>
    <w:rsid w:val="0018385F"/>
    <w:rsid w:val="00183931"/>
    <w:rsid w:val="00183BCF"/>
    <w:rsid w:val="00184017"/>
    <w:rsid w:val="0018477D"/>
    <w:rsid w:val="001847BB"/>
    <w:rsid w:val="00184B08"/>
    <w:rsid w:val="00185010"/>
    <w:rsid w:val="001854F2"/>
    <w:rsid w:val="00185C22"/>
    <w:rsid w:val="00186BA9"/>
    <w:rsid w:val="00187D50"/>
    <w:rsid w:val="00190796"/>
    <w:rsid w:val="00190B4D"/>
    <w:rsid w:val="00191298"/>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DBF"/>
    <w:rsid w:val="001A1F68"/>
    <w:rsid w:val="001A21FA"/>
    <w:rsid w:val="001A4D7C"/>
    <w:rsid w:val="001A4DC3"/>
    <w:rsid w:val="001A4EF0"/>
    <w:rsid w:val="001A552F"/>
    <w:rsid w:val="001A6015"/>
    <w:rsid w:val="001A70B1"/>
    <w:rsid w:val="001A7672"/>
    <w:rsid w:val="001B01CB"/>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44E"/>
    <w:rsid w:val="001C05CD"/>
    <w:rsid w:val="001C082B"/>
    <w:rsid w:val="001C0F17"/>
    <w:rsid w:val="001C11A6"/>
    <w:rsid w:val="001C1B24"/>
    <w:rsid w:val="001C1B66"/>
    <w:rsid w:val="001C1BB5"/>
    <w:rsid w:val="001C2732"/>
    <w:rsid w:val="001C31A2"/>
    <w:rsid w:val="001C351D"/>
    <w:rsid w:val="001C3794"/>
    <w:rsid w:val="001C4B8F"/>
    <w:rsid w:val="001C4BB8"/>
    <w:rsid w:val="001C4FD0"/>
    <w:rsid w:val="001C5081"/>
    <w:rsid w:val="001C544D"/>
    <w:rsid w:val="001C5A8A"/>
    <w:rsid w:val="001C5C63"/>
    <w:rsid w:val="001C5E46"/>
    <w:rsid w:val="001C69CE"/>
    <w:rsid w:val="001C6B3B"/>
    <w:rsid w:val="001C7051"/>
    <w:rsid w:val="001C7A26"/>
    <w:rsid w:val="001C7E3F"/>
    <w:rsid w:val="001D0EF1"/>
    <w:rsid w:val="001D1A44"/>
    <w:rsid w:val="001D2029"/>
    <w:rsid w:val="001D22C2"/>
    <w:rsid w:val="001D2C99"/>
    <w:rsid w:val="001D3852"/>
    <w:rsid w:val="001D3B75"/>
    <w:rsid w:val="001D452E"/>
    <w:rsid w:val="001D4E19"/>
    <w:rsid w:val="001D54C1"/>
    <w:rsid w:val="001D556E"/>
    <w:rsid w:val="001D5DF2"/>
    <w:rsid w:val="001D6175"/>
    <w:rsid w:val="001D68B2"/>
    <w:rsid w:val="001D7EFD"/>
    <w:rsid w:val="001D7F60"/>
    <w:rsid w:val="001E085B"/>
    <w:rsid w:val="001E111C"/>
    <w:rsid w:val="001E149B"/>
    <w:rsid w:val="001E15CB"/>
    <w:rsid w:val="001E3227"/>
    <w:rsid w:val="001E3306"/>
    <w:rsid w:val="001E4452"/>
    <w:rsid w:val="001E504C"/>
    <w:rsid w:val="001E56AC"/>
    <w:rsid w:val="001E5A17"/>
    <w:rsid w:val="001E74C5"/>
    <w:rsid w:val="001F1236"/>
    <w:rsid w:val="001F1CAE"/>
    <w:rsid w:val="001F2F90"/>
    <w:rsid w:val="001F406B"/>
    <w:rsid w:val="001F4597"/>
    <w:rsid w:val="001F4826"/>
    <w:rsid w:val="001F4933"/>
    <w:rsid w:val="001F59C8"/>
    <w:rsid w:val="001F6CD3"/>
    <w:rsid w:val="001F75DA"/>
    <w:rsid w:val="001F7931"/>
    <w:rsid w:val="001F7CE0"/>
    <w:rsid w:val="00200085"/>
    <w:rsid w:val="00201633"/>
    <w:rsid w:val="00203332"/>
    <w:rsid w:val="00203CD5"/>
    <w:rsid w:val="00203D8F"/>
    <w:rsid w:val="00203DA4"/>
    <w:rsid w:val="00204EA6"/>
    <w:rsid w:val="00205186"/>
    <w:rsid w:val="0020549F"/>
    <w:rsid w:val="00206516"/>
    <w:rsid w:val="00206CF4"/>
    <w:rsid w:val="002070CF"/>
    <w:rsid w:val="002071D5"/>
    <w:rsid w:val="00210941"/>
    <w:rsid w:val="002111E5"/>
    <w:rsid w:val="0021149E"/>
    <w:rsid w:val="002118B9"/>
    <w:rsid w:val="00211E4A"/>
    <w:rsid w:val="00213691"/>
    <w:rsid w:val="002142C0"/>
    <w:rsid w:val="002151B4"/>
    <w:rsid w:val="00217BED"/>
    <w:rsid w:val="00217C5B"/>
    <w:rsid w:val="002208C9"/>
    <w:rsid w:val="00220A43"/>
    <w:rsid w:val="0022139E"/>
    <w:rsid w:val="00222729"/>
    <w:rsid w:val="0022287B"/>
    <w:rsid w:val="002228DB"/>
    <w:rsid w:val="00223185"/>
    <w:rsid w:val="00223264"/>
    <w:rsid w:val="002233D6"/>
    <w:rsid w:val="002235EA"/>
    <w:rsid w:val="002243FB"/>
    <w:rsid w:val="0022441D"/>
    <w:rsid w:val="00224574"/>
    <w:rsid w:val="00224E3F"/>
    <w:rsid w:val="00225000"/>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8C7"/>
    <w:rsid w:val="00244A15"/>
    <w:rsid w:val="002452D9"/>
    <w:rsid w:val="00246649"/>
    <w:rsid w:val="00247319"/>
    <w:rsid w:val="002474FE"/>
    <w:rsid w:val="0024799E"/>
    <w:rsid w:val="00247E60"/>
    <w:rsid w:val="00251496"/>
    <w:rsid w:val="00251B08"/>
    <w:rsid w:val="00251C53"/>
    <w:rsid w:val="00251F7A"/>
    <w:rsid w:val="00252AB9"/>
    <w:rsid w:val="002532B1"/>
    <w:rsid w:val="00253C0F"/>
    <w:rsid w:val="00253ED9"/>
    <w:rsid w:val="002558C1"/>
    <w:rsid w:val="00256207"/>
    <w:rsid w:val="002575F3"/>
    <w:rsid w:val="002603E1"/>
    <w:rsid w:val="002605FE"/>
    <w:rsid w:val="0026120E"/>
    <w:rsid w:val="002617EE"/>
    <w:rsid w:val="0026183A"/>
    <w:rsid w:val="00261C26"/>
    <w:rsid w:val="00262582"/>
    <w:rsid w:val="002626B4"/>
    <w:rsid w:val="0026288F"/>
    <w:rsid w:val="0026291D"/>
    <w:rsid w:val="00262CF3"/>
    <w:rsid w:val="002631D6"/>
    <w:rsid w:val="00264309"/>
    <w:rsid w:val="00264992"/>
    <w:rsid w:val="00264B4F"/>
    <w:rsid w:val="00264B85"/>
    <w:rsid w:val="0026564B"/>
    <w:rsid w:val="0026588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63A2"/>
    <w:rsid w:val="00276B33"/>
    <w:rsid w:val="00277669"/>
    <w:rsid w:val="002803A5"/>
    <w:rsid w:val="00280ACB"/>
    <w:rsid w:val="002812E3"/>
    <w:rsid w:val="00282881"/>
    <w:rsid w:val="00282AD4"/>
    <w:rsid w:val="0028341F"/>
    <w:rsid w:val="002837AE"/>
    <w:rsid w:val="00283C13"/>
    <w:rsid w:val="00283F7B"/>
    <w:rsid w:val="0028431A"/>
    <w:rsid w:val="002853FA"/>
    <w:rsid w:val="00285412"/>
    <w:rsid w:val="002857D3"/>
    <w:rsid w:val="00286220"/>
    <w:rsid w:val="0029110B"/>
    <w:rsid w:val="00291640"/>
    <w:rsid w:val="00291EBD"/>
    <w:rsid w:val="0029237E"/>
    <w:rsid w:val="00292997"/>
    <w:rsid w:val="00293043"/>
    <w:rsid w:val="00293D24"/>
    <w:rsid w:val="00293FC1"/>
    <w:rsid w:val="0029461A"/>
    <w:rsid w:val="00294F74"/>
    <w:rsid w:val="0029509B"/>
    <w:rsid w:val="0029588F"/>
    <w:rsid w:val="00295E96"/>
    <w:rsid w:val="00297256"/>
    <w:rsid w:val="00297A5C"/>
    <w:rsid w:val="00297D51"/>
    <w:rsid w:val="002A0122"/>
    <w:rsid w:val="002A016B"/>
    <w:rsid w:val="002A0B40"/>
    <w:rsid w:val="002A103E"/>
    <w:rsid w:val="002A16D4"/>
    <w:rsid w:val="002A1E4F"/>
    <w:rsid w:val="002A230C"/>
    <w:rsid w:val="002A23F9"/>
    <w:rsid w:val="002A2AF7"/>
    <w:rsid w:val="002A3209"/>
    <w:rsid w:val="002A35F7"/>
    <w:rsid w:val="002A38F3"/>
    <w:rsid w:val="002A3EA2"/>
    <w:rsid w:val="002A4701"/>
    <w:rsid w:val="002A4F23"/>
    <w:rsid w:val="002A51AC"/>
    <w:rsid w:val="002A532A"/>
    <w:rsid w:val="002A5846"/>
    <w:rsid w:val="002A5D3A"/>
    <w:rsid w:val="002A5D97"/>
    <w:rsid w:val="002A603E"/>
    <w:rsid w:val="002A63B9"/>
    <w:rsid w:val="002A6FCC"/>
    <w:rsid w:val="002A7089"/>
    <w:rsid w:val="002B0692"/>
    <w:rsid w:val="002B0763"/>
    <w:rsid w:val="002B1619"/>
    <w:rsid w:val="002B3DD7"/>
    <w:rsid w:val="002B3EF4"/>
    <w:rsid w:val="002B4845"/>
    <w:rsid w:val="002B5567"/>
    <w:rsid w:val="002B5812"/>
    <w:rsid w:val="002B6545"/>
    <w:rsid w:val="002B72AA"/>
    <w:rsid w:val="002B764D"/>
    <w:rsid w:val="002B7E7F"/>
    <w:rsid w:val="002C1110"/>
    <w:rsid w:val="002C1BC2"/>
    <w:rsid w:val="002C1F09"/>
    <w:rsid w:val="002C22A4"/>
    <w:rsid w:val="002C260B"/>
    <w:rsid w:val="002C27A6"/>
    <w:rsid w:val="002C288C"/>
    <w:rsid w:val="002C2EB0"/>
    <w:rsid w:val="002C31E4"/>
    <w:rsid w:val="002C398D"/>
    <w:rsid w:val="002C40D2"/>
    <w:rsid w:val="002C43BD"/>
    <w:rsid w:val="002C5245"/>
    <w:rsid w:val="002C564A"/>
    <w:rsid w:val="002C59D8"/>
    <w:rsid w:val="002C5FEB"/>
    <w:rsid w:val="002C6494"/>
    <w:rsid w:val="002D05CB"/>
    <w:rsid w:val="002D0E59"/>
    <w:rsid w:val="002D2127"/>
    <w:rsid w:val="002D2C4F"/>
    <w:rsid w:val="002D3EBB"/>
    <w:rsid w:val="002D455C"/>
    <w:rsid w:val="002D6066"/>
    <w:rsid w:val="002D6A4C"/>
    <w:rsid w:val="002E01AD"/>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759E"/>
    <w:rsid w:val="002E792B"/>
    <w:rsid w:val="002E7AEB"/>
    <w:rsid w:val="002E7B79"/>
    <w:rsid w:val="002F0C47"/>
    <w:rsid w:val="002F1B09"/>
    <w:rsid w:val="002F1D56"/>
    <w:rsid w:val="002F1DCB"/>
    <w:rsid w:val="002F1DE4"/>
    <w:rsid w:val="002F327C"/>
    <w:rsid w:val="002F333D"/>
    <w:rsid w:val="002F351A"/>
    <w:rsid w:val="002F357F"/>
    <w:rsid w:val="002F46D6"/>
    <w:rsid w:val="002F498A"/>
    <w:rsid w:val="002F4AD8"/>
    <w:rsid w:val="002F5285"/>
    <w:rsid w:val="002F5820"/>
    <w:rsid w:val="002F58CC"/>
    <w:rsid w:val="002F5F60"/>
    <w:rsid w:val="002F616A"/>
    <w:rsid w:val="002F64BB"/>
    <w:rsid w:val="002F7D9B"/>
    <w:rsid w:val="00300C31"/>
    <w:rsid w:val="003017EC"/>
    <w:rsid w:val="00302165"/>
    <w:rsid w:val="00303BB4"/>
    <w:rsid w:val="00304194"/>
    <w:rsid w:val="00304771"/>
    <w:rsid w:val="00304F9C"/>
    <w:rsid w:val="0030521E"/>
    <w:rsid w:val="003052D4"/>
    <w:rsid w:val="00305863"/>
    <w:rsid w:val="00305FE5"/>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7C6"/>
    <w:rsid w:val="00316B3D"/>
    <w:rsid w:val="00317343"/>
    <w:rsid w:val="0032058C"/>
    <w:rsid w:val="003208D0"/>
    <w:rsid w:val="003209D6"/>
    <w:rsid w:val="003217B9"/>
    <w:rsid w:val="00321924"/>
    <w:rsid w:val="00321AF1"/>
    <w:rsid w:val="00321EB6"/>
    <w:rsid w:val="003220A5"/>
    <w:rsid w:val="00322CF6"/>
    <w:rsid w:val="003238E0"/>
    <w:rsid w:val="00323A1C"/>
    <w:rsid w:val="00323A2F"/>
    <w:rsid w:val="0032417B"/>
    <w:rsid w:val="003247E1"/>
    <w:rsid w:val="00324B59"/>
    <w:rsid w:val="00325071"/>
    <w:rsid w:val="00325E46"/>
    <w:rsid w:val="003263F9"/>
    <w:rsid w:val="0032656E"/>
    <w:rsid w:val="0032788F"/>
    <w:rsid w:val="00332190"/>
    <w:rsid w:val="00332A98"/>
    <w:rsid w:val="003334BD"/>
    <w:rsid w:val="00333973"/>
    <w:rsid w:val="00333CD0"/>
    <w:rsid w:val="0033448D"/>
    <w:rsid w:val="00334AD2"/>
    <w:rsid w:val="00334CB6"/>
    <w:rsid w:val="00336F1E"/>
    <w:rsid w:val="0033709C"/>
    <w:rsid w:val="003370C5"/>
    <w:rsid w:val="003373C6"/>
    <w:rsid w:val="0033753A"/>
    <w:rsid w:val="00340BF3"/>
    <w:rsid w:val="00341D26"/>
    <w:rsid w:val="00341F05"/>
    <w:rsid w:val="0034210C"/>
    <w:rsid w:val="0034335E"/>
    <w:rsid w:val="003434C5"/>
    <w:rsid w:val="00344668"/>
    <w:rsid w:val="00344940"/>
    <w:rsid w:val="00344E77"/>
    <w:rsid w:val="00346234"/>
    <w:rsid w:val="003462D9"/>
    <w:rsid w:val="0034699F"/>
    <w:rsid w:val="0034723F"/>
    <w:rsid w:val="00347247"/>
    <w:rsid w:val="003474B6"/>
    <w:rsid w:val="00347DD4"/>
    <w:rsid w:val="00350580"/>
    <w:rsid w:val="00350B13"/>
    <w:rsid w:val="00352B43"/>
    <w:rsid w:val="00352C28"/>
    <w:rsid w:val="003541BB"/>
    <w:rsid w:val="00354F89"/>
    <w:rsid w:val="0035506D"/>
    <w:rsid w:val="0036077F"/>
    <w:rsid w:val="00360C86"/>
    <w:rsid w:val="00360F7A"/>
    <w:rsid w:val="00360FBC"/>
    <w:rsid w:val="00361537"/>
    <w:rsid w:val="00361FB7"/>
    <w:rsid w:val="0036242A"/>
    <w:rsid w:val="003627D3"/>
    <w:rsid w:val="00362C23"/>
    <w:rsid w:val="00362DCA"/>
    <w:rsid w:val="00362E90"/>
    <w:rsid w:val="00364FA0"/>
    <w:rsid w:val="003657F3"/>
    <w:rsid w:val="00365844"/>
    <w:rsid w:val="00365DA5"/>
    <w:rsid w:val="00365EF5"/>
    <w:rsid w:val="00365F61"/>
    <w:rsid w:val="0036624C"/>
    <w:rsid w:val="00366461"/>
    <w:rsid w:val="003667F6"/>
    <w:rsid w:val="00367F84"/>
    <w:rsid w:val="003712BC"/>
    <w:rsid w:val="00372164"/>
    <w:rsid w:val="003738BD"/>
    <w:rsid w:val="00374263"/>
    <w:rsid w:val="0037445E"/>
    <w:rsid w:val="003746F0"/>
    <w:rsid w:val="00374A20"/>
    <w:rsid w:val="00374B96"/>
    <w:rsid w:val="00374E21"/>
    <w:rsid w:val="0037537A"/>
    <w:rsid w:val="0037713E"/>
    <w:rsid w:val="00377B2E"/>
    <w:rsid w:val="00380C9B"/>
    <w:rsid w:val="0038102E"/>
    <w:rsid w:val="003810F0"/>
    <w:rsid w:val="003815D4"/>
    <w:rsid w:val="003818DC"/>
    <w:rsid w:val="003820ED"/>
    <w:rsid w:val="00382513"/>
    <w:rsid w:val="00382D80"/>
    <w:rsid w:val="00383388"/>
    <w:rsid w:val="003834F8"/>
    <w:rsid w:val="003838D0"/>
    <w:rsid w:val="003840C2"/>
    <w:rsid w:val="00384327"/>
    <w:rsid w:val="00384A89"/>
    <w:rsid w:val="00385086"/>
    <w:rsid w:val="00385D98"/>
    <w:rsid w:val="003866AA"/>
    <w:rsid w:val="00390306"/>
    <w:rsid w:val="003908A6"/>
    <w:rsid w:val="00390CE5"/>
    <w:rsid w:val="0039109D"/>
    <w:rsid w:val="00391989"/>
    <w:rsid w:val="00391A6C"/>
    <w:rsid w:val="003927F6"/>
    <w:rsid w:val="0039398D"/>
    <w:rsid w:val="00393B3F"/>
    <w:rsid w:val="0039402D"/>
    <w:rsid w:val="003962CA"/>
    <w:rsid w:val="00396739"/>
    <w:rsid w:val="003978B1"/>
    <w:rsid w:val="003A04F6"/>
    <w:rsid w:val="003A0837"/>
    <w:rsid w:val="003A2B4D"/>
    <w:rsid w:val="003A2D12"/>
    <w:rsid w:val="003A2E46"/>
    <w:rsid w:val="003A2EBA"/>
    <w:rsid w:val="003A3343"/>
    <w:rsid w:val="003A45E3"/>
    <w:rsid w:val="003A46B8"/>
    <w:rsid w:val="003A478C"/>
    <w:rsid w:val="003A4A38"/>
    <w:rsid w:val="003A5525"/>
    <w:rsid w:val="003A5889"/>
    <w:rsid w:val="003A5C8C"/>
    <w:rsid w:val="003A6B38"/>
    <w:rsid w:val="003A6B83"/>
    <w:rsid w:val="003A6C97"/>
    <w:rsid w:val="003A722F"/>
    <w:rsid w:val="003A7373"/>
    <w:rsid w:val="003A7D09"/>
    <w:rsid w:val="003B039F"/>
    <w:rsid w:val="003B0DF4"/>
    <w:rsid w:val="003B1C8D"/>
    <w:rsid w:val="003B1EA8"/>
    <w:rsid w:val="003B1F9D"/>
    <w:rsid w:val="003B2A8D"/>
    <w:rsid w:val="003B2AD1"/>
    <w:rsid w:val="003B2D2E"/>
    <w:rsid w:val="003B3135"/>
    <w:rsid w:val="003B376A"/>
    <w:rsid w:val="003B42C7"/>
    <w:rsid w:val="003B461F"/>
    <w:rsid w:val="003B483F"/>
    <w:rsid w:val="003B4998"/>
    <w:rsid w:val="003B5A32"/>
    <w:rsid w:val="003B5B59"/>
    <w:rsid w:val="003B709D"/>
    <w:rsid w:val="003B7B50"/>
    <w:rsid w:val="003C0B07"/>
    <w:rsid w:val="003C2284"/>
    <w:rsid w:val="003C2CE7"/>
    <w:rsid w:val="003C2DB8"/>
    <w:rsid w:val="003C3490"/>
    <w:rsid w:val="003C3608"/>
    <w:rsid w:val="003C3AE8"/>
    <w:rsid w:val="003C3D2C"/>
    <w:rsid w:val="003C4058"/>
    <w:rsid w:val="003C4E13"/>
    <w:rsid w:val="003C53AB"/>
    <w:rsid w:val="003C58A5"/>
    <w:rsid w:val="003C6221"/>
    <w:rsid w:val="003C63D7"/>
    <w:rsid w:val="003C672E"/>
    <w:rsid w:val="003C68CC"/>
    <w:rsid w:val="003C7D39"/>
    <w:rsid w:val="003C7E62"/>
    <w:rsid w:val="003D12B9"/>
    <w:rsid w:val="003D1A33"/>
    <w:rsid w:val="003D1E7A"/>
    <w:rsid w:val="003D242B"/>
    <w:rsid w:val="003D2492"/>
    <w:rsid w:val="003D29AA"/>
    <w:rsid w:val="003D2A99"/>
    <w:rsid w:val="003D4EFE"/>
    <w:rsid w:val="003D55EA"/>
    <w:rsid w:val="003D6920"/>
    <w:rsid w:val="003E0249"/>
    <w:rsid w:val="003E08A4"/>
    <w:rsid w:val="003E1EF8"/>
    <w:rsid w:val="003E2DFB"/>
    <w:rsid w:val="003E4466"/>
    <w:rsid w:val="003E4C91"/>
    <w:rsid w:val="003E52D8"/>
    <w:rsid w:val="003E585F"/>
    <w:rsid w:val="003E5FA9"/>
    <w:rsid w:val="003E62F1"/>
    <w:rsid w:val="003E6F84"/>
    <w:rsid w:val="003F0148"/>
    <w:rsid w:val="003F313C"/>
    <w:rsid w:val="003F33B1"/>
    <w:rsid w:val="003F33B9"/>
    <w:rsid w:val="003F37FC"/>
    <w:rsid w:val="003F3E76"/>
    <w:rsid w:val="003F4318"/>
    <w:rsid w:val="003F4B2C"/>
    <w:rsid w:val="003F551C"/>
    <w:rsid w:val="003F5A2B"/>
    <w:rsid w:val="003F5B3D"/>
    <w:rsid w:val="003F626D"/>
    <w:rsid w:val="003F72ED"/>
    <w:rsid w:val="003F778A"/>
    <w:rsid w:val="003F79B6"/>
    <w:rsid w:val="003F7D23"/>
    <w:rsid w:val="00400050"/>
    <w:rsid w:val="004002C8"/>
    <w:rsid w:val="00400468"/>
    <w:rsid w:val="0040099D"/>
    <w:rsid w:val="00400B87"/>
    <w:rsid w:val="004016CB"/>
    <w:rsid w:val="00401B23"/>
    <w:rsid w:val="00402ADB"/>
    <w:rsid w:val="0040368D"/>
    <w:rsid w:val="00403D1D"/>
    <w:rsid w:val="00403F57"/>
    <w:rsid w:val="00404398"/>
    <w:rsid w:val="004046BD"/>
    <w:rsid w:val="0040488D"/>
    <w:rsid w:val="00404BAB"/>
    <w:rsid w:val="004052EF"/>
    <w:rsid w:val="00405318"/>
    <w:rsid w:val="004059D2"/>
    <w:rsid w:val="00405FFC"/>
    <w:rsid w:val="004060C9"/>
    <w:rsid w:val="004066D0"/>
    <w:rsid w:val="00406B0D"/>
    <w:rsid w:val="00406C2E"/>
    <w:rsid w:val="00406CDA"/>
    <w:rsid w:val="00406EB0"/>
    <w:rsid w:val="00407711"/>
    <w:rsid w:val="0040772C"/>
    <w:rsid w:val="00407C13"/>
    <w:rsid w:val="004103F6"/>
    <w:rsid w:val="00410638"/>
    <w:rsid w:val="00412511"/>
    <w:rsid w:val="004125C2"/>
    <w:rsid w:val="00412DFA"/>
    <w:rsid w:val="00413465"/>
    <w:rsid w:val="004149AC"/>
    <w:rsid w:val="0041501E"/>
    <w:rsid w:val="00415452"/>
    <w:rsid w:val="004159C3"/>
    <w:rsid w:val="00415A57"/>
    <w:rsid w:val="00416730"/>
    <w:rsid w:val="00416DAC"/>
    <w:rsid w:val="00417068"/>
    <w:rsid w:val="00417106"/>
    <w:rsid w:val="00420792"/>
    <w:rsid w:val="00420880"/>
    <w:rsid w:val="00421179"/>
    <w:rsid w:val="0042169F"/>
    <w:rsid w:val="004225D7"/>
    <w:rsid w:val="004227DA"/>
    <w:rsid w:val="00423623"/>
    <w:rsid w:val="0042425A"/>
    <w:rsid w:val="0042470E"/>
    <w:rsid w:val="00424B72"/>
    <w:rsid w:val="00425352"/>
    <w:rsid w:val="00425734"/>
    <w:rsid w:val="00426C99"/>
    <w:rsid w:val="004272BE"/>
    <w:rsid w:val="00427654"/>
    <w:rsid w:val="004305E4"/>
    <w:rsid w:val="00430C96"/>
    <w:rsid w:val="0043174F"/>
    <w:rsid w:val="00431BFF"/>
    <w:rsid w:val="00432199"/>
    <w:rsid w:val="00432A58"/>
    <w:rsid w:val="004331C3"/>
    <w:rsid w:val="00433C17"/>
    <w:rsid w:val="00434617"/>
    <w:rsid w:val="00434DE9"/>
    <w:rsid w:val="00435051"/>
    <w:rsid w:val="00435C69"/>
    <w:rsid w:val="004360FB"/>
    <w:rsid w:val="00437701"/>
    <w:rsid w:val="00437CED"/>
    <w:rsid w:val="004407BF"/>
    <w:rsid w:val="00440900"/>
    <w:rsid w:val="0044121D"/>
    <w:rsid w:val="00441BF6"/>
    <w:rsid w:val="00441D2B"/>
    <w:rsid w:val="00441F8B"/>
    <w:rsid w:val="00442085"/>
    <w:rsid w:val="0044279E"/>
    <w:rsid w:val="004441A0"/>
    <w:rsid w:val="00444618"/>
    <w:rsid w:val="00444C8C"/>
    <w:rsid w:val="00445861"/>
    <w:rsid w:val="00445A8E"/>
    <w:rsid w:val="00446D44"/>
    <w:rsid w:val="0045078A"/>
    <w:rsid w:val="0045086D"/>
    <w:rsid w:val="00450DAB"/>
    <w:rsid w:val="0045125B"/>
    <w:rsid w:val="00451E25"/>
    <w:rsid w:val="00451EF1"/>
    <w:rsid w:val="004521DF"/>
    <w:rsid w:val="00452E60"/>
    <w:rsid w:val="0045321B"/>
    <w:rsid w:val="00456FE5"/>
    <w:rsid w:val="00457490"/>
    <w:rsid w:val="00457744"/>
    <w:rsid w:val="0045778B"/>
    <w:rsid w:val="0045786C"/>
    <w:rsid w:val="00457953"/>
    <w:rsid w:val="0046011D"/>
    <w:rsid w:val="004604D8"/>
    <w:rsid w:val="00460656"/>
    <w:rsid w:val="00460FB3"/>
    <w:rsid w:val="00463205"/>
    <w:rsid w:val="00463D3C"/>
    <w:rsid w:val="00464851"/>
    <w:rsid w:val="00464990"/>
    <w:rsid w:val="00464BF5"/>
    <w:rsid w:val="00466595"/>
    <w:rsid w:val="00466B3E"/>
    <w:rsid w:val="0046746A"/>
    <w:rsid w:val="00467B14"/>
    <w:rsid w:val="004706ED"/>
    <w:rsid w:val="004707FE"/>
    <w:rsid w:val="00470EDC"/>
    <w:rsid w:val="00471533"/>
    <w:rsid w:val="00471D6A"/>
    <w:rsid w:val="00472418"/>
    <w:rsid w:val="0047276D"/>
    <w:rsid w:val="00472AF6"/>
    <w:rsid w:val="00473482"/>
    <w:rsid w:val="00473491"/>
    <w:rsid w:val="00474646"/>
    <w:rsid w:val="004748E0"/>
    <w:rsid w:val="00474A04"/>
    <w:rsid w:val="00476240"/>
    <w:rsid w:val="00476439"/>
    <w:rsid w:val="00476450"/>
    <w:rsid w:val="004764B7"/>
    <w:rsid w:val="004769BF"/>
    <w:rsid w:val="004769E1"/>
    <w:rsid w:val="0047735C"/>
    <w:rsid w:val="004776BC"/>
    <w:rsid w:val="00477820"/>
    <w:rsid w:val="00477B96"/>
    <w:rsid w:val="00480802"/>
    <w:rsid w:val="00480BAE"/>
    <w:rsid w:val="00480D7F"/>
    <w:rsid w:val="0048139F"/>
    <w:rsid w:val="00481E40"/>
    <w:rsid w:val="00482405"/>
    <w:rsid w:val="004826A7"/>
    <w:rsid w:val="0048368C"/>
    <w:rsid w:val="0048372F"/>
    <w:rsid w:val="00483A0C"/>
    <w:rsid w:val="004841CC"/>
    <w:rsid w:val="00484880"/>
    <w:rsid w:val="00484ECE"/>
    <w:rsid w:val="00485145"/>
    <w:rsid w:val="00485E4D"/>
    <w:rsid w:val="00485E82"/>
    <w:rsid w:val="00486132"/>
    <w:rsid w:val="0048686D"/>
    <w:rsid w:val="004868F4"/>
    <w:rsid w:val="00486A4D"/>
    <w:rsid w:val="00487FC3"/>
    <w:rsid w:val="004915CB"/>
    <w:rsid w:val="004924DC"/>
    <w:rsid w:val="00492879"/>
    <w:rsid w:val="00493E85"/>
    <w:rsid w:val="00494464"/>
    <w:rsid w:val="00495145"/>
    <w:rsid w:val="0049531F"/>
    <w:rsid w:val="00496A39"/>
    <w:rsid w:val="004979A5"/>
    <w:rsid w:val="004A0144"/>
    <w:rsid w:val="004A0328"/>
    <w:rsid w:val="004A036E"/>
    <w:rsid w:val="004A0498"/>
    <w:rsid w:val="004A06B0"/>
    <w:rsid w:val="004A0D0E"/>
    <w:rsid w:val="004A14E4"/>
    <w:rsid w:val="004A204E"/>
    <w:rsid w:val="004A2642"/>
    <w:rsid w:val="004A26A5"/>
    <w:rsid w:val="004A27F0"/>
    <w:rsid w:val="004A3212"/>
    <w:rsid w:val="004A37CD"/>
    <w:rsid w:val="004A40D9"/>
    <w:rsid w:val="004A49A5"/>
    <w:rsid w:val="004A4F8A"/>
    <w:rsid w:val="004A52AB"/>
    <w:rsid w:val="004A5494"/>
    <w:rsid w:val="004A5D4E"/>
    <w:rsid w:val="004A61C5"/>
    <w:rsid w:val="004A62A0"/>
    <w:rsid w:val="004A77B8"/>
    <w:rsid w:val="004A77DF"/>
    <w:rsid w:val="004B0A56"/>
    <w:rsid w:val="004B1417"/>
    <w:rsid w:val="004B18DF"/>
    <w:rsid w:val="004B1D3D"/>
    <w:rsid w:val="004B305C"/>
    <w:rsid w:val="004B31B8"/>
    <w:rsid w:val="004B339A"/>
    <w:rsid w:val="004B3BD0"/>
    <w:rsid w:val="004B4C83"/>
    <w:rsid w:val="004B55B7"/>
    <w:rsid w:val="004B5BFA"/>
    <w:rsid w:val="004B6005"/>
    <w:rsid w:val="004B619E"/>
    <w:rsid w:val="004B6468"/>
    <w:rsid w:val="004B6AC1"/>
    <w:rsid w:val="004B6EF8"/>
    <w:rsid w:val="004B7125"/>
    <w:rsid w:val="004B756A"/>
    <w:rsid w:val="004B7A0C"/>
    <w:rsid w:val="004B7FB1"/>
    <w:rsid w:val="004C06D6"/>
    <w:rsid w:val="004C0970"/>
    <w:rsid w:val="004C0B3F"/>
    <w:rsid w:val="004C0F87"/>
    <w:rsid w:val="004C1178"/>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438"/>
    <w:rsid w:val="004C6E0E"/>
    <w:rsid w:val="004C70DC"/>
    <w:rsid w:val="004C7100"/>
    <w:rsid w:val="004D0211"/>
    <w:rsid w:val="004D0794"/>
    <w:rsid w:val="004D07B9"/>
    <w:rsid w:val="004D0822"/>
    <w:rsid w:val="004D108E"/>
    <w:rsid w:val="004D122F"/>
    <w:rsid w:val="004D2A9A"/>
    <w:rsid w:val="004D2D31"/>
    <w:rsid w:val="004D2E03"/>
    <w:rsid w:val="004D3296"/>
    <w:rsid w:val="004D4056"/>
    <w:rsid w:val="004D4CB0"/>
    <w:rsid w:val="004D5B0F"/>
    <w:rsid w:val="004D7626"/>
    <w:rsid w:val="004E085C"/>
    <w:rsid w:val="004E12DF"/>
    <w:rsid w:val="004E186A"/>
    <w:rsid w:val="004E1A40"/>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22B"/>
    <w:rsid w:val="004F3272"/>
    <w:rsid w:val="004F33A0"/>
    <w:rsid w:val="004F3873"/>
    <w:rsid w:val="004F3BD2"/>
    <w:rsid w:val="004F46ED"/>
    <w:rsid w:val="004F49A3"/>
    <w:rsid w:val="004F4C99"/>
    <w:rsid w:val="004F5358"/>
    <w:rsid w:val="004F55FA"/>
    <w:rsid w:val="004F6339"/>
    <w:rsid w:val="004F6484"/>
    <w:rsid w:val="004F6539"/>
    <w:rsid w:val="005021F1"/>
    <w:rsid w:val="00503D54"/>
    <w:rsid w:val="005040D3"/>
    <w:rsid w:val="005048E2"/>
    <w:rsid w:val="00504BA2"/>
    <w:rsid w:val="00505FC8"/>
    <w:rsid w:val="00506603"/>
    <w:rsid w:val="0050686E"/>
    <w:rsid w:val="0050689D"/>
    <w:rsid w:val="005077F5"/>
    <w:rsid w:val="005108C0"/>
    <w:rsid w:val="0051094F"/>
    <w:rsid w:val="00511217"/>
    <w:rsid w:val="00511873"/>
    <w:rsid w:val="0051190D"/>
    <w:rsid w:val="00511BAF"/>
    <w:rsid w:val="00512461"/>
    <w:rsid w:val="00512501"/>
    <w:rsid w:val="00512585"/>
    <w:rsid w:val="00512A2F"/>
    <w:rsid w:val="00513B7E"/>
    <w:rsid w:val="00513E9D"/>
    <w:rsid w:val="0051475D"/>
    <w:rsid w:val="00514B11"/>
    <w:rsid w:val="00514DED"/>
    <w:rsid w:val="0051500A"/>
    <w:rsid w:val="00515485"/>
    <w:rsid w:val="00515BE9"/>
    <w:rsid w:val="00515C74"/>
    <w:rsid w:val="00515CEB"/>
    <w:rsid w:val="0051630F"/>
    <w:rsid w:val="00516337"/>
    <w:rsid w:val="00517113"/>
    <w:rsid w:val="00517615"/>
    <w:rsid w:val="0052007E"/>
    <w:rsid w:val="0052032E"/>
    <w:rsid w:val="00520F4A"/>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728"/>
    <w:rsid w:val="00530A68"/>
    <w:rsid w:val="00530AD4"/>
    <w:rsid w:val="0053129F"/>
    <w:rsid w:val="00531C5A"/>
    <w:rsid w:val="00532CE7"/>
    <w:rsid w:val="00532D8B"/>
    <w:rsid w:val="0053324C"/>
    <w:rsid w:val="00533A8D"/>
    <w:rsid w:val="00534A28"/>
    <w:rsid w:val="00535018"/>
    <w:rsid w:val="0053595E"/>
    <w:rsid w:val="00537571"/>
    <w:rsid w:val="00540056"/>
    <w:rsid w:val="0054101E"/>
    <w:rsid w:val="005410E2"/>
    <w:rsid w:val="00541508"/>
    <w:rsid w:val="00541AE3"/>
    <w:rsid w:val="00542748"/>
    <w:rsid w:val="00543498"/>
    <w:rsid w:val="00544011"/>
    <w:rsid w:val="005441A8"/>
    <w:rsid w:val="00544BE5"/>
    <w:rsid w:val="005453A3"/>
    <w:rsid w:val="005455F6"/>
    <w:rsid w:val="0054582F"/>
    <w:rsid w:val="00546FC7"/>
    <w:rsid w:val="005500D6"/>
    <w:rsid w:val="005500F9"/>
    <w:rsid w:val="00550160"/>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57EFC"/>
    <w:rsid w:val="00560825"/>
    <w:rsid w:val="00560C41"/>
    <w:rsid w:val="00560CAC"/>
    <w:rsid w:val="00561751"/>
    <w:rsid w:val="00561F44"/>
    <w:rsid w:val="00562015"/>
    <w:rsid w:val="005621B9"/>
    <w:rsid w:val="00562B4D"/>
    <w:rsid w:val="00562DB1"/>
    <w:rsid w:val="00563EB8"/>
    <w:rsid w:val="005647BF"/>
    <w:rsid w:val="00564AF1"/>
    <w:rsid w:val="005655DB"/>
    <w:rsid w:val="00565E88"/>
    <w:rsid w:val="005662F5"/>
    <w:rsid w:val="00567339"/>
    <w:rsid w:val="005678EE"/>
    <w:rsid w:val="00567910"/>
    <w:rsid w:val="00570270"/>
    <w:rsid w:val="00570464"/>
    <w:rsid w:val="00570BC3"/>
    <w:rsid w:val="0057182A"/>
    <w:rsid w:val="00571E59"/>
    <w:rsid w:val="00572079"/>
    <w:rsid w:val="00572900"/>
    <w:rsid w:val="00572C04"/>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87D30"/>
    <w:rsid w:val="00590608"/>
    <w:rsid w:val="00590B28"/>
    <w:rsid w:val="00591187"/>
    <w:rsid w:val="005911BE"/>
    <w:rsid w:val="00591273"/>
    <w:rsid w:val="005915EA"/>
    <w:rsid w:val="00591E9E"/>
    <w:rsid w:val="005927A4"/>
    <w:rsid w:val="00593152"/>
    <w:rsid w:val="00593389"/>
    <w:rsid w:val="00593FE6"/>
    <w:rsid w:val="005956A3"/>
    <w:rsid w:val="00595958"/>
    <w:rsid w:val="00595CAB"/>
    <w:rsid w:val="0059622E"/>
    <w:rsid w:val="00597671"/>
    <w:rsid w:val="00597BBF"/>
    <w:rsid w:val="005A040C"/>
    <w:rsid w:val="005A0443"/>
    <w:rsid w:val="005A0463"/>
    <w:rsid w:val="005A0948"/>
    <w:rsid w:val="005A0A03"/>
    <w:rsid w:val="005A10F2"/>
    <w:rsid w:val="005A16C0"/>
    <w:rsid w:val="005A2156"/>
    <w:rsid w:val="005A21E0"/>
    <w:rsid w:val="005A28FF"/>
    <w:rsid w:val="005A2C09"/>
    <w:rsid w:val="005A3778"/>
    <w:rsid w:val="005A37B0"/>
    <w:rsid w:val="005A3DF8"/>
    <w:rsid w:val="005A5549"/>
    <w:rsid w:val="005A566A"/>
    <w:rsid w:val="005A56E0"/>
    <w:rsid w:val="005A70CA"/>
    <w:rsid w:val="005A7ABD"/>
    <w:rsid w:val="005A7CF8"/>
    <w:rsid w:val="005B0EDA"/>
    <w:rsid w:val="005B121D"/>
    <w:rsid w:val="005B26B0"/>
    <w:rsid w:val="005B2756"/>
    <w:rsid w:val="005B41C9"/>
    <w:rsid w:val="005B44E6"/>
    <w:rsid w:val="005B4853"/>
    <w:rsid w:val="005B62D1"/>
    <w:rsid w:val="005B6CA1"/>
    <w:rsid w:val="005B6F04"/>
    <w:rsid w:val="005B770C"/>
    <w:rsid w:val="005C06ED"/>
    <w:rsid w:val="005C0CE1"/>
    <w:rsid w:val="005C11B8"/>
    <w:rsid w:val="005C181B"/>
    <w:rsid w:val="005C19E3"/>
    <w:rsid w:val="005C216C"/>
    <w:rsid w:val="005C230A"/>
    <w:rsid w:val="005C2609"/>
    <w:rsid w:val="005C2B30"/>
    <w:rsid w:val="005C412B"/>
    <w:rsid w:val="005C43EC"/>
    <w:rsid w:val="005C45DD"/>
    <w:rsid w:val="005C4704"/>
    <w:rsid w:val="005C4CB1"/>
    <w:rsid w:val="005C70AB"/>
    <w:rsid w:val="005C771D"/>
    <w:rsid w:val="005D015C"/>
    <w:rsid w:val="005D1117"/>
    <w:rsid w:val="005D3F06"/>
    <w:rsid w:val="005D4608"/>
    <w:rsid w:val="005D4B73"/>
    <w:rsid w:val="005D533D"/>
    <w:rsid w:val="005D5645"/>
    <w:rsid w:val="005D5802"/>
    <w:rsid w:val="005D5AA9"/>
    <w:rsid w:val="005D66E6"/>
    <w:rsid w:val="005D7119"/>
    <w:rsid w:val="005D7508"/>
    <w:rsid w:val="005D76C8"/>
    <w:rsid w:val="005D7890"/>
    <w:rsid w:val="005E19C1"/>
    <w:rsid w:val="005E2194"/>
    <w:rsid w:val="005E24F0"/>
    <w:rsid w:val="005E2DBF"/>
    <w:rsid w:val="005E3113"/>
    <w:rsid w:val="005E36FE"/>
    <w:rsid w:val="005E3F66"/>
    <w:rsid w:val="005E490F"/>
    <w:rsid w:val="005E4BC9"/>
    <w:rsid w:val="005E531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CB0"/>
    <w:rsid w:val="005F6D7F"/>
    <w:rsid w:val="005F6DFE"/>
    <w:rsid w:val="005F7174"/>
    <w:rsid w:val="005F724F"/>
    <w:rsid w:val="0060120D"/>
    <w:rsid w:val="006017C1"/>
    <w:rsid w:val="00601ADE"/>
    <w:rsid w:val="00601EEF"/>
    <w:rsid w:val="0060255A"/>
    <w:rsid w:val="00602998"/>
    <w:rsid w:val="00602EB3"/>
    <w:rsid w:val="00604307"/>
    <w:rsid w:val="0060487F"/>
    <w:rsid w:val="00604EAD"/>
    <w:rsid w:val="0060513F"/>
    <w:rsid w:val="006063BB"/>
    <w:rsid w:val="006065E2"/>
    <w:rsid w:val="0060694B"/>
    <w:rsid w:val="006104FB"/>
    <w:rsid w:val="0061176D"/>
    <w:rsid w:val="0061200F"/>
    <w:rsid w:val="00612756"/>
    <w:rsid w:val="00612A2F"/>
    <w:rsid w:val="00612AAE"/>
    <w:rsid w:val="00612B07"/>
    <w:rsid w:val="00612FD9"/>
    <w:rsid w:val="006139E0"/>
    <w:rsid w:val="00613A32"/>
    <w:rsid w:val="00613BAF"/>
    <w:rsid w:val="00614D35"/>
    <w:rsid w:val="006156B4"/>
    <w:rsid w:val="00615DAF"/>
    <w:rsid w:val="00616254"/>
    <w:rsid w:val="0061672A"/>
    <w:rsid w:val="00616E05"/>
    <w:rsid w:val="00617174"/>
    <w:rsid w:val="00617985"/>
    <w:rsid w:val="00620B77"/>
    <w:rsid w:val="00621190"/>
    <w:rsid w:val="0062131B"/>
    <w:rsid w:val="00621E26"/>
    <w:rsid w:val="006224EA"/>
    <w:rsid w:val="0062263A"/>
    <w:rsid w:val="006227DF"/>
    <w:rsid w:val="006234A0"/>
    <w:rsid w:val="006235CD"/>
    <w:rsid w:val="006236C8"/>
    <w:rsid w:val="00624093"/>
    <w:rsid w:val="006240A3"/>
    <w:rsid w:val="00625A19"/>
    <w:rsid w:val="00625A84"/>
    <w:rsid w:val="00626079"/>
    <w:rsid w:val="006305F7"/>
    <w:rsid w:val="00630741"/>
    <w:rsid w:val="00631698"/>
    <w:rsid w:val="00631E44"/>
    <w:rsid w:val="00632B4B"/>
    <w:rsid w:val="0063476C"/>
    <w:rsid w:val="00634C57"/>
    <w:rsid w:val="00634CE7"/>
    <w:rsid w:val="006350D5"/>
    <w:rsid w:val="006359F7"/>
    <w:rsid w:val="00635C51"/>
    <w:rsid w:val="0063642C"/>
    <w:rsid w:val="00636492"/>
    <w:rsid w:val="0063714C"/>
    <w:rsid w:val="006376B3"/>
    <w:rsid w:val="00637858"/>
    <w:rsid w:val="006404A7"/>
    <w:rsid w:val="00640A38"/>
    <w:rsid w:val="00640E6B"/>
    <w:rsid w:val="0064123E"/>
    <w:rsid w:val="00641787"/>
    <w:rsid w:val="0064179B"/>
    <w:rsid w:val="00642489"/>
    <w:rsid w:val="0064341F"/>
    <w:rsid w:val="00644055"/>
    <w:rsid w:val="00644137"/>
    <w:rsid w:val="0064478C"/>
    <w:rsid w:val="0064513D"/>
    <w:rsid w:val="00645160"/>
    <w:rsid w:val="006451E4"/>
    <w:rsid w:val="0064574B"/>
    <w:rsid w:val="006459DF"/>
    <w:rsid w:val="00645B33"/>
    <w:rsid w:val="00646B42"/>
    <w:rsid w:val="006516CB"/>
    <w:rsid w:val="00652E30"/>
    <w:rsid w:val="00653BD0"/>
    <w:rsid w:val="00654110"/>
    <w:rsid w:val="00654604"/>
    <w:rsid w:val="00656C5D"/>
    <w:rsid w:val="00656CFB"/>
    <w:rsid w:val="00656D25"/>
    <w:rsid w:val="00657E87"/>
    <w:rsid w:val="00660D2D"/>
    <w:rsid w:val="00661C41"/>
    <w:rsid w:val="00661E03"/>
    <w:rsid w:val="00661EC9"/>
    <w:rsid w:val="00661EF8"/>
    <w:rsid w:val="00662469"/>
    <w:rsid w:val="0066411C"/>
    <w:rsid w:val="00664205"/>
    <w:rsid w:val="00664647"/>
    <w:rsid w:val="00664803"/>
    <w:rsid w:val="0066502F"/>
    <w:rsid w:val="006653CC"/>
    <w:rsid w:val="00665982"/>
    <w:rsid w:val="00665A05"/>
    <w:rsid w:val="00665BA4"/>
    <w:rsid w:val="00666BF3"/>
    <w:rsid w:val="00667856"/>
    <w:rsid w:val="00667AF2"/>
    <w:rsid w:val="00670489"/>
    <w:rsid w:val="006710C9"/>
    <w:rsid w:val="00671D85"/>
    <w:rsid w:val="00672586"/>
    <w:rsid w:val="006727BC"/>
    <w:rsid w:val="006741CD"/>
    <w:rsid w:val="00674D89"/>
    <w:rsid w:val="0067514E"/>
    <w:rsid w:val="00675E37"/>
    <w:rsid w:val="0067623E"/>
    <w:rsid w:val="0067635D"/>
    <w:rsid w:val="00676736"/>
    <w:rsid w:val="006769A4"/>
    <w:rsid w:val="006769C6"/>
    <w:rsid w:val="00676D76"/>
    <w:rsid w:val="00676F9F"/>
    <w:rsid w:val="00677519"/>
    <w:rsid w:val="00677591"/>
    <w:rsid w:val="00677594"/>
    <w:rsid w:val="0067794F"/>
    <w:rsid w:val="00677FA3"/>
    <w:rsid w:val="0068032F"/>
    <w:rsid w:val="00680D37"/>
    <w:rsid w:val="00681060"/>
    <w:rsid w:val="0068174E"/>
    <w:rsid w:val="0068177E"/>
    <w:rsid w:val="00681DCE"/>
    <w:rsid w:val="00682110"/>
    <w:rsid w:val="0068260E"/>
    <w:rsid w:val="00683CE6"/>
    <w:rsid w:val="006846B3"/>
    <w:rsid w:val="00684B9B"/>
    <w:rsid w:val="00684D59"/>
    <w:rsid w:val="00684E25"/>
    <w:rsid w:val="006858A4"/>
    <w:rsid w:val="00685C08"/>
    <w:rsid w:val="00686718"/>
    <w:rsid w:val="00686A63"/>
    <w:rsid w:val="00686BFA"/>
    <w:rsid w:val="00686DED"/>
    <w:rsid w:val="00686DFB"/>
    <w:rsid w:val="006875A0"/>
    <w:rsid w:val="006878C6"/>
    <w:rsid w:val="00687D27"/>
    <w:rsid w:val="00691943"/>
    <w:rsid w:val="00691FB9"/>
    <w:rsid w:val="0069212C"/>
    <w:rsid w:val="00693550"/>
    <w:rsid w:val="00694622"/>
    <w:rsid w:val="006948DE"/>
    <w:rsid w:val="00695065"/>
    <w:rsid w:val="00695BEF"/>
    <w:rsid w:val="00696251"/>
    <w:rsid w:val="006966C7"/>
    <w:rsid w:val="006968C1"/>
    <w:rsid w:val="00696DBC"/>
    <w:rsid w:val="0069752C"/>
    <w:rsid w:val="006977B8"/>
    <w:rsid w:val="006977F6"/>
    <w:rsid w:val="00697A13"/>
    <w:rsid w:val="006A0DD4"/>
    <w:rsid w:val="006A109C"/>
    <w:rsid w:val="006A30E5"/>
    <w:rsid w:val="006A39A7"/>
    <w:rsid w:val="006A4E91"/>
    <w:rsid w:val="006A5F4B"/>
    <w:rsid w:val="006A6114"/>
    <w:rsid w:val="006A6565"/>
    <w:rsid w:val="006A7665"/>
    <w:rsid w:val="006A7691"/>
    <w:rsid w:val="006A7E73"/>
    <w:rsid w:val="006A7EE2"/>
    <w:rsid w:val="006B0514"/>
    <w:rsid w:val="006B0F92"/>
    <w:rsid w:val="006B2785"/>
    <w:rsid w:val="006B27C7"/>
    <w:rsid w:val="006B3006"/>
    <w:rsid w:val="006B344A"/>
    <w:rsid w:val="006B3B51"/>
    <w:rsid w:val="006B3EF1"/>
    <w:rsid w:val="006B4485"/>
    <w:rsid w:val="006B58C9"/>
    <w:rsid w:val="006B60ED"/>
    <w:rsid w:val="006B6CC5"/>
    <w:rsid w:val="006B74AC"/>
    <w:rsid w:val="006B757F"/>
    <w:rsid w:val="006B78D8"/>
    <w:rsid w:val="006B79EA"/>
    <w:rsid w:val="006C0C5D"/>
    <w:rsid w:val="006C113F"/>
    <w:rsid w:val="006C123E"/>
    <w:rsid w:val="006C15A1"/>
    <w:rsid w:val="006C1752"/>
    <w:rsid w:val="006C1DDC"/>
    <w:rsid w:val="006C28CA"/>
    <w:rsid w:val="006C2BBF"/>
    <w:rsid w:val="006C2FBD"/>
    <w:rsid w:val="006C3336"/>
    <w:rsid w:val="006C3495"/>
    <w:rsid w:val="006C36E1"/>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04D"/>
    <w:rsid w:val="006D18B3"/>
    <w:rsid w:val="006D1E89"/>
    <w:rsid w:val="006D26CE"/>
    <w:rsid w:val="006D2A74"/>
    <w:rsid w:val="006D317E"/>
    <w:rsid w:val="006D3E8A"/>
    <w:rsid w:val="006D47D9"/>
    <w:rsid w:val="006D61F6"/>
    <w:rsid w:val="006E1081"/>
    <w:rsid w:val="006E1332"/>
    <w:rsid w:val="006E19CB"/>
    <w:rsid w:val="006E2364"/>
    <w:rsid w:val="006E2589"/>
    <w:rsid w:val="006E279A"/>
    <w:rsid w:val="006E313B"/>
    <w:rsid w:val="006E34B2"/>
    <w:rsid w:val="006E3A45"/>
    <w:rsid w:val="006E4078"/>
    <w:rsid w:val="006E4F68"/>
    <w:rsid w:val="006E51C4"/>
    <w:rsid w:val="006E53AD"/>
    <w:rsid w:val="006E58CB"/>
    <w:rsid w:val="006E6A93"/>
    <w:rsid w:val="006E7227"/>
    <w:rsid w:val="006E7410"/>
    <w:rsid w:val="006E761A"/>
    <w:rsid w:val="006F0646"/>
    <w:rsid w:val="006F0741"/>
    <w:rsid w:val="006F0EE2"/>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448"/>
    <w:rsid w:val="007008A9"/>
    <w:rsid w:val="00700E8A"/>
    <w:rsid w:val="0070398A"/>
    <w:rsid w:val="00705242"/>
    <w:rsid w:val="007055E0"/>
    <w:rsid w:val="007056ED"/>
    <w:rsid w:val="00705C47"/>
    <w:rsid w:val="00705F4E"/>
    <w:rsid w:val="0070658E"/>
    <w:rsid w:val="007065C5"/>
    <w:rsid w:val="007068E1"/>
    <w:rsid w:val="00706AA0"/>
    <w:rsid w:val="00706AD4"/>
    <w:rsid w:val="00707150"/>
    <w:rsid w:val="00711CF9"/>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310"/>
    <w:rsid w:val="00720D7A"/>
    <w:rsid w:val="007211F5"/>
    <w:rsid w:val="007213C3"/>
    <w:rsid w:val="00721504"/>
    <w:rsid w:val="00721601"/>
    <w:rsid w:val="00722777"/>
    <w:rsid w:val="00723435"/>
    <w:rsid w:val="00723436"/>
    <w:rsid w:val="007240E2"/>
    <w:rsid w:val="0072454C"/>
    <w:rsid w:val="0072583E"/>
    <w:rsid w:val="00725BB5"/>
    <w:rsid w:val="00726978"/>
    <w:rsid w:val="00727C02"/>
    <w:rsid w:val="0073008E"/>
    <w:rsid w:val="00730A8B"/>
    <w:rsid w:val="00730AE8"/>
    <w:rsid w:val="00730F1B"/>
    <w:rsid w:val="007310AC"/>
    <w:rsid w:val="0073186D"/>
    <w:rsid w:val="0073261D"/>
    <w:rsid w:val="0073333D"/>
    <w:rsid w:val="007335AE"/>
    <w:rsid w:val="00733EF2"/>
    <w:rsid w:val="007343D9"/>
    <w:rsid w:val="00734F71"/>
    <w:rsid w:val="00735448"/>
    <w:rsid w:val="00736F07"/>
    <w:rsid w:val="007377BD"/>
    <w:rsid w:val="00737DEC"/>
    <w:rsid w:val="0074004D"/>
    <w:rsid w:val="00741493"/>
    <w:rsid w:val="007434E5"/>
    <w:rsid w:val="00743DB7"/>
    <w:rsid w:val="0074499B"/>
    <w:rsid w:val="0074501E"/>
    <w:rsid w:val="007450BF"/>
    <w:rsid w:val="0074599A"/>
    <w:rsid w:val="00746F45"/>
    <w:rsid w:val="007471A1"/>
    <w:rsid w:val="0074744D"/>
    <w:rsid w:val="007477BD"/>
    <w:rsid w:val="007477DA"/>
    <w:rsid w:val="00747EE9"/>
    <w:rsid w:val="007511CD"/>
    <w:rsid w:val="007520B6"/>
    <w:rsid w:val="007520F6"/>
    <w:rsid w:val="00752180"/>
    <w:rsid w:val="00752323"/>
    <w:rsid w:val="0075291E"/>
    <w:rsid w:val="007532B7"/>
    <w:rsid w:val="00753CAB"/>
    <w:rsid w:val="00754A70"/>
    <w:rsid w:val="00754BC9"/>
    <w:rsid w:val="00755202"/>
    <w:rsid w:val="00755D3A"/>
    <w:rsid w:val="00757140"/>
    <w:rsid w:val="00757241"/>
    <w:rsid w:val="0075751D"/>
    <w:rsid w:val="0075763E"/>
    <w:rsid w:val="007578D3"/>
    <w:rsid w:val="0076029B"/>
    <w:rsid w:val="007602CF"/>
    <w:rsid w:val="00760391"/>
    <w:rsid w:val="007609C6"/>
    <w:rsid w:val="007615F3"/>
    <w:rsid w:val="0076175D"/>
    <w:rsid w:val="00761CB5"/>
    <w:rsid w:val="007622B7"/>
    <w:rsid w:val="007629D5"/>
    <w:rsid w:val="007635F8"/>
    <w:rsid w:val="00763B85"/>
    <w:rsid w:val="00763DB7"/>
    <w:rsid w:val="007644A2"/>
    <w:rsid w:val="00764932"/>
    <w:rsid w:val="00764974"/>
    <w:rsid w:val="00764C76"/>
    <w:rsid w:val="00764D18"/>
    <w:rsid w:val="0076521E"/>
    <w:rsid w:val="00765BCC"/>
    <w:rsid w:val="0076600D"/>
    <w:rsid w:val="007661E9"/>
    <w:rsid w:val="00766460"/>
    <w:rsid w:val="00767062"/>
    <w:rsid w:val="00767601"/>
    <w:rsid w:val="00767777"/>
    <w:rsid w:val="00767933"/>
    <w:rsid w:val="00770AB9"/>
    <w:rsid w:val="00770CFC"/>
    <w:rsid w:val="0077130E"/>
    <w:rsid w:val="007715EE"/>
    <w:rsid w:val="0077190D"/>
    <w:rsid w:val="00771972"/>
    <w:rsid w:val="007721AD"/>
    <w:rsid w:val="00772279"/>
    <w:rsid w:val="00772DAB"/>
    <w:rsid w:val="00772FF9"/>
    <w:rsid w:val="0077348B"/>
    <w:rsid w:val="007734F5"/>
    <w:rsid w:val="007743DB"/>
    <w:rsid w:val="00774D2C"/>
    <w:rsid w:val="007759C8"/>
    <w:rsid w:val="00775E00"/>
    <w:rsid w:val="0077605B"/>
    <w:rsid w:val="00776169"/>
    <w:rsid w:val="00776527"/>
    <w:rsid w:val="00777040"/>
    <w:rsid w:val="00777CE6"/>
    <w:rsid w:val="00777D57"/>
    <w:rsid w:val="00780EF1"/>
    <w:rsid w:val="00781A91"/>
    <w:rsid w:val="00781AD3"/>
    <w:rsid w:val="00781F36"/>
    <w:rsid w:val="00783576"/>
    <w:rsid w:val="00784492"/>
    <w:rsid w:val="00785778"/>
    <w:rsid w:val="00785890"/>
    <w:rsid w:val="00786C87"/>
    <w:rsid w:val="0078755E"/>
    <w:rsid w:val="007877C9"/>
    <w:rsid w:val="0079058A"/>
    <w:rsid w:val="00790764"/>
    <w:rsid w:val="0079085F"/>
    <w:rsid w:val="00790E96"/>
    <w:rsid w:val="00791005"/>
    <w:rsid w:val="00792007"/>
    <w:rsid w:val="007924BF"/>
    <w:rsid w:val="007932D3"/>
    <w:rsid w:val="00793597"/>
    <w:rsid w:val="00793D78"/>
    <w:rsid w:val="0079420B"/>
    <w:rsid w:val="0079453C"/>
    <w:rsid w:val="00794677"/>
    <w:rsid w:val="00794925"/>
    <w:rsid w:val="00795759"/>
    <w:rsid w:val="007971DC"/>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A7A92"/>
    <w:rsid w:val="007A7B13"/>
    <w:rsid w:val="007B04B0"/>
    <w:rsid w:val="007B0834"/>
    <w:rsid w:val="007B0E83"/>
    <w:rsid w:val="007B11FA"/>
    <w:rsid w:val="007B12AF"/>
    <w:rsid w:val="007B1396"/>
    <w:rsid w:val="007B16D6"/>
    <w:rsid w:val="007B1D1B"/>
    <w:rsid w:val="007B2011"/>
    <w:rsid w:val="007B2CFE"/>
    <w:rsid w:val="007B309B"/>
    <w:rsid w:val="007B3D5E"/>
    <w:rsid w:val="007B3DCB"/>
    <w:rsid w:val="007B54AE"/>
    <w:rsid w:val="007B561F"/>
    <w:rsid w:val="007B5725"/>
    <w:rsid w:val="007B5C1F"/>
    <w:rsid w:val="007B60D7"/>
    <w:rsid w:val="007B6689"/>
    <w:rsid w:val="007B66AD"/>
    <w:rsid w:val="007B6747"/>
    <w:rsid w:val="007B6F72"/>
    <w:rsid w:val="007B74AA"/>
    <w:rsid w:val="007B75E8"/>
    <w:rsid w:val="007C0069"/>
    <w:rsid w:val="007C06AF"/>
    <w:rsid w:val="007C09FB"/>
    <w:rsid w:val="007C10BD"/>
    <w:rsid w:val="007C162D"/>
    <w:rsid w:val="007C1EC4"/>
    <w:rsid w:val="007C1F0C"/>
    <w:rsid w:val="007C1FFB"/>
    <w:rsid w:val="007C289D"/>
    <w:rsid w:val="007C2D94"/>
    <w:rsid w:val="007C4A6B"/>
    <w:rsid w:val="007C5F92"/>
    <w:rsid w:val="007C6227"/>
    <w:rsid w:val="007C6BBD"/>
    <w:rsid w:val="007C6D89"/>
    <w:rsid w:val="007C6F5E"/>
    <w:rsid w:val="007D0382"/>
    <w:rsid w:val="007D0F6B"/>
    <w:rsid w:val="007D14FE"/>
    <w:rsid w:val="007D1A1F"/>
    <w:rsid w:val="007D213B"/>
    <w:rsid w:val="007D2783"/>
    <w:rsid w:val="007D2E18"/>
    <w:rsid w:val="007D3EF3"/>
    <w:rsid w:val="007D40DF"/>
    <w:rsid w:val="007D4171"/>
    <w:rsid w:val="007D42E5"/>
    <w:rsid w:val="007D4458"/>
    <w:rsid w:val="007D6A9F"/>
    <w:rsid w:val="007D6AF9"/>
    <w:rsid w:val="007D7763"/>
    <w:rsid w:val="007E0535"/>
    <w:rsid w:val="007E07F2"/>
    <w:rsid w:val="007E0D4A"/>
    <w:rsid w:val="007E0D64"/>
    <w:rsid w:val="007E1788"/>
    <w:rsid w:val="007E1EE3"/>
    <w:rsid w:val="007E29B4"/>
    <w:rsid w:val="007E2F12"/>
    <w:rsid w:val="007E435A"/>
    <w:rsid w:val="007E445C"/>
    <w:rsid w:val="007E49F7"/>
    <w:rsid w:val="007E4C70"/>
    <w:rsid w:val="007E5B5F"/>
    <w:rsid w:val="007E69C6"/>
    <w:rsid w:val="007E78B6"/>
    <w:rsid w:val="007E7E61"/>
    <w:rsid w:val="007F0845"/>
    <w:rsid w:val="007F0873"/>
    <w:rsid w:val="007F20F3"/>
    <w:rsid w:val="007F22DE"/>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4D33"/>
    <w:rsid w:val="0080559E"/>
    <w:rsid w:val="00805AF3"/>
    <w:rsid w:val="00806C9C"/>
    <w:rsid w:val="0080734C"/>
    <w:rsid w:val="00807C82"/>
    <w:rsid w:val="00810BD0"/>
    <w:rsid w:val="008117CC"/>
    <w:rsid w:val="00811FF8"/>
    <w:rsid w:val="0081294E"/>
    <w:rsid w:val="008129AC"/>
    <w:rsid w:val="00813D58"/>
    <w:rsid w:val="00813DCA"/>
    <w:rsid w:val="0081402B"/>
    <w:rsid w:val="008161A6"/>
    <w:rsid w:val="008165B8"/>
    <w:rsid w:val="00816905"/>
    <w:rsid w:val="00816D98"/>
    <w:rsid w:val="00816E42"/>
    <w:rsid w:val="00817040"/>
    <w:rsid w:val="00817A17"/>
    <w:rsid w:val="00817EC1"/>
    <w:rsid w:val="008207D1"/>
    <w:rsid w:val="00820D2A"/>
    <w:rsid w:val="0082112D"/>
    <w:rsid w:val="00821624"/>
    <w:rsid w:val="00821FF6"/>
    <w:rsid w:val="00822490"/>
    <w:rsid w:val="00822574"/>
    <w:rsid w:val="00822980"/>
    <w:rsid w:val="00822F08"/>
    <w:rsid w:val="0082371F"/>
    <w:rsid w:val="00824BA6"/>
    <w:rsid w:val="00825120"/>
    <w:rsid w:val="00825C4D"/>
    <w:rsid w:val="00826A08"/>
    <w:rsid w:val="00826AC0"/>
    <w:rsid w:val="00827094"/>
    <w:rsid w:val="00827186"/>
    <w:rsid w:val="00827C8E"/>
    <w:rsid w:val="00830569"/>
    <w:rsid w:val="00830AEA"/>
    <w:rsid w:val="00830E86"/>
    <w:rsid w:val="0083143E"/>
    <w:rsid w:val="008315B8"/>
    <w:rsid w:val="008315D5"/>
    <w:rsid w:val="00831CDE"/>
    <w:rsid w:val="00831F2B"/>
    <w:rsid w:val="008320CF"/>
    <w:rsid w:val="008324A3"/>
    <w:rsid w:val="00832B76"/>
    <w:rsid w:val="00832F77"/>
    <w:rsid w:val="008331B4"/>
    <w:rsid w:val="00834304"/>
    <w:rsid w:val="00834336"/>
    <w:rsid w:val="00834FAA"/>
    <w:rsid w:val="008354FB"/>
    <w:rsid w:val="00835FF1"/>
    <w:rsid w:val="00836086"/>
    <w:rsid w:val="0083630F"/>
    <w:rsid w:val="008369DA"/>
    <w:rsid w:val="00836A06"/>
    <w:rsid w:val="008374BC"/>
    <w:rsid w:val="0083785E"/>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669"/>
    <w:rsid w:val="00850E83"/>
    <w:rsid w:val="0085114D"/>
    <w:rsid w:val="00851163"/>
    <w:rsid w:val="008520A8"/>
    <w:rsid w:val="00852210"/>
    <w:rsid w:val="00852217"/>
    <w:rsid w:val="00853282"/>
    <w:rsid w:val="0085334C"/>
    <w:rsid w:val="00854291"/>
    <w:rsid w:val="00855408"/>
    <w:rsid w:val="00855D03"/>
    <w:rsid w:val="00856D65"/>
    <w:rsid w:val="00856FA4"/>
    <w:rsid w:val="00860943"/>
    <w:rsid w:val="00860D79"/>
    <w:rsid w:val="00861289"/>
    <w:rsid w:val="00861B41"/>
    <w:rsid w:val="00861B9F"/>
    <w:rsid w:val="00861BE3"/>
    <w:rsid w:val="008625D3"/>
    <w:rsid w:val="008627B1"/>
    <w:rsid w:val="00862C0A"/>
    <w:rsid w:val="00863434"/>
    <w:rsid w:val="0086344F"/>
    <w:rsid w:val="00863949"/>
    <w:rsid w:val="008641AC"/>
    <w:rsid w:val="00865E4C"/>
    <w:rsid w:val="00866074"/>
    <w:rsid w:val="0086720C"/>
    <w:rsid w:val="00867546"/>
    <w:rsid w:val="0086781C"/>
    <w:rsid w:val="00867934"/>
    <w:rsid w:val="0086796D"/>
    <w:rsid w:val="00867DAB"/>
    <w:rsid w:val="0087000B"/>
    <w:rsid w:val="008701E4"/>
    <w:rsid w:val="008704E9"/>
    <w:rsid w:val="008705FB"/>
    <w:rsid w:val="00870ECD"/>
    <w:rsid w:val="008710A4"/>
    <w:rsid w:val="0087186F"/>
    <w:rsid w:val="008726F0"/>
    <w:rsid w:val="0087347C"/>
    <w:rsid w:val="008734E7"/>
    <w:rsid w:val="0087368D"/>
    <w:rsid w:val="008740CC"/>
    <w:rsid w:val="0087442A"/>
    <w:rsid w:val="00874578"/>
    <w:rsid w:val="00874FE8"/>
    <w:rsid w:val="00875A32"/>
    <w:rsid w:val="00875CC1"/>
    <w:rsid w:val="00876086"/>
    <w:rsid w:val="00876297"/>
    <w:rsid w:val="00876651"/>
    <w:rsid w:val="00876E83"/>
    <w:rsid w:val="008772BC"/>
    <w:rsid w:val="00880A0E"/>
    <w:rsid w:val="00880C61"/>
    <w:rsid w:val="00880D68"/>
    <w:rsid w:val="008817FE"/>
    <w:rsid w:val="00881CD7"/>
    <w:rsid w:val="00882911"/>
    <w:rsid w:val="00882F6E"/>
    <w:rsid w:val="00883202"/>
    <w:rsid w:val="00884E02"/>
    <w:rsid w:val="0088502B"/>
    <w:rsid w:val="008851D8"/>
    <w:rsid w:val="008854EB"/>
    <w:rsid w:val="00885D40"/>
    <w:rsid w:val="008869C4"/>
    <w:rsid w:val="008873D4"/>
    <w:rsid w:val="00890CB1"/>
    <w:rsid w:val="00891D31"/>
    <w:rsid w:val="00891EDF"/>
    <w:rsid w:val="00892872"/>
    <w:rsid w:val="0089296D"/>
    <w:rsid w:val="00893E85"/>
    <w:rsid w:val="00893EBE"/>
    <w:rsid w:val="00893F40"/>
    <w:rsid w:val="00894029"/>
    <w:rsid w:val="00894031"/>
    <w:rsid w:val="00894C5D"/>
    <w:rsid w:val="00895508"/>
    <w:rsid w:val="008964BB"/>
    <w:rsid w:val="008967E9"/>
    <w:rsid w:val="00896A5C"/>
    <w:rsid w:val="00896AA1"/>
    <w:rsid w:val="00896E33"/>
    <w:rsid w:val="008972D2"/>
    <w:rsid w:val="0089754C"/>
    <w:rsid w:val="00897CFA"/>
    <w:rsid w:val="008A0659"/>
    <w:rsid w:val="008A0ADD"/>
    <w:rsid w:val="008A0D27"/>
    <w:rsid w:val="008A1A58"/>
    <w:rsid w:val="008A1C59"/>
    <w:rsid w:val="008A29A7"/>
    <w:rsid w:val="008A37E2"/>
    <w:rsid w:val="008A388E"/>
    <w:rsid w:val="008A394E"/>
    <w:rsid w:val="008A3CBA"/>
    <w:rsid w:val="008A4B59"/>
    <w:rsid w:val="008A58DB"/>
    <w:rsid w:val="008A63E1"/>
    <w:rsid w:val="008A66B7"/>
    <w:rsid w:val="008A68BB"/>
    <w:rsid w:val="008A6AA5"/>
    <w:rsid w:val="008A7127"/>
    <w:rsid w:val="008B0CBA"/>
    <w:rsid w:val="008B0E9E"/>
    <w:rsid w:val="008B2639"/>
    <w:rsid w:val="008B3537"/>
    <w:rsid w:val="008B3690"/>
    <w:rsid w:val="008B3A80"/>
    <w:rsid w:val="008B3AEC"/>
    <w:rsid w:val="008B3C07"/>
    <w:rsid w:val="008B3F7B"/>
    <w:rsid w:val="008B43CA"/>
    <w:rsid w:val="008B5068"/>
    <w:rsid w:val="008B50AC"/>
    <w:rsid w:val="008B5324"/>
    <w:rsid w:val="008B5C99"/>
    <w:rsid w:val="008B6106"/>
    <w:rsid w:val="008B7C02"/>
    <w:rsid w:val="008B7D2B"/>
    <w:rsid w:val="008B7EF9"/>
    <w:rsid w:val="008C0049"/>
    <w:rsid w:val="008C0314"/>
    <w:rsid w:val="008C0900"/>
    <w:rsid w:val="008C0E88"/>
    <w:rsid w:val="008C0EBE"/>
    <w:rsid w:val="008C1717"/>
    <w:rsid w:val="008C17F0"/>
    <w:rsid w:val="008C1CB5"/>
    <w:rsid w:val="008C3B05"/>
    <w:rsid w:val="008C3B6A"/>
    <w:rsid w:val="008C4A3C"/>
    <w:rsid w:val="008C4B50"/>
    <w:rsid w:val="008C5A37"/>
    <w:rsid w:val="008C5AB8"/>
    <w:rsid w:val="008C7132"/>
    <w:rsid w:val="008C7569"/>
    <w:rsid w:val="008C79C3"/>
    <w:rsid w:val="008D006F"/>
    <w:rsid w:val="008D033D"/>
    <w:rsid w:val="008D0DBD"/>
    <w:rsid w:val="008D117E"/>
    <w:rsid w:val="008D127E"/>
    <w:rsid w:val="008D1CA8"/>
    <w:rsid w:val="008D1E0A"/>
    <w:rsid w:val="008D1E6A"/>
    <w:rsid w:val="008D2407"/>
    <w:rsid w:val="008D2A16"/>
    <w:rsid w:val="008D2AEC"/>
    <w:rsid w:val="008D3295"/>
    <w:rsid w:val="008D33F5"/>
    <w:rsid w:val="008D35E4"/>
    <w:rsid w:val="008D3709"/>
    <w:rsid w:val="008D3ACD"/>
    <w:rsid w:val="008D6C3A"/>
    <w:rsid w:val="008D70E2"/>
    <w:rsid w:val="008D7BFE"/>
    <w:rsid w:val="008D7F47"/>
    <w:rsid w:val="008E0001"/>
    <w:rsid w:val="008E039E"/>
    <w:rsid w:val="008E0C88"/>
    <w:rsid w:val="008E292B"/>
    <w:rsid w:val="008E2C57"/>
    <w:rsid w:val="008E31FF"/>
    <w:rsid w:val="008E3287"/>
    <w:rsid w:val="008E36AE"/>
    <w:rsid w:val="008E38E4"/>
    <w:rsid w:val="008E3DFA"/>
    <w:rsid w:val="008E51EB"/>
    <w:rsid w:val="008E5746"/>
    <w:rsid w:val="008E5925"/>
    <w:rsid w:val="008E5997"/>
    <w:rsid w:val="008E64D7"/>
    <w:rsid w:val="008E6DCB"/>
    <w:rsid w:val="008E6F06"/>
    <w:rsid w:val="008E7000"/>
    <w:rsid w:val="008E723E"/>
    <w:rsid w:val="008E7B8E"/>
    <w:rsid w:val="008E7FC9"/>
    <w:rsid w:val="008F00AE"/>
    <w:rsid w:val="008F0107"/>
    <w:rsid w:val="008F029B"/>
    <w:rsid w:val="008F04BA"/>
    <w:rsid w:val="008F0589"/>
    <w:rsid w:val="008F0FBC"/>
    <w:rsid w:val="008F2A5D"/>
    <w:rsid w:val="008F2BC7"/>
    <w:rsid w:val="008F2E83"/>
    <w:rsid w:val="008F3636"/>
    <w:rsid w:val="008F3AD4"/>
    <w:rsid w:val="008F3FC9"/>
    <w:rsid w:val="008F509F"/>
    <w:rsid w:val="008F5383"/>
    <w:rsid w:val="008F585B"/>
    <w:rsid w:val="008F7FB0"/>
    <w:rsid w:val="009003A8"/>
    <w:rsid w:val="009005E4"/>
    <w:rsid w:val="0090081B"/>
    <w:rsid w:val="00900977"/>
    <w:rsid w:val="009011BB"/>
    <w:rsid w:val="00901C7F"/>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2C6"/>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66E"/>
    <w:rsid w:val="00920EC4"/>
    <w:rsid w:val="0092180B"/>
    <w:rsid w:val="00921F14"/>
    <w:rsid w:val="00922443"/>
    <w:rsid w:val="0092276B"/>
    <w:rsid w:val="0092292F"/>
    <w:rsid w:val="00922D28"/>
    <w:rsid w:val="00923970"/>
    <w:rsid w:val="00923CB0"/>
    <w:rsid w:val="00923D8C"/>
    <w:rsid w:val="00924871"/>
    <w:rsid w:val="00924AC8"/>
    <w:rsid w:val="00924D6B"/>
    <w:rsid w:val="00925429"/>
    <w:rsid w:val="00925615"/>
    <w:rsid w:val="0092597A"/>
    <w:rsid w:val="00926520"/>
    <w:rsid w:val="009266A3"/>
    <w:rsid w:val="00926CF0"/>
    <w:rsid w:val="009273A9"/>
    <w:rsid w:val="009301B5"/>
    <w:rsid w:val="00930251"/>
    <w:rsid w:val="0093033E"/>
    <w:rsid w:val="009305FC"/>
    <w:rsid w:val="00930A99"/>
    <w:rsid w:val="00930FB1"/>
    <w:rsid w:val="0093139F"/>
    <w:rsid w:val="009318C3"/>
    <w:rsid w:val="00932239"/>
    <w:rsid w:val="00932443"/>
    <w:rsid w:val="00932B32"/>
    <w:rsid w:val="0093305E"/>
    <w:rsid w:val="00933BFC"/>
    <w:rsid w:val="00933F4A"/>
    <w:rsid w:val="009341F1"/>
    <w:rsid w:val="00934FF2"/>
    <w:rsid w:val="009358D7"/>
    <w:rsid w:val="00935BD4"/>
    <w:rsid w:val="00935DFE"/>
    <w:rsid w:val="00935F70"/>
    <w:rsid w:val="0093648B"/>
    <w:rsid w:val="00937017"/>
    <w:rsid w:val="009373B2"/>
    <w:rsid w:val="00937AE2"/>
    <w:rsid w:val="009400F5"/>
    <w:rsid w:val="0094061F"/>
    <w:rsid w:val="00940F0F"/>
    <w:rsid w:val="00941912"/>
    <w:rsid w:val="00942393"/>
    <w:rsid w:val="0094416B"/>
    <w:rsid w:val="0094427A"/>
    <w:rsid w:val="009449C6"/>
    <w:rsid w:val="00944A17"/>
    <w:rsid w:val="00944C7C"/>
    <w:rsid w:val="00945245"/>
    <w:rsid w:val="00945523"/>
    <w:rsid w:val="00946C43"/>
    <w:rsid w:val="00950921"/>
    <w:rsid w:val="009513F7"/>
    <w:rsid w:val="00951D68"/>
    <w:rsid w:val="00951E5B"/>
    <w:rsid w:val="00952050"/>
    <w:rsid w:val="00952315"/>
    <w:rsid w:val="009523D9"/>
    <w:rsid w:val="00952B7B"/>
    <w:rsid w:val="0095357B"/>
    <w:rsid w:val="009538B3"/>
    <w:rsid w:val="00953B93"/>
    <w:rsid w:val="00954F39"/>
    <w:rsid w:val="009555FD"/>
    <w:rsid w:val="00955BAD"/>
    <w:rsid w:val="0095664B"/>
    <w:rsid w:val="009568DC"/>
    <w:rsid w:val="00956F60"/>
    <w:rsid w:val="00957140"/>
    <w:rsid w:val="00957445"/>
    <w:rsid w:val="0095759C"/>
    <w:rsid w:val="00960F4F"/>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928"/>
    <w:rsid w:val="00965A10"/>
    <w:rsid w:val="00965AD0"/>
    <w:rsid w:val="009670A3"/>
    <w:rsid w:val="009674BE"/>
    <w:rsid w:val="00967675"/>
    <w:rsid w:val="00970FB5"/>
    <w:rsid w:val="009715F2"/>
    <w:rsid w:val="00971710"/>
    <w:rsid w:val="00971B87"/>
    <w:rsid w:val="00971C77"/>
    <w:rsid w:val="0097203A"/>
    <w:rsid w:val="00972FCD"/>
    <w:rsid w:val="00973324"/>
    <w:rsid w:val="009736DF"/>
    <w:rsid w:val="009741AE"/>
    <w:rsid w:val="009741FC"/>
    <w:rsid w:val="00974475"/>
    <w:rsid w:val="00974782"/>
    <w:rsid w:val="00974923"/>
    <w:rsid w:val="009757EA"/>
    <w:rsid w:val="00975909"/>
    <w:rsid w:val="0097737B"/>
    <w:rsid w:val="009774CA"/>
    <w:rsid w:val="00977C3D"/>
    <w:rsid w:val="00980C28"/>
    <w:rsid w:val="00980D3D"/>
    <w:rsid w:val="0098103E"/>
    <w:rsid w:val="0098157D"/>
    <w:rsid w:val="00983101"/>
    <w:rsid w:val="00983E41"/>
    <w:rsid w:val="009845E1"/>
    <w:rsid w:val="00984D1B"/>
    <w:rsid w:val="00986246"/>
    <w:rsid w:val="00987A30"/>
    <w:rsid w:val="00987F57"/>
    <w:rsid w:val="00990312"/>
    <w:rsid w:val="0099182E"/>
    <w:rsid w:val="00991957"/>
    <w:rsid w:val="00991D45"/>
    <w:rsid w:val="00992BB3"/>
    <w:rsid w:val="00992CF3"/>
    <w:rsid w:val="00993194"/>
    <w:rsid w:val="0099321E"/>
    <w:rsid w:val="00994171"/>
    <w:rsid w:val="00994868"/>
    <w:rsid w:val="00994976"/>
    <w:rsid w:val="00994D28"/>
    <w:rsid w:val="00994F2C"/>
    <w:rsid w:val="00995720"/>
    <w:rsid w:val="009957CC"/>
    <w:rsid w:val="009968D6"/>
    <w:rsid w:val="00996BD9"/>
    <w:rsid w:val="00997213"/>
    <w:rsid w:val="009974E8"/>
    <w:rsid w:val="00997953"/>
    <w:rsid w:val="00997D55"/>
    <w:rsid w:val="009A0349"/>
    <w:rsid w:val="009A0BFF"/>
    <w:rsid w:val="009A10A0"/>
    <w:rsid w:val="009A1CAB"/>
    <w:rsid w:val="009A2359"/>
    <w:rsid w:val="009A24F1"/>
    <w:rsid w:val="009A27E0"/>
    <w:rsid w:val="009A2DBB"/>
    <w:rsid w:val="009A4D57"/>
    <w:rsid w:val="009A5049"/>
    <w:rsid w:val="009A51A5"/>
    <w:rsid w:val="009A5309"/>
    <w:rsid w:val="009A5759"/>
    <w:rsid w:val="009A60D1"/>
    <w:rsid w:val="009A6225"/>
    <w:rsid w:val="009A64F5"/>
    <w:rsid w:val="009B00D2"/>
    <w:rsid w:val="009B05B3"/>
    <w:rsid w:val="009B0CAF"/>
    <w:rsid w:val="009B1324"/>
    <w:rsid w:val="009B2558"/>
    <w:rsid w:val="009B284F"/>
    <w:rsid w:val="009B35A0"/>
    <w:rsid w:val="009B3764"/>
    <w:rsid w:val="009B3840"/>
    <w:rsid w:val="009B52AC"/>
    <w:rsid w:val="009B553D"/>
    <w:rsid w:val="009B59EA"/>
    <w:rsid w:val="009B66CE"/>
    <w:rsid w:val="009B6A37"/>
    <w:rsid w:val="009B6FD3"/>
    <w:rsid w:val="009B72BE"/>
    <w:rsid w:val="009B78A4"/>
    <w:rsid w:val="009B7DB2"/>
    <w:rsid w:val="009C03DB"/>
    <w:rsid w:val="009C15AF"/>
    <w:rsid w:val="009C1750"/>
    <w:rsid w:val="009C1E76"/>
    <w:rsid w:val="009C243F"/>
    <w:rsid w:val="009C2E29"/>
    <w:rsid w:val="009C3032"/>
    <w:rsid w:val="009C3170"/>
    <w:rsid w:val="009C37BD"/>
    <w:rsid w:val="009C3E8F"/>
    <w:rsid w:val="009C554B"/>
    <w:rsid w:val="009C5E83"/>
    <w:rsid w:val="009C6AE5"/>
    <w:rsid w:val="009C7126"/>
    <w:rsid w:val="009C719E"/>
    <w:rsid w:val="009C7238"/>
    <w:rsid w:val="009C7799"/>
    <w:rsid w:val="009D07A9"/>
    <w:rsid w:val="009D0AE2"/>
    <w:rsid w:val="009D0D9F"/>
    <w:rsid w:val="009D0EBB"/>
    <w:rsid w:val="009D2890"/>
    <w:rsid w:val="009D2C46"/>
    <w:rsid w:val="009D3ACD"/>
    <w:rsid w:val="009D3F73"/>
    <w:rsid w:val="009D4254"/>
    <w:rsid w:val="009D4847"/>
    <w:rsid w:val="009D4F21"/>
    <w:rsid w:val="009D587D"/>
    <w:rsid w:val="009D6EA6"/>
    <w:rsid w:val="009D7731"/>
    <w:rsid w:val="009D7C31"/>
    <w:rsid w:val="009E1120"/>
    <w:rsid w:val="009E1393"/>
    <w:rsid w:val="009E1922"/>
    <w:rsid w:val="009E1A3D"/>
    <w:rsid w:val="009E3EA1"/>
    <w:rsid w:val="009E4715"/>
    <w:rsid w:val="009E4A58"/>
    <w:rsid w:val="009E5273"/>
    <w:rsid w:val="009E57A8"/>
    <w:rsid w:val="009E5B85"/>
    <w:rsid w:val="009E5DDB"/>
    <w:rsid w:val="009E74B3"/>
    <w:rsid w:val="009F1CA6"/>
    <w:rsid w:val="009F2921"/>
    <w:rsid w:val="009F42CF"/>
    <w:rsid w:val="009F4982"/>
    <w:rsid w:val="009F4CA7"/>
    <w:rsid w:val="009F4F6A"/>
    <w:rsid w:val="009F55BA"/>
    <w:rsid w:val="009F7541"/>
    <w:rsid w:val="009F7D36"/>
    <w:rsid w:val="009F7D61"/>
    <w:rsid w:val="009F7DF4"/>
    <w:rsid w:val="00A00994"/>
    <w:rsid w:val="00A009B0"/>
    <w:rsid w:val="00A00E71"/>
    <w:rsid w:val="00A0187B"/>
    <w:rsid w:val="00A02E8B"/>
    <w:rsid w:val="00A0306F"/>
    <w:rsid w:val="00A03511"/>
    <w:rsid w:val="00A03B10"/>
    <w:rsid w:val="00A03E2E"/>
    <w:rsid w:val="00A04616"/>
    <w:rsid w:val="00A04717"/>
    <w:rsid w:val="00A05D8F"/>
    <w:rsid w:val="00A05EB1"/>
    <w:rsid w:val="00A05EE4"/>
    <w:rsid w:val="00A06F99"/>
    <w:rsid w:val="00A1004C"/>
    <w:rsid w:val="00A1053B"/>
    <w:rsid w:val="00A106E6"/>
    <w:rsid w:val="00A10D66"/>
    <w:rsid w:val="00A113A4"/>
    <w:rsid w:val="00A11E70"/>
    <w:rsid w:val="00A12A8E"/>
    <w:rsid w:val="00A12CAD"/>
    <w:rsid w:val="00A12D93"/>
    <w:rsid w:val="00A133F9"/>
    <w:rsid w:val="00A14114"/>
    <w:rsid w:val="00A1576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FE1"/>
    <w:rsid w:val="00A21B4D"/>
    <w:rsid w:val="00A21ED3"/>
    <w:rsid w:val="00A22073"/>
    <w:rsid w:val="00A2229E"/>
    <w:rsid w:val="00A22361"/>
    <w:rsid w:val="00A223E0"/>
    <w:rsid w:val="00A22418"/>
    <w:rsid w:val="00A22959"/>
    <w:rsid w:val="00A2312C"/>
    <w:rsid w:val="00A23158"/>
    <w:rsid w:val="00A232D7"/>
    <w:rsid w:val="00A237C6"/>
    <w:rsid w:val="00A23847"/>
    <w:rsid w:val="00A23E43"/>
    <w:rsid w:val="00A24726"/>
    <w:rsid w:val="00A24DEB"/>
    <w:rsid w:val="00A24ED9"/>
    <w:rsid w:val="00A251DB"/>
    <w:rsid w:val="00A25216"/>
    <w:rsid w:val="00A252AC"/>
    <w:rsid w:val="00A2597D"/>
    <w:rsid w:val="00A2628E"/>
    <w:rsid w:val="00A264E0"/>
    <w:rsid w:val="00A264F5"/>
    <w:rsid w:val="00A266BF"/>
    <w:rsid w:val="00A26777"/>
    <w:rsid w:val="00A2731E"/>
    <w:rsid w:val="00A309AC"/>
    <w:rsid w:val="00A30F65"/>
    <w:rsid w:val="00A315D0"/>
    <w:rsid w:val="00A3279E"/>
    <w:rsid w:val="00A33DB1"/>
    <w:rsid w:val="00A33EEB"/>
    <w:rsid w:val="00A35900"/>
    <w:rsid w:val="00A35982"/>
    <w:rsid w:val="00A35F33"/>
    <w:rsid w:val="00A36E9D"/>
    <w:rsid w:val="00A401A3"/>
    <w:rsid w:val="00A4064D"/>
    <w:rsid w:val="00A40EAC"/>
    <w:rsid w:val="00A418BC"/>
    <w:rsid w:val="00A419FF"/>
    <w:rsid w:val="00A41FCF"/>
    <w:rsid w:val="00A42593"/>
    <w:rsid w:val="00A42936"/>
    <w:rsid w:val="00A433ED"/>
    <w:rsid w:val="00A43CF8"/>
    <w:rsid w:val="00A43DF2"/>
    <w:rsid w:val="00A445A8"/>
    <w:rsid w:val="00A44ADE"/>
    <w:rsid w:val="00A44B0D"/>
    <w:rsid w:val="00A44D21"/>
    <w:rsid w:val="00A45087"/>
    <w:rsid w:val="00A45489"/>
    <w:rsid w:val="00A45858"/>
    <w:rsid w:val="00A45988"/>
    <w:rsid w:val="00A45CED"/>
    <w:rsid w:val="00A465E9"/>
    <w:rsid w:val="00A468E7"/>
    <w:rsid w:val="00A46DE0"/>
    <w:rsid w:val="00A478BA"/>
    <w:rsid w:val="00A50D73"/>
    <w:rsid w:val="00A518BB"/>
    <w:rsid w:val="00A52A88"/>
    <w:rsid w:val="00A52CAD"/>
    <w:rsid w:val="00A53340"/>
    <w:rsid w:val="00A53FC7"/>
    <w:rsid w:val="00A55569"/>
    <w:rsid w:val="00A55C36"/>
    <w:rsid w:val="00A5661B"/>
    <w:rsid w:val="00A566A0"/>
    <w:rsid w:val="00A571D8"/>
    <w:rsid w:val="00A600E7"/>
    <w:rsid w:val="00A601E7"/>
    <w:rsid w:val="00A60AC1"/>
    <w:rsid w:val="00A626FF"/>
    <w:rsid w:val="00A62CB0"/>
    <w:rsid w:val="00A62CE1"/>
    <w:rsid w:val="00A65469"/>
    <w:rsid w:val="00A65528"/>
    <w:rsid w:val="00A655D3"/>
    <w:rsid w:val="00A662D9"/>
    <w:rsid w:val="00A6630C"/>
    <w:rsid w:val="00A6741E"/>
    <w:rsid w:val="00A67E29"/>
    <w:rsid w:val="00A7016A"/>
    <w:rsid w:val="00A7018D"/>
    <w:rsid w:val="00A7191D"/>
    <w:rsid w:val="00A722F9"/>
    <w:rsid w:val="00A72D42"/>
    <w:rsid w:val="00A73DB6"/>
    <w:rsid w:val="00A746C9"/>
    <w:rsid w:val="00A74C2A"/>
    <w:rsid w:val="00A75E40"/>
    <w:rsid w:val="00A76818"/>
    <w:rsid w:val="00A777FE"/>
    <w:rsid w:val="00A77D1D"/>
    <w:rsid w:val="00A77E6B"/>
    <w:rsid w:val="00A81652"/>
    <w:rsid w:val="00A82BF0"/>
    <w:rsid w:val="00A82C91"/>
    <w:rsid w:val="00A83150"/>
    <w:rsid w:val="00A83398"/>
    <w:rsid w:val="00A8394B"/>
    <w:rsid w:val="00A83D6E"/>
    <w:rsid w:val="00A83FD5"/>
    <w:rsid w:val="00A8521A"/>
    <w:rsid w:val="00A85323"/>
    <w:rsid w:val="00A853BF"/>
    <w:rsid w:val="00A857C0"/>
    <w:rsid w:val="00A85ACB"/>
    <w:rsid w:val="00A85DE3"/>
    <w:rsid w:val="00A85F12"/>
    <w:rsid w:val="00A86FEF"/>
    <w:rsid w:val="00A9036F"/>
    <w:rsid w:val="00A9092B"/>
    <w:rsid w:val="00A90F2C"/>
    <w:rsid w:val="00A90FED"/>
    <w:rsid w:val="00A91482"/>
    <w:rsid w:val="00A9189D"/>
    <w:rsid w:val="00A91E71"/>
    <w:rsid w:val="00A925B1"/>
    <w:rsid w:val="00A92A3E"/>
    <w:rsid w:val="00A934F9"/>
    <w:rsid w:val="00A938E0"/>
    <w:rsid w:val="00A940E3"/>
    <w:rsid w:val="00A942B7"/>
    <w:rsid w:val="00A94983"/>
    <w:rsid w:val="00A94DF9"/>
    <w:rsid w:val="00A9532C"/>
    <w:rsid w:val="00A95A5C"/>
    <w:rsid w:val="00A95F1A"/>
    <w:rsid w:val="00A96116"/>
    <w:rsid w:val="00A9614E"/>
    <w:rsid w:val="00A96422"/>
    <w:rsid w:val="00A96C0F"/>
    <w:rsid w:val="00A97075"/>
    <w:rsid w:val="00A970D7"/>
    <w:rsid w:val="00AA0A80"/>
    <w:rsid w:val="00AA0E80"/>
    <w:rsid w:val="00AA16F4"/>
    <w:rsid w:val="00AA17CD"/>
    <w:rsid w:val="00AA1D85"/>
    <w:rsid w:val="00AA212B"/>
    <w:rsid w:val="00AA212F"/>
    <w:rsid w:val="00AA2130"/>
    <w:rsid w:val="00AA2648"/>
    <w:rsid w:val="00AA26A9"/>
    <w:rsid w:val="00AA28FC"/>
    <w:rsid w:val="00AA2996"/>
    <w:rsid w:val="00AA2AF4"/>
    <w:rsid w:val="00AA3B9F"/>
    <w:rsid w:val="00AA4282"/>
    <w:rsid w:val="00AA43F2"/>
    <w:rsid w:val="00AA4790"/>
    <w:rsid w:val="00AA52BF"/>
    <w:rsid w:val="00AA559A"/>
    <w:rsid w:val="00AA67D6"/>
    <w:rsid w:val="00AA6C31"/>
    <w:rsid w:val="00AA7752"/>
    <w:rsid w:val="00AA7CE8"/>
    <w:rsid w:val="00AB1457"/>
    <w:rsid w:val="00AB2AF1"/>
    <w:rsid w:val="00AB32CB"/>
    <w:rsid w:val="00AB348F"/>
    <w:rsid w:val="00AB3AD7"/>
    <w:rsid w:val="00AB3BA7"/>
    <w:rsid w:val="00AB3EC7"/>
    <w:rsid w:val="00AB5A64"/>
    <w:rsid w:val="00AB5CA1"/>
    <w:rsid w:val="00AB6395"/>
    <w:rsid w:val="00AB6456"/>
    <w:rsid w:val="00AB75C5"/>
    <w:rsid w:val="00AC044E"/>
    <w:rsid w:val="00AC2118"/>
    <w:rsid w:val="00AC2395"/>
    <w:rsid w:val="00AC271D"/>
    <w:rsid w:val="00AC2960"/>
    <w:rsid w:val="00AC2AC4"/>
    <w:rsid w:val="00AC4284"/>
    <w:rsid w:val="00AC45BD"/>
    <w:rsid w:val="00AC50BB"/>
    <w:rsid w:val="00AC5256"/>
    <w:rsid w:val="00AC5AA9"/>
    <w:rsid w:val="00AC78F1"/>
    <w:rsid w:val="00AD0B22"/>
    <w:rsid w:val="00AD0EE7"/>
    <w:rsid w:val="00AD168E"/>
    <w:rsid w:val="00AD2530"/>
    <w:rsid w:val="00AD306C"/>
    <w:rsid w:val="00AD3A14"/>
    <w:rsid w:val="00AD44CD"/>
    <w:rsid w:val="00AD47A7"/>
    <w:rsid w:val="00AD5AD2"/>
    <w:rsid w:val="00AD6462"/>
    <w:rsid w:val="00AD66C5"/>
    <w:rsid w:val="00AD68C4"/>
    <w:rsid w:val="00AD71F9"/>
    <w:rsid w:val="00AE09B3"/>
    <w:rsid w:val="00AE1311"/>
    <w:rsid w:val="00AE18FB"/>
    <w:rsid w:val="00AE1A83"/>
    <w:rsid w:val="00AE2C25"/>
    <w:rsid w:val="00AE30BE"/>
    <w:rsid w:val="00AE3858"/>
    <w:rsid w:val="00AE3DAA"/>
    <w:rsid w:val="00AE3E6A"/>
    <w:rsid w:val="00AE417E"/>
    <w:rsid w:val="00AE56EE"/>
    <w:rsid w:val="00AE6414"/>
    <w:rsid w:val="00AE6A0F"/>
    <w:rsid w:val="00AE7269"/>
    <w:rsid w:val="00AE7739"/>
    <w:rsid w:val="00AE797C"/>
    <w:rsid w:val="00AE7CE7"/>
    <w:rsid w:val="00AE7FAB"/>
    <w:rsid w:val="00AF0DE4"/>
    <w:rsid w:val="00AF12A0"/>
    <w:rsid w:val="00AF1E87"/>
    <w:rsid w:val="00AF436B"/>
    <w:rsid w:val="00AF50DD"/>
    <w:rsid w:val="00AF5179"/>
    <w:rsid w:val="00AF5CC2"/>
    <w:rsid w:val="00AF660D"/>
    <w:rsid w:val="00AF6776"/>
    <w:rsid w:val="00AF6D54"/>
    <w:rsid w:val="00AF6F98"/>
    <w:rsid w:val="00AF7277"/>
    <w:rsid w:val="00B00550"/>
    <w:rsid w:val="00B00913"/>
    <w:rsid w:val="00B00D4D"/>
    <w:rsid w:val="00B01593"/>
    <w:rsid w:val="00B018DF"/>
    <w:rsid w:val="00B01D0F"/>
    <w:rsid w:val="00B01FF9"/>
    <w:rsid w:val="00B023F2"/>
    <w:rsid w:val="00B026FE"/>
    <w:rsid w:val="00B0271F"/>
    <w:rsid w:val="00B038CA"/>
    <w:rsid w:val="00B049A5"/>
    <w:rsid w:val="00B05F00"/>
    <w:rsid w:val="00B06DB4"/>
    <w:rsid w:val="00B07132"/>
    <w:rsid w:val="00B0750D"/>
    <w:rsid w:val="00B07674"/>
    <w:rsid w:val="00B07850"/>
    <w:rsid w:val="00B0799C"/>
    <w:rsid w:val="00B102CE"/>
    <w:rsid w:val="00B108C1"/>
    <w:rsid w:val="00B10A4D"/>
    <w:rsid w:val="00B10B82"/>
    <w:rsid w:val="00B10C90"/>
    <w:rsid w:val="00B11002"/>
    <w:rsid w:val="00B1114F"/>
    <w:rsid w:val="00B11A78"/>
    <w:rsid w:val="00B11B59"/>
    <w:rsid w:val="00B121B2"/>
    <w:rsid w:val="00B12B59"/>
    <w:rsid w:val="00B131B1"/>
    <w:rsid w:val="00B13671"/>
    <w:rsid w:val="00B141B6"/>
    <w:rsid w:val="00B14BC1"/>
    <w:rsid w:val="00B14E93"/>
    <w:rsid w:val="00B154DE"/>
    <w:rsid w:val="00B162C3"/>
    <w:rsid w:val="00B16DD1"/>
    <w:rsid w:val="00B16EB8"/>
    <w:rsid w:val="00B1700A"/>
    <w:rsid w:val="00B17E71"/>
    <w:rsid w:val="00B17FDE"/>
    <w:rsid w:val="00B20632"/>
    <w:rsid w:val="00B22210"/>
    <w:rsid w:val="00B22DD8"/>
    <w:rsid w:val="00B233BF"/>
    <w:rsid w:val="00B2379C"/>
    <w:rsid w:val="00B23D5D"/>
    <w:rsid w:val="00B23E6E"/>
    <w:rsid w:val="00B2450C"/>
    <w:rsid w:val="00B2464B"/>
    <w:rsid w:val="00B2501C"/>
    <w:rsid w:val="00B2687D"/>
    <w:rsid w:val="00B276F5"/>
    <w:rsid w:val="00B3108D"/>
    <w:rsid w:val="00B310AC"/>
    <w:rsid w:val="00B32DDB"/>
    <w:rsid w:val="00B32F31"/>
    <w:rsid w:val="00B32F57"/>
    <w:rsid w:val="00B3345C"/>
    <w:rsid w:val="00B343C4"/>
    <w:rsid w:val="00B34528"/>
    <w:rsid w:val="00B34750"/>
    <w:rsid w:val="00B34CC9"/>
    <w:rsid w:val="00B34CDA"/>
    <w:rsid w:val="00B3563B"/>
    <w:rsid w:val="00B36BDC"/>
    <w:rsid w:val="00B37D3A"/>
    <w:rsid w:val="00B37D96"/>
    <w:rsid w:val="00B402FC"/>
    <w:rsid w:val="00B422E2"/>
    <w:rsid w:val="00B42517"/>
    <w:rsid w:val="00B42D5F"/>
    <w:rsid w:val="00B43216"/>
    <w:rsid w:val="00B43496"/>
    <w:rsid w:val="00B439DA"/>
    <w:rsid w:val="00B44097"/>
    <w:rsid w:val="00B4411A"/>
    <w:rsid w:val="00B44504"/>
    <w:rsid w:val="00B44566"/>
    <w:rsid w:val="00B45FE8"/>
    <w:rsid w:val="00B46604"/>
    <w:rsid w:val="00B47089"/>
    <w:rsid w:val="00B47587"/>
    <w:rsid w:val="00B5150A"/>
    <w:rsid w:val="00B51B36"/>
    <w:rsid w:val="00B52151"/>
    <w:rsid w:val="00B52188"/>
    <w:rsid w:val="00B530CD"/>
    <w:rsid w:val="00B53639"/>
    <w:rsid w:val="00B53C7D"/>
    <w:rsid w:val="00B53E56"/>
    <w:rsid w:val="00B55311"/>
    <w:rsid w:val="00B5597E"/>
    <w:rsid w:val="00B55A97"/>
    <w:rsid w:val="00B55F5E"/>
    <w:rsid w:val="00B5601B"/>
    <w:rsid w:val="00B56196"/>
    <w:rsid w:val="00B5642C"/>
    <w:rsid w:val="00B5658D"/>
    <w:rsid w:val="00B56B6F"/>
    <w:rsid w:val="00B5752E"/>
    <w:rsid w:val="00B60AC1"/>
    <w:rsid w:val="00B61FF6"/>
    <w:rsid w:val="00B62316"/>
    <w:rsid w:val="00B63A11"/>
    <w:rsid w:val="00B64425"/>
    <w:rsid w:val="00B64C24"/>
    <w:rsid w:val="00B64E72"/>
    <w:rsid w:val="00B65CEF"/>
    <w:rsid w:val="00B6608F"/>
    <w:rsid w:val="00B67749"/>
    <w:rsid w:val="00B679FB"/>
    <w:rsid w:val="00B67CA1"/>
    <w:rsid w:val="00B71FBF"/>
    <w:rsid w:val="00B734A0"/>
    <w:rsid w:val="00B73A14"/>
    <w:rsid w:val="00B73B91"/>
    <w:rsid w:val="00B74306"/>
    <w:rsid w:val="00B748BD"/>
    <w:rsid w:val="00B74FD7"/>
    <w:rsid w:val="00B754D6"/>
    <w:rsid w:val="00B76100"/>
    <w:rsid w:val="00B7680F"/>
    <w:rsid w:val="00B76B48"/>
    <w:rsid w:val="00B76D1E"/>
    <w:rsid w:val="00B77543"/>
    <w:rsid w:val="00B77584"/>
    <w:rsid w:val="00B77D23"/>
    <w:rsid w:val="00B77E34"/>
    <w:rsid w:val="00B80D44"/>
    <w:rsid w:val="00B80D89"/>
    <w:rsid w:val="00B80EC6"/>
    <w:rsid w:val="00B81288"/>
    <w:rsid w:val="00B8128A"/>
    <w:rsid w:val="00B81D70"/>
    <w:rsid w:val="00B81EBC"/>
    <w:rsid w:val="00B833B9"/>
    <w:rsid w:val="00B83AAF"/>
    <w:rsid w:val="00B83E07"/>
    <w:rsid w:val="00B84CF6"/>
    <w:rsid w:val="00B85016"/>
    <w:rsid w:val="00B8561A"/>
    <w:rsid w:val="00B86628"/>
    <w:rsid w:val="00B86643"/>
    <w:rsid w:val="00B868F7"/>
    <w:rsid w:val="00B86EB1"/>
    <w:rsid w:val="00B871A7"/>
    <w:rsid w:val="00B8792C"/>
    <w:rsid w:val="00B90131"/>
    <w:rsid w:val="00B9215C"/>
    <w:rsid w:val="00B9225C"/>
    <w:rsid w:val="00B92951"/>
    <w:rsid w:val="00B92D1D"/>
    <w:rsid w:val="00B92D7E"/>
    <w:rsid w:val="00B930CE"/>
    <w:rsid w:val="00B938C5"/>
    <w:rsid w:val="00B940A8"/>
    <w:rsid w:val="00B9554A"/>
    <w:rsid w:val="00B95940"/>
    <w:rsid w:val="00B95ACA"/>
    <w:rsid w:val="00B95C12"/>
    <w:rsid w:val="00B96035"/>
    <w:rsid w:val="00B96D74"/>
    <w:rsid w:val="00B9720E"/>
    <w:rsid w:val="00B973A0"/>
    <w:rsid w:val="00B97ACC"/>
    <w:rsid w:val="00B97FE2"/>
    <w:rsid w:val="00BA0E0B"/>
    <w:rsid w:val="00BA201A"/>
    <w:rsid w:val="00BA21DF"/>
    <w:rsid w:val="00BA2C4A"/>
    <w:rsid w:val="00BA361D"/>
    <w:rsid w:val="00BA3787"/>
    <w:rsid w:val="00BA403A"/>
    <w:rsid w:val="00BA4085"/>
    <w:rsid w:val="00BA4287"/>
    <w:rsid w:val="00BA46E8"/>
    <w:rsid w:val="00BA49DB"/>
    <w:rsid w:val="00BA4AE9"/>
    <w:rsid w:val="00BA4E19"/>
    <w:rsid w:val="00BA6436"/>
    <w:rsid w:val="00BA64F2"/>
    <w:rsid w:val="00BA684E"/>
    <w:rsid w:val="00BA6C2B"/>
    <w:rsid w:val="00BA7B64"/>
    <w:rsid w:val="00BB02A3"/>
    <w:rsid w:val="00BB0351"/>
    <w:rsid w:val="00BB0D48"/>
    <w:rsid w:val="00BB1209"/>
    <w:rsid w:val="00BB15C3"/>
    <w:rsid w:val="00BB1AF4"/>
    <w:rsid w:val="00BB2202"/>
    <w:rsid w:val="00BB3C6B"/>
    <w:rsid w:val="00BB3FD6"/>
    <w:rsid w:val="00BB453F"/>
    <w:rsid w:val="00BB46F3"/>
    <w:rsid w:val="00BB4A71"/>
    <w:rsid w:val="00BB4CB1"/>
    <w:rsid w:val="00BB4F98"/>
    <w:rsid w:val="00BB50C0"/>
    <w:rsid w:val="00BB5AB2"/>
    <w:rsid w:val="00BB5ABF"/>
    <w:rsid w:val="00BB6EA2"/>
    <w:rsid w:val="00BB7142"/>
    <w:rsid w:val="00BB76F3"/>
    <w:rsid w:val="00BB7B5B"/>
    <w:rsid w:val="00BB7EB1"/>
    <w:rsid w:val="00BC003F"/>
    <w:rsid w:val="00BC060A"/>
    <w:rsid w:val="00BC0930"/>
    <w:rsid w:val="00BC1537"/>
    <w:rsid w:val="00BC327F"/>
    <w:rsid w:val="00BC3512"/>
    <w:rsid w:val="00BC4A8C"/>
    <w:rsid w:val="00BC4B35"/>
    <w:rsid w:val="00BC50BE"/>
    <w:rsid w:val="00BC5332"/>
    <w:rsid w:val="00BC5715"/>
    <w:rsid w:val="00BC5C12"/>
    <w:rsid w:val="00BC641B"/>
    <w:rsid w:val="00BC69C7"/>
    <w:rsid w:val="00BC7154"/>
    <w:rsid w:val="00BC731E"/>
    <w:rsid w:val="00BC7614"/>
    <w:rsid w:val="00BC7BCB"/>
    <w:rsid w:val="00BC7EFA"/>
    <w:rsid w:val="00BD041B"/>
    <w:rsid w:val="00BD25BB"/>
    <w:rsid w:val="00BD2AF8"/>
    <w:rsid w:val="00BD366B"/>
    <w:rsid w:val="00BD3C09"/>
    <w:rsid w:val="00BD410B"/>
    <w:rsid w:val="00BD41DB"/>
    <w:rsid w:val="00BD4A73"/>
    <w:rsid w:val="00BD4EDD"/>
    <w:rsid w:val="00BD4EF4"/>
    <w:rsid w:val="00BD4EFA"/>
    <w:rsid w:val="00BD5822"/>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70AF"/>
    <w:rsid w:val="00BE7F5F"/>
    <w:rsid w:val="00BF02C8"/>
    <w:rsid w:val="00BF1481"/>
    <w:rsid w:val="00BF1578"/>
    <w:rsid w:val="00BF15CA"/>
    <w:rsid w:val="00BF1D12"/>
    <w:rsid w:val="00BF1D3A"/>
    <w:rsid w:val="00BF2B5B"/>
    <w:rsid w:val="00BF2D41"/>
    <w:rsid w:val="00BF3274"/>
    <w:rsid w:val="00BF32DC"/>
    <w:rsid w:val="00BF35C9"/>
    <w:rsid w:val="00BF4329"/>
    <w:rsid w:val="00BF4E43"/>
    <w:rsid w:val="00BF53D9"/>
    <w:rsid w:val="00BF5C4C"/>
    <w:rsid w:val="00BF765C"/>
    <w:rsid w:val="00BF77FC"/>
    <w:rsid w:val="00C000A4"/>
    <w:rsid w:val="00C006D6"/>
    <w:rsid w:val="00C00BD7"/>
    <w:rsid w:val="00C01410"/>
    <w:rsid w:val="00C015C0"/>
    <w:rsid w:val="00C02D23"/>
    <w:rsid w:val="00C03D4D"/>
    <w:rsid w:val="00C044F4"/>
    <w:rsid w:val="00C04B78"/>
    <w:rsid w:val="00C052AA"/>
    <w:rsid w:val="00C06EE3"/>
    <w:rsid w:val="00C07279"/>
    <w:rsid w:val="00C07749"/>
    <w:rsid w:val="00C07C67"/>
    <w:rsid w:val="00C102FB"/>
    <w:rsid w:val="00C107F8"/>
    <w:rsid w:val="00C11244"/>
    <w:rsid w:val="00C118A9"/>
    <w:rsid w:val="00C11D48"/>
    <w:rsid w:val="00C12304"/>
    <w:rsid w:val="00C12316"/>
    <w:rsid w:val="00C1234A"/>
    <w:rsid w:val="00C1246C"/>
    <w:rsid w:val="00C139F8"/>
    <w:rsid w:val="00C141AD"/>
    <w:rsid w:val="00C1493E"/>
    <w:rsid w:val="00C15708"/>
    <w:rsid w:val="00C15DBD"/>
    <w:rsid w:val="00C161C5"/>
    <w:rsid w:val="00C16DD1"/>
    <w:rsid w:val="00C172F7"/>
    <w:rsid w:val="00C2010D"/>
    <w:rsid w:val="00C20CB5"/>
    <w:rsid w:val="00C20DE9"/>
    <w:rsid w:val="00C21430"/>
    <w:rsid w:val="00C216DF"/>
    <w:rsid w:val="00C21E61"/>
    <w:rsid w:val="00C21F94"/>
    <w:rsid w:val="00C224BD"/>
    <w:rsid w:val="00C2272B"/>
    <w:rsid w:val="00C234DB"/>
    <w:rsid w:val="00C23C5C"/>
    <w:rsid w:val="00C2479A"/>
    <w:rsid w:val="00C24903"/>
    <w:rsid w:val="00C2590D"/>
    <w:rsid w:val="00C25D9C"/>
    <w:rsid w:val="00C27913"/>
    <w:rsid w:val="00C27FA7"/>
    <w:rsid w:val="00C300E2"/>
    <w:rsid w:val="00C31B76"/>
    <w:rsid w:val="00C31F21"/>
    <w:rsid w:val="00C32631"/>
    <w:rsid w:val="00C33301"/>
    <w:rsid w:val="00C33311"/>
    <w:rsid w:val="00C33B68"/>
    <w:rsid w:val="00C34430"/>
    <w:rsid w:val="00C34AD4"/>
    <w:rsid w:val="00C35570"/>
    <w:rsid w:val="00C3566B"/>
    <w:rsid w:val="00C35A2A"/>
    <w:rsid w:val="00C36A79"/>
    <w:rsid w:val="00C37234"/>
    <w:rsid w:val="00C401A9"/>
    <w:rsid w:val="00C401D2"/>
    <w:rsid w:val="00C4031A"/>
    <w:rsid w:val="00C405D4"/>
    <w:rsid w:val="00C419D5"/>
    <w:rsid w:val="00C41D54"/>
    <w:rsid w:val="00C42EBB"/>
    <w:rsid w:val="00C44644"/>
    <w:rsid w:val="00C4513B"/>
    <w:rsid w:val="00C475E8"/>
    <w:rsid w:val="00C50E79"/>
    <w:rsid w:val="00C5197D"/>
    <w:rsid w:val="00C525FB"/>
    <w:rsid w:val="00C5390B"/>
    <w:rsid w:val="00C53E99"/>
    <w:rsid w:val="00C54257"/>
    <w:rsid w:val="00C54697"/>
    <w:rsid w:val="00C550CE"/>
    <w:rsid w:val="00C553A5"/>
    <w:rsid w:val="00C55402"/>
    <w:rsid w:val="00C5603B"/>
    <w:rsid w:val="00C60AE3"/>
    <w:rsid w:val="00C61299"/>
    <w:rsid w:val="00C61F47"/>
    <w:rsid w:val="00C62828"/>
    <w:rsid w:val="00C63D91"/>
    <w:rsid w:val="00C655DA"/>
    <w:rsid w:val="00C672C1"/>
    <w:rsid w:val="00C706D2"/>
    <w:rsid w:val="00C7109C"/>
    <w:rsid w:val="00C715CC"/>
    <w:rsid w:val="00C719A3"/>
    <w:rsid w:val="00C71D2F"/>
    <w:rsid w:val="00C71D71"/>
    <w:rsid w:val="00C723DE"/>
    <w:rsid w:val="00C72984"/>
    <w:rsid w:val="00C73885"/>
    <w:rsid w:val="00C73C93"/>
    <w:rsid w:val="00C7435A"/>
    <w:rsid w:val="00C747B1"/>
    <w:rsid w:val="00C74FD1"/>
    <w:rsid w:val="00C753DD"/>
    <w:rsid w:val="00C75510"/>
    <w:rsid w:val="00C755F9"/>
    <w:rsid w:val="00C75752"/>
    <w:rsid w:val="00C75B60"/>
    <w:rsid w:val="00C761EC"/>
    <w:rsid w:val="00C76C2F"/>
    <w:rsid w:val="00C7704F"/>
    <w:rsid w:val="00C770C9"/>
    <w:rsid w:val="00C8090B"/>
    <w:rsid w:val="00C81070"/>
    <w:rsid w:val="00C8174E"/>
    <w:rsid w:val="00C8182D"/>
    <w:rsid w:val="00C82191"/>
    <w:rsid w:val="00C83134"/>
    <w:rsid w:val="00C831E7"/>
    <w:rsid w:val="00C832F3"/>
    <w:rsid w:val="00C84307"/>
    <w:rsid w:val="00C845A4"/>
    <w:rsid w:val="00C85545"/>
    <w:rsid w:val="00C855B5"/>
    <w:rsid w:val="00C85F0E"/>
    <w:rsid w:val="00C867F9"/>
    <w:rsid w:val="00C872AA"/>
    <w:rsid w:val="00C87817"/>
    <w:rsid w:val="00C87C6B"/>
    <w:rsid w:val="00C90357"/>
    <w:rsid w:val="00C90CF4"/>
    <w:rsid w:val="00C91C20"/>
    <w:rsid w:val="00C922DE"/>
    <w:rsid w:val="00C92843"/>
    <w:rsid w:val="00C92EB6"/>
    <w:rsid w:val="00C93389"/>
    <w:rsid w:val="00C948E6"/>
    <w:rsid w:val="00C94CDD"/>
    <w:rsid w:val="00C95123"/>
    <w:rsid w:val="00C95CB1"/>
    <w:rsid w:val="00C97588"/>
    <w:rsid w:val="00CA0346"/>
    <w:rsid w:val="00CA0BD5"/>
    <w:rsid w:val="00CA0DA1"/>
    <w:rsid w:val="00CA1BD6"/>
    <w:rsid w:val="00CA37FF"/>
    <w:rsid w:val="00CA423A"/>
    <w:rsid w:val="00CA47BC"/>
    <w:rsid w:val="00CA5EAD"/>
    <w:rsid w:val="00CA5EBE"/>
    <w:rsid w:val="00CA6AB4"/>
    <w:rsid w:val="00CA7255"/>
    <w:rsid w:val="00CA79E2"/>
    <w:rsid w:val="00CB0E4A"/>
    <w:rsid w:val="00CB111E"/>
    <w:rsid w:val="00CB1BEE"/>
    <w:rsid w:val="00CB2351"/>
    <w:rsid w:val="00CB2AA2"/>
    <w:rsid w:val="00CB4022"/>
    <w:rsid w:val="00CB4930"/>
    <w:rsid w:val="00CB4BA9"/>
    <w:rsid w:val="00CB4C48"/>
    <w:rsid w:val="00CB4C63"/>
    <w:rsid w:val="00CB5A48"/>
    <w:rsid w:val="00CB5E10"/>
    <w:rsid w:val="00CB613B"/>
    <w:rsid w:val="00CB6152"/>
    <w:rsid w:val="00CB64E1"/>
    <w:rsid w:val="00CB6C6F"/>
    <w:rsid w:val="00CB6E4D"/>
    <w:rsid w:val="00CB7D69"/>
    <w:rsid w:val="00CC009B"/>
    <w:rsid w:val="00CC0834"/>
    <w:rsid w:val="00CC0AEA"/>
    <w:rsid w:val="00CC20FE"/>
    <w:rsid w:val="00CC225C"/>
    <w:rsid w:val="00CC2E7D"/>
    <w:rsid w:val="00CC469E"/>
    <w:rsid w:val="00CC5BE8"/>
    <w:rsid w:val="00CC612B"/>
    <w:rsid w:val="00CC655F"/>
    <w:rsid w:val="00CC66F9"/>
    <w:rsid w:val="00CC6C2A"/>
    <w:rsid w:val="00CC6E69"/>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AF5"/>
    <w:rsid w:val="00CD2B78"/>
    <w:rsid w:val="00CD3866"/>
    <w:rsid w:val="00CD3FAB"/>
    <w:rsid w:val="00CD5456"/>
    <w:rsid w:val="00CD5C3E"/>
    <w:rsid w:val="00CD5C57"/>
    <w:rsid w:val="00CD6331"/>
    <w:rsid w:val="00CD7E9E"/>
    <w:rsid w:val="00CE03DD"/>
    <w:rsid w:val="00CE14BE"/>
    <w:rsid w:val="00CE17A4"/>
    <w:rsid w:val="00CE1BA9"/>
    <w:rsid w:val="00CE2D8F"/>
    <w:rsid w:val="00CE3532"/>
    <w:rsid w:val="00CE3E48"/>
    <w:rsid w:val="00CE46C0"/>
    <w:rsid w:val="00CE47B8"/>
    <w:rsid w:val="00CE4DAB"/>
    <w:rsid w:val="00CE4F15"/>
    <w:rsid w:val="00CE54FD"/>
    <w:rsid w:val="00CE5C92"/>
    <w:rsid w:val="00CE5E12"/>
    <w:rsid w:val="00CE62FA"/>
    <w:rsid w:val="00CE670B"/>
    <w:rsid w:val="00CE6833"/>
    <w:rsid w:val="00CE7562"/>
    <w:rsid w:val="00CF020B"/>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2E1"/>
    <w:rsid w:val="00D03A72"/>
    <w:rsid w:val="00D03BAE"/>
    <w:rsid w:val="00D040DD"/>
    <w:rsid w:val="00D04134"/>
    <w:rsid w:val="00D05C65"/>
    <w:rsid w:val="00D060D1"/>
    <w:rsid w:val="00D06B56"/>
    <w:rsid w:val="00D06D68"/>
    <w:rsid w:val="00D075BE"/>
    <w:rsid w:val="00D07AFF"/>
    <w:rsid w:val="00D10C15"/>
    <w:rsid w:val="00D11011"/>
    <w:rsid w:val="00D11476"/>
    <w:rsid w:val="00D12C25"/>
    <w:rsid w:val="00D133B4"/>
    <w:rsid w:val="00D13986"/>
    <w:rsid w:val="00D13F3E"/>
    <w:rsid w:val="00D14C5B"/>
    <w:rsid w:val="00D15FED"/>
    <w:rsid w:val="00D16712"/>
    <w:rsid w:val="00D20B69"/>
    <w:rsid w:val="00D214EF"/>
    <w:rsid w:val="00D215B0"/>
    <w:rsid w:val="00D21D6D"/>
    <w:rsid w:val="00D21D83"/>
    <w:rsid w:val="00D22A47"/>
    <w:rsid w:val="00D23331"/>
    <w:rsid w:val="00D235B7"/>
    <w:rsid w:val="00D23A99"/>
    <w:rsid w:val="00D23FAE"/>
    <w:rsid w:val="00D2455B"/>
    <w:rsid w:val="00D25F28"/>
    <w:rsid w:val="00D26071"/>
    <w:rsid w:val="00D260C7"/>
    <w:rsid w:val="00D269B9"/>
    <w:rsid w:val="00D273F7"/>
    <w:rsid w:val="00D2793E"/>
    <w:rsid w:val="00D27973"/>
    <w:rsid w:val="00D27F3A"/>
    <w:rsid w:val="00D3008B"/>
    <w:rsid w:val="00D31537"/>
    <w:rsid w:val="00D31E1E"/>
    <w:rsid w:val="00D31F1F"/>
    <w:rsid w:val="00D322A0"/>
    <w:rsid w:val="00D32824"/>
    <w:rsid w:val="00D334E2"/>
    <w:rsid w:val="00D350B1"/>
    <w:rsid w:val="00D35123"/>
    <w:rsid w:val="00D355CB"/>
    <w:rsid w:val="00D35AD6"/>
    <w:rsid w:val="00D35BBB"/>
    <w:rsid w:val="00D35E1A"/>
    <w:rsid w:val="00D36B0A"/>
    <w:rsid w:val="00D36DFB"/>
    <w:rsid w:val="00D36E1C"/>
    <w:rsid w:val="00D373AF"/>
    <w:rsid w:val="00D40556"/>
    <w:rsid w:val="00D406C8"/>
    <w:rsid w:val="00D40824"/>
    <w:rsid w:val="00D41829"/>
    <w:rsid w:val="00D41F74"/>
    <w:rsid w:val="00D42250"/>
    <w:rsid w:val="00D428C8"/>
    <w:rsid w:val="00D43034"/>
    <w:rsid w:val="00D43ED2"/>
    <w:rsid w:val="00D45649"/>
    <w:rsid w:val="00D47ED6"/>
    <w:rsid w:val="00D50100"/>
    <w:rsid w:val="00D50C95"/>
    <w:rsid w:val="00D50F46"/>
    <w:rsid w:val="00D511D8"/>
    <w:rsid w:val="00D5130D"/>
    <w:rsid w:val="00D5133A"/>
    <w:rsid w:val="00D526FA"/>
    <w:rsid w:val="00D5302A"/>
    <w:rsid w:val="00D533C4"/>
    <w:rsid w:val="00D5384E"/>
    <w:rsid w:val="00D544E7"/>
    <w:rsid w:val="00D5499F"/>
    <w:rsid w:val="00D5560A"/>
    <w:rsid w:val="00D559D2"/>
    <w:rsid w:val="00D56FBF"/>
    <w:rsid w:val="00D57677"/>
    <w:rsid w:val="00D5781F"/>
    <w:rsid w:val="00D60415"/>
    <w:rsid w:val="00D60E3C"/>
    <w:rsid w:val="00D60FA7"/>
    <w:rsid w:val="00D61FAB"/>
    <w:rsid w:val="00D63BE5"/>
    <w:rsid w:val="00D64685"/>
    <w:rsid w:val="00D6475F"/>
    <w:rsid w:val="00D655D4"/>
    <w:rsid w:val="00D65F61"/>
    <w:rsid w:val="00D66223"/>
    <w:rsid w:val="00D667B8"/>
    <w:rsid w:val="00D67D55"/>
    <w:rsid w:val="00D70289"/>
    <w:rsid w:val="00D7041F"/>
    <w:rsid w:val="00D70700"/>
    <w:rsid w:val="00D70800"/>
    <w:rsid w:val="00D70822"/>
    <w:rsid w:val="00D72076"/>
    <w:rsid w:val="00D721B4"/>
    <w:rsid w:val="00D726A9"/>
    <w:rsid w:val="00D728D5"/>
    <w:rsid w:val="00D72DBA"/>
    <w:rsid w:val="00D73D48"/>
    <w:rsid w:val="00D743E0"/>
    <w:rsid w:val="00D7469D"/>
    <w:rsid w:val="00D7490C"/>
    <w:rsid w:val="00D75AC1"/>
    <w:rsid w:val="00D77252"/>
    <w:rsid w:val="00D8084C"/>
    <w:rsid w:val="00D81809"/>
    <w:rsid w:val="00D82119"/>
    <w:rsid w:val="00D82EF1"/>
    <w:rsid w:val="00D84CC9"/>
    <w:rsid w:val="00D84F43"/>
    <w:rsid w:val="00D85114"/>
    <w:rsid w:val="00D85821"/>
    <w:rsid w:val="00D8598C"/>
    <w:rsid w:val="00D86677"/>
    <w:rsid w:val="00D87C06"/>
    <w:rsid w:val="00D9140D"/>
    <w:rsid w:val="00D915EA"/>
    <w:rsid w:val="00D919ED"/>
    <w:rsid w:val="00D922A1"/>
    <w:rsid w:val="00D928BE"/>
    <w:rsid w:val="00D932B8"/>
    <w:rsid w:val="00D932F0"/>
    <w:rsid w:val="00D933F2"/>
    <w:rsid w:val="00D94929"/>
    <w:rsid w:val="00D95302"/>
    <w:rsid w:val="00D95889"/>
    <w:rsid w:val="00D95C5D"/>
    <w:rsid w:val="00D96424"/>
    <w:rsid w:val="00D97400"/>
    <w:rsid w:val="00D97D00"/>
    <w:rsid w:val="00DA096C"/>
    <w:rsid w:val="00DA0DFB"/>
    <w:rsid w:val="00DA1445"/>
    <w:rsid w:val="00DA1AB6"/>
    <w:rsid w:val="00DA273D"/>
    <w:rsid w:val="00DA2E65"/>
    <w:rsid w:val="00DA37DE"/>
    <w:rsid w:val="00DA3ADF"/>
    <w:rsid w:val="00DA4174"/>
    <w:rsid w:val="00DA4F0A"/>
    <w:rsid w:val="00DA5241"/>
    <w:rsid w:val="00DA544C"/>
    <w:rsid w:val="00DA5F8E"/>
    <w:rsid w:val="00DA6364"/>
    <w:rsid w:val="00DA6938"/>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5FDA"/>
    <w:rsid w:val="00DB613B"/>
    <w:rsid w:val="00DB657E"/>
    <w:rsid w:val="00DB7342"/>
    <w:rsid w:val="00DB7489"/>
    <w:rsid w:val="00DB75A6"/>
    <w:rsid w:val="00DB791E"/>
    <w:rsid w:val="00DC0B4D"/>
    <w:rsid w:val="00DC0CBB"/>
    <w:rsid w:val="00DC17D0"/>
    <w:rsid w:val="00DC1A3D"/>
    <w:rsid w:val="00DC1DD1"/>
    <w:rsid w:val="00DC1E5D"/>
    <w:rsid w:val="00DC2B41"/>
    <w:rsid w:val="00DC2EA7"/>
    <w:rsid w:val="00DC3128"/>
    <w:rsid w:val="00DC435B"/>
    <w:rsid w:val="00DC4AC4"/>
    <w:rsid w:val="00DC53D8"/>
    <w:rsid w:val="00DC56FE"/>
    <w:rsid w:val="00DC5AB0"/>
    <w:rsid w:val="00DC5B3B"/>
    <w:rsid w:val="00DC5F11"/>
    <w:rsid w:val="00DC6C2D"/>
    <w:rsid w:val="00DC6D72"/>
    <w:rsid w:val="00DC7ABB"/>
    <w:rsid w:val="00DC7B1A"/>
    <w:rsid w:val="00DD04B0"/>
    <w:rsid w:val="00DD129F"/>
    <w:rsid w:val="00DD13FC"/>
    <w:rsid w:val="00DD1A3F"/>
    <w:rsid w:val="00DD29B5"/>
    <w:rsid w:val="00DD32DD"/>
    <w:rsid w:val="00DD33E8"/>
    <w:rsid w:val="00DD3CC0"/>
    <w:rsid w:val="00DD5287"/>
    <w:rsid w:val="00DD5B36"/>
    <w:rsid w:val="00DD5C58"/>
    <w:rsid w:val="00DD6191"/>
    <w:rsid w:val="00DD68F3"/>
    <w:rsid w:val="00DD7849"/>
    <w:rsid w:val="00DE03DE"/>
    <w:rsid w:val="00DE0D8B"/>
    <w:rsid w:val="00DE1237"/>
    <w:rsid w:val="00DE140F"/>
    <w:rsid w:val="00DE17E9"/>
    <w:rsid w:val="00DE2491"/>
    <w:rsid w:val="00DE3E5D"/>
    <w:rsid w:val="00DE450F"/>
    <w:rsid w:val="00DE4865"/>
    <w:rsid w:val="00DE5A0C"/>
    <w:rsid w:val="00DE5CA6"/>
    <w:rsid w:val="00DE5E55"/>
    <w:rsid w:val="00DE622F"/>
    <w:rsid w:val="00DE6E29"/>
    <w:rsid w:val="00DE7156"/>
    <w:rsid w:val="00DE7AC8"/>
    <w:rsid w:val="00DF0830"/>
    <w:rsid w:val="00DF2C5D"/>
    <w:rsid w:val="00DF2CD3"/>
    <w:rsid w:val="00DF3643"/>
    <w:rsid w:val="00DF42FF"/>
    <w:rsid w:val="00DF4369"/>
    <w:rsid w:val="00DF4423"/>
    <w:rsid w:val="00DF4ADF"/>
    <w:rsid w:val="00DF57D6"/>
    <w:rsid w:val="00DF5D1E"/>
    <w:rsid w:val="00DF63B5"/>
    <w:rsid w:val="00DF77E4"/>
    <w:rsid w:val="00DF7F88"/>
    <w:rsid w:val="00E00B88"/>
    <w:rsid w:val="00E00CB7"/>
    <w:rsid w:val="00E010D9"/>
    <w:rsid w:val="00E01C0E"/>
    <w:rsid w:val="00E0368F"/>
    <w:rsid w:val="00E03805"/>
    <w:rsid w:val="00E03D73"/>
    <w:rsid w:val="00E03F9A"/>
    <w:rsid w:val="00E040DA"/>
    <w:rsid w:val="00E04694"/>
    <w:rsid w:val="00E05333"/>
    <w:rsid w:val="00E1168B"/>
    <w:rsid w:val="00E119E9"/>
    <w:rsid w:val="00E11C7E"/>
    <w:rsid w:val="00E12191"/>
    <w:rsid w:val="00E129E7"/>
    <w:rsid w:val="00E12ABE"/>
    <w:rsid w:val="00E12B1E"/>
    <w:rsid w:val="00E135EB"/>
    <w:rsid w:val="00E13995"/>
    <w:rsid w:val="00E1444C"/>
    <w:rsid w:val="00E156FE"/>
    <w:rsid w:val="00E1690C"/>
    <w:rsid w:val="00E16FC8"/>
    <w:rsid w:val="00E17262"/>
    <w:rsid w:val="00E17F36"/>
    <w:rsid w:val="00E20016"/>
    <w:rsid w:val="00E2009B"/>
    <w:rsid w:val="00E20BB9"/>
    <w:rsid w:val="00E20BCC"/>
    <w:rsid w:val="00E2251C"/>
    <w:rsid w:val="00E2363D"/>
    <w:rsid w:val="00E23C6A"/>
    <w:rsid w:val="00E2484B"/>
    <w:rsid w:val="00E25304"/>
    <w:rsid w:val="00E253A2"/>
    <w:rsid w:val="00E260F6"/>
    <w:rsid w:val="00E2665E"/>
    <w:rsid w:val="00E27127"/>
    <w:rsid w:val="00E27233"/>
    <w:rsid w:val="00E274BB"/>
    <w:rsid w:val="00E30601"/>
    <w:rsid w:val="00E30F15"/>
    <w:rsid w:val="00E31771"/>
    <w:rsid w:val="00E3186D"/>
    <w:rsid w:val="00E31A3E"/>
    <w:rsid w:val="00E32080"/>
    <w:rsid w:val="00E32426"/>
    <w:rsid w:val="00E32778"/>
    <w:rsid w:val="00E3309D"/>
    <w:rsid w:val="00E34E3F"/>
    <w:rsid w:val="00E350B1"/>
    <w:rsid w:val="00E35A53"/>
    <w:rsid w:val="00E35D83"/>
    <w:rsid w:val="00E3634A"/>
    <w:rsid w:val="00E3656B"/>
    <w:rsid w:val="00E3712B"/>
    <w:rsid w:val="00E3724A"/>
    <w:rsid w:val="00E378B1"/>
    <w:rsid w:val="00E41179"/>
    <w:rsid w:val="00E411F9"/>
    <w:rsid w:val="00E417BE"/>
    <w:rsid w:val="00E41CD5"/>
    <w:rsid w:val="00E42054"/>
    <w:rsid w:val="00E42D94"/>
    <w:rsid w:val="00E4372D"/>
    <w:rsid w:val="00E43A9E"/>
    <w:rsid w:val="00E44243"/>
    <w:rsid w:val="00E453F9"/>
    <w:rsid w:val="00E45D7D"/>
    <w:rsid w:val="00E4623F"/>
    <w:rsid w:val="00E4665D"/>
    <w:rsid w:val="00E467E3"/>
    <w:rsid w:val="00E47854"/>
    <w:rsid w:val="00E478E2"/>
    <w:rsid w:val="00E47EBA"/>
    <w:rsid w:val="00E50156"/>
    <w:rsid w:val="00E504EB"/>
    <w:rsid w:val="00E5076C"/>
    <w:rsid w:val="00E50D2E"/>
    <w:rsid w:val="00E50D7D"/>
    <w:rsid w:val="00E50E8A"/>
    <w:rsid w:val="00E51EF0"/>
    <w:rsid w:val="00E53470"/>
    <w:rsid w:val="00E5368D"/>
    <w:rsid w:val="00E539F6"/>
    <w:rsid w:val="00E54698"/>
    <w:rsid w:val="00E54BE9"/>
    <w:rsid w:val="00E54FB4"/>
    <w:rsid w:val="00E55046"/>
    <w:rsid w:val="00E5539A"/>
    <w:rsid w:val="00E55791"/>
    <w:rsid w:val="00E55AB2"/>
    <w:rsid w:val="00E55E1A"/>
    <w:rsid w:val="00E578A2"/>
    <w:rsid w:val="00E579ED"/>
    <w:rsid w:val="00E60043"/>
    <w:rsid w:val="00E61740"/>
    <w:rsid w:val="00E61EB5"/>
    <w:rsid w:val="00E62287"/>
    <w:rsid w:val="00E62EDE"/>
    <w:rsid w:val="00E6324D"/>
    <w:rsid w:val="00E636EC"/>
    <w:rsid w:val="00E65084"/>
    <w:rsid w:val="00E6519D"/>
    <w:rsid w:val="00E657C8"/>
    <w:rsid w:val="00E66062"/>
    <w:rsid w:val="00E6660E"/>
    <w:rsid w:val="00E66768"/>
    <w:rsid w:val="00E67305"/>
    <w:rsid w:val="00E673BD"/>
    <w:rsid w:val="00E67696"/>
    <w:rsid w:val="00E700B4"/>
    <w:rsid w:val="00E709AF"/>
    <w:rsid w:val="00E70A85"/>
    <w:rsid w:val="00E70C5F"/>
    <w:rsid w:val="00E71A58"/>
    <w:rsid w:val="00E728D7"/>
    <w:rsid w:val="00E72A26"/>
    <w:rsid w:val="00E72A7A"/>
    <w:rsid w:val="00E7335A"/>
    <w:rsid w:val="00E73986"/>
    <w:rsid w:val="00E73D21"/>
    <w:rsid w:val="00E7467D"/>
    <w:rsid w:val="00E747DC"/>
    <w:rsid w:val="00E74A2D"/>
    <w:rsid w:val="00E74FE4"/>
    <w:rsid w:val="00E75C94"/>
    <w:rsid w:val="00E76A08"/>
    <w:rsid w:val="00E76B9B"/>
    <w:rsid w:val="00E76E61"/>
    <w:rsid w:val="00E76EE4"/>
    <w:rsid w:val="00E77CC0"/>
    <w:rsid w:val="00E77E8B"/>
    <w:rsid w:val="00E77F50"/>
    <w:rsid w:val="00E80B3D"/>
    <w:rsid w:val="00E80CA3"/>
    <w:rsid w:val="00E8184F"/>
    <w:rsid w:val="00E81AAA"/>
    <w:rsid w:val="00E82618"/>
    <w:rsid w:val="00E82A0F"/>
    <w:rsid w:val="00E82A42"/>
    <w:rsid w:val="00E832F4"/>
    <w:rsid w:val="00E846B0"/>
    <w:rsid w:val="00E84E09"/>
    <w:rsid w:val="00E87CE2"/>
    <w:rsid w:val="00E90CA8"/>
    <w:rsid w:val="00E91113"/>
    <w:rsid w:val="00E911C6"/>
    <w:rsid w:val="00E920DE"/>
    <w:rsid w:val="00E930A1"/>
    <w:rsid w:val="00E93820"/>
    <w:rsid w:val="00E94A86"/>
    <w:rsid w:val="00E951AB"/>
    <w:rsid w:val="00E953F6"/>
    <w:rsid w:val="00E9580F"/>
    <w:rsid w:val="00E95882"/>
    <w:rsid w:val="00E95C3B"/>
    <w:rsid w:val="00E96143"/>
    <w:rsid w:val="00E96833"/>
    <w:rsid w:val="00E96869"/>
    <w:rsid w:val="00E97506"/>
    <w:rsid w:val="00E97BB5"/>
    <w:rsid w:val="00E97D5B"/>
    <w:rsid w:val="00E97F14"/>
    <w:rsid w:val="00EA02FE"/>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5E3D"/>
    <w:rsid w:val="00EA7419"/>
    <w:rsid w:val="00EB0203"/>
    <w:rsid w:val="00EB0E32"/>
    <w:rsid w:val="00EB1786"/>
    <w:rsid w:val="00EB1CDC"/>
    <w:rsid w:val="00EB1D89"/>
    <w:rsid w:val="00EB2693"/>
    <w:rsid w:val="00EB3E60"/>
    <w:rsid w:val="00EB4511"/>
    <w:rsid w:val="00EB48D7"/>
    <w:rsid w:val="00EB49F1"/>
    <w:rsid w:val="00EB4A8E"/>
    <w:rsid w:val="00EB4BC5"/>
    <w:rsid w:val="00EB5BF7"/>
    <w:rsid w:val="00EB5E79"/>
    <w:rsid w:val="00EB6788"/>
    <w:rsid w:val="00EB6FAC"/>
    <w:rsid w:val="00EB7BAC"/>
    <w:rsid w:val="00EB7CC9"/>
    <w:rsid w:val="00EC03D7"/>
    <w:rsid w:val="00EC0749"/>
    <w:rsid w:val="00EC0B86"/>
    <w:rsid w:val="00EC13A7"/>
    <w:rsid w:val="00EC1D31"/>
    <w:rsid w:val="00EC2EB6"/>
    <w:rsid w:val="00EC3F49"/>
    <w:rsid w:val="00EC4FFF"/>
    <w:rsid w:val="00EC5517"/>
    <w:rsid w:val="00EC6E8C"/>
    <w:rsid w:val="00EC729D"/>
    <w:rsid w:val="00ED0702"/>
    <w:rsid w:val="00ED0962"/>
    <w:rsid w:val="00ED0EF0"/>
    <w:rsid w:val="00ED112D"/>
    <w:rsid w:val="00ED12B9"/>
    <w:rsid w:val="00ED16B8"/>
    <w:rsid w:val="00ED1959"/>
    <w:rsid w:val="00ED1A00"/>
    <w:rsid w:val="00ED1DF0"/>
    <w:rsid w:val="00ED2386"/>
    <w:rsid w:val="00ED25F5"/>
    <w:rsid w:val="00ED2EA1"/>
    <w:rsid w:val="00ED3851"/>
    <w:rsid w:val="00ED39D7"/>
    <w:rsid w:val="00ED3E51"/>
    <w:rsid w:val="00ED3F10"/>
    <w:rsid w:val="00ED3F9B"/>
    <w:rsid w:val="00ED3FB3"/>
    <w:rsid w:val="00ED4D04"/>
    <w:rsid w:val="00ED566D"/>
    <w:rsid w:val="00ED5907"/>
    <w:rsid w:val="00ED5F5B"/>
    <w:rsid w:val="00ED62C6"/>
    <w:rsid w:val="00ED64C1"/>
    <w:rsid w:val="00ED72E7"/>
    <w:rsid w:val="00ED74BD"/>
    <w:rsid w:val="00ED781F"/>
    <w:rsid w:val="00EE0E7E"/>
    <w:rsid w:val="00EE2236"/>
    <w:rsid w:val="00EE249F"/>
    <w:rsid w:val="00EE2EB4"/>
    <w:rsid w:val="00EE3446"/>
    <w:rsid w:val="00EE3E78"/>
    <w:rsid w:val="00EE41FD"/>
    <w:rsid w:val="00EE460E"/>
    <w:rsid w:val="00EE4B1B"/>
    <w:rsid w:val="00EE5FBA"/>
    <w:rsid w:val="00EE601C"/>
    <w:rsid w:val="00EE6E06"/>
    <w:rsid w:val="00EE7179"/>
    <w:rsid w:val="00EE762D"/>
    <w:rsid w:val="00EF0D90"/>
    <w:rsid w:val="00EF150D"/>
    <w:rsid w:val="00EF1916"/>
    <w:rsid w:val="00EF1F5A"/>
    <w:rsid w:val="00EF22E2"/>
    <w:rsid w:val="00EF23B5"/>
    <w:rsid w:val="00EF326A"/>
    <w:rsid w:val="00EF3898"/>
    <w:rsid w:val="00EF47BF"/>
    <w:rsid w:val="00EF52F7"/>
    <w:rsid w:val="00EF59B1"/>
    <w:rsid w:val="00EF5A13"/>
    <w:rsid w:val="00EF5FF9"/>
    <w:rsid w:val="00EF600F"/>
    <w:rsid w:val="00EF77D4"/>
    <w:rsid w:val="00EF7CC7"/>
    <w:rsid w:val="00F00535"/>
    <w:rsid w:val="00F00853"/>
    <w:rsid w:val="00F00866"/>
    <w:rsid w:val="00F00EC8"/>
    <w:rsid w:val="00F0160B"/>
    <w:rsid w:val="00F0193E"/>
    <w:rsid w:val="00F028B4"/>
    <w:rsid w:val="00F02A91"/>
    <w:rsid w:val="00F03E2F"/>
    <w:rsid w:val="00F03F8D"/>
    <w:rsid w:val="00F04811"/>
    <w:rsid w:val="00F0488C"/>
    <w:rsid w:val="00F04955"/>
    <w:rsid w:val="00F06203"/>
    <w:rsid w:val="00F073ED"/>
    <w:rsid w:val="00F07C4C"/>
    <w:rsid w:val="00F07E45"/>
    <w:rsid w:val="00F10F11"/>
    <w:rsid w:val="00F11159"/>
    <w:rsid w:val="00F1146D"/>
    <w:rsid w:val="00F115E4"/>
    <w:rsid w:val="00F11AC4"/>
    <w:rsid w:val="00F11C1D"/>
    <w:rsid w:val="00F11D01"/>
    <w:rsid w:val="00F120A5"/>
    <w:rsid w:val="00F12CFB"/>
    <w:rsid w:val="00F13E60"/>
    <w:rsid w:val="00F13F81"/>
    <w:rsid w:val="00F13FDB"/>
    <w:rsid w:val="00F15653"/>
    <w:rsid w:val="00F15AAA"/>
    <w:rsid w:val="00F15BEF"/>
    <w:rsid w:val="00F16F10"/>
    <w:rsid w:val="00F17898"/>
    <w:rsid w:val="00F17FBF"/>
    <w:rsid w:val="00F204BF"/>
    <w:rsid w:val="00F207C2"/>
    <w:rsid w:val="00F21337"/>
    <w:rsid w:val="00F219A1"/>
    <w:rsid w:val="00F235B2"/>
    <w:rsid w:val="00F23E20"/>
    <w:rsid w:val="00F24407"/>
    <w:rsid w:val="00F249CE"/>
    <w:rsid w:val="00F24FAA"/>
    <w:rsid w:val="00F25040"/>
    <w:rsid w:val="00F269D7"/>
    <w:rsid w:val="00F26D1F"/>
    <w:rsid w:val="00F27071"/>
    <w:rsid w:val="00F27331"/>
    <w:rsid w:val="00F276D3"/>
    <w:rsid w:val="00F27EE5"/>
    <w:rsid w:val="00F27FB1"/>
    <w:rsid w:val="00F27FD6"/>
    <w:rsid w:val="00F307CB"/>
    <w:rsid w:val="00F30C0C"/>
    <w:rsid w:val="00F30C65"/>
    <w:rsid w:val="00F3148E"/>
    <w:rsid w:val="00F31E10"/>
    <w:rsid w:val="00F321D2"/>
    <w:rsid w:val="00F32649"/>
    <w:rsid w:val="00F33523"/>
    <w:rsid w:val="00F3364D"/>
    <w:rsid w:val="00F33914"/>
    <w:rsid w:val="00F340B2"/>
    <w:rsid w:val="00F349BF"/>
    <w:rsid w:val="00F34DDC"/>
    <w:rsid w:val="00F36191"/>
    <w:rsid w:val="00F3629F"/>
    <w:rsid w:val="00F36DF3"/>
    <w:rsid w:val="00F371A2"/>
    <w:rsid w:val="00F37362"/>
    <w:rsid w:val="00F375CB"/>
    <w:rsid w:val="00F37EDC"/>
    <w:rsid w:val="00F40205"/>
    <w:rsid w:val="00F437CC"/>
    <w:rsid w:val="00F43A4E"/>
    <w:rsid w:val="00F44537"/>
    <w:rsid w:val="00F458BE"/>
    <w:rsid w:val="00F46185"/>
    <w:rsid w:val="00F46423"/>
    <w:rsid w:val="00F4696A"/>
    <w:rsid w:val="00F47067"/>
    <w:rsid w:val="00F47234"/>
    <w:rsid w:val="00F50451"/>
    <w:rsid w:val="00F51ADD"/>
    <w:rsid w:val="00F525AB"/>
    <w:rsid w:val="00F525EB"/>
    <w:rsid w:val="00F52BFA"/>
    <w:rsid w:val="00F52CB5"/>
    <w:rsid w:val="00F53378"/>
    <w:rsid w:val="00F53A68"/>
    <w:rsid w:val="00F53D2E"/>
    <w:rsid w:val="00F54934"/>
    <w:rsid w:val="00F55A92"/>
    <w:rsid w:val="00F5615B"/>
    <w:rsid w:val="00F5635E"/>
    <w:rsid w:val="00F5657D"/>
    <w:rsid w:val="00F57427"/>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113"/>
    <w:rsid w:val="00F71393"/>
    <w:rsid w:val="00F7150B"/>
    <w:rsid w:val="00F7162D"/>
    <w:rsid w:val="00F717E4"/>
    <w:rsid w:val="00F71DE6"/>
    <w:rsid w:val="00F72C79"/>
    <w:rsid w:val="00F72D71"/>
    <w:rsid w:val="00F7381C"/>
    <w:rsid w:val="00F73A0C"/>
    <w:rsid w:val="00F73AA6"/>
    <w:rsid w:val="00F7467F"/>
    <w:rsid w:val="00F752DC"/>
    <w:rsid w:val="00F7549F"/>
    <w:rsid w:val="00F756DB"/>
    <w:rsid w:val="00F766BE"/>
    <w:rsid w:val="00F767A8"/>
    <w:rsid w:val="00F77590"/>
    <w:rsid w:val="00F77A50"/>
    <w:rsid w:val="00F77E95"/>
    <w:rsid w:val="00F809C0"/>
    <w:rsid w:val="00F81B0F"/>
    <w:rsid w:val="00F822CE"/>
    <w:rsid w:val="00F823E4"/>
    <w:rsid w:val="00F82D14"/>
    <w:rsid w:val="00F842EB"/>
    <w:rsid w:val="00F84E7D"/>
    <w:rsid w:val="00F85066"/>
    <w:rsid w:val="00F8670E"/>
    <w:rsid w:val="00F867A2"/>
    <w:rsid w:val="00F874F8"/>
    <w:rsid w:val="00F87A4D"/>
    <w:rsid w:val="00F90A3E"/>
    <w:rsid w:val="00F90C68"/>
    <w:rsid w:val="00F90EEB"/>
    <w:rsid w:val="00F91B66"/>
    <w:rsid w:val="00F93688"/>
    <w:rsid w:val="00F939F3"/>
    <w:rsid w:val="00F93C6E"/>
    <w:rsid w:val="00F93F2C"/>
    <w:rsid w:val="00F947E9"/>
    <w:rsid w:val="00F962AD"/>
    <w:rsid w:val="00F9644E"/>
    <w:rsid w:val="00F96EE8"/>
    <w:rsid w:val="00FA0105"/>
    <w:rsid w:val="00FA05A0"/>
    <w:rsid w:val="00FA0AEF"/>
    <w:rsid w:val="00FA12B0"/>
    <w:rsid w:val="00FA17CC"/>
    <w:rsid w:val="00FA1CFE"/>
    <w:rsid w:val="00FA1EE7"/>
    <w:rsid w:val="00FA1F01"/>
    <w:rsid w:val="00FA26DF"/>
    <w:rsid w:val="00FA32BC"/>
    <w:rsid w:val="00FA3E13"/>
    <w:rsid w:val="00FA3FA8"/>
    <w:rsid w:val="00FA4059"/>
    <w:rsid w:val="00FA4574"/>
    <w:rsid w:val="00FA48A4"/>
    <w:rsid w:val="00FA4CB7"/>
    <w:rsid w:val="00FA5112"/>
    <w:rsid w:val="00FA5526"/>
    <w:rsid w:val="00FA5D48"/>
    <w:rsid w:val="00FA5D4D"/>
    <w:rsid w:val="00FA6122"/>
    <w:rsid w:val="00FA6CB6"/>
    <w:rsid w:val="00FA70D3"/>
    <w:rsid w:val="00FA792A"/>
    <w:rsid w:val="00FA7AEC"/>
    <w:rsid w:val="00FB0AEA"/>
    <w:rsid w:val="00FB0EE2"/>
    <w:rsid w:val="00FB1A79"/>
    <w:rsid w:val="00FB1B48"/>
    <w:rsid w:val="00FB208B"/>
    <w:rsid w:val="00FB2B2D"/>
    <w:rsid w:val="00FB542E"/>
    <w:rsid w:val="00FB5580"/>
    <w:rsid w:val="00FB564F"/>
    <w:rsid w:val="00FB7DBB"/>
    <w:rsid w:val="00FC05F8"/>
    <w:rsid w:val="00FC077B"/>
    <w:rsid w:val="00FC0BE0"/>
    <w:rsid w:val="00FC0E5F"/>
    <w:rsid w:val="00FC1070"/>
    <w:rsid w:val="00FC1266"/>
    <w:rsid w:val="00FC1A95"/>
    <w:rsid w:val="00FC1ED4"/>
    <w:rsid w:val="00FC35BF"/>
    <w:rsid w:val="00FC3BEC"/>
    <w:rsid w:val="00FC42C5"/>
    <w:rsid w:val="00FC440B"/>
    <w:rsid w:val="00FC4F4B"/>
    <w:rsid w:val="00FC56DE"/>
    <w:rsid w:val="00FC63D9"/>
    <w:rsid w:val="00FC64DE"/>
    <w:rsid w:val="00FC6785"/>
    <w:rsid w:val="00FC684B"/>
    <w:rsid w:val="00FC7136"/>
    <w:rsid w:val="00FC7D98"/>
    <w:rsid w:val="00FC7EB2"/>
    <w:rsid w:val="00FD1135"/>
    <w:rsid w:val="00FD3265"/>
    <w:rsid w:val="00FD3BFE"/>
    <w:rsid w:val="00FD3CF7"/>
    <w:rsid w:val="00FD4124"/>
    <w:rsid w:val="00FD4916"/>
    <w:rsid w:val="00FD4D12"/>
    <w:rsid w:val="00FD4F73"/>
    <w:rsid w:val="00FD595E"/>
    <w:rsid w:val="00FD62E6"/>
    <w:rsid w:val="00FD7802"/>
    <w:rsid w:val="00FD7D3B"/>
    <w:rsid w:val="00FD7F83"/>
    <w:rsid w:val="00FD7FBE"/>
    <w:rsid w:val="00FE0292"/>
    <w:rsid w:val="00FE1209"/>
    <w:rsid w:val="00FE27C7"/>
    <w:rsid w:val="00FE2814"/>
    <w:rsid w:val="00FE2C7E"/>
    <w:rsid w:val="00FE2F78"/>
    <w:rsid w:val="00FE3137"/>
    <w:rsid w:val="00FE346B"/>
    <w:rsid w:val="00FE346F"/>
    <w:rsid w:val="00FE431E"/>
    <w:rsid w:val="00FE460E"/>
    <w:rsid w:val="00FE48E4"/>
    <w:rsid w:val="00FE5466"/>
    <w:rsid w:val="00FE5BF1"/>
    <w:rsid w:val="00FE633D"/>
    <w:rsid w:val="00FE634C"/>
    <w:rsid w:val="00FE6E69"/>
    <w:rsid w:val="00FE6F59"/>
    <w:rsid w:val="00FF01B6"/>
    <w:rsid w:val="00FF0989"/>
    <w:rsid w:val="00FF0F79"/>
    <w:rsid w:val="00FF1136"/>
    <w:rsid w:val="00FF3D76"/>
    <w:rsid w:val="00FF445B"/>
    <w:rsid w:val="00FF5B8C"/>
    <w:rsid w:val="00FF63E6"/>
    <w:rsid w:val="00FF649C"/>
    <w:rsid w:val="00FF72DC"/>
    <w:rsid w:val="00FF7B9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A73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Standardnpsmoodstavce"/>
    <w:rsid w:val="0021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384443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metodicka-poznamka-k-indexu-spotrebitelskych-cen-imputovane-najemn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249577845322527E-2"/>
          <c:y val="2.1811335019919161E-2"/>
          <c:w val="0.92237743255066085"/>
          <c:h val="0.73318107621299466"/>
        </c:manualLayout>
      </c:layout>
      <c:barChart>
        <c:barDir val="col"/>
        <c:grouping val="clustered"/>
        <c:varyColors val="0"/>
        <c:ser>
          <c:idx val="0"/>
          <c:order val="0"/>
          <c:tx>
            <c:strRef>
              <c:f>'Ceny 2'!$C$5</c:f>
              <c:strCache>
                <c:ptCount val="1"/>
                <c:pt idx="0">
                  <c:v>Total</c:v>
                </c:pt>
              </c:strCache>
            </c:strRef>
          </c:tx>
          <c:spPr>
            <a:solidFill>
              <a:schemeClr val="bg1">
                <a:lumMod val="65000"/>
              </a:schemeClr>
            </a:solidFill>
            <a:ln w="19050">
              <a:noFill/>
            </a:ln>
          </c:spPr>
          <c:invertIfNegative val="0"/>
          <c:cat>
            <c:multiLvlStrRef>
              <c:f>'Ceny 2'!$A$26:$B$47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2'!$C$26:$C$47</c:f>
              <c:numCache>
                <c:formatCode>General</c:formatCode>
                <c:ptCount val="22"/>
                <c:pt idx="0">
                  <c:v>2.4000000000000057</c:v>
                </c:pt>
                <c:pt idx="1">
                  <c:v>2.2000000000000028</c:v>
                </c:pt>
                <c:pt idx="2" formatCode="0.0">
                  <c:v>2.5</c:v>
                </c:pt>
                <c:pt idx="3" formatCode="0.0">
                  <c:v>2.6</c:v>
                </c:pt>
                <c:pt idx="4" formatCode="0.0">
                  <c:v>1.9</c:v>
                </c:pt>
                <c:pt idx="5" formatCode="0.0">
                  <c:v>2.2999999999999998</c:v>
                </c:pt>
                <c:pt idx="6" formatCode="0.0">
                  <c:v>2.4</c:v>
                </c:pt>
                <c:pt idx="7" formatCode="0.0">
                  <c:v>2.1</c:v>
                </c:pt>
                <c:pt idx="8" formatCode="0.0">
                  <c:v>2.7</c:v>
                </c:pt>
                <c:pt idx="9" formatCode="0.0">
                  <c:v>2.8</c:v>
                </c:pt>
                <c:pt idx="10" formatCode="0.0">
                  <c:v>2.8</c:v>
                </c:pt>
                <c:pt idx="11" formatCode="0.0">
                  <c:v>3</c:v>
                </c:pt>
                <c:pt idx="12" formatCode="0.0">
                  <c:v>3.6</c:v>
                </c:pt>
                <c:pt idx="13" formatCode="0.0">
                  <c:v>3.1</c:v>
                </c:pt>
                <c:pt idx="14" formatCode="0.0">
                  <c:v>3.3</c:v>
                </c:pt>
                <c:pt idx="15" formatCode="0.0">
                  <c:v>2.6</c:v>
                </c:pt>
                <c:pt idx="16" formatCode="0.0">
                  <c:v>2.2000000000000002</c:v>
                </c:pt>
                <c:pt idx="17" formatCode="0.0">
                  <c:v>2.9</c:v>
                </c:pt>
                <c:pt idx="18" formatCode="0.0">
                  <c:v>4.0999999999999996</c:v>
                </c:pt>
                <c:pt idx="19" formatCode="0.0">
                  <c:v>6.1</c:v>
                </c:pt>
                <c:pt idx="20" formatCode="0.0">
                  <c:v>11.2</c:v>
                </c:pt>
                <c:pt idx="21" formatCode="0.0">
                  <c:v>15.8</c:v>
                </c:pt>
              </c:numCache>
            </c:numRef>
          </c:val>
          <c:extLst>
            <c:ext xmlns:c16="http://schemas.microsoft.com/office/drawing/2014/chart" uri="{C3380CC4-5D6E-409C-BE32-E72D297353CC}">
              <c16:uniqueId val="{00000000-FD8C-448C-AB2F-6FB0B2C620AA}"/>
            </c:ext>
          </c:extLst>
        </c:ser>
        <c:dLbls>
          <c:showLegendKey val="0"/>
          <c:showVal val="0"/>
          <c:showCatName val="0"/>
          <c:showSerName val="0"/>
          <c:showPercent val="0"/>
          <c:showBubbleSize val="0"/>
        </c:dLbls>
        <c:gapWidth val="95"/>
        <c:axId val="130513536"/>
        <c:axId val="130531712"/>
      </c:barChart>
      <c:lineChart>
        <c:grouping val="standard"/>
        <c:varyColors val="0"/>
        <c:ser>
          <c:idx val="1"/>
          <c:order val="1"/>
          <c:tx>
            <c:strRef>
              <c:f>'Ceny 2'!$D$5</c:f>
              <c:strCache>
                <c:ptCount val="1"/>
                <c:pt idx="0">
                  <c:v>Food</c:v>
                </c:pt>
              </c:strCache>
            </c:strRef>
          </c:tx>
          <c:spPr>
            <a:ln w="19050">
              <a:solidFill>
                <a:srgbClr val="0071BC"/>
              </a:solidFill>
            </a:ln>
          </c:spPr>
          <c:marker>
            <c:symbol val="none"/>
          </c:marker>
          <c:cat>
            <c:multiLvlStrRef>
              <c:f>'Ceny 2'!$A$26:$B$47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2'!$D$26:$D$47</c:f>
              <c:numCache>
                <c:formatCode>General</c:formatCode>
                <c:ptCount val="22"/>
                <c:pt idx="0">
                  <c:v>4.2000000000000028</c:v>
                </c:pt>
                <c:pt idx="1">
                  <c:v>4.5</c:v>
                </c:pt>
                <c:pt idx="2" formatCode="0.0">
                  <c:v>5.7</c:v>
                </c:pt>
                <c:pt idx="3" formatCode="0.0">
                  <c:v>6.3</c:v>
                </c:pt>
                <c:pt idx="4" formatCode="0.0">
                  <c:v>2.9</c:v>
                </c:pt>
                <c:pt idx="5" formatCode="#\ ##0.0_ ;\-#\ ##0.0\ ">
                  <c:v>2.2999999999999998</c:v>
                </c:pt>
                <c:pt idx="6" formatCode="0.0">
                  <c:v>0.6</c:v>
                </c:pt>
                <c:pt idx="7" formatCode="0.0">
                  <c:v>-0.5</c:v>
                </c:pt>
                <c:pt idx="8" formatCode="0.0">
                  <c:v>1</c:v>
                </c:pt>
                <c:pt idx="9" formatCode="0.0">
                  <c:v>2.5</c:v>
                </c:pt>
                <c:pt idx="10" formatCode="0.0">
                  <c:v>3.5</c:v>
                </c:pt>
                <c:pt idx="11" formatCode="0.0">
                  <c:v>4.3</c:v>
                </c:pt>
                <c:pt idx="12" formatCode="0.0">
                  <c:v>6.1</c:v>
                </c:pt>
                <c:pt idx="13" formatCode="0.0">
                  <c:v>6.5</c:v>
                </c:pt>
                <c:pt idx="14" formatCode="0.0">
                  <c:v>4</c:v>
                </c:pt>
                <c:pt idx="15" formatCode="0.0">
                  <c:v>1.7</c:v>
                </c:pt>
                <c:pt idx="16" formatCode="0.0">
                  <c:v>0.3</c:v>
                </c:pt>
                <c:pt idx="17" formatCode="0.0">
                  <c:v>-0.8</c:v>
                </c:pt>
                <c:pt idx="18" formatCode="0.0">
                  <c:v>1.4</c:v>
                </c:pt>
                <c:pt idx="19" formatCode="0.0">
                  <c:v>2.2999999999999998</c:v>
                </c:pt>
                <c:pt idx="20" formatCode="0.0">
                  <c:v>6.7</c:v>
                </c:pt>
                <c:pt idx="21" formatCode="0.0">
                  <c:v>14.6</c:v>
                </c:pt>
              </c:numCache>
            </c:numRef>
          </c:val>
          <c:smooth val="0"/>
          <c:extLst>
            <c:ext xmlns:c16="http://schemas.microsoft.com/office/drawing/2014/chart" uri="{C3380CC4-5D6E-409C-BE32-E72D297353CC}">
              <c16:uniqueId val="{00000001-FD8C-448C-AB2F-6FB0B2C620AA}"/>
            </c:ext>
          </c:extLst>
        </c:ser>
        <c:ser>
          <c:idx val="3"/>
          <c:order val="2"/>
          <c:tx>
            <c:strRef>
              <c:f>'Ceny 2'!$F$5</c:f>
              <c:strCache>
                <c:ptCount val="1"/>
                <c:pt idx="0">
                  <c:v>Housing and energy</c:v>
                </c:pt>
              </c:strCache>
            </c:strRef>
          </c:tx>
          <c:spPr>
            <a:ln w="19050">
              <a:solidFill>
                <a:srgbClr val="7DBB2D"/>
              </a:solidFill>
            </a:ln>
          </c:spPr>
          <c:marker>
            <c:symbol val="none"/>
          </c:marker>
          <c:cat>
            <c:multiLvlStrRef>
              <c:f>'Ceny 2'!$A$26:$B$47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2'!$F$26:$F$47</c:f>
              <c:numCache>
                <c:formatCode>General</c:formatCode>
                <c:ptCount val="22"/>
                <c:pt idx="0">
                  <c:v>0.79999999999999716</c:v>
                </c:pt>
                <c:pt idx="1">
                  <c:v>1.5</c:v>
                </c:pt>
                <c:pt idx="2" formatCode="0.0">
                  <c:v>2.1</c:v>
                </c:pt>
                <c:pt idx="3" formatCode="0.0">
                  <c:v>2.2000000000000002</c:v>
                </c:pt>
                <c:pt idx="4" formatCode="0.0">
                  <c:v>2.2999999999999998</c:v>
                </c:pt>
                <c:pt idx="5" formatCode="0.0">
                  <c:v>2.6</c:v>
                </c:pt>
                <c:pt idx="6" formatCode="0.0">
                  <c:v>3.2</c:v>
                </c:pt>
                <c:pt idx="7" formatCode="0.0">
                  <c:v>3.8</c:v>
                </c:pt>
                <c:pt idx="8" formatCode="0.0">
                  <c:v>5.4</c:v>
                </c:pt>
                <c:pt idx="9" formatCode="0.0">
                  <c:v>5.7</c:v>
                </c:pt>
                <c:pt idx="10" formatCode="0.0">
                  <c:v>5.2</c:v>
                </c:pt>
                <c:pt idx="11" formatCode="0.0">
                  <c:v>5</c:v>
                </c:pt>
                <c:pt idx="12" formatCode="0.0">
                  <c:v>4.2</c:v>
                </c:pt>
                <c:pt idx="13" formatCode="0.0">
                  <c:v>3.2</c:v>
                </c:pt>
                <c:pt idx="14" formatCode="0.0">
                  <c:v>2.7</c:v>
                </c:pt>
                <c:pt idx="15" formatCode="0.0">
                  <c:v>1.4</c:v>
                </c:pt>
                <c:pt idx="16" formatCode="0.0">
                  <c:v>0.6</c:v>
                </c:pt>
                <c:pt idx="17" formatCode="0.0">
                  <c:v>1.3</c:v>
                </c:pt>
                <c:pt idx="18" formatCode="0.0">
                  <c:v>3.6</c:v>
                </c:pt>
                <c:pt idx="19" formatCode="0.0">
                  <c:v>5.6</c:v>
                </c:pt>
                <c:pt idx="20" formatCode="0.0">
                  <c:v>16</c:v>
                </c:pt>
                <c:pt idx="21" formatCode="0.0">
                  <c:v>21.4</c:v>
                </c:pt>
              </c:numCache>
            </c:numRef>
          </c:val>
          <c:smooth val="0"/>
          <c:extLst>
            <c:ext xmlns:c16="http://schemas.microsoft.com/office/drawing/2014/chart" uri="{C3380CC4-5D6E-409C-BE32-E72D297353CC}">
              <c16:uniqueId val="{00000002-FD8C-448C-AB2F-6FB0B2C620AA}"/>
            </c:ext>
          </c:extLst>
        </c:ser>
        <c:ser>
          <c:idx val="4"/>
          <c:order val="3"/>
          <c:tx>
            <c:strRef>
              <c:f>'Ceny 2'!$G$5</c:f>
              <c:strCache>
                <c:ptCount val="1"/>
                <c:pt idx="0">
                  <c:v>Transportation</c:v>
                </c:pt>
              </c:strCache>
            </c:strRef>
          </c:tx>
          <c:spPr>
            <a:ln w="19050">
              <a:solidFill>
                <a:srgbClr val="FFC000"/>
              </a:solidFill>
            </a:ln>
          </c:spPr>
          <c:marker>
            <c:symbol val="none"/>
          </c:marker>
          <c:cat>
            <c:multiLvlStrRef>
              <c:f>'Ceny 2'!$A$26:$B$47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2'!$G$26:$G$47</c:f>
              <c:numCache>
                <c:formatCode>General</c:formatCode>
                <c:ptCount val="22"/>
                <c:pt idx="0">
                  <c:v>6</c:v>
                </c:pt>
                <c:pt idx="1">
                  <c:v>3.9000000000000057</c:v>
                </c:pt>
                <c:pt idx="2" formatCode="0.0">
                  <c:v>2.5</c:v>
                </c:pt>
                <c:pt idx="3" formatCode="0.0">
                  <c:v>2.5</c:v>
                </c:pt>
                <c:pt idx="4" formatCode="0.0">
                  <c:v>1</c:v>
                </c:pt>
                <c:pt idx="5" formatCode="0.0">
                  <c:v>3</c:v>
                </c:pt>
                <c:pt idx="6" formatCode="0.0">
                  <c:v>4.5</c:v>
                </c:pt>
                <c:pt idx="7" formatCode="0.0">
                  <c:v>2.6</c:v>
                </c:pt>
                <c:pt idx="8" formatCode="0.0">
                  <c:v>0.6</c:v>
                </c:pt>
                <c:pt idx="9" formatCode="0.0">
                  <c:v>0.8</c:v>
                </c:pt>
                <c:pt idx="10" formatCode="0.0">
                  <c:v>-0.2</c:v>
                </c:pt>
                <c:pt idx="11" formatCode="0.0">
                  <c:v>0.5</c:v>
                </c:pt>
                <c:pt idx="12">
                  <c:v>1.7</c:v>
                </c:pt>
                <c:pt idx="13" formatCode="0.0">
                  <c:v>-3.4</c:v>
                </c:pt>
                <c:pt idx="14" formatCode="0.0">
                  <c:v>-0.2</c:v>
                </c:pt>
                <c:pt idx="15" formatCode="0.0">
                  <c:v>0.6</c:v>
                </c:pt>
                <c:pt idx="16" formatCode="0.0">
                  <c:v>2.4</c:v>
                </c:pt>
                <c:pt idx="17" formatCode="0.0">
                  <c:v>9.1</c:v>
                </c:pt>
                <c:pt idx="18" formatCode="0.0">
                  <c:v>8.8000000000000007</c:v>
                </c:pt>
                <c:pt idx="19" formatCode="0.0">
                  <c:v>13.1</c:v>
                </c:pt>
                <c:pt idx="20" formatCode="0.0">
                  <c:v>17.2</c:v>
                </c:pt>
                <c:pt idx="21" formatCode="0.0">
                  <c:v>22.7</c:v>
                </c:pt>
              </c:numCache>
            </c:numRef>
          </c:val>
          <c:smooth val="0"/>
          <c:extLst>
            <c:ext xmlns:c16="http://schemas.microsoft.com/office/drawing/2014/chart" uri="{C3380CC4-5D6E-409C-BE32-E72D297353CC}">
              <c16:uniqueId val="{00000003-FD8C-448C-AB2F-6FB0B2C620AA}"/>
            </c:ext>
          </c:extLst>
        </c:ser>
        <c:ser>
          <c:idx val="5"/>
          <c:order val="4"/>
          <c:tx>
            <c:strRef>
              <c:f>'Ceny 2'!$E$5</c:f>
              <c:strCache>
                <c:ptCount val="1"/>
                <c:pt idx="0">
                  <c:v>Alcoholic beverages and tobacco</c:v>
                </c:pt>
              </c:strCache>
            </c:strRef>
          </c:tx>
          <c:spPr>
            <a:ln w="22225">
              <a:solidFill>
                <a:schemeClr val="accent2"/>
              </a:solidFill>
            </a:ln>
          </c:spPr>
          <c:marker>
            <c:symbol val="none"/>
          </c:marker>
          <c:cat>
            <c:multiLvlStrRef>
              <c:f>'Ceny 2'!$A$26:$B$47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2'!$E$26:$E$47</c:f>
              <c:numCache>
                <c:formatCode>General</c:formatCode>
                <c:ptCount val="22"/>
                <c:pt idx="0">
                  <c:v>3.4000000000000057</c:v>
                </c:pt>
                <c:pt idx="1">
                  <c:v>0.79999999999999716</c:v>
                </c:pt>
                <c:pt idx="2" formatCode="0.0">
                  <c:v>1.3</c:v>
                </c:pt>
                <c:pt idx="3" formatCode="0.0">
                  <c:v>1.5</c:v>
                </c:pt>
                <c:pt idx="4" formatCode="0.0">
                  <c:v>2.5</c:v>
                </c:pt>
                <c:pt idx="5" formatCode="0.0">
                  <c:v>3.6</c:v>
                </c:pt>
                <c:pt idx="6" formatCode="0.0">
                  <c:v>2.8</c:v>
                </c:pt>
                <c:pt idx="7" formatCode="0.0">
                  <c:v>3.1</c:v>
                </c:pt>
                <c:pt idx="8" formatCode="0.0">
                  <c:v>3.3</c:v>
                </c:pt>
                <c:pt idx="9" formatCode="0.0">
                  <c:v>1.7</c:v>
                </c:pt>
                <c:pt idx="10" formatCode="0.0">
                  <c:v>1.9</c:v>
                </c:pt>
                <c:pt idx="11" formatCode="0.0">
                  <c:v>1.8</c:v>
                </c:pt>
                <c:pt idx="12">
                  <c:v>3.5</c:v>
                </c:pt>
                <c:pt idx="13" formatCode="0.0">
                  <c:v>6.6</c:v>
                </c:pt>
                <c:pt idx="14" formatCode="0.0">
                  <c:v>10.3</c:v>
                </c:pt>
                <c:pt idx="15" formatCode="0.0">
                  <c:v>9.9</c:v>
                </c:pt>
                <c:pt idx="16" formatCode="0.0">
                  <c:v>9.9</c:v>
                </c:pt>
                <c:pt idx="17" formatCode="0.0">
                  <c:v>9.8000000000000007</c:v>
                </c:pt>
                <c:pt idx="18" formatCode="0.0">
                  <c:v>6.5</c:v>
                </c:pt>
                <c:pt idx="19" formatCode="0.0">
                  <c:v>7.7</c:v>
                </c:pt>
                <c:pt idx="20" formatCode="0.0">
                  <c:v>7.1</c:v>
                </c:pt>
                <c:pt idx="21" formatCode="0.0">
                  <c:v>5.6</c:v>
                </c:pt>
              </c:numCache>
            </c:numRef>
          </c:val>
          <c:smooth val="0"/>
          <c:extLst>
            <c:ext xmlns:c16="http://schemas.microsoft.com/office/drawing/2014/chart" uri="{C3380CC4-5D6E-409C-BE32-E72D297353CC}">
              <c16:uniqueId val="{00000004-FD8C-448C-AB2F-6FB0B2C620AA}"/>
            </c:ext>
          </c:extLst>
        </c:ser>
        <c:ser>
          <c:idx val="2"/>
          <c:order val="5"/>
          <c:tx>
            <c:strRef>
              <c:f>'Ceny 2'!$H$5</c:f>
              <c:strCache>
                <c:ptCount val="1"/>
                <c:pt idx="0">
                  <c:v>Restaurants and hotels</c:v>
                </c:pt>
              </c:strCache>
              <c:extLst xmlns:c15="http://schemas.microsoft.com/office/drawing/2012/chart"/>
            </c:strRef>
          </c:tx>
          <c:spPr>
            <a:ln w="19050">
              <a:solidFill>
                <a:srgbClr val="7030A0"/>
              </a:solidFill>
            </a:ln>
          </c:spPr>
          <c:marker>
            <c:symbol val="none"/>
          </c:marker>
          <c:cat>
            <c:multiLvlStrRef>
              <c:f>'Ceny 2'!$A$26:$B$47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2'!$H$26:$H$47</c:f>
              <c:numCache>
                <c:formatCode>###\ ###\ ##0.0</c:formatCode>
                <c:ptCount val="22"/>
                <c:pt idx="0">
                  <c:v>5.2000000000000028</c:v>
                </c:pt>
                <c:pt idx="1">
                  <c:v>5.7999999999999972</c:v>
                </c:pt>
                <c:pt idx="2">
                  <c:v>6.2999999999999972</c:v>
                </c:pt>
                <c:pt idx="3" formatCode="0.0">
                  <c:v>5.6</c:v>
                </c:pt>
                <c:pt idx="4" formatCode="0.0">
                  <c:v>3.5</c:v>
                </c:pt>
                <c:pt idx="5" formatCode="0.0">
                  <c:v>3.6</c:v>
                </c:pt>
                <c:pt idx="6" formatCode="0.0">
                  <c:v>3.5</c:v>
                </c:pt>
                <c:pt idx="7" formatCode="0.0">
                  <c:v>3.7</c:v>
                </c:pt>
                <c:pt idx="8" formatCode="0.0">
                  <c:v>3.8</c:v>
                </c:pt>
                <c:pt idx="9" formatCode="0.0">
                  <c:v>4</c:v>
                </c:pt>
                <c:pt idx="10" formatCode="0.0">
                  <c:v>4.5</c:v>
                </c:pt>
                <c:pt idx="11" formatCode="0.0">
                  <c:v>4.5999999999999996</c:v>
                </c:pt>
                <c:pt idx="12" formatCode="0.0">
                  <c:v>5.5</c:v>
                </c:pt>
                <c:pt idx="13" formatCode="0.0">
                  <c:v>5.0999999999999996</c:v>
                </c:pt>
                <c:pt idx="14" formatCode="0.0">
                  <c:v>4.9000000000000004</c:v>
                </c:pt>
                <c:pt idx="15" formatCode="0.0">
                  <c:v>4.3</c:v>
                </c:pt>
                <c:pt idx="16" formatCode="0.0">
                  <c:v>3</c:v>
                </c:pt>
                <c:pt idx="17" formatCode="0.0">
                  <c:v>2.9</c:v>
                </c:pt>
                <c:pt idx="18" formatCode="0.0">
                  <c:v>4.5999999999999996</c:v>
                </c:pt>
                <c:pt idx="19" formatCode="0.0">
                  <c:v>6.8</c:v>
                </c:pt>
                <c:pt idx="20" formatCode="0.0">
                  <c:v>12.3</c:v>
                </c:pt>
                <c:pt idx="21" formatCode="0.0">
                  <c:v>21.4</c:v>
                </c:pt>
              </c:numCache>
            </c:numRef>
          </c:val>
          <c:smooth val="0"/>
          <c:extLst xmlns:c15="http://schemas.microsoft.com/office/drawing/2012/chart">
            <c:ext xmlns:c16="http://schemas.microsoft.com/office/drawing/2014/chart" uri="{C3380CC4-5D6E-409C-BE32-E72D297353CC}">
              <c16:uniqueId val="{00000005-FD8C-448C-AB2F-6FB0B2C620AA}"/>
            </c:ext>
          </c:extLst>
        </c:ser>
        <c:dLbls>
          <c:showLegendKey val="0"/>
          <c:showVal val="0"/>
          <c:showCatName val="0"/>
          <c:showSerName val="0"/>
          <c:showPercent val="0"/>
          <c:showBubbleSize val="0"/>
        </c:dLbls>
        <c:marker val="1"/>
        <c:smooth val="0"/>
        <c:axId val="130513536"/>
        <c:axId val="130531712"/>
        <c:extLst/>
      </c:lineChart>
      <c:catAx>
        <c:axId val="13051353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531712"/>
        <c:crosses val="autoZero"/>
        <c:auto val="1"/>
        <c:lblAlgn val="ctr"/>
        <c:lblOffset val="100"/>
        <c:noMultiLvlLbl val="0"/>
      </c:catAx>
      <c:valAx>
        <c:axId val="130531712"/>
        <c:scaling>
          <c:orientation val="minMax"/>
          <c:max val="24"/>
          <c:min val="-4"/>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513536"/>
        <c:crosses val="autoZero"/>
        <c:crossBetween val="between"/>
        <c:majorUnit val="4"/>
      </c:valAx>
      <c:spPr>
        <a:ln>
          <a:solidFill>
            <a:schemeClr val="tx1"/>
          </a:solidFill>
        </a:ln>
      </c:spPr>
    </c:plotArea>
    <c:legend>
      <c:legendPos val="b"/>
      <c:layout>
        <c:manualLayout>
          <c:xMode val="edge"/>
          <c:yMode val="edge"/>
          <c:x val="5.6562816616008108E-2"/>
          <c:y val="0.87970674321738151"/>
          <c:w val="0.92175447483958117"/>
          <c:h val="0.1095705279747833"/>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258203189717562E-2"/>
          <c:y val="2.9569886214146503E-2"/>
          <c:w val="0.92637856314472322"/>
          <c:h val="0.73556653157716956"/>
        </c:manualLayout>
      </c:layout>
      <c:barChart>
        <c:barDir val="col"/>
        <c:grouping val="clustered"/>
        <c:varyColors val="0"/>
        <c:ser>
          <c:idx val="0"/>
          <c:order val="0"/>
          <c:tx>
            <c:strRef>
              <c:f>'Ceny 1'!$C$5</c:f>
              <c:strCache>
                <c:ptCount val="1"/>
                <c:pt idx="0">
                  <c:v>Realised prices of older flats, the CR</c:v>
                </c:pt>
              </c:strCache>
            </c:strRef>
          </c:tx>
          <c:spPr>
            <a:solidFill>
              <a:schemeClr val="bg1">
                <a:lumMod val="65000"/>
              </a:schemeClr>
            </a:solidFill>
            <a:ln w="19050">
              <a:noFill/>
            </a:ln>
          </c:spPr>
          <c:invertIfNegative val="0"/>
          <c:cat>
            <c:multiLvlStrRef>
              <c:f>'Ceny 1'!$A$26:$B$47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1'!$C$26:$C$47</c:f>
              <c:numCache>
                <c:formatCode>General</c:formatCode>
                <c:ptCount val="22"/>
                <c:pt idx="0">
                  <c:v>17.200000000000003</c:v>
                </c:pt>
                <c:pt idx="1">
                  <c:v>18.700000000000003</c:v>
                </c:pt>
                <c:pt idx="2">
                  <c:v>15.799999999999997</c:v>
                </c:pt>
                <c:pt idx="3">
                  <c:v>12</c:v>
                </c:pt>
                <c:pt idx="4">
                  <c:v>9.2000000000000028</c:v>
                </c:pt>
                <c:pt idx="5">
                  <c:v>8</c:v>
                </c:pt>
                <c:pt idx="6">
                  <c:v>9.4000000000000057</c:v>
                </c:pt>
                <c:pt idx="7">
                  <c:v>11.400000000000006</c:v>
                </c:pt>
                <c:pt idx="8">
                  <c:v>11.299999999999997</c:v>
                </c:pt>
                <c:pt idx="9">
                  <c:v>10.599999999999994</c:v>
                </c:pt>
                <c:pt idx="10">
                  <c:v>9.5</c:v>
                </c:pt>
                <c:pt idx="11">
                  <c:v>9.4000000000000057</c:v>
                </c:pt>
                <c:pt idx="12">
                  <c:v>10.599999999999994</c:v>
                </c:pt>
                <c:pt idx="13">
                  <c:v>10.200000000000003</c:v>
                </c:pt>
                <c:pt idx="14">
                  <c:v>11.200000000000003</c:v>
                </c:pt>
                <c:pt idx="15">
                  <c:v>13.299999999999997</c:v>
                </c:pt>
                <c:pt idx="16">
                  <c:v>15.200000000000003</c:v>
                </c:pt>
                <c:pt idx="17">
                  <c:v>17.900000000000006</c:v>
                </c:pt>
                <c:pt idx="18">
                  <c:v>21.299999999999997</c:v>
                </c:pt>
                <c:pt idx="19">
                  <c:v>25.200000000000003</c:v>
                </c:pt>
                <c:pt idx="20">
                  <c:v>27.299999999999997</c:v>
                </c:pt>
                <c:pt idx="21">
                  <c:v>27.599999999999994</c:v>
                </c:pt>
              </c:numCache>
            </c:numRef>
          </c:val>
          <c:extLst>
            <c:ext xmlns:c16="http://schemas.microsoft.com/office/drawing/2014/chart" uri="{C3380CC4-5D6E-409C-BE32-E72D297353CC}">
              <c16:uniqueId val="{00000000-B0FD-4E5A-8984-3673FDED0263}"/>
            </c:ext>
          </c:extLst>
        </c:ser>
        <c:ser>
          <c:idx val="1"/>
          <c:order val="1"/>
          <c:tx>
            <c:strRef>
              <c:f>'Ceny 1'!$D$5</c:f>
              <c:strCache>
                <c:ptCount val="1"/>
                <c:pt idx="0">
                  <c:v>Realised prices of older flats, Prague</c:v>
                </c:pt>
              </c:strCache>
            </c:strRef>
          </c:tx>
          <c:spPr>
            <a:solidFill>
              <a:prstClr val="black">
                <a:lumMod val="50000"/>
                <a:lumOff val="50000"/>
              </a:prstClr>
            </a:solidFill>
            <a:ln w="19050">
              <a:noFill/>
            </a:ln>
          </c:spPr>
          <c:invertIfNegative val="0"/>
          <c:cat>
            <c:multiLvlStrRef>
              <c:f>'Ceny 1'!$A$26:$B$47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1'!$D$26:$D$47</c:f>
              <c:numCache>
                <c:formatCode>General</c:formatCode>
                <c:ptCount val="22"/>
                <c:pt idx="0">
                  <c:v>16.200000000000003</c:v>
                </c:pt>
                <c:pt idx="1">
                  <c:v>19</c:v>
                </c:pt>
                <c:pt idx="2">
                  <c:v>16.400000000000006</c:v>
                </c:pt>
                <c:pt idx="3">
                  <c:v>11.099999999999994</c:v>
                </c:pt>
                <c:pt idx="4">
                  <c:v>8.2999999999999972</c:v>
                </c:pt>
                <c:pt idx="5">
                  <c:v>4</c:v>
                </c:pt>
                <c:pt idx="6">
                  <c:v>6</c:v>
                </c:pt>
                <c:pt idx="7">
                  <c:v>8.7000000000000028</c:v>
                </c:pt>
                <c:pt idx="8">
                  <c:v>9.4000000000000057</c:v>
                </c:pt>
                <c:pt idx="9">
                  <c:v>8.7000000000000028</c:v>
                </c:pt>
                <c:pt idx="10">
                  <c:v>6.5</c:v>
                </c:pt>
                <c:pt idx="11">
                  <c:v>7.0999999999999943</c:v>
                </c:pt>
                <c:pt idx="12">
                  <c:v>6.2000000000000028</c:v>
                </c:pt>
                <c:pt idx="13">
                  <c:v>8</c:v>
                </c:pt>
                <c:pt idx="14">
                  <c:v>9.4000000000000057</c:v>
                </c:pt>
                <c:pt idx="15">
                  <c:v>10.599999999999994</c:v>
                </c:pt>
                <c:pt idx="16">
                  <c:v>14.299999999999997</c:v>
                </c:pt>
                <c:pt idx="17">
                  <c:v>15.799999999999997</c:v>
                </c:pt>
                <c:pt idx="18">
                  <c:v>16.599999999999994</c:v>
                </c:pt>
                <c:pt idx="19">
                  <c:v>20</c:v>
                </c:pt>
                <c:pt idx="20">
                  <c:v>19</c:v>
                </c:pt>
                <c:pt idx="21">
                  <c:v>16.700000000000003</c:v>
                </c:pt>
              </c:numCache>
            </c:numRef>
          </c:val>
          <c:extLst>
            <c:ext xmlns:c16="http://schemas.microsoft.com/office/drawing/2014/chart" uri="{C3380CC4-5D6E-409C-BE32-E72D297353CC}">
              <c16:uniqueId val="{00000001-B0FD-4E5A-8984-3673FDED0263}"/>
            </c:ext>
          </c:extLst>
        </c:ser>
        <c:dLbls>
          <c:showLegendKey val="0"/>
          <c:showVal val="0"/>
          <c:showCatName val="0"/>
          <c:showSerName val="0"/>
          <c:showPercent val="0"/>
          <c:showBubbleSize val="0"/>
        </c:dLbls>
        <c:gapWidth val="95"/>
        <c:axId val="130418560"/>
        <c:axId val="130420096"/>
      </c:barChart>
      <c:lineChart>
        <c:grouping val="standard"/>
        <c:varyColors val="0"/>
        <c:ser>
          <c:idx val="2"/>
          <c:order val="2"/>
          <c:tx>
            <c:strRef>
              <c:f>'Ceny 1'!$E$5</c:f>
              <c:strCache>
                <c:ptCount val="1"/>
                <c:pt idx="0">
                  <c:v>Catalogue prices of flats, the CR</c:v>
                </c:pt>
              </c:strCache>
            </c:strRef>
          </c:tx>
          <c:spPr>
            <a:ln w="19050">
              <a:solidFill>
                <a:schemeClr val="accent2"/>
              </a:solidFill>
            </a:ln>
          </c:spPr>
          <c:marker>
            <c:symbol val="none"/>
          </c:marker>
          <c:cat>
            <c:multiLvlStrRef>
              <c:f>'Ceny 1'!$A$26:$B$47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1'!$E$26:$E$47</c:f>
              <c:numCache>
                <c:formatCode>General</c:formatCode>
                <c:ptCount val="22"/>
                <c:pt idx="0" formatCode="0.0">
                  <c:v>9.5238095238095184</c:v>
                </c:pt>
                <c:pt idx="1">
                  <c:v>9.5278969957081472</c:v>
                </c:pt>
                <c:pt idx="2">
                  <c:v>12.542087542087543</c:v>
                </c:pt>
                <c:pt idx="3">
                  <c:v>12.469237079573418</c:v>
                </c:pt>
                <c:pt idx="4">
                  <c:v>12.801932367149746</c:v>
                </c:pt>
                <c:pt idx="5">
                  <c:v>12.225705329153584</c:v>
                </c:pt>
                <c:pt idx="6">
                  <c:v>9.498878085265531</c:v>
                </c:pt>
                <c:pt idx="7">
                  <c:v>8.4609773887673185</c:v>
                </c:pt>
                <c:pt idx="8">
                  <c:v>7.4232690935046435</c:v>
                </c:pt>
                <c:pt idx="9">
                  <c:v>5.7262569832402335</c:v>
                </c:pt>
                <c:pt idx="10">
                  <c:v>5.1912568306010911</c:v>
                </c:pt>
                <c:pt idx="11">
                  <c:v>5.5144586415601964</c:v>
                </c:pt>
                <c:pt idx="12">
                  <c:v>6.0465116279069662</c:v>
                </c:pt>
                <c:pt idx="13">
                  <c:v>7.1334214002641829</c:v>
                </c:pt>
                <c:pt idx="14">
                  <c:v>7.9870129870129887</c:v>
                </c:pt>
                <c:pt idx="15">
                  <c:v>7.6481835564053569</c:v>
                </c:pt>
                <c:pt idx="16">
                  <c:v>7.6441102756892292</c:v>
                </c:pt>
                <c:pt idx="17">
                  <c:v>7.9531442663378584</c:v>
                </c:pt>
                <c:pt idx="18">
                  <c:v>9.3205051112447421</c:v>
                </c:pt>
                <c:pt idx="19">
                  <c:v>12.433392539964473</c:v>
                </c:pt>
                <c:pt idx="20">
                  <c:v>16.880093131548307</c:v>
                </c:pt>
                <c:pt idx="21">
                  <c:v>24.671616219303274</c:v>
                </c:pt>
              </c:numCache>
            </c:numRef>
          </c:val>
          <c:smooth val="0"/>
          <c:extLst>
            <c:ext xmlns:c16="http://schemas.microsoft.com/office/drawing/2014/chart" uri="{C3380CC4-5D6E-409C-BE32-E72D297353CC}">
              <c16:uniqueId val="{00000002-B0FD-4E5A-8984-3673FDED0263}"/>
            </c:ext>
          </c:extLst>
        </c:ser>
        <c:ser>
          <c:idx val="3"/>
          <c:order val="3"/>
          <c:tx>
            <c:strRef>
              <c:f>'Ceny 1'!$F$5</c:f>
              <c:strCache>
                <c:ptCount val="1"/>
                <c:pt idx="0">
                  <c:v>Catalogue prices of flats, Prague</c:v>
                </c:pt>
              </c:strCache>
            </c:strRef>
          </c:tx>
          <c:spPr>
            <a:ln>
              <a:solidFill>
                <a:schemeClr val="accent1"/>
              </a:solidFill>
            </a:ln>
          </c:spPr>
          <c:marker>
            <c:symbol val="none"/>
          </c:marker>
          <c:cat>
            <c:multiLvlStrRef>
              <c:f>'Ceny 1'!$A$26:$B$47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1'!$F$26:$F$47</c:f>
              <c:numCache>
                <c:formatCode>General</c:formatCode>
                <c:ptCount val="22"/>
                <c:pt idx="0" formatCode="0.0">
                  <c:v>13.636363636363626</c:v>
                </c:pt>
                <c:pt idx="1">
                  <c:v>14.589905362776051</c:v>
                </c:pt>
                <c:pt idx="2">
                  <c:v>18.266253869969049</c:v>
                </c:pt>
                <c:pt idx="3">
                  <c:v>18.773373223635019</c:v>
                </c:pt>
                <c:pt idx="4">
                  <c:v>15.071428571428555</c:v>
                </c:pt>
                <c:pt idx="5">
                  <c:v>14.24638678596007</c:v>
                </c:pt>
                <c:pt idx="6">
                  <c:v>10.732984293193695</c:v>
                </c:pt>
                <c:pt idx="7">
                  <c:v>8.7531486146095574</c:v>
                </c:pt>
                <c:pt idx="8">
                  <c:v>8.3178150217256359</c:v>
                </c:pt>
                <c:pt idx="9">
                  <c:v>4.9397590361445651</c:v>
                </c:pt>
                <c:pt idx="10">
                  <c:v>3.3096926713947994</c:v>
                </c:pt>
                <c:pt idx="11">
                  <c:v>2.9530978575564575</c:v>
                </c:pt>
                <c:pt idx="12">
                  <c:v>3.5530085959885298</c:v>
                </c:pt>
                <c:pt idx="13">
                  <c:v>5.2812858783008068</c:v>
                </c:pt>
                <c:pt idx="14">
                  <c:v>6.2356979405034281</c:v>
                </c:pt>
                <c:pt idx="15">
                  <c:v>5.1743532058492718</c:v>
                </c:pt>
                <c:pt idx="16">
                  <c:v>4.759269507470961</c:v>
                </c:pt>
                <c:pt idx="17">
                  <c:v>4.5256270447110012</c:v>
                </c:pt>
                <c:pt idx="18">
                  <c:v>6.2466343564889826</c:v>
                </c:pt>
                <c:pt idx="19">
                  <c:v>9.1443850267379503</c:v>
                </c:pt>
                <c:pt idx="20">
                  <c:v>12.255678816693077</c:v>
                </c:pt>
                <c:pt idx="21">
                  <c:v>19.718309859154942</c:v>
                </c:pt>
              </c:numCache>
            </c:numRef>
          </c:val>
          <c:smooth val="0"/>
          <c:extLst>
            <c:ext xmlns:c16="http://schemas.microsoft.com/office/drawing/2014/chart" uri="{C3380CC4-5D6E-409C-BE32-E72D297353CC}">
              <c16:uniqueId val="{00000003-B0FD-4E5A-8984-3673FDED0263}"/>
            </c:ext>
          </c:extLst>
        </c:ser>
        <c:dLbls>
          <c:showLegendKey val="0"/>
          <c:showVal val="0"/>
          <c:showCatName val="0"/>
          <c:showSerName val="0"/>
          <c:showPercent val="0"/>
          <c:showBubbleSize val="0"/>
        </c:dLbls>
        <c:marker val="1"/>
        <c:smooth val="0"/>
        <c:axId val="130418560"/>
        <c:axId val="130420096"/>
      </c:lineChart>
      <c:catAx>
        <c:axId val="13041856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420096"/>
        <c:crosses val="autoZero"/>
        <c:auto val="1"/>
        <c:lblAlgn val="ctr"/>
        <c:lblOffset val="100"/>
        <c:noMultiLvlLbl val="0"/>
      </c:catAx>
      <c:valAx>
        <c:axId val="130420096"/>
        <c:scaling>
          <c:orientation val="minMax"/>
          <c:max val="28"/>
          <c:min val="0"/>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418560"/>
        <c:crosses val="autoZero"/>
        <c:crossBetween val="between"/>
        <c:majorUnit val="4"/>
      </c:valAx>
      <c:spPr>
        <a:ln>
          <a:solidFill>
            <a:schemeClr val="tx1"/>
          </a:solidFill>
        </a:ln>
      </c:spPr>
    </c:plotArea>
    <c:legend>
      <c:legendPos val="b"/>
      <c:layout>
        <c:manualLayout>
          <c:xMode val="edge"/>
          <c:yMode val="edge"/>
          <c:x val="4.6528021206651497E-2"/>
          <c:y val="0.88817854328492629"/>
          <c:w val="0.9267997314289258"/>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1707738197712412E-2"/>
          <c:y val="2.1811315924219993E-2"/>
          <c:w val="0.89142432050272657"/>
          <c:h val="0.71663233141956562"/>
        </c:manualLayout>
      </c:layout>
      <c:barChart>
        <c:barDir val="col"/>
        <c:grouping val="clustered"/>
        <c:varyColors val="0"/>
        <c:ser>
          <c:idx val="0"/>
          <c:order val="0"/>
          <c:tx>
            <c:strRef>
              <c:f>'Ceny 4'!$C$5</c:f>
              <c:strCache>
                <c:ptCount val="1"/>
                <c:pt idx="0">
                  <c:v>Total</c:v>
                </c:pt>
              </c:strCache>
            </c:strRef>
          </c:tx>
          <c:spPr>
            <a:solidFill>
              <a:schemeClr val="bg1">
                <a:lumMod val="65000"/>
              </a:schemeClr>
            </a:solidFill>
            <a:ln w="19050">
              <a:noFill/>
            </a:ln>
          </c:spPr>
          <c:invertIfNegative val="0"/>
          <c:cat>
            <c:multiLvlStrRef>
              <c:f>'Ceny 4'!$A$54:$B$119</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'Ceny 4'!$C$54:$C$119</c:f>
              <c:numCache>
                <c:formatCode>General</c:formatCode>
                <c:ptCount val="66"/>
                <c:pt idx="0">
                  <c:v>2.0999999999999943</c:v>
                </c:pt>
                <c:pt idx="1">
                  <c:v>3.0999999999999943</c:v>
                </c:pt>
                <c:pt idx="2" formatCode="0.0">
                  <c:v>3</c:v>
                </c:pt>
                <c:pt idx="3" formatCode="0.0">
                  <c:v>3.2000000000000028</c:v>
                </c:pt>
                <c:pt idx="4">
                  <c:v>2.2999999999999972</c:v>
                </c:pt>
                <c:pt idx="5">
                  <c:v>1.2999999999999972</c:v>
                </c:pt>
                <c:pt idx="6">
                  <c:v>1.1000000000000001</c:v>
                </c:pt>
                <c:pt idx="7">
                  <c:v>1.4</c:v>
                </c:pt>
                <c:pt idx="8">
                  <c:v>1.7</c:v>
                </c:pt>
                <c:pt idx="9">
                  <c:v>1.1000000000000001</c:v>
                </c:pt>
                <c:pt idx="10">
                  <c:v>0.9</c:v>
                </c:pt>
                <c:pt idx="11">
                  <c:v>0.7</c:v>
                </c:pt>
                <c:pt idx="12">
                  <c:v>0.5</c:v>
                </c:pt>
                <c:pt idx="13">
                  <c:v>-0.3</c:v>
                </c:pt>
                <c:pt idx="14">
                  <c:v>0.1</c:v>
                </c:pt>
                <c:pt idx="15">
                  <c:v>0</c:v>
                </c:pt>
                <c:pt idx="16">
                  <c:v>1.5</c:v>
                </c:pt>
                <c:pt idx="17">
                  <c:v>2.9</c:v>
                </c:pt>
                <c:pt idx="18">
                  <c:v>3.4</c:v>
                </c:pt>
                <c:pt idx="19">
                  <c:v>3.3</c:v>
                </c:pt>
                <c:pt idx="20">
                  <c:v>3.2</c:v>
                </c:pt>
                <c:pt idx="21">
                  <c:v>3.9</c:v>
                </c:pt>
                <c:pt idx="22">
                  <c:v>3.9</c:v>
                </c:pt>
                <c:pt idx="23">
                  <c:v>2.4</c:v>
                </c:pt>
                <c:pt idx="24">
                  <c:v>2.9</c:v>
                </c:pt>
                <c:pt idx="25">
                  <c:v>3.6</c:v>
                </c:pt>
                <c:pt idx="26">
                  <c:v>3.8</c:v>
                </c:pt>
                <c:pt idx="27">
                  <c:v>4.3</c:v>
                </c:pt>
                <c:pt idx="28">
                  <c:v>3.8</c:v>
                </c:pt>
                <c:pt idx="29">
                  <c:v>2.5</c:v>
                </c:pt>
                <c:pt idx="30">
                  <c:v>2.1</c:v>
                </c:pt>
                <c:pt idx="31">
                  <c:v>2.1</c:v>
                </c:pt>
                <c:pt idx="32">
                  <c:v>1.9</c:v>
                </c:pt>
                <c:pt idx="33">
                  <c:v>0.9</c:v>
                </c:pt>
                <c:pt idx="34">
                  <c:v>0.9</c:v>
                </c:pt>
                <c:pt idx="35">
                  <c:v>2.1</c:v>
                </c:pt>
                <c:pt idx="36">
                  <c:v>2.4</c:v>
                </c:pt>
                <c:pt idx="37">
                  <c:v>1.4</c:v>
                </c:pt>
                <c:pt idx="38">
                  <c:v>0.4</c:v>
                </c:pt>
                <c:pt idx="39">
                  <c:v>-0.8</c:v>
                </c:pt>
                <c:pt idx="40">
                  <c:v>-0.9</c:v>
                </c:pt>
                <c:pt idx="41">
                  <c:v>-0.3</c:v>
                </c:pt>
                <c:pt idx="42">
                  <c:v>-0.1</c:v>
                </c:pt>
                <c:pt idx="43">
                  <c:v>-0.5</c:v>
                </c:pt>
                <c:pt idx="44">
                  <c:v>-0.4</c:v>
                </c:pt>
                <c:pt idx="45">
                  <c:v>0.3</c:v>
                </c:pt>
                <c:pt idx="46">
                  <c:v>-0.1</c:v>
                </c:pt>
                <c:pt idx="47">
                  <c:v>0</c:v>
                </c:pt>
                <c:pt idx="48">
                  <c:v>0</c:v>
                </c:pt>
                <c:pt idx="49">
                  <c:v>1.4</c:v>
                </c:pt>
                <c:pt idx="50">
                  <c:v>3.3</c:v>
                </c:pt>
                <c:pt idx="51">
                  <c:v>4.5999999999999996</c:v>
                </c:pt>
                <c:pt idx="52">
                  <c:v>5.0999999999999996</c:v>
                </c:pt>
                <c:pt idx="53">
                  <c:v>6.1</c:v>
                </c:pt>
                <c:pt idx="54">
                  <c:v>7.8</c:v>
                </c:pt>
                <c:pt idx="55">
                  <c:v>9.3000000000000007</c:v>
                </c:pt>
                <c:pt idx="56">
                  <c:v>9.9</c:v>
                </c:pt>
                <c:pt idx="57">
                  <c:v>11.6</c:v>
                </c:pt>
                <c:pt idx="58">
                  <c:v>13.5</c:v>
                </c:pt>
                <c:pt idx="59">
                  <c:v>13.2</c:v>
                </c:pt>
                <c:pt idx="60">
                  <c:v>19.399999999999999</c:v>
                </c:pt>
                <c:pt idx="61">
                  <c:v>21.3</c:v>
                </c:pt>
                <c:pt idx="62">
                  <c:v>24.7</c:v>
                </c:pt>
                <c:pt idx="63">
                  <c:v>26.6</c:v>
                </c:pt>
                <c:pt idx="64">
                  <c:v>27.9</c:v>
                </c:pt>
                <c:pt idx="65">
                  <c:v>28.5</c:v>
                </c:pt>
              </c:numCache>
            </c:numRef>
          </c:val>
          <c:extLst>
            <c:ext xmlns:c16="http://schemas.microsoft.com/office/drawing/2014/chart" uri="{C3380CC4-5D6E-409C-BE32-E72D297353CC}">
              <c16:uniqueId val="{00000000-03FA-4DA4-A3CD-C7A189574B75}"/>
            </c:ext>
          </c:extLst>
        </c:ser>
        <c:dLbls>
          <c:showLegendKey val="0"/>
          <c:showVal val="0"/>
          <c:showCatName val="0"/>
          <c:showSerName val="0"/>
          <c:showPercent val="0"/>
          <c:showBubbleSize val="0"/>
        </c:dLbls>
        <c:gapWidth val="96"/>
        <c:axId val="119381376"/>
        <c:axId val="130745472"/>
      </c:barChart>
      <c:lineChart>
        <c:grouping val="standard"/>
        <c:varyColors val="0"/>
        <c:ser>
          <c:idx val="1"/>
          <c:order val="1"/>
          <c:tx>
            <c:strRef>
              <c:f>'Ceny 4'!$D$5</c:f>
              <c:strCache>
                <c:ptCount val="1"/>
                <c:pt idx="0">
                  <c:v>Mining and quarrying,</c:v>
                </c:pt>
              </c:strCache>
            </c:strRef>
          </c:tx>
          <c:spPr>
            <a:ln w="19050">
              <a:solidFill>
                <a:srgbClr val="7DBB2D"/>
              </a:solidFill>
            </a:ln>
          </c:spPr>
          <c:marker>
            <c:symbol val="none"/>
          </c:marker>
          <c:cat>
            <c:multiLvlStrRef>
              <c:f>'Ceny 4'!$A$54:$B$119</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'Ceny 4'!$D$54:$D$119</c:f>
              <c:numCache>
                <c:formatCode>General</c:formatCode>
                <c:ptCount val="66"/>
                <c:pt idx="0">
                  <c:v>2.2999999999999972</c:v>
                </c:pt>
                <c:pt idx="1">
                  <c:v>5.7999999999999972</c:v>
                </c:pt>
                <c:pt idx="2" formatCode="0.0">
                  <c:v>6.2000000000000028</c:v>
                </c:pt>
                <c:pt idx="3" formatCode="0.0">
                  <c:v>6.4000000000000057</c:v>
                </c:pt>
                <c:pt idx="4">
                  <c:v>4.2999999999999972</c:v>
                </c:pt>
                <c:pt idx="5">
                  <c:v>4.0999999999999943</c:v>
                </c:pt>
                <c:pt idx="6">
                  <c:v>2.9</c:v>
                </c:pt>
                <c:pt idx="7">
                  <c:v>1.7</c:v>
                </c:pt>
                <c:pt idx="8">
                  <c:v>1.9</c:v>
                </c:pt>
                <c:pt idx="9">
                  <c:v>3.4</c:v>
                </c:pt>
                <c:pt idx="10">
                  <c:v>3.3</c:v>
                </c:pt>
                <c:pt idx="11">
                  <c:v>3.6</c:v>
                </c:pt>
                <c:pt idx="12">
                  <c:v>6.7</c:v>
                </c:pt>
                <c:pt idx="13">
                  <c:v>5</c:v>
                </c:pt>
                <c:pt idx="14">
                  <c:v>4.3</c:v>
                </c:pt>
                <c:pt idx="15">
                  <c:v>4.5999999999999996</c:v>
                </c:pt>
                <c:pt idx="16">
                  <c:v>7.4</c:v>
                </c:pt>
                <c:pt idx="17">
                  <c:v>8</c:v>
                </c:pt>
                <c:pt idx="18">
                  <c:v>8.4</c:v>
                </c:pt>
                <c:pt idx="19">
                  <c:v>10.1</c:v>
                </c:pt>
                <c:pt idx="20">
                  <c:v>9.9</c:v>
                </c:pt>
                <c:pt idx="21">
                  <c:v>9</c:v>
                </c:pt>
                <c:pt idx="22">
                  <c:v>9.1999999999999993</c:v>
                </c:pt>
                <c:pt idx="23">
                  <c:v>8.3000000000000007</c:v>
                </c:pt>
                <c:pt idx="24">
                  <c:v>7.9</c:v>
                </c:pt>
                <c:pt idx="25">
                  <c:v>7.4</c:v>
                </c:pt>
                <c:pt idx="26">
                  <c:v>8</c:v>
                </c:pt>
                <c:pt idx="27">
                  <c:v>8.4</c:v>
                </c:pt>
                <c:pt idx="28">
                  <c:v>7.5</c:v>
                </c:pt>
                <c:pt idx="29">
                  <c:v>7.1</c:v>
                </c:pt>
                <c:pt idx="30">
                  <c:v>6.9</c:v>
                </c:pt>
                <c:pt idx="31">
                  <c:v>6.8</c:v>
                </c:pt>
                <c:pt idx="32">
                  <c:v>6.6</c:v>
                </c:pt>
                <c:pt idx="33">
                  <c:v>3.6</c:v>
                </c:pt>
                <c:pt idx="34">
                  <c:v>3.2</c:v>
                </c:pt>
                <c:pt idx="35">
                  <c:v>4.3</c:v>
                </c:pt>
                <c:pt idx="36">
                  <c:v>-2.1</c:v>
                </c:pt>
                <c:pt idx="37">
                  <c:v>-1.8</c:v>
                </c:pt>
                <c:pt idx="38">
                  <c:v>-2.6</c:v>
                </c:pt>
                <c:pt idx="39">
                  <c:v>-3.7</c:v>
                </c:pt>
                <c:pt idx="40">
                  <c:v>-3.1</c:v>
                </c:pt>
                <c:pt idx="41">
                  <c:v>-3.6</c:v>
                </c:pt>
                <c:pt idx="42">
                  <c:v>-3.5</c:v>
                </c:pt>
                <c:pt idx="43">
                  <c:v>-3.5</c:v>
                </c:pt>
                <c:pt idx="44">
                  <c:v>-3.7</c:v>
                </c:pt>
                <c:pt idx="45">
                  <c:v>-1.9</c:v>
                </c:pt>
                <c:pt idx="46">
                  <c:v>-1.8</c:v>
                </c:pt>
                <c:pt idx="47">
                  <c:v>-2.2000000000000002</c:v>
                </c:pt>
                <c:pt idx="48">
                  <c:v>-0.3</c:v>
                </c:pt>
                <c:pt idx="49">
                  <c:v>-0.8</c:v>
                </c:pt>
                <c:pt idx="50">
                  <c:v>-0.3</c:v>
                </c:pt>
                <c:pt idx="51">
                  <c:v>1</c:v>
                </c:pt>
                <c:pt idx="52">
                  <c:v>0.3</c:v>
                </c:pt>
                <c:pt idx="53">
                  <c:v>1.1000000000000001</c:v>
                </c:pt>
                <c:pt idx="54">
                  <c:v>2</c:v>
                </c:pt>
                <c:pt idx="55">
                  <c:v>3.6</c:v>
                </c:pt>
                <c:pt idx="56">
                  <c:v>4.3</c:v>
                </c:pt>
                <c:pt idx="57">
                  <c:v>12.7</c:v>
                </c:pt>
                <c:pt idx="58">
                  <c:v>14</c:v>
                </c:pt>
                <c:pt idx="59">
                  <c:v>14.6</c:v>
                </c:pt>
                <c:pt idx="60">
                  <c:v>24.2</c:v>
                </c:pt>
                <c:pt idx="61">
                  <c:v>25.1</c:v>
                </c:pt>
                <c:pt idx="62">
                  <c:v>26.3</c:v>
                </c:pt>
                <c:pt idx="63">
                  <c:v>28.3</c:v>
                </c:pt>
                <c:pt idx="64">
                  <c:v>34</c:v>
                </c:pt>
                <c:pt idx="65">
                  <c:v>33.299999999999997</c:v>
                </c:pt>
              </c:numCache>
            </c:numRef>
          </c:val>
          <c:smooth val="0"/>
          <c:extLst>
            <c:ext xmlns:c16="http://schemas.microsoft.com/office/drawing/2014/chart" uri="{C3380CC4-5D6E-409C-BE32-E72D297353CC}">
              <c16:uniqueId val="{00000001-03FA-4DA4-A3CD-C7A189574B75}"/>
            </c:ext>
          </c:extLst>
        </c:ser>
        <c:ser>
          <c:idx val="2"/>
          <c:order val="2"/>
          <c:tx>
            <c:strRef>
              <c:f>'Ceny 4'!$E$5</c:f>
              <c:strCache>
                <c:ptCount val="1"/>
                <c:pt idx="0">
                  <c:v>Manufacturing</c:v>
                </c:pt>
              </c:strCache>
            </c:strRef>
          </c:tx>
          <c:spPr>
            <a:ln w="19050">
              <a:solidFill>
                <a:srgbClr val="BD1B21"/>
              </a:solidFill>
            </a:ln>
          </c:spPr>
          <c:marker>
            <c:symbol val="none"/>
          </c:marker>
          <c:cat>
            <c:multiLvlStrRef>
              <c:f>'Ceny 4'!$A$54:$B$119</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'Ceny 4'!$E$54:$E$119</c:f>
              <c:numCache>
                <c:formatCode>General</c:formatCode>
                <c:ptCount val="66"/>
                <c:pt idx="0">
                  <c:v>2.5999999999999943</c:v>
                </c:pt>
                <c:pt idx="1">
                  <c:v>4</c:v>
                </c:pt>
                <c:pt idx="2" formatCode="0.0">
                  <c:v>3.7999999999999972</c:v>
                </c:pt>
                <c:pt idx="3" formatCode="0.0">
                  <c:v>4</c:v>
                </c:pt>
                <c:pt idx="4">
                  <c:v>2.7999999999999972</c:v>
                </c:pt>
                <c:pt idx="5">
                  <c:v>1.5</c:v>
                </c:pt>
                <c:pt idx="6">
                  <c:v>1.4</c:v>
                </c:pt>
                <c:pt idx="7">
                  <c:v>2</c:v>
                </c:pt>
                <c:pt idx="8">
                  <c:v>2.1</c:v>
                </c:pt>
                <c:pt idx="9">
                  <c:v>1.4</c:v>
                </c:pt>
                <c:pt idx="10">
                  <c:v>1.1000000000000001</c:v>
                </c:pt>
                <c:pt idx="11">
                  <c:v>0.9</c:v>
                </c:pt>
                <c:pt idx="12">
                  <c:v>0.2</c:v>
                </c:pt>
                <c:pt idx="13">
                  <c:v>-0.9</c:v>
                </c:pt>
                <c:pt idx="14">
                  <c:v>-0.5</c:v>
                </c:pt>
                <c:pt idx="15">
                  <c:v>-0.5</c:v>
                </c:pt>
                <c:pt idx="16">
                  <c:v>1.3</c:v>
                </c:pt>
                <c:pt idx="17">
                  <c:v>2.8</c:v>
                </c:pt>
                <c:pt idx="18">
                  <c:v>3.4</c:v>
                </c:pt>
                <c:pt idx="19">
                  <c:v>3.2</c:v>
                </c:pt>
                <c:pt idx="20">
                  <c:v>3</c:v>
                </c:pt>
                <c:pt idx="21">
                  <c:v>3.8</c:v>
                </c:pt>
                <c:pt idx="22">
                  <c:v>3.9</c:v>
                </c:pt>
                <c:pt idx="23">
                  <c:v>2.2000000000000002</c:v>
                </c:pt>
                <c:pt idx="24">
                  <c:v>1.9</c:v>
                </c:pt>
                <c:pt idx="25">
                  <c:v>2.9</c:v>
                </c:pt>
                <c:pt idx="26">
                  <c:v>3</c:v>
                </c:pt>
                <c:pt idx="27">
                  <c:v>3.5</c:v>
                </c:pt>
                <c:pt idx="28">
                  <c:v>2.9</c:v>
                </c:pt>
                <c:pt idx="29">
                  <c:v>1.4</c:v>
                </c:pt>
                <c:pt idx="30">
                  <c:v>0.9</c:v>
                </c:pt>
                <c:pt idx="31">
                  <c:v>0.8</c:v>
                </c:pt>
                <c:pt idx="32">
                  <c:v>0.7</c:v>
                </c:pt>
                <c:pt idx="33">
                  <c:v>-0.4</c:v>
                </c:pt>
                <c:pt idx="34">
                  <c:v>-0.7</c:v>
                </c:pt>
                <c:pt idx="35">
                  <c:v>0.8</c:v>
                </c:pt>
                <c:pt idx="36">
                  <c:v>1.2</c:v>
                </c:pt>
                <c:pt idx="37">
                  <c:v>-0.1</c:v>
                </c:pt>
                <c:pt idx="38">
                  <c:v>-1.2</c:v>
                </c:pt>
                <c:pt idx="39">
                  <c:v>-2.5</c:v>
                </c:pt>
                <c:pt idx="40">
                  <c:v>-2.6</c:v>
                </c:pt>
                <c:pt idx="41">
                  <c:v>-1.9</c:v>
                </c:pt>
                <c:pt idx="42">
                  <c:v>-1.6</c:v>
                </c:pt>
                <c:pt idx="43">
                  <c:v>-2</c:v>
                </c:pt>
                <c:pt idx="44">
                  <c:v>-1.9</c:v>
                </c:pt>
                <c:pt idx="45">
                  <c:v>-1.1000000000000001</c:v>
                </c:pt>
                <c:pt idx="46">
                  <c:v>-1.4</c:v>
                </c:pt>
                <c:pt idx="47">
                  <c:v>-1.2</c:v>
                </c:pt>
                <c:pt idx="48">
                  <c:v>-0.3</c:v>
                </c:pt>
                <c:pt idx="49">
                  <c:v>1.6</c:v>
                </c:pt>
                <c:pt idx="50">
                  <c:v>4.0999999999999996</c:v>
                </c:pt>
                <c:pt idx="51">
                  <c:v>5.6</c:v>
                </c:pt>
                <c:pt idx="52">
                  <c:v>6.3</c:v>
                </c:pt>
                <c:pt idx="53">
                  <c:v>7.4</c:v>
                </c:pt>
                <c:pt idx="54">
                  <c:v>9.5</c:v>
                </c:pt>
                <c:pt idx="55">
                  <c:v>11.4</c:v>
                </c:pt>
                <c:pt idx="56">
                  <c:v>12</c:v>
                </c:pt>
                <c:pt idx="57">
                  <c:v>13.4</c:v>
                </c:pt>
                <c:pt idx="58">
                  <c:v>15.4</c:v>
                </c:pt>
                <c:pt idx="59">
                  <c:v>14.7</c:v>
                </c:pt>
                <c:pt idx="60">
                  <c:v>15.5</c:v>
                </c:pt>
                <c:pt idx="61">
                  <c:v>16.600000000000001</c:v>
                </c:pt>
                <c:pt idx="62">
                  <c:v>20.3</c:v>
                </c:pt>
                <c:pt idx="63">
                  <c:v>22.3</c:v>
                </c:pt>
                <c:pt idx="64">
                  <c:v>24.6</c:v>
                </c:pt>
                <c:pt idx="65">
                  <c:v>25.8</c:v>
                </c:pt>
              </c:numCache>
            </c:numRef>
          </c:val>
          <c:smooth val="0"/>
          <c:extLst>
            <c:ext xmlns:c16="http://schemas.microsoft.com/office/drawing/2014/chart" uri="{C3380CC4-5D6E-409C-BE32-E72D297353CC}">
              <c16:uniqueId val="{00000002-03FA-4DA4-A3CD-C7A189574B75}"/>
            </c:ext>
          </c:extLst>
        </c:ser>
        <c:ser>
          <c:idx val="3"/>
          <c:order val="3"/>
          <c:tx>
            <c:strRef>
              <c:f>'Ceny 4'!$F$5</c:f>
              <c:strCache>
                <c:ptCount val="1"/>
                <c:pt idx="0">
                  <c:v>Electricity, gas, steam and air conditioning supply</c:v>
                </c:pt>
              </c:strCache>
            </c:strRef>
          </c:tx>
          <c:spPr>
            <a:ln w="19050">
              <a:solidFill>
                <a:srgbClr val="F8A124"/>
              </a:solidFill>
            </a:ln>
          </c:spPr>
          <c:marker>
            <c:symbol val="none"/>
          </c:marker>
          <c:cat>
            <c:multiLvlStrRef>
              <c:f>'Ceny 4'!$A$54:$B$119</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'Ceny 4'!$F$54:$F$119</c:f>
              <c:numCache>
                <c:formatCode>General</c:formatCode>
                <c:ptCount val="66"/>
                <c:pt idx="0">
                  <c:v>-1.0999999999999943</c:v>
                </c:pt>
                <c:pt idx="1">
                  <c:v>-1.2000000000000028</c:v>
                </c:pt>
                <c:pt idx="2" formatCode="0.0">
                  <c:v>-1.2000000000000028</c:v>
                </c:pt>
                <c:pt idx="3" formatCode="0.0">
                  <c:v>-1.4000000000000057</c:v>
                </c:pt>
                <c:pt idx="4">
                  <c:v>-1.2999999999999972</c:v>
                </c:pt>
                <c:pt idx="5">
                  <c:v>-1.0999999999999943</c:v>
                </c:pt>
                <c:pt idx="6">
                  <c:v>-1.1000000000000001</c:v>
                </c:pt>
                <c:pt idx="7">
                  <c:v>-1.3</c:v>
                </c:pt>
                <c:pt idx="8">
                  <c:v>-1.1000000000000001</c:v>
                </c:pt>
                <c:pt idx="9">
                  <c:v>-1.1000000000000001</c:v>
                </c:pt>
                <c:pt idx="10">
                  <c:v>-1.1000000000000001</c:v>
                </c:pt>
                <c:pt idx="11">
                  <c:v>-1.1000000000000001</c:v>
                </c:pt>
                <c:pt idx="12">
                  <c:v>1.5</c:v>
                </c:pt>
                <c:pt idx="13">
                  <c:v>1.6</c:v>
                </c:pt>
                <c:pt idx="14">
                  <c:v>1.6</c:v>
                </c:pt>
                <c:pt idx="15">
                  <c:v>1.7</c:v>
                </c:pt>
                <c:pt idx="16">
                  <c:v>1.7</c:v>
                </c:pt>
                <c:pt idx="17">
                  <c:v>2.2999999999999998</c:v>
                </c:pt>
                <c:pt idx="18">
                  <c:v>2.2999999999999998</c:v>
                </c:pt>
                <c:pt idx="19">
                  <c:v>2.6</c:v>
                </c:pt>
                <c:pt idx="20">
                  <c:v>2.7</c:v>
                </c:pt>
                <c:pt idx="21">
                  <c:v>2.8</c:v>
                </c:pt>
                <c:pt idx="22">
                  <c:v>2.8</c:v>
                </c:pt>
                <c:pt idx="23">
                  <c:v>2.8</c:v>
                </c:pt>
                <c:pt idx="24">
                  <c:v>7.2</c:v>
                </c:pt>
                <c:pt idx="25">
                  <c:v>7.5</c:v>
                </c:pt>
                <c:pt idx="26">
                  <c:v>8.4</c:v>
                </c:pt>
                <c:pt idx="27">
                  <c:v>8.1999999999999993</c:v>
                </c:pt>
                <c:pt idx="28">
                  <c:v>8.6</c:v>
                </c:pt>
                <c:pt idx="29">
                  <c:v>7.9</c:v>
                </c:pt>
                <c:pt idx="30">
                  <c:v>8</c:v>
                </c:pt>
                <c:pt idx="31">
                  <c:v>7.7</c:v>
                </c:pt>
                <c:pt idx="32">
                  <c:v>7.7</c:v>
                </c:pt>
                <c:pt idx="33">
                  <c:v>7.5</c:v>
                </c:pt>
                <c:pt idx="34">
                  <c:v>8.6999999999999993</c:v>
                </c:pt>
                <c:pt idx="35">
                  <c:v>8.8000000000000007</c:v>
                </c:pt>
                <c:pt idx="36">
                  <c:v>9.3000000000000007</c:v>
                </c:pt>
                <c:pt idx="37">
                  <c:v>9</c:v>
                </c:pt>
                <c:pt idx="38">
                  <c:v>8.3000000000000007</c:v>
                </c:pt>
                <c:pt idx="39">
                  <c:v>8.6</c:v>
                </c:pt>
                <c:pt idx="40">
                  <c:v>8</c:v>
                </c:pt>
                <c:pt idx="41">
                  <c:v>8</c:v>
                </c:pt>
                <c:pt idx="42">
                  <c:v>7.7</c:v>
                </c:pt>
                <c:pt idx="43">
                  <c:v>7.9</c:v>
                </c:pt>
                <c:pt idx="44">
                  <c:v>7.7</c:v>
                </c:pt>
                <c:pt idx="45">
                  <c:v>7</c:v>
                </c:pt>
                <c:pt idx="46">
                  <c:v>5.8</c:v>
                </c:pt>
                <c:pt idx="47">
                  <c:v>5.6</c:v>
                </c:pt>
                <c:pt idx="48">
                  <c:v>0.4</c:v>
                </c:pt>
                <c:pt idx="49">
                  <c:v>0.4</c:v>
                </c:pt>
                <c:pt idx="50">
                  <c:v>0.1</c:v>
                </c:pt>
                <c:pt idx="51">
                  <c:v>-0.1</c:v>
                </c:pt>
                <c:pt idx="52">
                  <c:v>0.2</c:v>
                </c:pt>
                <c:pt idx="53">
                  <c:v>0.2</c:v>
                </c:pt>
                <c:pt idx="54">
                  <c:v>0.5</c:v>
                </c:pt>
                <c:pt idx="55">
                  <c:v>0.7</c:v>
                </c:pt>
                <c:pt idx="56">
                  <c:v>1.2</c:v>
                </c:pt>
                <c:pt idx="57">
                  <c:v>3.7</c:v>
                </c:pt>
                <c:pt idx="58">
                  <c:v>5.6</c:v>
                </c:pt>
                <c:pt idx="59">
                  <c:v>7.1</c:v>
                </c:pt>
                <c:pt idx="60">
                  <c:v>40.6</c:v>
                </c:pt>
                <c:pt idx="61">
                  <c:v>45.5</c:v>
                </c:pt>
                <c:pt idx="62">
                  <c:v>48.9</c:v>
                </c:pt>
                <c:pt idx="63">
                  <c:v>51.4</c:v>
                </c:pt>
                <c:pt idx="64">
                  <c:v>45.8</c:v>
                </c:pt>
                <c:pt idx="65">
                  <c:v>44.6</c:v>
                </c:pt>
              </c:numCache>
            </c:numRef>
          </c:val>
          <c:smooth val="0"/>
          <c:extLst>
            <c:ext xmlns:c16="http://schemas.microsoft.com/office/drawing/2014/chart" uri="{C3380CC4-5D6E-409C-BE32-E72D297353CC}">
              <c16:uniqueId val="{00000003-03FA-4DA4-A3CD-C7A189574B75}"/>
            </c:ext>
          </c:extLst>
        </c:ser>
        <c:ser>
          <c:idx val="4"/>
          <c:order val="4"/>
          <c:tx>
            <c:strRef>
              <c:f>'Ceny 4'!$G$5</c:f>
              <c:strCache>
                <c:ptCount val="1"/>
                <c:pt idx="0">
                  <c:v>Water supply, sewerage</c:v>
                </c:pt>
              </c:strCache>
            </c:strRef>
          </c:tx>
          <c:spPr>
            <a:ln w="19050">
              <a:solidFill>
                <a:schemeClr val="accent1"/>
              </a:solidFill>
            </a:ln>
          </c:spPr>
          <c:marker>
            <c:symbol val="none"/>
          </c:marker>
          <c:cat>
            <c:multiLvlStrRef>
              <c:f>'Ceny 4'!$A$54:$B$119</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'Ceny 4'!$G$54:$G$119</c:f>
              <c:numCache>
                <c:formatCode>General</c:formatCode>
                <c:ptCount val="66"/>
                <c:pt idx="0">
                  <c:v>2.0999999999999943</c:v>
                </c:pt>
                <c:pt idx="1">
                  <c:v>2.0999999999999943</c:v>
                </c:pt>
                <c:pt idx="2" formatCode="0.0">
                  <c:v>2.0999999999999943</c:v>
                </c:pt>
                <c:pt idx="3" formatCode="0.0">
                  <c:v>1</c:v>
                </c:pt>
                <c:pt idx="4">
                  <c:v>1</c:v>
                </c:pt>
                <c:pt idx="5">
                  <c:v>1</c:v>
                </c:pt>
                <c:pt idx="6">
                  <c:v>1</c:v>
                </c:pt>
                <c:pt idx="7">
                  <c:v>1</c:v>
                </c:pt>
                <c:pt idx="8">
                  <c:v>1</c:v>
                </c:pt>
                <c:pt idx="9">
                  <c:v>1</c:v>
                </c:pt>
                <c:pt idx="10">
                  <c:v>1</c:v>
                </c:pt>
                <c:pt idx="11">
                  <c:v>1</c:v>
                </c:pt>
                <c:pt idx="12">
                  <c:v>1.9</c:v>
                </c:pt>
                <c:pt idx="13">
                  <c:v>1.9</c:v>
                </c:pt>
                <c:pt idx="14">
                  <c:v>1.9</c:v>
                </c:pt>
                <c:pt idx="15">
                  <c:v>1.9</c:v>
                </c:pt>
                <c:pt idx="16">
                  <c:v>1.9</c:v>
                </c:pt>
                <c:pt idx="17">
                  <c:v>1.9</c:v>
                </c:pt>
                <c:pt idx="18">
                  <c:v>1.9</c:v>
                </c:pt>
                <c:pt idx="19">
                  <c:v>1.9</c:v>
                </c:pt>
                <c:pt idx="20">
                  <c:v>1.9</c:v>
                </c:pt>
                <c:pt idx="21">
                  <c:v>1.9</c:v>
                </c:pt>
                <c:pt idx="22">
                  <c:v>1.9</c:v>
                </c:pt>
                <c:pt idx="23">
                  <c:v>1.9</c:v>
                </c:pt>
                <c:pt idx="24">
                  <c:v>2.9</c:v>
                </c:pt>
                <c:pt idx="25">
                  <c:v>2.9</c:v>
                </c:pt>
                <c:pt idx="26">
                  <c:v>2.9</c:v>
                </c:pt>
                <c:pt idx="27">
                  <c:v>2.9</c:v>
                </c:pt>
                <c:pt idx="28">
                  <c:v>2.9</c:v>
                </c:pt>
                <c:pt idx="29">
                  <c:v>2.9</c:v>
                </c:pt>
                <c:pt idx="30">
                  <c:v>2.9</c:v>
                </c:pt>
                <c:pt idx="31">
                  <c:v>2.9</c:v>
                </c:pt>
                <c:pt idx="32">
                  <c:v>2.9</c:v>
                </c:pt>
                <c:pt idx="33">
                  <c:v>2.9</c:v>
                </c:pt>
                <c:pt idx="34">
                  <c:v>2.9</c:v>
                </c:pt>
                <c:pt idx="35">
                  <c:v>2.9</c:v>
                </c:pt>
                <c:pt idx="36">
                  <c:v>5.4</c:v>
                </c:pt>
                <c:pt idx="37">
                  <c:v>5.4</c:v>
                </c:pt>
                <c:pt idx="38">
                  <c:v>5.4</c:v>
                </c:pt>
                <c:pt idx="39">
                  <c:v>5.4</c:v>
                </c:pt>
                <c:pt idx="40">
                  <c:v>6.4</c:v>
                </c:pt>
                <c:pt idx="41">
                  <c:v>6.4</c:v>
                </c:pt>
                <c:pt idx="42">
                  <c:v>6.4</c:v>
                </c:pt>
                <c:pt idx="43">
                  <c:v>6.4</c:v>
                </c:pt>
                <c:pt idx="44">
                  <c:v>6.4</c:v>
                </c:pt>
                <c:pt idx="45">
                  <c:v>6.4</c:v>
                </c:pt>
                <c:pt idx="46">
                  <c:v>6.4</c:v>
                </c:pt>
                <c:pt idx="47">
                  <c:v>6.4</c:v>
                </c:pt>
                <c:pt idx="48">
                  <c:v>6.9</c:v>
                </c:pt>
                <c:pt idx="49">
                  <c:v>6.9</c:v>
                </c:pt>
                <c:pt idx="50">
                  <c:v>6.9</c:v>
                </c:pt>
                <c:pt idx="51">
                  <c:v>6.9</c:v>
                </c:pt>
                <c:pt idx="52">
                  <c:v>5.9</c:v>
                </c:pt>
                <c:pt idx="53">
                  <c:v>5.9</c:v>
                </c:pt>
                <c:pt idx="54">
                  <c:v>5.9</c:v>
                </c:pt>
                <c:pt idx="55">
                  <c:v>5.9</c:v>
                </c:pt>
                <c:pt idx="56">
                  <c:v>5.9</c:v>
                </c:pt>
                <c:pt idx="57">
                  <c:v>5.9</c:v>
                </c:pt>
                <c:pt idx="58">
                  <c:v>5.9</c:v>
                </c:pt>
                <c:pt idx="59">
                  <c:v>5.9</c:v>
                </c:pt>
                <c:pt idx="60">
                  <c:v>5.3</c:v>
                </c:pt>
                <c:pt idx="61">
                  <c:v>5.3</c:v>
                </c:pt>
                <c:pt idx="62">
                  <c:v>5.3</c:v>
                </c:pt>
                <c:pt idx="63">
                  <c:v>5.3</c:v>
                </c:pt>
                <c:pt idx="64">
                  <c:v>5.3</c:v>
                </c:pt>
                <c:pt idx="65">
                  <c:v>5.3</c:v>
                </c:pt>
              </c:numCache>
            </c:numRef>
          </c:val>
          <c:smooth val="0"/>
          <c:extLst>
            <c:ext xmlns:c16="http://schemas.microsoft.com/office/drawing/2014/chart" uri="{C3380CC4-5D6E-409C-BE32-E72D297353CC}">
              <c16:uniqueId val="{00000004-03FA-4DA4-A3CD-C7A189574B75}"/>
            </c:ext>
          </c:extLst>
        </c:ser>
        <c:dLbls>
          <c:showLegendKey val="0"/>
          <c:showVal val="0"/>
          <c:showCatName val="0"/>
          <c:showSerName val="0"/>
          <c:showPercent val="0"/>
          <c:showBubbleSize val="0"/>
        </c:dLbls>
        <c:marker val="1"/>
        <c:smooth val="0"/>
        <c:axId val="119381376"/>
        <c:axId val="130745472"/>
      </c:lineChart>
      <c:catAx>
        <c:axId val="119381376"/>
        <c:scaling>
          <c:orientation val="minMax"/>
        </c:scaling>
        <c:delete val="0"/>
        <c:axPos val="b"/>
        <c:numFmt formatCode="General" sourceLinked="0"/>
        <c:majorTickMark val="out"/>
        <c:minorTickMark val="none"/>
        <c:tickLblPos val="low"/>
        <c:spPr>
          <a:ln>
            <a:solidFill>
              <a:schemeClr val="tx1"/>
            </a:solidFill>
          </a:ln>
        </c:spPr>
        <c:crossAx val="130745472"/>
        <c:crosses val="autoZero"/>
        <c:auto val="1"/>
        <c:lblAlgn val="ctr"/>
        <c:lblOffset val="100"/>
        <c:noMultiLvlLbl val="0"/>
      </c:catAx>
      <c:valAx>
        <c:axId val="130745472"/>
        <c:scaling>
          <c:orientation val="minMax"/>
          <c:max val="55"/>
          <c:min val="-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9381376"/>
        <c:crosses val="autoZero"/>
        <c:crossBetween val="between"/>
        <c:majorUnit val="5"/>
      </c:valAx>
      <c:spPr>
        <a:ln>
          <a:solidFill>
            <a:schemeClr val="tx1"/>
          </a:solidFill>
        </a:ln>
      </c:spPr>
    </c:plotArea>
    <c:legend>
      <c:legendPos val="b"/>
      <c:layout>
        <c:manualLayout>
          <c:xMode val="edge"/>
          <c:yMode val="edge"/>
          <c:x val="5.0596282132642133E-2"/>
          <c:y val="0.84079393223010246"/>
          <c:w val="0.89560705842620769"/>
          <c:h val="0.1425394011032308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A0963-972D-4854-B45B-E650E4603AD2}">
  <ds:schemaRefs>
    <ds:schemaRef ds:uri="http://schemas.openxmlformats.org/officeDocument/2006/bibliography"/>
  </ds:schemaRefs>
</ds:datastoreItem>
</file>

<file path=customXml/itemProps2.xml><?xml version="1.0" encoding="utf-8"?>
<ds:datastoreItem xmlns:ds="http://schemas.openxmlformats.org/officeDocument/2006/customXml" ds:itemID="{80BD18E4-BB97-4471-AB4E-090CE8637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6</Pages>
  <Words>2205</Words>
  <Characters>13014</Characters>
  <Application>Microsoft Office Word</Application>
  <DocSecurity>0</DocSecurity>
  <Lines>108</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15189</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3</cp:revision>
  <cp:lastPrinted>2019-04-08T10:52:00Z</cp:lastPrinted>
  <dcterms:created xsi:type="dcterms:W3CDTF">2022-10-14T10:28:00Z</dcterms:created>
  <dcterms:modified xsi:type="dcterms:W3CDTF">2022-10-14T10:40:00Z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db9e61-aac5-4f6e-805d-ceb8cb9983a1_Enabled">
    <vt:lpwstr>true</vt:lpwstr>
  </property>
  <property fmtid="{D5CDD505-2E9C-101B-9397-08002B2CF9AE}" pid="3" name="MSIP_Label_29db9e61-aac5-4f6e-805d-ceb8cb9983a1_SetDate">
    <vt:lpwstr>2022-09-16T14:37:11Z</vt:lpwstr>
  </property>
  <property fmtid="{D5CDD505-2E9C-101B-9397-08002B2CF9AE}" pid="4" name="MSIP_Label_29db9e61-aac5-4f6e-805d-ceb8cb9983a1_Method">
    <vt:lpwstr>Standard</vt:lpwstr>
  </property>
  <property fmtid="{D5CDD505-2E9C-101B-9397-08002B2CF9AE}" pid="5" name="MSIP_Label_29db9e61-aac5-4f6e-805d-ceb8cb9983a1_Name">
    <vt:lpwstr>UniCredit - Internal Use Only - no visual markings</vt:lpwstr>
  </property>
  <property fmtid="{D5CDD505-2E9C-101B-9397-08002B2CF9AE}" pid="6" name="MSIP_Label_29db9e61-aac5-4f6e-805d-ceb8cb9983a1_SiteId">
    <vt:lpwstr>2cc49ce9-66a1-41ac-a96b-bdc54247696a</vt:lpwstr>
  </property>
  <property fmtid="{D5CDD505-2E9C-101B-9397-08002B2CF9AE}" pid="7" name="MSIP_Label_29db9e61-aac5-4f6e-805d-ceb8cb9983a1_ActionId">
    <vt:lpwstr>c768a867-054a-4443-ae84-aa18391251d8</vt:lpwstr>
  </property>
  <property fmtid="{D5CDD505-2E9C-101B-9397-08002B2CF9AE}" pid="8" name="MSIP_Label_29db9e61-aac5-4f6e-805d-ceb8cb9983a1_ContentBits">
    <vt:lpwstr>0</vt:lpwstr>
  </property>
</Properties>
</file>